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2"/>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rPr>
          <w:rFonts w:hint="eastAsia" w:ascii="宋体" w:hAnsi="宋体" w:cs="宋体"/>
          <w:b/>
          <w:bCs/>
          <w:color w:val="000000"/>
          <w:sz w:val="28"/>
          <w:szCs w:val="28"/>
          <w:highlight w:val="none"/>
        </w:rPr>
      </w:r>
      <w:r/>
    </w:p>
    <w:p>
      <w:pPr>
        <w:pStyle w:val="863"/>
        <w:ind w:firstLine="562"/>
        <w:rPr>
          <w:rFonts w:hint="eastAsia" w:ascii="宋体" w:hAnsi="宋体" w:cs="宋体"/>
          <w:b/>
          <w:bCs/>
          <w:color w:val="000000"/>
          <w:sz w:val="28"/>
          <w:szCs w:val="28"/>
          <w:highlight w:val="none"/>
        </w:rPr>
      </w:pPr>
      <w:r>
        <w:rPr>
          <w:rFonts w:hint="eastAsia" w:ascii="宋体" w:hAnsi="宋体" w:eastAsia="华文新魏" w:cs="宋体"/>
          <w:b/>
          <w:bCs/>
          <w:color w:val="000000"/>
          <w:sz w:val="28"/>
          <w:szCs w:val="28"/>
          <w:highlight w:val="none"/>
        </w:rPr>
      </w:r>
      <w:r>
        <w:rPr>
          <w:rFonts w:ascii="宋体" w:hAnsi="宋体" w:cs="宋体"/>
        </w:rPr>
      </w:r>
      <w:r/>
    </w:p>
    <w:p>
      <w:pPr>
        <w:pStyle w:val="863"/>
        <w:ind w:firstLine="562"/>
        <w:rPr>
          <w:rFonts w:ascii="宋体" w:hAnsi="宋体" w:cs="宋体"/>
          <w:b/>
          <w:bCs/>
          <w:color w:val="000000"/>
          <w:sz w:val="28"/>
          <w:szCs w:val="28"/>
          <w:highlight w:val="none"/>
        </w:rPr>
      </w:pPr>
      <w:r>
        <w:rPr>
          <w:rFonts w:ascii="宋体" w:hAnsi="宋体" w:eastAsia="华文新魏" w:cs="宋体"/>
          <w:b/>
          <w:bCs/>
          <w:color w:val="000000"/>
          <w:sz w:val="28"/>
          <w:szCs w:val="28"/>
          <w:highlight w:val="none"/>
        </w:rPr>
      </w:r>
      <w:r>
        <w:rPr>
          <w:rFonts w:ascii="宋体" w:hAnsi="宋体" w:cs="宋体"/>
        </w:rPr>
      </w:r>
      <w:r/>
    </w:p>
    <w:p>
      <w:pPr>
        <w:pStyle w:val="863"/>
        <w:ind w:firstLine="562"/>
        <w:rPr>
          <w:rFonts w:ascii="宋体" w:hAnsi="宋体" w:cs="宋体"/>
          <w:b/>
          <w:bCs/>
          <w:color w:val="000000"/>
          <w:sz w:val="28"/>
          <w:szCs w:val="28"/>
          <w:highlight w:val="none"/>
        </w:rPr>
      </w:pPr>
      <w:r>
        <w:rPr>
          <w:rFonts w:ascii="宋体" w:hAnsi="宋体" w:eastAsia="华文新魏" w:cs="宋体"/>
          <w:b/>
          <w:bCs/>
          <w:color w:val="000000"/>
          <w:sz w:val="28"/>
          <w:szCs w:val="28"/>
          <w:highlight w:val="none"/>
        </w:rPr>
      </w:r>
      <w:r>
        <w:rPr>
          <w:rFonts w:ascii="宋体" w:hAnsi="宋体" w:cs="宋体"/>
        </w:rPr>
      </w:r>
      <w:r/>
    </w:p>
    <w:p>
      <w:pPr>
        <w:pStyle w:val="863"/>
        <w:contextualSpacing w:val="0"/>
        <w:jc w:val="center"/>
        <w:spacing w:after="0" w:line="360" w:lineRule="auto"/>
        <w:rPr>
          <w:rFonts w:hint="eastAsia" w:ascii="宋体" w:hAnsi="宋体" w:cs="宋体"/>
          <w:b/>
          <w:bCs/>
          <w:color w:val="000000"/>
          <w:sz w:val="108"/>
          <w:szCs w:val="108"/>
          <w:highlight w:val="none"/>
        </w:rPr>
        <w:suppressLineNumbers w:val="0"/>
      </w:pPr>
      <w:r>
        <w:rPr>
          <w:rFonts w:hint="eastAsia" w:ascii="宋体" w:hAnsi="宋体" w:eastAsia="宋体" w:cs="宋体"/>
          <w:b/>
          <w:bCs/>
          <w:color w:val="000000"/>
          <w:sz w:val="108"/>
          <w:szCs w:val="108"/>
          <w:highlight w:val="none"/>
        </w:rPr>
        <w:t xml:space="preserve">苏州市</w:t>
      </w:r>
      <w:r>
        <w:rPr>
          <w:rFonts w:hint="eastAsia" w:ascii="宋体" w:hAnsi="宋体" w:eastAsia="宋体" w:cs="宋体"/>
          <w:b/>
          <w:bCs/>
          <w:color w:val="000000"/>
          <w:sz w:val="108"/>
          <w:szCs w:val="108"/>
          <w:highlight w:val="none"/>
          <w:lang w:eastAsia="zh-CN"/>
        </w:rPr>
        <w:t xml:space="preserve">吴江区</w:t>
      </w:r>
      <w:r>
        <w:rPr>
          <w:rFonts w:ascii="宋体" w:hAnsi="宋体" w:cs="宋体"/>
        </w:rPr>
      </w:r>
      <w:r/>
    </w:p>
    <w:p>
      <w:pPr>
        <w:pStyle w:val="863"/>
        <w:contextualSpacing w:val="0"/>
        <w:jc w:val="center"/>
        <w:spacing w:after="0" w:line="360" w:lineRule="auto"/>
        <w:rPr>
          <w:rFonts w:ascii="宋体" w:hAnsi="宋体" w:cs="宋体"/>
          <w:b/>
          <w:bCs/>
          <w:color w:val="000000"/>
          <w:sz w:val="108"/>
          <w:szCs w:val="108"/>
          <w:highlight w:val="none"/>
        </w:rPr>
        <w:suppressLineNumbers w:val="0"/>
      </w:pPr>
      <w:r>
        <w:rPr>
          <w:rFonts w:hint="eastAsia" w:ascii="宋体" w:hAnsi="宋体" w:eastAsia="宋体" w:cs="宋体"/>
          <w:b/>
          <w:bCs/>
          <w:color w:val="000000"/>
          <w:sz w:val="108"/>
          <w:szCs w:val="108"/>
          <w:highlight w:val="none"/>
        </w:rPr>
        <w:t xml:space="preserve">政府采购招标文件</w:t>
      </w:r>
      <w:r>
        <w:rPr>
          <w:rFonts w:ascii="宋体" w:hAnsi="宋体" w:cs="宋体"/>
        </w:rPr>
      </w:r>
      <w:r/>
    </w:p>
    <w:p>
      <w:pPr>
        <w:pStyle w:val="863"/>
        <w:contextualSpacing w:val="0"/>
        <w:jc w:val="left"/>
        <w:spacing w:after="0" w:line="360" w:lineRule="auto"/>
        <w:rPr>
          <w:rFonts w:ascii="宋体" w:hAnsi="宋体" w:cs="宋体"/>
          <w:color w:val="000000"/>
          <w:highlight w:val="none"/>
        </w:rPr>
        <w:suppressLineNumbers w:val="0"/>
      </w:pPr>
      <w:r>
        <w:rPr>
          <w:rFonts w:ascii="宋体" w:hAnsi="宋体" w:cs="宋体"/>
          <w:color w:val="000000"/>
          <w:highlight w:val="none"/>
        </w:rPr>
      </w:r>
      <w:r>
        <w:rPr>
          <w:rFonts w:ascii="宋体" w:hAnsi="宋体" w:cs="宋体"/>
        </w:rPr>
      </w:r>
      <w:r/>
    </w:p>
    <w:p>
      <w:pPr>
        <w:pStyle w:val="863"/>
        <w:contextualSpacing w:val="0"/>
        <w:ind w:firstLine="2249"/>
        <w:jc w:val="left"/>
        <w:spacing w:after="0" w:line="360" w:lineRule="auto"/>
        <w:rPr>
          <w:rFonts w:ascii="宋体" w:hAnsi="宋体" w:cs="宋体"/>
          <w:b/>
          <w:bCs/>
          <w:color w:val="000000"/>
          <w:sz w:val="32"/>
          <w:szCs w:val="32"/>
          <w:highlight w:val="none"/>
        </w:rPr>
        <w:suppressLineNumbers w:val="0"/>
      </w:pPr>
      <w:r>
        <w:rPr>
          <w:rFonts w:ascii="宋体" w:hAnsi="宋体" w:cs="宋体"/>
          <w:b/>
          <w:bCs/>
          <w:color w:val="000000"/>
          <w:sz w:val="32"/>
          <w:szCs w:val="32"/>
          <w:highlight w:val="none"/>
        </w:rPr>
      </w:r>
      <w:r>
        <w:rPr>
          <w:rFonts w:ascii="宋体" w:hAnsi="宋体" w:cs="宋体"/>
        </w:rPr>
      </w:r>
      <w:r/>
    </w:p>
    <w:p>
      <w:pPr>
        <w:pStyle w:val="863"/>
        <w:contextualSpacing w:val="0"/>
        <w:ind w:firstLine="2570"/>
        <w:jc w:val="left"/>
        <w:spacing w:after="0" w:line="360" w:lineRule="auto"/>
        <w:rPr>
          <w:rFonts w:hint="eastAsia" w:ascii="宋体" w:hAnsi="宋体" w:cs="宋体"/>
          <w:b/>
          <w:bCs/>
          <w:color w:val="000000"/>
          <w:sz w:val="32"/>
          <w:szCs w:val="32"/>
          <w:highlight w:val="none"/>
        </w:rPr>
        <w:suppressLineNumbers w:val="0"/>
      </w:pPr>
      <w:r>
        <w:rPr>
          <w:rFonts w:hint="eastAsia" w:ascii="宋体" w:hAnsi="宋体" w:cs="宋体"/>
          <w:b/>
          <w:bCs/>
          <w:color w:val="000000"/>
          <w:sz w:val="32"/>
          <w:szCs w:val="32"/>
          <w:highlight w:val="none"/>
        </w:rPr>
      </w:r>
      <w:r>
        <w:rPr>
          <w:rFonts w:ascii="宋体" w:hAnsi="宋体" w:cs="宋体"/>
        </w:rPr>
      </w:r>
      <w:r/>
    </w:p>
    <w:p>
      <w:pPr>
        <w:pStyle w:val="863"/>
        <w:contextualSpacing w:val="0"/>
        <w:ind w:firstLine="964"/>
        <w:jc w:val="left"/>
        <w:spacing w:after="0" w:line="360" w:lineRule="auto"/>
        <w:rPr>
          <w:rFonts w:hint="eastAsia" w:ascii="宋体" w:hAnsi="宋体" w:cs="宋体"/>
          <w:b/>
          <w:bCs/>
          <w:color w:val="000000"/>
          <w:sz w:val="32"/>
          <w:szCs w:val="32"/>
          <w:highlight w:val="none"/>
        </w:rPr>
        <w:suppressLineNumbers w:val="0"/>
      </w:pPr>
      <w:r>
        <w:rPr>
          <w:rFonts w:hint="eastAsia" w:ascii="宋体" w:hAnsi="宋体" w:eastAsia="宋体" w:cs="宋体"/>
          <w:b/>
          <w:bCs/>
          <w:color w:val="000000"/>
          <w:sz w:val="32"/>
          <w:szCs w:val="32"/>
          <w:highlight w:val="none"/>
        </w:rPr>
        <w:t xml:space="preserve">招标编号：</w:t>
      </w:r>
      <w:r>
        <w:rPr>
          <w:rFonts w:hint="eastAsia" w:ascii="宋体" w:hAnsi="宋体" w:cs="宋体"/>
          <w:b/>
          <w:bCs/>
          <w:color w:val="000000"/>
          <w:sz w:val="32"/>
          <w:szCs w:val="32"/>
          <w:highlight w:val="none"/>
          <w:lang w:eastAsia="zh-CN"/>
        </w:rPr>
        <w:t xml:space="preserve">JSZC-320509-SXHC-G2026-0018</w:t>
      </w:r>
      <w:r>
        <w:rPr>
          <w:rFonts w:ascii="宋体" w:hAnsi="宋体" w:cs="宋体"/>
        </w:rPr>
      </w:r>
      <w:r/>
    </w:p>
    <w:p>
      <w:pPr>
        <w:pStyle w:val="863"/>
        <w:contextualSpacing w:val="0"/>
        <w:ind w:firstLine="964"/>
        <w:jc w:val="left"/>
        <w:spacing w:after="0" w:line="360" w:lineRule="auto"/>
        <w:rPr>
          <w:rFonts w:hint="eastAsia" w:ascii="宋体" w:hAnsi="宋体" w:cs="宋体"/>
          <w:b/>
          <w:bCs/>
          <w:color w:val="000000"/>
          <w:sz w:val="32"/>
          <w:szCs w:val="32"/>
          <w:highlight w:val="none"/>
        </w:rPr>
        <w:suppressLineNumbers w:val="0"/>
      </w:pPr>
      <w:r>
        <w:rPr>
          <w:rFonts w:hint="eastAsia" w:ascii="宋体" w:hAnsi="宋体" w:eastAsia="宋体" w:cs="宋体"/>
          <w:b/>
          <w:bCs/>
          <w:color w:val="000000"/>
          <w:sz w:val="32"/>
          <w:szCs w:val="32"/>
          <w:highlight w:val="none"/>
        </w:rPr>
        <w:t xml:space="preserve">项目名称：</w:t>
      </w:r>
      <w:r>
        <w:rPr>
          <w:rFonts w:hint="eastAsia" w:ascii="宋体" w:hAnsi="宋体" w:eastAsia="宋体" w:cs="宋体"/>
          <w:b/>
          <w:bCs/>
          <w:color w:val="000000"/>
          <w:sz w:val="32"/>
          <w:szCs w:val="32"/>
          <w:highlight w:val="none"/>
          <w:lang w:eastAsia="zh-CN"/>
        </w:rPr>
        <w:t xml:space="preserve">2026年-2027年度食品安全AI可视化监管服务</w:t>
      </w:r>
      <w:r>
        <w:rPr>
          <w:rFonts w:ascii="宋体" w:hAnsi="宋体" w:cs="宋体"/>
        </w:rPr>
      </w:r>
      <w:r/>
    </w:p>
    <w:p>
      <w:pPr>
        <w:pStyle w:val="863"/>
        <w:contextualSpacing w:val="0"/>
        <w:ind w:firstLine="964"/>
        <w:jc w:val="left"/>
        <w:spacing w:after="0" w:line="360" w:lineRule="auto"/>
        <w:rPr>
          <w:rFonts w:hint="eastAsia" w:ascii="宋体" w:hAnsi="宋体" w:cs="宋体"/>
          <w:b/>
          <w:bCs/>
          <w:color w:val="000000"/>
          <w:sz w:val="32"/>
          <w:szCs w:val="32"/>
          <w:highlight w:val="none"/>
        </w:rPr>
        <w:suppressLineNumbers w:val="0"/>
      </w:pPr>
      <w:r>
        <w:rPr>
          <w:rFonts w:hint="eastAsia" w:ascii="宋体" w:hAnsi="宋体" w:eastAsia="宋体" w:cs="宋体"/>
          <w:b/>
          <w:bCs/>
          <w:color w:val="000000"/>
          <w:sz w:val="32"/>
          <w:szCs w:val="32"/>
          <w:highlight w:val="none"/>
        </w:rPr>
        <w:t xml:space="preserve">采购单位：</w:t>
      </w:r>
      <w:r>
        <w:rPr>
          <w:rFonts w:hint="eastAsia" w:ascii="宋体" w:hAnsi="宋体" w:eastAsia="宋体" w:cs="宋体"/>
          <w:b/>
          <w:bCs/>
          <w:color w:val="000000"/>
          <w:sz w:val="32"/>
          <w:szCs w:val="32"/>
          <w:highlight w:val="none"/>
          <w:lang w:eastAsia="zh-CN"/>
        </w:rPr>
        <w:t xml:space="preserve">苏州市吴江区市场监督管理局</w:t>
      </w:r>
      <w:r>
        <w:rPr>
          <w:rFonts w:ascii="宋体" w:hAnsi="宋体" w:cs="宋体"/>
        </w:rPr>
      </w:r>
      <w:r/>
    </w:p>
    <w:p>
      <w:pPr>
        <w:pStyle w:val="863"/>
        <w:contextualSpacing w:val="0"/>
        <w:ind w:firstLine="964"/>
        <w:jc w:val="left"/>
        <w:spacing w:after="0" w:line="360" w:lineRule="auto"/>
        <w:rPr>
          <w:rFonts w:hint="eastAsia" w:ascii="宋体" w:hAnsi="宋体" w:cs="宋体"/>
          <w:b/>
          <w:bCs/>
          <w:color w:val="000000"/>
          <w:sz w:val="32"/>
          <w:szCs w:val="32"/>
          <w:highlight w:val="none"/>
        </w:rPr>
        <w:suppressLineNumbers w:val="0"/>
      </w:pPr>
      <w:r>
        <w:rPr>
          <w:rFonts w:hint="eastAsia" w:ascii="宋体" w:hAnsi="宋体" w:eastAsia="宋体" w:cs="宋体"/>
          <w:b/>
          <w:bCs/>
          <w:color w:val="000000"/>
          <w:sz w:val="32"/>
          <w:szCs w:val="32"/>
          <w:highlight w:val="none"/>
        </w:rPr>
        <w:t xml:space="preserve">项目类别：</w:t>
      </w:r>
      <w:r>
        <w:rPr>
          <w:rFonts w:hint="eastAsia" w:ascii="宋体" w:hAnsi="宋体" w:eastAsia="宋体" w:cs="宋体"/>
          <w:b/>
          <w:bCs/>
          <w:color w:val="000000"/>
          <w:sz w:val="32"/>
          <w:szCs w:val="32"/>
          <w:highlight w:val="none"/>
          <w:lang w:eastAsia="zh-CN"/>
        </w:rPr>
        <w:t xml:space="preserve">服务</w:t>
      </w:r>
      <w:r>
        <w:rPr>
          <w:rFonts w:hint="eastAsia" w:ascii="宋体" w:hAnsi="宋体" w:eastAsia="宋体" w:cs="宋体"/>
          <w:b/>
          <w:bCs/>
          <w:color w:val="000000"/>
          <w:sz w:val="32"/>
          <w:szCs w:val="32"/>
          <w:highlight w:val="none"/>
        </w:rPr>
        <w:t xml:space="preserve">类</w:t>
      </w:r>
      <w:r>
        <w:rPr>
          <w:rFonts w:ascii="宋体" w:hAnsi="宋体" w:cs="宋体"/>
        </w:rPr>
      </w:r>
      <w:r/>
    </w:p>
    <w:p>
      <w:pPr>
        <w:pStyle w:val="863"/>
        <w:contextualSpacing w:val="0"/>
        <w:jc w:val="left"/>
        <w:spacing w:after="0" w:line="360" w:lineRule="auto"/>
        <w:rPr>
          <w:rFonts w:hint="eastAsia" w:ascii="宋体" w:hAnsi="宋体" w:cs="宋体"/>
          <w:color w:val="000000"/>
          <w:highlight w:val="none"/>
        </w:rPr>
        <w:suppressLineNumbers w:val="0"/>
      </w:pPr>
      <w:r>
        <w:rPr>
          <w:rFonts w:hint="eastAsia" w:ascii="宋体" w:hAnsi="宋体" w:cs="宋体"/>
          <w:color w:val="000000"/>
          <w:highlight w:val="none"/>
        </w:rPr>
      </w:r>
      <w:r>
        <w:rPr>
          <w:rFonts w:ascii="宋体" w:hAnsi="宋体" w:cs="宋体"/>
        </w:rPr>
      </w:r>
      <w:r/>
    </w:p>
    <w:p>
      <w:pPr>
        <w:pStyle w:val="1052"/>
        <w:contextualSpacing w:val="0"/>
        <w:jc w:val="left"/>
        <w:spacing w:after="0" w:line="360" w:lineRule="auto"/>
        <w:rPr>
          <w:rFonts w:ascii="宋体" w:hAnsi="宋体" w:cs="宋体"/>
          <w:color w:val="000000"/>
          <w:highlight w:val="none"/>
        </w:rPr>
        <w:suppressLineNumbers w:val="0"/>
      </w:pPr>
      <w:r>
        <w:rPr>
          <w:rFonts w:ascii="宋体" w:hAnsi="宋体" w:cs="宋体"/>
          <w:color w:val="000000"/>
          <w:highlight w:val="none"/>
        </w:rPr>
      </w:r>
      <w:r>
        <w:rPr>
          <w:rFonts w:ascii="宋体" w:hAnsi="宋体" w:cs="宋体"/>
        </w:rPr>
      </w:r>
      <w:r/>
    </w:p>
    <w:p>
      <w:pPr>
        <w:pStyle w:val="1052"/>
        <w:contextualSpacing w:val="0"/>
        <w:jc w:val="left"/>
        <w:spacing w:after="0" w:line="360" w:lineRule="auto"/>
        <w:rPr>
          <w:rFonts w:ascii="宋体" w:hAnsi="宋体" w:cs="宋体"/>
          <w:color w:val="000000"/>
          <w:highlight w:val="none"/>
        </w:rPr>
        <w:suppressLineNumbers w:val="0"/>
      </w:pPr>
      <w:r>
        <w:rPr>
          <w:rFonts w:ascii="宋体" w:hAnsi="宋体" w:cs="宋体"/>
          <w:color w:val="000000"/>
          <w:highlight w:val="none"/>
        </w:rPr>
      </w:r>
      <w:r>
        <w:rPr>
          <w:rFonts w:ascii="宋体" w:hAnsi="宋体" w:cs="宋体"/>
        </w:rPr>
      </w:r>
      <w:r/>
    </w:p>
    <w:p>
      <w:pPr>
        <w:pStyle w:val="1052"/>
        <w:contextualSpacing w:val="0"/>
        <w:jc w:val="left"/>
        <w:spacing w:after="0" w:line="360" w:lineRule="auto"/>
        <w:rPr>
          <w:rFonts w:hint="eastAsia" w:ascii="宋体" w:hAnsi="宋体" w:cs="宋体"/>
          <w:color w:val="000000"/>
          <w:highlight w:val="none"/>
        </w:rPr>
        <w:suppressLineNumbers w:val="0"/>
      </w:pPr>
      <w:r>
        <w:rPr>
          <w:rFonts w:hint="eastAsia" w:ascii="宋体" w:hAnsi="宋体" w:cs="宋体"/>
          <w:color w:val="000000"/>
          <w:highlight w:val="none"/>
        </w:rPr>
      </w:r>
      <w:r>
        <w:rPr>
          <w:rFonts w:ascii="宋体" w:hAnsi="宋体" w:cs="宋体"/>
        </w:rPr>
      </w:r>
      <w:r/>
    </w:p>
    <w:p>
      <w:pPr>
        <w:pStyle w:val="863"/>
        <w:contextualSpacing w:val="0"/>
        <w:jc w:val="left"/>
        <w:spacing w:after="0" w:line="360" w:lineRule="auto"/>
        <w:rPr>
          <w:rFonts w:hint="eastAsia" w:ascii="宋体" w:hAnsi="宋体" w:cs="宋体"/>
          <w:b/>
          <w:bCs/>
          <w:color w:val="000000"/>
          <w:sz w:val="32"/>
          <w:szCs w:val="32"/>
          <w:highlight w:val="none"/>
        </w:rPr>
        <w:suppressLineNumbers w:val="0"/>
      </w:pPr>
      <w:r>
        <w:rPr>
          <w:rFonts w:hint="eastAsia" w:ascii="宋体" w:hAnsi="宋体" w:cs="宋体"/>
          <w:b/>
          <w:bCs/>
          <w:color w:val="000000"/>
          <w:sz w:val="32"/>
          <w:szCs w:val="32"/>
          <w:highlight w:val="none"/>
        </w:rPr>
        <w:t xml:space="preserve"> </w:t>
      </w:r>
      <w:r>
        <w:rPr>
          <w:rFonts w:ascii="宋体" w:hAnsi="宋体" w:cs="宋体"/>
        </w:rPr>
      </w:r>
      <w:r/>
    </w:p>
    <w:p>
      <w:pPr>
        <w:pStyle w:val="863"/>
        <w:contextualSpacing w:val="0"/>
        <w:jc w:val="left"/>
        <w:spacing w:after="0" w:line="360" w:lineRule="auto"/>
        <w:rPr>
          <w:rFonts w:hint="eastAsia" w:ascii="宋体" w:hAnsi="宋体" w:cs="宋体"/>
          <w:b/>
          <w:bCs/>
          <w:color w:val="000000"/>
          <w:sz w:val="32"/>
          <w:szCs w:val="32"/>
          <w:highlight w:val="none"/>
        </w:rPr>
        <w:suppressLineNumbers w:val="0"/>
      </w:pPr>
      <w:r>
        <w:rPr>
          <w:rFonts w:hint="eastAsia" w:ascii="宋体" w:hAnsi="宋体" w:cs="宋体"/>
          <w:b/>
          <w:bCs/>
          <w:color w:val="000000"/>
          <w:sz w:val="32"/>
          <w:szCs w:val="32"/>
          <w:highlight w:val="none"/>
        </w:rPr>
      </w:r>
      <w:r>
        <w:rPr>
          <w:rFonts w:ascii="宋体" w:hAnsi="宋体" w:cs="宋体"/>
        </w:rPr>
      </w:r>
      <w:r/>
    </w:p>
    <w:p>
      <w:pPr>
        <w:pStyle w:val="863"/>
        <w:contextualSpacing w:val="0"/>
        <w:jc w:val="center"/>
        <w:spacing w:after="0" w:line="360" w:lineRule="auto"/>
        <w:rPr>
          <w:rFonts w:hint="eastAsia" w:ascii="宋体" w:hAnsi="宋体" w:cs="宋体"/>
          <w:b/>
          <w:bCs/>
          <w:color w:val="000000"/>
          <w:sz w:val="32"/>
          <w:szCs w:val="32"/>
          <w:highlight w:val="none"/>
        </w:rPr>
        <w:suppressLineNumbers w:val="0"/>
      </w:pPr>
      <w:r>
        <w:rPr>
          <w:rFonts w:hint="eastAsia" w:ascii="宋体" w:hAnsi="宋体" w:eastAsia="宋体" w:cs="宋体"/>
          <w:b/>
          <w:bCs/>
          <w:color w:val="000000"/>
          <w:sz w:val="32"/>
          <w:szCs w:val="32"/>
          <w:highlight w:val="none"/>
        </w:rPr>
        <w:t xml:space="preserve">苏州欣禾诚工程咨询服务有限公司</w:t>
      </w:r>
      <w:r>
        <w:rPr>
          <w:rFonts w:ascii="宋体" w:hAnsi="宋体" w:cs="宋体"/>
        </w:rPr>
      </w:r>
      <w:r/>
    </w:p>
    <w:p>
      <w:pPr>
        <w:pStyle w:val="863"/>
        <w:contextualSpacing w:val="0"/>
        <w:jc w:val="center"/>
        <w:spacing w:after="0" w:line="360" w:lineRule="auto"/>
        <w:rPr>
          <w:rFonts w:ascii="宋体" w:hAnsi="宋体" w:cs="宋体"/>
          <w:b/>
          <w:bCs/>
          <w:color w:val="000000"/>
          <w:sz w:val="32"/>
          <w:szCs w:val="32"/>
          <w:highlight w:val="none"/>
        </w:rPr>
        <w:suppressLineNumbers w:val="0"/>
      </w:pPr>
      <w:r>
        <w:rPr>
          <w:rFonts w:hint="eastAsia" w:ascii="宋体" w:hAnsi="宋体" w:eastAsia="宋体" w:cs="宋体"/>
          <w:b/>
          <w:bCs/>
          <w:color w:val="000000"/>
          <w:sz w:val="32"/>
          <w:szCs w:val="32"/>
          <w:highlight w:val="none"/>
        </w:rPr>
        <w:t xml:space="preserve">二</w:t>
      </w:r>
      <w:r>
        <w:rPr>
          <w:rFonts w:hint="eastAsia" w:ascii="宋体" w:hAnsi="宋体" w:eastAsia="宋体" w:cs="宋体"/>
          <w:b/>
          <w:bCs/>
          <w:color w:val="000000"/>
          <w:sz w:val="32"/>
          <w:szCs w:val="32"/>
          <w:highlight w:val="none"/>
          <w:lang w:eastAsia="zh-CN"/>
        </w:rPr>
        <w:t xml:space="preserve">〇</w:t>
      </w:r>
      <w:r>
        <w:rPr>
          <w:rFonts w:hint="eastAsia" w:ascii="宋体" w:hAnsi="宋体" w:eastAsia="宋体" w:cs="宋体"/>
          <w:b/>
          <w:bCs/>
          <w:color w:val="000000"/>
          <w:sz w:val="32"/>
          <w:szCs w:val="32"/>
          <w:highlight w:val="none"/>
        </w:rPr>
        <w:t xml:space="preserve">二</w:t>
      </w:r>
      <w:r>
        <w:rPr>
          <w:rFonts w:hint="eastAsia" w:ascii="宋体" w:hAnsi="宋体" w:eastAsia="宋体" w:cs="宋体"/>
          <w:b/>
          <w:bCs/>
          <w:color w:val="000000"/>
          <w:sz w:val="32"/>
          <w:szCs w:val="32"/>
          <w:highlight w:val="none"/>
          <w:lang w:eastAsia="zh-CN"/>
        </w:rPr>
        <w:t xml:space="preserve">六</w:t>
      </w:r>
      <w:r>
        <w:rPr>
          <w:rFonts w:hint="eastAsia" w:ascii="宋体" w:hAnsi="宋体" w:eastAsia="宋体" w:cs="宋体"/>
          <w:b/>
          <w:bCs/>
          <w:color w:val="000000"/>
          <w:sz w:val="32"/>
          <w:szCs w:val="32"/>
          <w:highlight w:val="none"/>
        </w:rPr>
        <w:t xml:space="preserve">年</w:t>
      </w:r>
      <w:r>
        <w:rPr>
          <w:rFonts w:hint="eastAsia" w:ascii="宋体" w:hAnsi="宋体" w:eastAsia="宋体" w:cs="宋体"/>
          <w:b/>
          <w:bCs/>
          <w:color w:val="000000"/>
          <w:sz w:val="32"/>
          <w:szCs w:val="32"/>
          <w:highlight w:val="none"/>
          <w:lang w:eastAsia="zh-CN"/>
        </w:rPr>
        <w:t xml:space="preserve">十</w:t>
      </w:r>
      <w:r>
        <w:rPr>
          <w:rFonts w:hint="eastAsia" w:ascii="宋体" w:hAnsi="宋体" w:eastAsia="宋体" w:cs="宋体"/>
          <w:b/>
          <w:bCs/>
          <w:color w:val="000000"/>
          <w:sz w:val="32"/>
          <w:szCs w:val="32"/>
          <w:highlight w:val="none"/>
        </w:rPr>
        <w:t xml:space="preserve">月</w:t>
      </w:r>
      <w:r>
        <w:rPr>
          <w:rFonts w:ascii="宋体" w:hAnsi="宋体" w:cs="宋体"/>
        </w:rPr>
      </w:r>
      <w:r/>
    </w:p>
    <w:p>
      <w:pPr>
        <w:pStyle w:val="863"/>
        <w:contextualSpacing w:val="0"/>
        <w:jc w:val="left"/>
        <w:spacing w:before="166" w:after="0" w:line="360" w:lineRule="auto"/>
        <w:rPr>
          <w:rFonts w:hint="eastAsia" w:ascii="宋体" w:hAnsi="宋体" w:cs="宋体"/>
          <w:color w:val="000000"/>
          <w:highlight w:val="none"/>
        </w:rPr>
        <w:suppressLineNumbers w:val="0"/>
      </w:pPr>
      <w:r>
        <w:rPr>
          <w:rFonts w:hint="eastAsia" w:ascii="宋体" w:hAnsi="宋体" w:cs="宋体"/>
          <w:color w:val="000000"/>
          <w:highlight w:val="none"/>
        </w:rPr>
      </w:r>
      <w:r>
        <w:rPr>
          <w:rFonts w:ascii="宋体" w:hAnsi="宋体" w:cs="宋体"/>
        </w:rPr>
      </w:r>
      <w:r/>
    </w:p>
    <w:p>
      <w:pPr>
        <w:pStyle w:val="863"/>
        <w:contextualSpacing w:val="0"/>
        <w:jc w:val="center"/>
        <w:spacing w:before="166" w:after="0" w:line="360" w:lineRule="auto"/>
        <w:rPr>
          <w:rFonts w:hint="eastAsia" w:ascii="宋体" w:hAnsi="宋体" w:cs="宋体"/>
          <w:color w:val="000000"/>
          <w:sz w:val="48"/>
          <w:szCs w:val="48"/>
          <w:highlight w:val="none"/>
        </w:rPr>
        <w:suppressLineNumbers w:val="0"/>
      </w:pPr>
      <w:r>
        <w:rPr>
          <w:rFonts w:hint="eastAsia" w:ascii="宋体" w:hAnsi="宋体" w:eastAsia="宋体" w:cs="宋体"/>
          <w:color w:val="000000"/>
          <w:sz w:val="48"/>
          <w:szCs w:val="48"/>
          <w:highlight w:val="none"/>
        </w:rPr>
        <w:t xml:space="preserve">目 录</w:t>
      </w:r>
      <w:r>
        <w:rPr>
          <w:rFonts w:ascii="宋体" w:hAnsi="宋体" w:cs="宋体"/>
        </w:rPr>
      </w:r>
      <w:r/>
    </w:p>
    <w:p>
      <w:pPr>
        <w:pStyle w:val="1020"/>
        <w:contextualSpacing w:val="0"/>
        <w:jc w:val="left"/>
        <w:spacing w:after="0" w:line="360" w:lineRule="auto"/>
        <w:tabs>
          <w:tab w:val="right" w:pos="9902" w:leader="dot"/>
        </w:tabs>
        <w:rPr>
          <w:rFonts w:hint="eastAsia" w:ascii="宋体" w:hAnsi="宋体" w:cs="宋体"/>
          <w:color w:val="000000"/>
          <w:sz w:val="28"/>
          <w:szCs w:val="28"/>
          <w:highlight w:val="none"/>
        </w:rPr>
        <w:outlineLvl w:val="0"/>
        <w:suppressLineNumbers w:val="0"/>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_Toc1639 </w:instrText>
      </w:r>
      <w:r>
        <w:rPr>
          <w:rFonts w:hint="eastAsia" w:ascii="宋体" w:hAnsi="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第一章  投标邀请函</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5</w:t>
      </w:r>
      <w:r>
        <w:rPr>
          <w:rFonts w:hint="eastAsia" w:ascii="宋体" w:hAnsi="宋体" w:cs="宋体"/>
          <w:color w:val="000000"/>
          <w:sz w:val="28"/>
          <w:szCs w:val="28"/>
          <w:highlight w:val="none"/>
        </w:rPr>
        <w:fldChar w:fldCharType="end"/>
      </w:r>
      <w:r>
        <w:rPr>
          <w:rFonts w:ascii="宋体" w:hAnsi="宋体" w:cs="宋体"/>
        </w:rPr>
      </w:r>
      <w:r/>
    </w:p>
    <w:p>
      <w:pPr>
        <w:pStyle w:val="1020"/>
        <w:contextualSpacing w:val="0"/>
        <w:jc w:val="left"/>
        <w:spacing w:after="0" w:line="360" w:lineRule="auto"/>
        <w:tabs>
          <w:tab w:val="right" w:pos="9902" w:leader="dot"/>
        </w:tabs>
        <w:rPr>
          <w:rFonts w:hint="eastAsia" w:ascii="宋体" w:hAnsi="宋体" w:cs="宋体"/>
          <w:color w:val="000000"/>
          <w:sz w:val="28"/>
          <w:szCs w:val="28"/>
          <w:highlight w:val="none"/>
        </w:rPr>
        <w:outlineLvl w:val="0"/>
        <w:suppressLineNumbers w:val="0"/>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_Toc698 </w:instrText>
      </w:r>
      <w:r>
        <w:rPr>
          <w:rFonts w:hint="eastAsia" w:ascii="宋体" w:hAnsi="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第二章  投标人须知</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9</w:t>
      </w:r>
      <w:r>
        <w:rPr>
          <w:rFonts w:hint="eastAsia" w:ascii="宋体" w:hAnsi="宋体" w:cs="宋体"/>
          <w:color w:val="000000"/>
          <w:sz w:val="28"/>
          <w:szCs w:val="28"/>
          <w:highlight w:val="none"/>
        </w:rPr>
        <w:fldChar w:fldCharType="end"/>
      </w:r>
      <w:r>
        <w:rPr>
          <w:rFonts w:ascii="宋体" w:hAnsi="宋体" w:cs="宋体"/>
        </w:rPr>
      </w:r>
      <w:r/>
    </w:p>
    <w:p>
      <w:pPr>
        <w:pStyle w:val="1020"/>
        <w:contextualSpacing w:val="0"/>
        <w:jc w:val="left"/>
        <w:spacing w:after="0" w:line="360" w:lineRule="auto"/>
        <w:tabs>
          <w:tab w:val="right" w:pos="9902" w:leader="dot"/>
        </w:tabs>
        <w:rPr>
          <w:rFonts w:hint="eastAsia" w:ascii="宋体" w:hAnsi="宋体" w:cs="宋体"/>
          <w:color w:val="000000"/>
          <w:sz w:val="28"/>
          <w:szCs w:val="28"/>
          <w:highlight w:val="none"/>
        </w:rPr>
        <w:outlineLvl w:val="0"/>
        <w:suppressLineNumbers w:val="0"/>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_Toc9263 </w:instrText>
      </w:r>
      <w:r>
        <w:rPr>
          <w:rFonts w:hint="eastAsia" w:ascii="宋体" w:hAnsi="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第三章  投标文件格式</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2</w:t>
      </w: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fldChar w:fldCharType="end"/>
      </w:r>
      <w:r>
        <w:rPr>
          <w:rFonts w:ascii="宋体" w:hAnsi="宋体" w:cs="宋体"/>
        </w:rPr>
      </w:r>
      <w:r/>
    </w:p>
    <w:p>
      <w:pPr>
        <w:pStyle w:val="1020"/>
        <w:contextualSpacing w:val="0"/>
        <w:jc w:val="left"/>
        <w:spacing w:after="0" w:line="360" w:lineRule="auto"/>
        <w:tabs>
          <w:tab w:val="right" w:pos="9902" w:leader="dot"/>
        </w:tabs>
        <w:rPr>
          <w:rFonts w:ascii="宋体" w:hAnsi="宋体" w:cs="宋体"/>
          <w:color w:val="000000"/>
          <w:sz w:val="28"/>
          <w:szCs w:val="28"/>
          <w:highlight w:val="none"/>
        </w:rPr>
        <w:outlineLvl w:val="0"/>
        <w:suppressLineNumbers w:val="0"/>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_Toc10802 </w:instrText>
      </w:r>
      <w:r>
        <w:rPr>
          <w:rFonts w:hint="eastAsia" w:ascii="宋体" w:hAnsi="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第四章  招标书</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41</w:t>
      </w:r>
      <w:r>
        <w:rPr>
          <w:rFonts w:ascii="宋体" w:hAnsi="宋体" w:cs="宋体"/>
        </w:rPr>
      </w:r>
      <w:r/>
    </w:p>
    <w:p>
      <w:pPr>
        <w:pStyle w:val="1020"/>
        <w:contextualSpacing w:val="0"/>
        <w:jc w:val="left"/>
        <w:spacing w:after="0" w:line="360" w:lineRule="auto"/>
        <w:tabs>
          <w:tab w:val="right" w:pos="9902" w:leader="dot"/>
        </w:tabs>
        <w:rPr>
          <w:rFonts w:hint="eastAsia" w:ascii="宋体" w:hAnsi="宋体" w:cs="宋体"/>
          <w:color w:val="000000"/>
          <w:sz w:val="28"/>
          <w:szCs w:val="28"/>
          <w:highlight w:val="none"/>
        </w:rPr>
        <w:outlineLvl w:val="0"/>
        <w:suppressLineNumbers w:val="0"/>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_Toc4087 </w:instrText>
      </w:r>
      <w:r>
        <w:rPr>
          <w:rFonts w:hint="eastAsia" w:ascii="宋体" w:hAnsi="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第五章 </w:t>
      </w:r>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合同主要条款</w:t>
      </w:r>
      <w:r>
        <w:rPr>
          <w:rFonts w:hint="eastAsia" w:ascii="宋体" w:hAnsi="宋体" w:cs="宋体"/>
          <w:color w:val="000000"/>
          <w:sz w:val="28"/>
          <w:szCs w:val="28"/>
          <w:highlight w:val="none"/>
        </w:rPr>
        <w:tab/>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7</w:t>
      </w:r>
      <w:r>
        <w:rPr>
          <w:rFonts w:ascii="宋体" w:hAnsi="宋体" w:cs="宋体"/>
        </w:rPr>
      </w:r>
      <w:r/>
    </w:p>
    <w:p>
      <w:pPr>
        <w:pStyle w:val="1020"/>
        <w:contextualSpacing w:val="0"/>
        <w:jc w:val="left"/>
        <w:spacing w:after="0" w:line="360" w:lineRule="auto"/>
        <w:tabs>
          <w:tab w:val="right" w:pos="9902" w:leader="dot"/>
        </w:tabs>
        <w:rPr>
          <w:rFonts w:hint="eastAsia" w:ascii="宋体" w:hAnsi="宋体" w:cs="宋体"/>
          <w:color w:val="000000"/>
          <w:sz w:val="28"/>
          <w:szCs w:val="28"/>
          <w:highlight w:val="none"/>
        </w:rPr>
        <w:outlineLvl w:val="0"/>
        <w:suppressLineNumbers w:val="0"/>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_Toc4720 </w:instrText>
      </w:r>
      <w:r>
        <w:rPr>
          <w:rFonts w:hint="eastAsia" w:ascii="宋体" w:hAnsi="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第六章 </w:t>
      </w:r>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评标方法及评分要点</w:t>
      </w:r>
      <w:r>
        <w:rPr>
          <w:rFonts w:hint="eastAsia" w:ascii="宋体" w:hAnsi="宋体" w:cs="宋体"/>
          <w:color w:val="000000"/>
          <w:sz w:val="28"/>
          <w:szCs w:val="28"/>
          <w:highlight w:val="none"/>
        </w:rPr>
        <w:tab/>
      </w:r>
      <w:r>
        <w:rPr>
          <w:rFonts w:hint="eastAsia" w:ascii="宋体" w:hAnsi="宋体" w:cs="宋体"/>
          <w:color w:val="000000"/>
          <w:sz w:val="28"/>
          <w:szCs w:val="28"/>
          <w:highlight w:val="none"/>
          <w:lang w:val="en-US" w:eastAsia="zh-CN"/>
        </w:rPr>
        <w:t xml:space="preserve">5</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3</w:t>
      </w:r>
      <w:r>
        <w:rPr>
          <w:rFonts w:ascii="宋体" w:hAnsi="宋体" w:cs="宋体"/>
        </w:rPr>
      </w:r>
      <w:r/>
    </w:p>
    <w:p>
      <w:pPr>
        <w:pStyle w:val="863"/>
        <w:jc w:val="center"/>
        <w:spacing w:before="166"/>
        <w:rPr>
          <w:rFonts w:hint="eastAsia" w:ascii="宋体" w:hAnsi="宋体" w:cs="宋体"/>
          <w:color w:val="000000"/>
          <w:sz w:val="48"/>
          <w:szCs w:val="48"/>
          <w:highlight w:val="none"/>
        </w:rPr>
      </w:pPr>
      <w:r>
        <w:rPr>
          <w:rFonts w:hint="eastAsia" w:ascii="宋体" w:hAnsi="宋体" w:cs="宋体"/>
          <w:color w:val="000000"/>
          <w:sz w:val="48"/>
          <w:szCs w:val="48"/>
          <w:highlight w:val="none"/>
        </w:rPr>
      </w:r>
      <w:r>
        <w:rPr>
          <w:rFonts w:ascii="宋体" w:hAnsi="宋体" w:cs="宋体"/>
        </w:rPr>
      </w:r>
      <w:r/>
    </w:p>
    <w:p>
      <w:pPr>
        <w:pStyle w:val="876"/>
        <w:rPr>
          <w:rFonts w:hint="eastAsia" w:ascii="宋体" w:hAnsi="宋体" w:cs="宋体"/>
          <w:color w:val="000000"/>
          <w:sz w:val="48"/>
          <w:szCs w:val="48"/>
          <w:highlight w:val="none"/>
        </w:rPr>
      </w:pPr>
      <w:r>
        <w:rPr>
          <w:rFonts w:hint="eastAsia" w:ascii="宋体" w:hAnsi="宋体" w:cs="宋体"/>
          <w:color w:val="000000"/>
          <w:sz w:val="48"/>
          <w:szCs w:val="48"/>
          <w:highlight w:val="none"/>
        </w:rPr>
      </w:r>
      <w:r>
        <w:rPr>
          <w:rFonts w:ascii="宋体" w:hAnsi="宋体" w:cs="宋体"/>
        </w:rPr>
      </w:r>
      <w:r/>
    </w:p>
    <w:p>
      <w:pPr>
        <w:pStyle w:val="914"/>
        <w:rPr>
          <w:rFonts w:hint="eastAsia" w:ascii="宋体" w:hAnsi="宋体" w:cs="宋体"/>
          <w:color w:val="000000"/>
          <w:sz w:val="48"/>
          <w:szCs w:val="48"/>
          <w:highlight w:val="none"/>
        </w:rPr>
      </w:pPr>
      <w:r>
        <w:rPr>
          <w:rFonts w:hint="eastAsia" w:ascii="宋体" w:hAnsi="宋体" w:cs="宋体"/>
          <w:color w:val="000000"/>
          <w:sz w:val="48"/>
          <w:szCs w:val="48"/>
          <w:highlight w:val="none"/>
        </w:rPr>
      </w:r>
      <w:r>
        <w:rPr>
          <w:rFonts w:ascii="宋体" w:hAnsi="宋体" w:cs="宋体"/>
        </w:rPr>
      </w:r>
      <w:r/>
    </w:p>
    <w:p>
      <w:pPr>
        <w:pStyle w:val="914"/>
        <w:rPr>
          <w:rFonts w:hint="eastAsia" w:ascii="宋体" w:hAnsi="宋体" w:cs="宋体"/>
          <w:color w:val="000000"/>
          <w:sz w:val="48"/>
          <w:szCs w:val="48"/>
          <w:highlight w:val="none"/>
        </w:rPr>
      </w:pPr>
      <w:r>
        <w:rPr>
          <w:rFonts w:hint="eastAsia" w:ascii="宋体" w:hAnsi="宋体" w:cs="宋体"/>
          <w:color w:val="000000"/>
          <w:sz w:val="48"/>
          <w:szCs w:val="48"/>
          <w:highlight w:val="none"/>
        </w:rPr>
      </w:r>
      <w:r>
        <w:rPr>
          <w:rFonts w:ascii="宋体" w:hAnsi="宋体" w:cs="宋体"/>
        </w:rPr>
      </w:r>
      <w:r/>
    </w:p>
    <w:p>
      <w:pPr>
        <w:pStyle w:val="914"/>
        <w:rPr>
          <w:rFonts w:hint="eastAsia" w:ascii="宋体" w:hAnsi="宋体" w:cs="宋体"/>
          <w:color w:val="000000"/>
          <w:sz w:val="48"/>
          <w:szCs w:val="48"/>
          <w:highlight w:val="none"/>
        </w:rPr>
      </w:pPr>
      <w:r>
        <w:rPr>
          <w:rFonts w:hint="eastAsia" w:ascii="宋体" w:hAnsi="宋体" w:cs="宋体"/>
          <w:color w:val="000000"/>
          <w:sz w:val="48"/>
          <w:szCs w:val="48"/>
          <w:highlight w:val="none"/>
        </w:rPr>
      </w:r>
      <w:r>
        <w:rPr>
          <w:rFonts w:ascii="宋体" w:hAnsi="宋体" w:cs="宋体"/>
        </w:rPr>
      </w:r>
      <w:r/>
    </w:p>
    <w:p>
      <w:pPr>
        <w:pStyle w:val="914"/>
        <w:rPr>
          <w:rFonts w:hint="eastAsia" w:ascii="宋体" w:hAnsi="宋体" w:cs="宋体"/>
          <w:color w:val="000000"/>
          <w:sz w:val="48"/>
          <w:szCs w:val="48"/>
          <w:highlight w:val="none"/>
        </w:rPr>
      </w:pPr>
      <w:r>
        <w:rPr>
          <w:rFonts w:hint="eastAsia" w:ascii="宋体" w:hAnsi="宋体" w:cs="宋体"/>
          <w:color w:val="000000"/>
          <w:sz w:val="48"/>
          <w:szCs w:val="48"/>
          <w:highlight w:val="none"/>
        </w:rPr>
      </w:r>
      <w:r>
        <w:rPr>
          <w:rFonts w:ascii="宋体" w:hAnsi="宋体" w:cs="宋体"/>
        </w:rPr>
      </w:r>
      <w:r/>
    </w:p>
    <w:p>
      <w:pPr>
        <w:pStyle w:val="914"/>
        <w:rPr>
          <w:rFonts w:hint="eastAsia" w:ascii="宋体" w:hAnsi="宋体" w:cs="宋体"/>
          <w:color w:val="000000"/>
          <w:sz w:val="48"/>
          <w:szCs w:val="48"/>
          <w:highlight w:val="none"/>
        </w:rPr>
      </w:pPr>
      <w:r>
        <w:rPr>
          <w:rFonts w:hint="eastAsia" w:ascii="宋体" w:hAnsi="宋体" w:cs="宋体"/>
          <w:color w:val="000000"/>
          <w:sz w:val="48"/>
          <w:szCs w:val="48"/>
          <w:highlight w:val="none"/>
        </w:rPr>
      </w:r>
      <w:r>
        <w:rPr>
          <w:rFonts w:ascii="宋体" w:hAnsi="宋体" w:cs="宋体"/>
        </w:rPr>
      </w:r>
      <w:r/>
    </w:p>
    <w:p>
      <w:pPr>
        <w:pStyle w:val="914"/>
        <w:rPr>
          <w:rFonts w:hint="eastAsia" w:ascii="宋体" w:hAnsi="宋体" w:cs="宋体"/>
          <w:color w:val="000000"/>
          <w:sz w:val="48"/>
          <w:szCs w:val="48"/>
          <w:highlight w:val="none"/>
        </w:rPr>
      </w:pPr>
      <w:r>
        <w:rPr>
          <w:rFonts w:hint="eastAsia" w:ascii="宋体" w:hAnsi="宋体" w:cs="宋体"/>
          <w:color w:val="000000"/>
          <w:sz w:val="48"/>
          <w:szCs w:val="48"/>
          <w:highlight w:val="none"/>
        </w:rPr>
      </w:r>
      <w:r>
        <w:rPr>
          <w:rFonts w:ascii="宋体" w:hAnsi="宋体" w:cs="宋体"/>
        </w:rPr>
      </w:r>
      <w:r/>
    </w:p>
    <w:p>
      <w:pPr>
        <w:pStyle w:val="914"/>
        <w:rPr>
          <w:rFonts w:hint="eastAsia" w:ascii="宋体" w:hAnsi="宋体" w:cs="宋体"/>
          <w:color w:val="000000"/>
          <w:sz w:val="48"/>
          <w:szCs w:val="48"/>
          <w:highlight w:val="none"/>
        </w:rPr>
      </w:pPr>
      <w:r>
        <w:rPr>
          <w:rFonts w:hint="eastAsia" w:ascii="宋体" w:hAnsi="宋体" w:cs="宋体"/>
          <w:color w:val="000000"/>
          <w:sz w:val="48"/>
          <w:szCs w:val="48"/>
          <w:highlight w:val="none"/>
        </w:rPr>
      </w:r>
      <w:r>
        <w:rPr>
          <w:rFonts w:ascii="宋体" w:hAnsi="宋体" w:cs="宋体"/>
        </w:rPr>
      </w:r>
      <w:r/>
    </w:p>
    <w:p>
      <w:pPr>
        <w:pStyle w:val="863"/>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63"/>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63"/>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63"/>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63"/>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rPr>
          <w:rFonts w:ascii="宋体" w:hAnsi="宋体" w:cs="宋体"/>
        </w:rPr>
      </w:r>
      <w:r/>
    </w:p>
    <w:p>
      <w:pPr>
        <w:pStyle w:val="863"/>
        <w:jc w:val="center"/>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rPr>
          <w:rFonts w:ascii="宋体" w:hAnsi="宋体" w:cs="宋体"/>
        </w:rPr>
      </w:r>
      <w:r/>
    </w:p>
    <w:p>
      <w:pPr>
        <w:pStyle w:val="863"/>
        <w:jc w:val="center"/>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rPr>
          <w:rFonts w:ascii="宋体" w:hAnsi="宋体" w:cs="宋体"/>
        </w:rPr>
      </w:r>
      <w:r/>
    </w:p>
    <w:p>
      <w:pPr>
        <w:jc w:val="center"/>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rPr>
          <w:rFonts w:hint="eastAsia" w:ascii="宋体" w:hAnsi="宋体" w:cs="宋体"/>
          <w:b/>
          <w:bCs/>
          <w:color w:val="000000"/>
          <w:spacing w:val="20"/>
          <w:sz w:val="30"/>
          <w:szCs w:val="30"/>
          <w:highlight w:val="none"/>
        </w:rPr>
      </w:r>
      <w:r/>
    </w:p>
    <w:p>
      <w:pPr>
        <w:jc w:val="center"/>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rPr>
          <w:rFonts w:hint="eastAsia" w:ascii="宋体" w:hAnsi="宋体" w:cs="宋体"/>
          <w:b/>
          <w:bCs/>
          <w:color w:val="000000"/>
          <w:spacing w:val="20"/>
          <w:sz w:val="30"/>
          <w:szCs w:val="30"/>
          <w:highlight w:val="none"/>
        </w:rPr>
      </w:r>
      <w:r/>
    </w:p>
    <w:p>
      <w:pPr>
        <w:jc w:val="center"/>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rPr>
          <w:rFonts w:hint="eastAsia" w:ascii="宋体" w:hAnsi="宋体" w:cs="宋体"/>
          <w:b/>
          <w:bCs/>
          <w:color w:val="000000"/>
          <w:spacing w:val="20"/>
          <w:sz w:val="30"/>
          <w:szCs w:val="30"/>
          <w:highlight w:val="none"/>
        </w:rPr>
      </w:r>
      <w:r/>
    </w:p>
    <w:p>
      <w:pPr>
        <w:jc w:val="center"/>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rPr>
          <w:rFonts w:hint="eastAsia" w:ascii="宋体" w:hAnsi="宋体" w:cs="宋体"/>
          <w:b/>
          <w:bCs/>
          <w:color w:val="000000"/>
          <w:spacing w:val="20"/>
          <w:sz w:val="30"/>
          <w:szCs w:val="30"/>
          <w:highlight w:val="none"/>
        </w:rPr>
      </w:r>
      <w:r/>
    </w:p>
    <w:p>
      <w:pPr>
        <w:jc w:val="center"/>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rPr>
          <w:rFonts w:hint="eastAsia" w:ascii="宋体" w:hAnsi="宋体" w:cs="宋体"/>
          <w:b/>
          <w:bCs/>
          <w:color w:val="000000"/>
          <w:spacing w:val="20"/>
          <w:sz w:val="30"/>
          <w:szCs w:val="30"/>
          <w:highlight w:val="none"/>
        </w:rPr>
      </w:r>
      <w:r/>
    </w:p>
    <w:p>
      <w:pPr>
        <w:pStyle w:val="863"/>
        <w:jc w:val="center"/>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rPr>
          <w:rFonts w:ascii="宋体" w:hAnsi="宋体" w:cs="宋体"/>
        </w:rPr>
      </w:r>
      <w:r/>
    </w:p>
    <w:p>
      <w:pPr>
        <w:pStyle w:val="1052"/>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63"/>
        <w:jc w:val="center"/>
        <w:rPr>
          <w:rFonts w:ascii="宋体" w:hAnsi="宋体" w:cs="宋体"/>
          <w:b/>
          <w:bCs/>
          <w:color w:val="000000"/>
          <w:spacing w:val="20"/>
          <w:sz w:val="30"/>
          <w:szCs w:val="30"/>
          <w:highlight w:val="none"/>
        </w:rPr>
        <w:outlineLvl w:val="0"/>
      </w:pPr>
      <w:r>
        <w:rPr>
          <w:rFonts w:ascii="宋体" w:hAnsi="宋体" w:cs="宋体"/>
          <w:b/>
          <w:bCs/>
          <w:color w:val="000000"/>
          <w:spacing w:val="20"/>
          <w:sz w:val="30"/>
          <w:szCs w:val="30"/>
          <w:highlight w:val="none"/>
        </w:rPr>
        <w:t xml:space="preserve"> </w:t>
      </w:r>
      <w:bookmarkStart w:id="0" w:name="_Toc32130"/>
      <w:r>
        <w:rPr>
          <w:rFonts w:hint="eastAsia" w:ascii="宋体" w:hAnsi="宋体" w:eastAsia="宋体" w:cs="宋体"/>
          <w:b/>
          <w:bCs/>
          <w:color w:val="000000"/>
          <w:spacing w:val="20"/>
          <w:sz w:val="30"/>
          <w:szCs w:val="30"/>
          <w:highlight w:val="none"/>
        </w:rPr>
        <w:t xml:space="preserve">前</w:t>
      </w:r>
      <w:r>
        <w:rPr>
          <w:rFonts w:ascii="宋体" w:hAnsi="宋体" w:cs="宋体"/>
          <w:b/>
          <w:bCs/>
          <w:color w:val="000000"/>
          <w:spacing w:val="20"/>
          <w:sz w:val="30"/>
          <w:szCs w:val="30"/>
          <w:highlight w:val="none"/>
        </w:rPr>
        <w:t xml:space="preserve"> </w:t>
      </w:r>
      <w:r>
        <w:rPr>
          <w:rFonts w:hint="eastAsia" w:ascii="宋体" w:hAnsi="宋体" w:eastAsia="宋体" w:cs="宋体"/>
          <w:b/>
          <w:bCs/>
          <w:color w:val="000000"/>
          <w:spacing w:val="20"/>
          <w:sz w:val="30"/>
          <w:szCs w:val="30"/>
          <w:highlight w:val="none"/>
        </w:rPr>
        <w:t xml:space="preserve">附</w:t>
      </w:r>
      <w:r>
        <w:rPr>
          <w:rFonts w:ascii="宋体" w:hAnsi="宋体" w:cs="宋体"/>
          <w:b/>
          <w:bCs/>
          <w:color w:val="000000"/>
          <w:spacing w:val="20"/>
          <w:sz w:val="30"/>
          <w:szCs w:val="30"/>
          <w:highlight w:val="none"/>
        </w:rPr>
        <w:t xml:space="preserve"> </w:t>
      </w:r>
      <w:r>
        <w:rPr>
          <w:rFonts w:hint="eastAsia" w:ascii="宋体" w:hAnsi="宋体" w:eastAsia="宋体" w:cs="宋体"/>
          <w:b/>
          <w:bCs/>
          <w:color w:val="000000"/>
          <w:spacing w:val="20"/>
          <w:sz w:val="30"/>
          <w:szCs w:val="30"/>
          <w:highlight w:val="none"/>
        </w:rPr>
        <w:t xml:space="preserve">表</w:t>
      </w:r>
      <w:bookmarkEnd w:id="0"/>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下述关于要采购的</w:t>
      </w:r>
      <w:r>
        <w:rPr>
          <w:rFonts w:hint="eastAsia" w:ascii="宋体" w:hAnsi="宋体" w:eastAsia="宋体" w:cs="宋体"/>
          <w:color w:val="000000"/>
          <w:sz w:val="21"/>
          <w:szCs w:val="21"/>
          <w:highlight w:val="none"/>
          <w:lang w:eastAsia="zh-CN"/>
        </w:rPr>
        <w:t xml:space="preserve">2026年-2027年度食品安全AI可视化监管服务项目</w:t>
      </w:r>
      <w:r>
        <w:rPr>
          <w:rFonts w:hint="eastAsia" w:ascii="宋体" w:hAnsi="宋体" w:eastAsia="宋体" w:cs="宋体"/>
          <w:color w:val="000000"/>
          <w:sz w:val="21"/>
          <w:szCs w:val="21"/>
          <w:highlight w:val="none"/>
        </w:rPr>
        <w:t xml:space="preserve">的具体资料是对招标文件第一部分投标邀请函的具体补充和修改，如果有矛盾的话，应以本附表为准。</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173"/>
        <w:gridCol w:w="7002"/>
      </w:tblGrid>
      <w:tr>
        <w:trPr>
          <w:trHeight w:val="567"/>
        </w:trPr>
        <w:tc>
          <w:tcPr>
            <w:tcW w:w="943" w:type="dxa"/>
            <w:vAlign w:val="center"/>
            <w:textDirection w:val="lrTb"/>
            <w:noWrap w:val="false"/>
          </w:tcPr>
          <w:p>
            <w:pPr>
              <w:pStyle w:val="924"/>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序号</w:t>
            </w:r>
            <w:r>
              <w:rPr>
                <w:rFonts w:ascii="宋体" w:hAnsi="宋体" w:cs="宋体"/>
              </w:rPr>
            </w:r>
            <w:r/>
          </w:p>
        </w:tc>
        <w:tc>
          <w:tcPr>
            <w:tcW w:w="2173" w:type="dxa"/>
            <w:vAlign w:val="center"/>
            <w:textDirection w:val="lrTb"/>
            <w:noWrap w:val="false"/>
          </w:tcPr>
          <w:p>
            <w:pPr>
              <w:pStyle w:val="924"/>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项目名称</w:t>
            </w:r>
            <w:r>
              <w:rPr>
                <w:rFonts w:ascii="宋体" w:hAnsi="宋体" w:cs="宋体"/>
              </w:rPr>
            </w:r>
            <w:r/>
          </w:p>
        </w:tc>
        <w:tc>
          <w:tcPr>
            <w:tcW w:w="7002" w:type="dxa"/>
            <w:vAlign w:val="center"/>
            <w:textDirection w:val="lrTb"/>
            <w:noWrap w:val="false"/>
          </w:tcPr>
          <w:p>
            <w:pPr>
              <w:pStyle w:val="924"/>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内               容</w:t>
            </w:r>
            <w:r>
              <w:rPr>
                <w:rFonts w:ascii="宋体" w:hAnsi="宋体" w:cs="宋体"/>
              </w:rPr>
            </w:r>
            <w:r/>
          </w:p>
        </w:tc>
      </w:tr>
      <w:tr>
        <w:trPr>
          <w:trHeight w:val="567"/>
        </w:trPr>
        <w:tc>
          <w:tcPr>
            <w:tcW w:w="943" w:type="dxa"/>
            <w:vAlign w:val="center"/>
            <w:textDirection w:val="lrTb"/>
            <w:noWrap w:val="false"/>
          </w:tcPr>
          <w:p>
            <w:pPr>
              <w:pStyle w:val="924"/>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ascii="宋体" w:hAnsi="宋体" w:cs="宋体"/>
              </w:rPr>
            </w:r>
            <w:r/>
          </w:p>
        </w:tc>
        <w:tc>
          <w:tcPr>
            <w:tcW w:w="2173" w:type="dxa"/>
            <w:vAlign w:val="center"/>
            <w:textDirection w:val="lrTb"/>
            <w:noWrap w:val="false"/>
          </w:tcPr>
          <w:p>
            <w:pPr>
              <w:pStyle w:val="924"/>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项目编号</w:t>
            </w:r>
            <w:r>
              <w:rPr>
                <w:rFonts w:ascii="宋体" w:hAnsi="宋体" w:cs="宋体"/>
              </w:rPr>
            </w:r>
            <w:r/>
          </w:p>
        </w:tc>
        <w:tc>
          <w:tcPr>
            <w:tcW w:w="7002" w:type="dxa"/>
            <w:vAlign w:val="center"/>
            <w:textDirection w:val="lrTb"/>
            <w:noWrap w:val="false"/>
          </w:tcPr>
          <w:p>
            <w:pPr>
              <w:pStyle w:val="924"/>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JSZC-320509-SXHC-G2026-0018</w:t>
            </w:r>
            <w:r>
              <w:rPr>
                <w:rFonts w:ascii="宋体" w:hAnsi="宋体" w:cs="宋体"/>
              </w:rPr>
            </w:r>
            <w:r/>
          </w:p>
        </w:tc>
      </w:tr>
      <w:tr>
        <w:trPr>
          <w:trHeight w:val="567"/>
        </w:trPr>
        <w:tc>
          <w:tcPr>
            <w:tcW w:w="943" w:type="dxa"/>
            <w:vAlign w:val="center"/>
            <w:textDirection w:val="lrTb"/>
            <w:noWrap w:val="false"/>
          </w:tcPr>
          <w:p>
            <w:pPr>
              <w:pStyle w:val="924"/>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ascii="宋体" w:hAnsi="宋体" w:cs="宋体"/>
              </w:rPr>
            </w:r>
            <w:r/>
          </w:p>
        </w:tc>
        <w:tc>
          <w:tcPr>
            <w:tcW w:w="2173" w:type="dxa"/>
            <w:vAlign w:val="center"/>
            <w:textDirection w:val="lrTb"/>
            <w:noWrap w:val="false"/>
          </w:tcPr>
          <w:p>
            <w:pPr>
              <w:pStyle w:val="924"/>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项目名称</w:t>
            </w:r>
            <w:r>
              <w:rPr>
                <w:rFonts w:ascii="宋体" w:hAnsi="宋体" w:cs="宋体"/>
              </w:rPr>
            </w:r>
            <w:r/>
          </w:p>
        </w:tc>
        <w:tc>
          <w:tcPr>
            <w:tcW w:w="7002" w:type="dxa"/>
            <w:vAlign w:val="center"/>
            <w:textDirection w:val="lrTb"/>
            <w:noWrap w:val="false"/>
          </w:tcPr>
          <w:p>
            <w:pPr>
              <w:pStyle w:val="924"/>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2026年-2027年度食品安全AI可视化监管服务</w:t>
            </w:r>
            <w:r>
              <w:rPr>
                <w:rFonts w:ascii="宋体" w:hAnsi="宋体" w:cs="宋体"/>
              </w:rPr>
            </w:r>
            <w:r/>
          </w:p>
        </w:tc>
      </w:tr>
      <w:tr>
        <w:trPr>
          <w:trHeight w:val="567"/>
        </w:trPr>
        <w:tc>
          <w:tcPr>
            <w:tcW w:w="943" w:type="dxa"/>
            <w:vAlign w:val="center"/>
            <w:textDirection w:val="lrTb"/>
            <w:noWrap w:val="false"/>
          </w:tcPr>
          <w:p>
            <w:pPr>
              <w:pStyle w:val="924"/>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ascii="宋体" w:hAnsi="宋体" w:cs="宋体"/>
              </w:rPr>
            </w:r>
            <w:r/>
          </w:p>
        </w:tc>
        <w:tc>
          <w:tcPr>
            <w:tcW w:w="2173" w:type="dxa"/>
            <w:vAlign w:val="center"/>
            <w:textDirection w:val="lrTb"/>
            <w:noWrap w:val="false"/>
          </w:tcPr>
          <w:p>
            <w:pPr>
              <w:pStyle w:val="924"/>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招标代理机构</w:t>
            </w:r>
            <w:r>
              <w:rPr>
                <w:rFonts w:ascii="宋体" w:hAnsi="宋体" w:cs="宋体"/>
              </w:rPr>
            </w:r>
            <w:r/>
          </w:p>
          <w:p>
            <w:pPr>
              <w:pStyle w:val="924"/>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名称及地址</w:t>
            </w:r>
            <w:r>
              <w:rPr>
                <w:rFonts w:ascii="宋体" w:hAnsi="宋体" w:cs="宋体"/>
              </w:rPr>
            </w:r>
            <w:r/>
          </w:p>
        </w:tc>
        <w:tc>
          <w:tcPr>
            <w:tcW w:w="7002" w:type="dxa"/>
            <w:vAlign w:val="center"/>
            <w:textDirection w:val="lrTb"/>
            <w:noWrap w:val="false"/>
          </w:tcPr>
          <w:p>
            <w:pPr>
              <w:pStyle w:val="924"/>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名称：苏州欣禾诚工程咨询服务有限公司</w:t>
            </w:r>
            <w:r>
              <w:rPr>
                <w:rFonts w:ascii="宋体" w:hAnsi="宋体" w:cs="宋体"/>
              </w:rPr>
            </w:r>
            <w:r/>
          </w:p>
          <w:p>
            <w:pPr>
              <w:pStyle w:val="924"/>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lang w:eastAsia="zh-CN"/>
              </w:rPr>
              <w:t xml:space="preserve">苏州市吴江区通虹路68号中科联合创业园2楼209室</w:t>
            </w:r>
            <w:r>
              <w:rPr>
                <w:rFonts w:ascii="宋体" w:hAnsi="宋体" w:cs="宋体"/>
              </w:rPr>
            </w:r>
            <w:r/>
          </w:p>
          <w:p>
            <w:pPr>
              <w:pStyle w:val="924"/>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邮编：215200</w:t>
            </w:r>
            <w:r>
              <w:rPr>
                <w:rFonts w:ascii="宋体" w:hAnsi="宋体" w:cs="宋体"/>
              </w:rPr>
            </w:r>
            <w:r/>
          </w:p>
          <w:p>
            <w:pPr>
              <w:pStyle w:val="924"/>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电话：0512-63659266</w:t>
            </w:r>
            <w:r>
              <w:rPr>
                <w:rFonts w:ascii="宋体" w:hAnsi="宋体" w:cs="宋体"/>
              </w:rPr>
            </w:r>
            <w:r/>
          </w:p>
          <w:p>
            <w:pPr>
              <w:pStyle w:val="924"/>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联系人：朱思薇、沈雪娟</w:t>
            </w:r>
            <w:r>
              <w:rPr>
                <w:rFonts w:ascii="宋体" w:hAnsi="宋体" w:cs="宋体"/>
              </w:rPr>
            </w:r>
            <w:r/>
          </w:p>
        </w:tc>
      </w:tr>
      <w:tr>
        <w:trPr>
          <w:trHeight w:val="567"/>
        </w:trPr>
        <w:tc>
          <w:tcPr>
            <w:tcW w:w="943" w:type="dxa"/>
            <w:vAlign w:val="center"/>
            <w:textDirection w:val="lrTb"/>
            <w:noWrap w:val="false"/>
          </w:tcPr>
          <w:p>
            <w:pPr>
              <w:pStyle w:val="924"/>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4</w:t>
            </w:r>
            <w:r>
              <w:rPr>
                <w:rFonts w:ascii="宋体" w:hAnsi="宋体" w:cs="宋体"/>
              </w:rPr>
            </w:r>
            <w:r/>
          </w:p>
        </w:tc>
        <w:tc>
          <w:tcPr>
            <w:tcW w:w="2173" w:type="dxa"/>
            <w:vAlign w:val="center"/>
            <w:textDirection w:val="lrTb"/>
            <w:noWrap w:val="false"/>
          </w:tcPr>
          <w:p>
            <w:pPr>
              <w:pStyle w:val="924"/>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采购单位</w:t>
            </w:r>
            <w:r>
              <w:rPr>
                <w:rFonts w:ascii="宋体" w:hAnsi="宋体" w:cs="宋体"/>
              </w:rPr>
            </w:r>
            <w:r/>
          </w:p>
        </w:tc>
        <w:tc>
          <w:tcPr>
            <w:tcW w:w="7002" w:type="dxa"/>
            <w:vAlign w:val="center"/>
            <w:textDirection w:val="lrTb"/>
            <w:noWrap w:val="false"/>
          </w:tcPr>
          <w:p>
            <w:pPr>
              <w:pStyle w:val="924"/>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名称：苏州市吴江区市场监督管理局</w:t>
            </w:r>
            <w:r>
              <w:rPr>
                <w:rFonts w:ascii="宋体" w:hAnsi="宋体" w:cs="宋体"/>
              </w:rPr>
            </w:r>
            <w:r/>
          </w:p>
          <w:p>
            <w:pPr>
              <w:pStyle w:val="924"/>
              <w:ind w:firstLine="0"/>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联系人：</w:t>
            </w:r>
            <w:r>
              <w:rPr>
                <w:rFonts w:hint="eastAsia" w:ascii="宋体" w:hAnsi="宋体" w:eastAsia="宋体" w:cs="宋体"/>
                <w:color w:val="000000"/>
                <w:sz w:val="21"/>
                <w:szCs w:val="21"/>
                <w:highlight w:val="none"/>
                <w:lang w:val="en-US" w:eastAsia="zh-CN"/>
              </w:rPr>
              <w:t xml:space="preserve">董驰     </w:t>
            </w:r>
            <w:r>
              <w:rPr>
                <w:rFonts w:hint="eastAsia" w:ascii="宋体" w:hAnsi="宋体" w:eastAsia="宋体" w:cs="宋体"/>
                <w:color w:val="000000"/>
                <w:sz w:val="21"/>
                <w:szCs w:val="21"/>
                <w:highlight w:val="none"/>
                <w:lang w:val="en-US" w:eastAsia="zh-CN"/>
              </w:rPr>
              <w:t xml:space="preserve"> 联系电话：0512-</w:t>
            </w:r>
            <w:r>
              <w:rPr>
                <w:rFonts w:hint="eastAsia" w:ascii="宋体" w:hAnsi="宋体" w:eastAsia="宋体" w:cs="宋体"/>
                <w:color w:val="000000"/>
                <w:sz w:val="21"/>
                <w:szCs w:val="21"/>
                <w:highlight w:val="none"/>
                <w:lang w:val="en-US" w:eastAsia="zh-CN"/>
              </w:rPr>
              <w:t xml:space="preserve">63481788</w:t>
            </w:r>
            <w:r>
              <w:rPr>
                <w:rFonts w:ascii="宋体" w:hAnsi="宋体" w:cs="宋体"/>
              </w:rPr>
            </w:r>
            <w:r/>
          </w:p>
          <w:p>
            <w:pPr>
              <w:pStyle w:val="924"/>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地址：苏州市吴江区开平路550号</w:t>
            </w:r>
            <w:r>
              <w:rPr>
                <w:rFonts w:ascii="宋体" w:hAnsi="宋体" w:cs="宋体"/>
              </w:rPr>
            </w:r>
            <w:r/>
          </w:p>
        </w:tc>
      </w:tr>
      <w:tr>
        <w:trPr>
          <w:trHeight w:val="567"/>
        </w:trPr>
        <w:tc>
          <w:tcPr>
            <w:tcW w:w="943" w:type="dxa"/>
            <w:vAlign w:val="center"/>
            <w:textDirection w:val="lrTb"/>
            <w:noWrap w:val="false"/>
          </w:tcPr>
          <w:p>
            <w:pPr>
              <w:pStyle w:val="924"/>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5</w:t>
            </w:r>
            <w:r>
              <w:rPr>
                <w:rFonts w:ascii="宋体" w:hAnsi="宋体" w:cs="宋体"/>
              </w:rPr>
            </w:r>
            <w:r/>
          </w:p>
        </w:tc>
        <w:tc>
          <w:tcPr>
            <w:tcW w:w="2173" w:type="dxa"/>
            <w:vAlign w:val="center"/>
            <w:textDirection w:val="lrTb"/>
            <w:noWrap w:val="false"/>
          </w:tcPr>
          <w:p>
            <w:pPr>
              <w:pStyle w:val="924"/>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标书组成</w:t>
            </w:r>
            <w:r>
              <w:rPr>
                <w:rFonts w:ascii="宋体" w:hAnsi="宋体" w:cs="宋体"/>
              </w:rPr>
            </w:r>
            <w:r/>
          </w:p>
        </w:tc>
        <w:tc>
          <w:tcPr>
            <w:tcW w:w="7002" w:type="dxa"/>
            <w:vAlign w:val="center"/>
            <w:textDirection w:val="lrTb"/>
            <w:noWrap w:val="false"/>
          </w:tcPr>
          <w:p>
            <w:pPr>
              <w:pStyle w:val="863"/>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详见招标文件第二章</w:t>
            </w:r>
            <w:r>
              <w:rPr>
                <w:rFonts w:ascii="宋体" w:hAnsi="宋体" w:cs="宋体"/>
              </w:rPr>
            </w:r>
            <w:r/>
          </w:p>
        </w:tc>
      </w:tr>
      <w:tr>
        <w:trPr>
          <w:trHeight w:val="567"/>
        </w:trPr>
        <w:tc>
          <w:tcPr>
            <w:tcW w:w="943" w:type="dxa"/>
            <w:vAlign w:val="center"/>
            <w:textDirection w:val="lrTb"/>
            <w:noWrap w:val="false"/>
          </w:tcPr>
          <w:p>
            <w:pPr>
              <w:pStyle w:val="924"/>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6</w:t>
            </w:r>
            <w:r>
              <w:rPr>
                <w:rFonts w:ascii="宋体" w:hAnsi="宋体" w:cs="宋体"/>
              </w:rPr>
            </w:r>
            <w:r/>
          </w:p>
        </w:tc>
        <w:tc>
          <w:tcPr>
            <w:tcW w:w="2173" w:type="dxa"/>
            <w:vAlign w:val="center"/>
            <w:textDirection w:val="lrTb"/>
            <w:noWrap w:val="false"/>
          </w:tcPr>
          <w:p>
            <w:pPr>
              <w:pStyle w:val="924"/>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投标保证金</w:t>
            </w:r>
            <w:r>
              <w:rPr>
                <w:rFonts w:ascii="宋体" w:hAnsi="宋体" w:cs="宋体"/>
              </w:rPr>
            </w:r>
            <w:r/>
          </w:p>
        </w:tc>
        <w:tc>
          <w:tcPr>
            <w:tcW w:w="7002" w:type="dxa"/>
            <w:vAlign w:val="center"/>
            <w:textDirection w:val="lrTb"/>
            <w:noWrap w:val="false"/>
          </w:tcPr>
          <w:p>
            <w:pPr>
              <w:pStyle w:val="863"/>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本项目无须缴纳投标保证金，须提供《投标（响应）保证承诺书》（格式见第三章投标文件格式）。</w:t>
            </w:r>
            <w:r>
              <w:rPr>
                <w:rFonts w:ascii="宋体" w:hAnsi="宋体" w:cs="宋体"/>
              </w:rPr>
            </w:r>
            <w:r/>
          </w:p>
        </w:tc>
      </w:tr>
      <w:tr>
        <w:trPr>
          <w:trHeight w:val="567"/>
        </w:trPr>
        <w:tc>
          <w:tcPr>
            <w:tcW w:w="943" w:type="dxa"/>
            <w:vAlign w:val="center"/>
            <w:textDirection w:val="lrTb"/>
            <w:noWrap w:val="false"/>
          </w:tcPr>
          <w:p>
            <w:pPr>
              <w:pStyle w:val="924"/>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7</w:t>
            </w:r>
            <w:r>
              <w:rPr>
                <w:rFonts w:ascii="宋体" w:hAnsi="宋体" w:cs="宋体"/>
              </w:rPr>
            </w:r>
            <w:r/>
          </w:p>
        </w:tc>
        <w:tc>
          <w:tcPr>
            <w:tcW w:w="2173" w:type="dxa"/>
            <w:vAlign w:val="center"/>
            <w:textDirection w:val="lrTb"/>
            <w:noWrap w:val="false"/>
          </w:tcPr>
          <w:p>
            <w:pPr>
              <w:pStyle w:val="924"/>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投标有效期</w:t>
            </w:r>
            <w:r>
              <w:rPr>
                <w:rFonts w:ascii="宋体" w:hAnsi="宋体" w:cs="宋体"/>
              </w:rPr>
            </w:r>
            <w:r/>
          </w:p>
        </w:tc>
        <w:tc>
          <w:tcPr>
            <w:tcW w:w="7002" w:type="dxa"/>
            <w:vAlign w:val="center"/>
            <w:textDirection w:val="lrTb"/>
            <w:noWrap w:val="false"/>
          </w:tcPr>
          <w:p>
            <w:pPr>
              <w:pStyle w:val="924"/>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提交投标文件的截止之日起九十日内。</w:t>
            </w:r>
            <w:r>
              <w:rPr>
                <w:rFonts w:ascii="宋体" w:hAnsi="宋体" w:cs="宋体"/>
              </w:rPr>
            </w:r>
            <w:r/>
          </w:p>
        </w:tc>
      </w:tr>
      <w:tr>
        <w:trPr>
          <w:trHeight w:val="567"/>
        </w:trPr>
        <w:tc>
          <w:tcPr>
            <w:tcW w:w="943" w:type="dxa"/>
            <w:vAlign w:val="center"/>
            <w:textDirection w:val="lrTb"/>
            <w:noWrap w:val="false"/>
          </w:tcPr>
          <w:p>
            <w:pPr>
              <w:pStyle w:val="924"/>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8</w:t>
            </w:r>
            <w:r>
              <w:rPr>
                <w:rFonts w:ascii="宋体" w:hAnsi="宋体" w:cs="宋体"/>
              </w:rPr>
            </w:r>
            <w:r/>
          </w:p>
        </w:tc>
        <w:tc>
          <w:tcPr>
            <w:tcW w:w="217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获取招标文件时间</w:t>
            </w:r>
            <w:r>
              <w:rPr>
                <w:rFonts w:ascii="宋体" w:hAnsi="宋体" w:cs="宋体"/>
              </w:rPr>
            </w:r>
            <w:r/>
          </w:p>
        </w:tc>
        <w:tc>
          <w:tcPr>
            <w:tcW w:w="7002" w:type="dxa"/>
            <w:vAlign w:val="center"/>
            <w:textDirection w:val="lrTb"/>
            <w:noWrap w:val="false"/>
          </w:tcPr>
          <w:p>
            <w:pPr>
              <w:pStyle w:val="924"/>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自招标公告发布之日起5个工作日。</w:t>
            </w:r>
            <w:r>
              <w:rPr>
                <w:rFonts w:ascii="宋体" w:hAnsi="宋体" w:cs="宋体"/>
              </w:rPr>
            </w:r>
            <w:r/>
          </w:p>
        </w:tc>
      </w:tr>
      <w:tr>
        <w:trPr>
          <w:trHeight w:val="567"/>
        </w:trPr>
        <w:tc>
          <w:tcPr>
            <w:tcW w:w="943" w:type="dxa"/>
            <w:vAlign w:val="center"/>
            <w:textDirection w:val="lrTb"/>
            <w:noWrap w:val="false"/>
          </w:tcPr>
          <w:p>
            <w:pPr>
              <w:pStyle w:val="924"/>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9</w:t>
            </w:r>
            <w:r>
              <w:rPr>
                <w:rFonts w:ascii="宋体" w:hAnsi="宋体" w:cs="宋体"/>
              </w:rPr>
            </w:r>
            <w:r/>
          </w:p>
        </w:tc>
        <w:tc>
          <w:tcPr>
            <w:tcW w:w="217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投标文件网上</w:t>
            </w:r>
            <w:r>
              <w:rPr>
                <w:rFonts w:ascii="宋体" w:hAnsi="宋体" w:cs="宋体"/>
              </w:rPr>
            </w:r>
            <w:r/>
          </w:p>
          <w:p>
            <w:pPr>
              <w:pStyle w:val="924"/>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提交截止时间</w:t>
            </w:r>
            <w:r>
              <w:rPr>
                <w:rFonts w:ascii="宋体" w:hAnsi="宋体" w:cs="宋体"/>
              </w:rPr>
            </w:r>
            <w:r/>
          </w:p>
        </w:tc>
        <w:tc>
          <w:tcPr>
            <w:tcW w:w="7002" w:type="dxa"/>
            <w:vAlign w:val="center"/>
            <w:textDirection w:val="lrTb"/>
            <w:noWrap w:val="false"/>
          </w:tcPr>
          <w:p>
            <w:pPr>
              <w:pStyle w:val="863"/>
              <w:ind w:firstLine="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2026年</w:t>
            </w:r>
            <w:r>
              <w:rPr>
                <w:rFonts w:hint="eastAsia" w:ascii="宋体" w:hAnsi="宋体" w:eastAsia="宋体" w:cs="宋体"/>
                <w:color w:val="000000"/>
                <w:sz w:val="21"/>
                <w:szCs w:val="21"/>
                <w:highlight w:val="none"/>
                <w:lang w:val="en-US" w:eastAsia="zh-CN" w:bidi="ar-SA"/>
              </w:rPr>
              <w:t xml:space="preserve">11</w:t>
            </w:r>
            <w:r>
              <w:rPr>
                <w:rFonts w:hint="eastAsia" w:ascii="宋体" w:hAnsi="宋体" w:eastAsia="宋体" w:cs="宋体"/>
                <w:color w:val="000000"/>
                <w:sz w:val="21"/>
                <w:szCs w:val="21"/>
                <w:highlight w:val="none"/>
                <w:lang w:val="en-US" w:eastAsia="zh-CN" w:bidi="ar-SA"/>
              </w:rPr>
              <w:t xml:space="preserve">月18日13:30</w:t>
            </w:r>
            <w:r>
              <w:rPr>
                <w:rFonts w:ascii="宋体" w:hAnsi="宋体" w:cs="宋体"/>
              </w:rPr>
            </w:r>
            <w:r/>
          </w:p>
          <w:p>
            <w:pPr>
              <w:pStyle w:val="924"/>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投标文件必须在截止时间前完成提交（上传），逾期提交（上传）的投标文件恕不接受。</w:t>
            </w:r>
            <w:r>
              <w:rPr>
                <w:rFonts w:ascii="宋体" w:hAnsi="宋体" w:cs="宋体"/>
              </w:rPr>
            </w:r>
            <w:r/>
          </w:p>
        </w:tc>
      </w:tr>
      <w:tr>
        <w:trPr>
          <w:trHeight w:val="567"/>
        </w:trPr>
        <w:tc>
          <w:tcPr>
            <w:tcW w:w="943" w:type="dxa"/>
            <w:vAlign w:val="center"/>
            <w:textDirection w:val="lrTb"/>
            <w:noWrap w:val="false"/>
          </w:tcPr>
          <w:p>
            <w:pPr>
              <w:pStyle w:val="924"/>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10</w:t>
            </w:r>
            <w:r>
              <w:rPr>
                <w:rFonts w:ascii="宋体" w:hAnsi="宋体" w:cs="宋体"/>
              </w:rPr>
            </w:r>
            <w:r/>
          </w:p>
        </w:tc>
        <w:tc>
          <w:tcPr>
            <w:tcW w:w="217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开标时间</w:t>
            </w:r>
            <w:r>
              <w:rPr>
                <w:rFonts w:ascii="宋体" w:hAnsi="宋体" w:cs="宋体"/>
              </w:rPr>
            </w:r>
            <w:r/>
          </w:p>
          <w:p>
            <w:pPr>
              <w:pStyle w:val="924"/>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开标地点</w:t>
            </w:r>
            <w:r>
              <w:rPr>
                <w:rFonts w:ascii="宋体" w:hAnsi="宋体" w:cs="宋体"/>
              </w:rPr>
            </w:r>
            <w:r/>
          </w:p>
        </w:tc>
        <w:tc>
          <w:tcPr>
            <w:tcW w:w="7002"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2026年</w:t>
            </w:r>
            <w:r>
              <w:rPr>
                <w:rFonts w:hint="eastAsia" w:ascii="宋体" w:hAnsi="宋体" w:eastAsia="宋体" w:cs="宋体"/>
                <w:color w:val="000000"/>
                <w:sz w:val="21"/>
                <w:szCs w:val="21"/>
                <w:highlight w:val="none"/>
                <w:lang w:val="en-US" w:eastAsia="zh-CN" w:bidi="ar-SA"/>
              </w:rPr>
              <w:t xml:space="preserve">11</w:t>
            </w:r>
            <w:r>
              <w:rPr>
                <w:rFonts w:hint="eastAsia" w:ascii="宋体" w:hAnsi="宋体" w:eastAsia="宋体" w:cs="宋体"/>
                <w:color w:val="000000"/>
                <w:sz w:val="21"/>
                <w:szCs w:val="21"/>
                <w:highlight w:val="none"/>
                <w:lang w:val="en-US" w:eastAsia="zh-CN" w:bidi="ar-SA"/>
              </w:rPr>
              <w:t xml:space="preserve">月18日</w:t>
            </w: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30</w:t>
            </w:r>
            <w:r>
              <w:rPr>
                <w:rFonts w:ascii="宋体" w:hAnsi="宋体" w:cs="宋体"/>
              </w:rPr>
            </w:r>
            <w:r/>
          </w:p>
          <w:p>
            <w:pPr>
              <w:pStyle w:val="924"/>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“苏采云政府采购一体化平台”系统（网址：</w:t>
            </w:r>
            <w:r>
              <w:rPr>
                <w:rFonts w:hint="eastAsia" w:ascii="宋体" w:hAnsi="宋体" w:eastAsia="宋体" w:cs="宋体"/>
                <w:b/>
                <w:bCs/>
                <w:color w:val="000000"/>
                <w:sz w:val="21"/>
                <w:szCs w:val="21"/>
                <w:highlight w:val="none"/>
                <w:lang w:val="en-US" w:eastAsia="zh-CN" w:bidi="ar-SA"/>
              </w:rPr>
              <w:fldChar w:fldCharType="begin"/>
            </w:r>
            <w:r>
              <w:rPr>
                <w:rFonts w:hint="eastAsia" w:ascii="宋体" w:hAnsi="宋体" w:eastAsia="宋体" w:cs="宋体"/>
                <w:b/>
                <w:bCs/>
                <w:color w:val="000000"/>
                <w:sz w:val="21"/>
                <w:szCs w:val="21"/>
                <w:highlight w:val="none"/>
                <w:lang w:val="en-US" w:eastAsia="zh-CN" w:bidi="ar-SA"/>
              </w:rPr>
              <w:instrText xml:space="preserve"> HYPERLINK "http://jszfcg.jsczt.cn/）" </w:instrText>
            </w:r>
            <w:r>
              <w:rPr>
                <w:rFonts w:hint="eastAsia" w:ascii="宋体" w:hAnsi="宋体" w:eastAsia="宋体" w:cs="宋体"/>
                <w:b/>
                <w:bCs/>
                <w:color w:val="000000"/>
                <w:sz w:val="21"/>
                <w:szCs w:val="21"/>
                <w:highlight w:val="none"/>
                <w:lang w:val="en-US" w:eastAsia="zh-CN" w:bidi="ar-SA"/>
              </w:rPr>
              <w:fldChar w:fldCharType="separate"/>
            </w:r>
            <w:r>
              <w:rPr>
                <w:rFonts w:hint="eastAsia" w:ascii="宋体" w:hAnsi="宋体" w:eastAsia="宋体" w:cs="宋体"/>
                <w:b/>
                <w:bCs/>
                <w:color w:val="000000"/>
                <w:sz w:val="21"/>
                <w:szCs w:val="21"/>
                <w:highlight w:val="none"/>
                <w:lang w:val="en-US" w:eastAsia="zh-CN" w:bidi="ar-SA"/>
              </w:rPr>
              <w:t xml:space="preserve">http://jszfcg.jsczt.cn）</w:t>
            </w:r>
            <w:r>
              <w:rPr>
                <w:rFonts w:hint="eastAsia" w:ascii="宋体" w:hAnsi="宋体" w:eastAsia="宋体" w:cs="宋体"/>
                <w:b/>
                <w:bCs/>
                <w:color w:val="000000"/>
                <w:sz w:val="21"/>
                <w:szCs w:val="21"/>
                <w:highlight w:val="none"/>
                <w:lang w:val="en-US" w:eastAsia="zh-CN" w:bidi="ar-SA"/>
              </w:rPr>
              <w:fldChar w:fldCharType="end"/>
            </w:r>
            <w:r>
              <w:rPr>
                <w:rFonts w:hint="eastAsia" w:ascii="宋体" w:hAnsi="宋体" w:eastAsia="宋体" w:cs="宋体"/>
                <w:b/>
                <w:bCs/>
                <w:color w:val="000000"/>
                <w:sz w:val="21"/>
                <w:szCs w:val="21"/>
                <w:highlight w:val="none"/>
                <w:lang w:val="en-US" w:eastAsia="zh-CN" w:bidi="ar-SA"/>
              </w:rPr>
              <w:t xml:space="preserve">，本项目为不见面开标项目，开启阶段供应商在【供应商解密】环节必须使用CA证书解密电子投标文件，如在系统规定的解密时间（投标文件提交截止时间后30分钟）内未能完成解密的视为放弃参与本项目。</w:t>
            </w:r>
            <w:r>
              <w:rPr>
                <w:rFonts w:ascii="宋体" w:hAnsi="宋体" w:cs="宋体"/>
              </w:rPr>
            </w:r>
            <w:r/>
          </w:p>
        </w:tc>
      </w:tr>
      <w:tr>
        <w:trPr>
          <w:trHeight w:val="567"/>
        </w:trPr>
        <w:tc>
          <w:tcPr>
            <w:tcW w:w="94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11</w:t>
            </w:r>
            <w:r>
              <w:rPr>
                <w:rFonts w:ascii="宋体" w:hAnsi="宋体" w:cs="宋体"/>
              </w:rPr>
            </w:r>
            <w:r/>
          </w:p>
        </w:tc>
        <w:tc>
          <w:tcPr>
            <w:tcW w:w="217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评标时间</w:t>
            </w:r>
            <w:r>
              <w:rPr>
                <w:rFonts w:ascii="宋体" w:hAnsi="宋体" w:cs="宋体"/>
              </w:rPr>
            </w:r>
            <w:r/>
          </w:p>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评标地点</w:t>
            </w:r>
            <w:r>
              <w:rPr>
                <w:rFonts w:ascii="宋体" w:hAnsi="宋体" w:cs="宋体"/>
              </w:rPr>
            </w:r>
            <w:r/>
          </w:p>
        </w:tc>
        <w:tc>
          <w:tcPr>
            <w:tcW w:w="7002"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2026年</w:t>
            </w:r>
            <w:r>
              <w:rPr>
                <w:rFonts w:hint="eastAsia" w:ascii="宋体" w:hAnsi="宋体" w:eastAsia="宋体" w:cs="宋体"/>
                <w:color w:val="000000"/>
                <w:sz w:val="21"/>
                <w:szCs w:val="21"/>
                <w:highlight w:val="none"/>
                <w:lang w:val="en-US" w:eastAsia="zh-CN" w:bidi="ar-SA"/>
              </w:rPr>
              <w:t xml:space="preserve">11</w:t>
            </w:r>
            <w:r>
              <w:rPr>
                <w:rFonts w:hint="eastAsia" w:ascii="宋体" w:hAnsi="宋体" w:eastAsia="宋体" w:cs="宋体"/>
                <w:color w:val="000000"/>
                <w:sz w:val="21"/>
                <w:szCs w:val="21"/>
                <w:highlight w:val="none"/>
                <w:lang w:val="en-US" w:eastAsia="zh-CN" w:bidi="ar-SA"/>
              </w:rPr>
              <w:t xml:space="preserve">月18日</w:t>
            </w: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30</w:t>
            </w:r>
            <w:r>
              <w:rPr>
                <w:rFonts w:ascii="宋体" w:hAnsi="宋体" w:cs="宋体"/>
              </w:rPr>
            </w:r>
            <w:r/>
          </w:p>
          <w:p>
            <w:pPr>
              <w:pStyle w:val="863"/>
              <w:jc w:val="left"/>
              <w:keepLines w:val="0"/>
              <w:keepNext w:val="0"/>
              <w:pageBreakBefore w:val="0"/>
              <w:spacing w:line="44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color w:val="000000"/>
                <w:sz w:val="21"/>
                <w:szCs w:val="21"/>
                <w:highlight w:val="none"/>
              </w:rPr>
              <w:t xml:space="preserve">苏州市吴江区开平路998号行政服务大楼3楼开标室（苏州市公共资源交易中心吴江分中心）</w:t>
            </w:r>
            <w:r>
              <w:rPr>
                <w:rFonts w:ascii="宋体" w:hAnsi="宋体" w:cs="宋体"/>
              </w:rPr>
            </w:r>
            <w:r/>
          </w:p>
        </w:tc>
      </w:tr>
      <w:tr>
        <w:trPr>
          <w:trHeight w:val="567"/>
        </w:trPr>
        <w:tc>
          <w:tcPr>
            <w:tcW w:w="943" w:type="dxa"/>
            <w:vAlign w:val="center"/>
            <w:textDirection w:val="lrTb"/>
            <w:noWrap w:val="false"/>
          </w:tcPr>
          <w:p>
            <w:pPr>
              <w:pStyle w:val="924"/>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12</w:t>
            </w:r>
            <w:r>
              <w:rPr>
                <w:rFonts w:ascii="宋体" w:hAnsi="宋体" w:cs="宋体"/>
              </w:rPr>
            </w:r>
            <w:r/>
          </w:p>
        </w:tc>
        <w:tc>
          <w:tcPr>
            <w:tcW w:w="2173" w:type="dxa"/>
            <w:vAlign w:val="center"/>
            <w:textDirection w:val="lrTb"/>
            <w:noWrap w:val="false"/>
          </w:tcPr>
          <w:p>
            <w:pPr>
              <w:pStyle w:val="924"/>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投标文件份数</w:t>
            </w:r>
            <w:r>
              <w:rPr>
                <w:rFonts w:ascii="宋体" w:hAnsi="宋体" w:cs="宋体"/>
              </w:rPr>
            </w:r>
            <w:r/>
          </w:p>
        </w:tc>
        <w:tc>
          <w:tcPr>
            <w:tcW w:w="7002" w:type="dxa"/>
            <w:vAlign w:val="center"/>
            <w:textDirection w:val="lrTb"/>
            <w:noWrap w:val="false"/>
          </w:tcPr>
          <w:p>
            <w:pPr>
              <w:pStyle w:val="863"/>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本项目采用电子投标文件，投标人按照招标文件要求制作上传电子投标文件，投标人无需提供纸质投标文件。</w:t>
            </w:r>
            <w:r>
              <w:rPr>
                <w:rFonts w:ascii="宋体" w:hAnsi="宋体" w:cs="宋体"/>
              </w:rPr>
            </w:r>
            <w:r/>
          </w:p>
          <w:p>
            <w:pPr>
              <w:pStyle w:val="924"/>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中标后5个工作日内，中标单位向招标代理机构提供与电子投标文件内容一致的纸质投标文件两份。</w:t>
            </w:r>
            <w:r>
              <w:rPr>
                <w:rFonts w:ascii="宋体" w:hAnsi="宋体" w:cs="宋体"/>
              </w:rPr>
            </w:r>
            <w:r/>
          </w:p>
        </w:tc>
      </w:tr>
      <w:tr>
        <w:trPr>
          <w:trHeight w:val="567"/>
        </w:trPr>
        <w:tc>
          <w:tcPr>
            <w:tcW w:w="943" w:type="dxa"/>
            <w:vAlign w:val="center"/>
            <w:textDirection w:val="lrTb"/>
            <w:noWrap w:val="false"/>
          </w:tcPr>
          <w:p>
            <w:pPr>
              <w:pStyle w:val="924"/>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13</w:t>
            </w:r>
            <w:r>
              <w:rPr>
                <w:rFonts w:ascii="宋体" w:hAnsi="宋体" w:cs="宋体"/>
              </w:rPr>
            </w:r>
            <w:r/>
          </w:p>
        </w:tc>
        <w:tc>
          <w:tcPr>
            <w:tcW w:w="2173" w:type="dxa"/>
            <w:vAlign w:val="center"/>
            <w:textDirection w:val="lrTb"/>
            <w:noWrap w:val="false"/>
          </w:tcPr>
          <w:p>
            <w:pPr>
              <w:pStyle w:val="924"/>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投标报价本位币</w:t>
            </w:r>
            <w:r>
              <w:rPr>
                <w:rFonts w:ascii="宋体" w:hAnsi="宋体" w:cs="宋体"/>
              </w:rPr>
            </w:r>
            <w:r/>
          </w:p>
        </w:tc>
        <w:tc>
          <w:tcPr>
            <w:tcW w:w="7002" w:type="dxa"/>
            <w:vAlign w:val="center"/>
            <w:textDirection w:val="lrTb"/>
            <w:noWrap w:val="false"/>
          </w:tcPr>
          <w:p>
            <w:pPr>
              <w:pStyle w:val="924"/>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人民币  </w:t>
            </w:r>
            <w:r>
              <w:rPr>
                <w:rFonts w:ascii="宋体" w:hAnsi="宋体" w:cs="宋体"/>
              </w:rPr>
            </w:r>
            <w:r/>
          </w:p>
        </w:tc>
      </w:tr>
      <w:tr>
        <w:trPr>
          <w:trHeight w:val="567"/>
        </w:trPr>
        <w:tc>
          <w:tcPr>
            <w:tcW w:w="943" w:type="dxa"/>
            <w:vAlign w:val="center"/>
            <w:textDirection w:val="lrTb"/>
            <w:noWrap w:val="false"/>
          </w:tcPr>
          <w:p>
            <w:pPr>
              <w:pStyle w:val="924"/>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14</w:t>
            </w:r>
            <w:r>
              <w:rPr>
                <w:rFonts w:ascii="宋体" w:hAnsi="宋体" w:cs="宋体"/>
              </w:rPr>
            </w:r>
            <w:r/>
          </w:p>
        </w:tc>
        <w:tc>
          <w:tcPr>
            <w:tcW w:w="2173" w:type="dxa"/>
            <w:vAlign w:val="center"/>
            <w:textDirection w:val="lrTb"/>
            <w:noWrap w:val="false"/>
          </w:tcPr>
          <w:p>
            <w:pPr>
              <w:pStyle w:val="924"/>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评标标准</w:t>
            </w:r>
            <w:r>
              <w:rPr>
                <w:rFonts w:ascii="宋体" w:hAnsi="宋体" w:cs="宋体"/>
              </w:rPr>
            </w:r>
            <w:r/>
          </w:p>
        </w:tc>
        <w:tc>
          <w:tcPr>
            <w:tcW w:w="7002" w:type="dxa"/>
            <w:vAlign w:val="center"/>
            <w:textDirection w:val="lrTb"/>
            <w:noWrap w:val="false"/>
          </w:tcPr>
          <w:p>
            <w:pPr>
              <w:pStyle w:val="924"/>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根据质量、技术与价格的比较</w:t>
            </w:r>
            <w:r>
              <w:rPr>
                <w:rFonts w:ascii="宋体" w:hAnsi="宋体" w:cs="宋体"/>
              </w:rPr>
            </w:r>
            <w:r/>
          </w:p>
        </w:tc>
      </w:tr>
      <w:tr>
        <w:trPr>
          <w:trHeight w:val="567"/>
        </w:trPr>
        <w:tc>
          <w:tcPr>
            <w:tcW w:w="943" w:type="dxa"/>
            <w:vAlign w:val="center"/>
            <w:textDirection w:val="lrTb"/>
            <w:noWrap w:val="false"/>
          </w:tcPr>
          <w:p>
            <w:pPr>
              <w:pStyle w:val="924"/>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15</w:t>
            </w:r>
            <w:r>
              <w:rPr>
                <w:rFonts w:ascii="宋体" w:hAnsi="宋体" w:cs="宋体"/>
              </w:rPr>
            </w:r>
            <w:r/>
          </w:p>
        </w:tc>
        <w:tc>
          <w:tcPr>
            <w:tcW w:w="2173" w:type="dxa"/>
            <w:vAlign w:val="center"/>
            <w:textDirection w:val="lrTb"/>
            <w:noWrap w:val="false"/>
          </w:tcPr>
          <w:p>
            <w:pPr>
              <w:pStyle w:val="924"/>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评标方法</w:t>
            </w:r>
            <w:r>
              <w:rPr>
                <w:rFonts w:ascii="宋体" w:hAnsi="宋体" w:cs="宋体"/>
              </w:rPr>
            </w:r>
            <w:r/>
          </w:p>
        </w:tc>
        <w:tc>
          <w:tcPr>
            <w:tcW w:w="7002" w:type="dxa"/>
            <w:vAlign w:val="center"/>
            <w:textDirection w:val="lrTb"/>
            <w:noWrap w:val="false"/>
          </w:tcPr>
          <w:p>
            <w:pPr>
              <w:pStyle w:val="924"/>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用综合评分法得分最高的合格投标人为预中标人</w:t>
            </w:r>
            <w:r>
              <w:rPr>
                <w:rFonts w:ascii="宋体" w:hAnsi="宋体" w:cs="宋体"/>
              </w:rPr>
            </w:r>
            <w:r/>
          </w:p>
        </w:tc>
      </w:tr>
      <w:tr>
        <w:trPr>
          <w:trHeight w:val="567"/>
        </w:trPr>
        <w:tc>
          <w:tcPr>
            <w:tcW w:w="943" w:type="dxa"/>
            <w:vAlign w:val="center"/>
            <w:textDirection w:val="lrTb"/>
            <w:noWrap w:val="false"/>
          </w:tcPr>
          <w:p>
            <w:pPr>
              <w:pStyle w:val="924"/>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16</w:t>
            </w:r>
            <w:r>
              <w:rPr>
                <w:rFonts w:ascii="宋体" w:hAnsi="宋体" w:cs="宋体"/>
              </w:rPr>
            </w:r>
            <w:r/>
          </w:p>
        </w:tc>
        <w:tc>
          <w:tcPr>
            <w:tcW w:w="2173" w:type="dxa"/>
            <w:vAlign w:val="center"/>
            <w:textDirection w:val="lrTb"/>
            <w:noWrap w:val="false"/>
          </w:tcPr>
          <w:p>
            <w:pPr>
              <w:pStyle w:val="924"/>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履约保证金</w:t>
            </w:r>
            <w:r>
              <w:rPr>
                <w:rFonts w:ascii="宋体" w:hAnsi="宋体" w:cs="宋体"/>
              </w:rPr>
            </w:r>
            <w:r/>
          </w:p>
        </w:tc>
        <w:tc>
          <w:tcPr>
            <w:tcW w:w="7002" w:type="dxa"/>
            <w:vAlign w:val="center"/>
            <w:textDirection w:val="lrTb"/>
            <w:noWrap w:val="false"/>
          </w:tcPr>
          <w:p>
            <w:pPr>
              <w:pStyle w:val="924"/>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按合同约定，未做说明的则为无。</w:t>
            </w:r>
            <w:r>
              <w:rPr>
                <w:rFonts w:ascii="宋体" w:hAnsi="宋体" w:cs="宋体"/>
              </w:rPr>
            </w:r>
            <w:r/>
          </w:p>
        </w:tc>
      </w:tr>
      <w:tr>
        <w:trPr>
          <w:trHeight w:val="567"/>
        </w:trPr>
        <w:tc>
          <w:tcPr>
            <w:tcW w:w="943" w:type="dxa"/>
            <w:vAlign w:val="center"/>
            <w:textDirection w:val="lrTb"/>
            <w:noWrap w:val="false"/>
          </w:tcPr>
          <w:p>
            <w:pPr>
              <w:pStyle w:val="924"/>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17</w:t>
            </w:r>
            <w:r>
              <w:rPr>
                <w:rFonts w:ascii="宋体" w:hAnsi="宋体" w:cs="宋体"/>
              </w:rPr>
            </w:r>
            <w:r/>
          </w:p>
        </w:tc>
        <w:tc>
          <w:tcPr>
            <w:tcW w:w="2173" w:type="dxa"/>
            <w:vAlign w:val="center"/>
            <w:textDirection w:val="lrTb"/>
            <w:noWrap w:val="false"/>
          </w:tcPr>
          <w:p>
            <w:pPr>
              <w:pStyle w:val="924"/>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采购代理</w:t>
            </w:r>
            <w:r>
              <w:rPr>
                <w:rFonts w:hint="eastAsia" w:ascii="宋体" w:hAnsi="宋体" w:eastAsia="宋体" w:cs="宋体"/>
                <w:color w:val="000000"/>
                <w:sz w:val="21"/>
                <w:szCs w:val="21"/>
                <w:highlight w:val="none"/>
              </w:rPr>
              <w:t xml:space="preserve">费</w:t>
            </w:r>
            <w:r>
              <w:rPr>
                <w:rFonts w:ascii="宋体" w:hAnsi="宋体" w:cs="宋体"/>
              </w:rPr>
            </w:r>
            <w:r/>
          </w:p>
        </w:tc>
        <w:tc>
          <w:tcPr>
            <w:tcW w:w="7002" w:type="dxa"/>
            <w:vAlign w:val="center"/>
            <w:textDirection w:val="lrTb"/>
            <w:noWrap w:val="false"/>
          </w:tcPr>
          <w:p>
            <w:pPr>
              <w:pStyle w:val="863"/>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b/>
                <w:bCs/>
                <w:color w:val="000000"/>
                <w:sz w:val="21"/>
                <w:szCs w:val="21"/>
                <w:highlight w:val="none"/>
              </w:rPr>
              <w:t xml:space="preserve">本项目编制预算时已综合考虑采购代理服务费</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采购代理服务费由中标单位支付，中标单位须在领取中标通知书时一次性付清该费用，请各供应商在编制</w:t>
            </w:r>
            <w:r>
              <w:rPr>
                <w:rFonts w:hint="eastAsia" w:ascii="宋体" w:hAnsi="宋体" w:eastAsia="宋体" w:cs="宋体"/>
                <w:b/>
                <w:bCs/>
                <w:color w:val="000000"/>
                <w:sz w:val="21"/>
                <w:szCs w:val="21"/>
                <w:highlight w:val="none"/>
                <w:lang w:eastAsia="zh-CN"/>
              </w:rPr>
              <w:t xml:space="preserve">投标</w:t>
            </w:r>
            <w:r>
              <w:rPr>
                <w:rFonts w:hint="eastAsia" w:ascii="宋体" w:hAnsi="宋体" w:eastAsia="宋体" w:cs="宋体"/>
                <w:b/>
                <w:bCs/>
                <w:color w:val="000000"/>
                <w:sz w:val="21"/>
                <w:szCs w:val="21"/>
                <w:highlight w:val="none"/>
              </w:rPr>
              <w:t xml:space="preserve">报价时对此予以综合考虑</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采购代理服务费按差额定率累进法，以本项目预算金额为计算基数计取，收费标准如下：</w:t>
            </w:r>
            <w:r>
              <w:rPr>
                <w:rFonts w:ascii="宋体" w:hAnsi="宋体" w:cs="宋体"/>
              </w:rPr>
            </w:r>
            <w:r/>
          </w:p>
          <w:p>
            <w:pPr>
              <w:pStyle w:val="863"/>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预算金额100万元（含）以下部分，按该部分预算金额的1.5%计取；</w:t>
            </w:r>
            <w:r>
              <w:rPr>
                <w:rFonts w:ascii="宋体" w:hAnsi="宋体" w:cs="宋体"/>
              </w:rPr>
            </w:r>
            <w:r/>
          </w:p>
          <w:p>
            <w:pPr>
              <w:pStyle w:val="863"/>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预算金额100万元</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500万元（含）部分，按该部分预算金额的1.1%计取；</w:t>
            </w:r>
            <w:r>
              <w:rPr>
                <w:rFonts w:ascii="宋体" w:hAnsi="宋体" w:cs="宋体"/>
              </w:rPr>
            </w:r>
            <w:r/>
          </w:p>
          <w:p>
            <w:pPr>
              <w:pStyle w:val="863"/>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预算金额500万元</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1000万元（含）部分，按该部分预算金额的0.8%计取；</w:t>
            </w:r>
            <w:r>
              <w:rPr>
                <w:rFonts w:ascii="宋体" w:hAnsi="宋体" w:cs="宋体"/>
              </w:rPr>
            </w:r>
            <w:r/>
          </w:p>
          <w:p>
            <w:pPr>
              <w:pStyle w:val="863"/>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预算金额1000万元</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5000万元（含）部分，按该部分预算金额的0.5%计取；</w:t>
            </w:r>
            <w:r>
              <w:rPr>
                <w:rFonts w:ascii="宋体" w:hAnsi="宋体" w:cs="宋体"/>
              </w:rPr>
            </w:r>
            <w:r/>
          </w:p>
          <w:p>
            <w:pPr>
              <w:pStyle w:val="863"/>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预算金额5000万元以上部分，按该部分预算金额的0.25%计取。</w:t>
            </w:r>
            <w:r>
              <w:rPr>
                <w:rFonts w:ascii="宋体" w:hAnsi="宋体" w:cs="宋体"/>
              </w:rPr>
            </w:r>
            <w:r/>
          </w:p>
          <w:p>
            <w:pPr>
              <w:pStyle w:val="863"/>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计算说明：采用差额定率累进法分段累加计算。例：项目预算金额150万元，代理服务费=100万元×1.5%＋（150万元</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100万元）×1.1%。按上述标准计算得出的代理服务费金额不足3000元的，统一按人民币3000元计取。</w:t>
            </w:r>
            <w:r>
              <w:rPr>
                <w:rFonts w:ascii="宋体" w:hAnsi="宋体" w:cs="宋体"/>
              </w:rPr>
            </w:r>
            <w:r/>
          </w:p>
          <w:p>
            <w:pPr>
              <w:pStyle w:val="863"/>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账户信息：</w:t>
            </w:r>
            <w:r>
              <w:rPr>
                <w:rFonts w:ascii="宋体" w:hAnsi="宋体" w:cs="宋体"/>
              </w:rPr>
            </w:r>
            <w:r/>
          </w:p>
          <w:p>
            <w:pPr>
              <w:pStyle w:val="863"/>
              <w:jc w:val="both"/>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账户名</w:t>
            </w:r>
            <w:r>
              <w:rPr>
                <w:rFonts w:hint="eastAsia" w:ascii="宋体" w:hAnsi="宋体" w:eastAsia="宋体" w:cs="宋体"/>
                <w:color w:val="000000"/>
                <w:sz w:val="21"/>
                <w:szCs w:val="21"/>
                <w:highlight w:val="none"/>
              </w:rPr>
              <w:t xml:space="preserve">：苏州欣禾诚工程咨询服务有限公司</w:t>
            </w:r>
            <w:r>
              <w:rPr>
                <w:rFonts w:ascii="宋体" w:hAnsi="宋体" w:cs="宋体"/>
              </w:rPr>
            </w:r>
            <w:r/>
          </w:p>
          <w:p>
            <w:pPr>
              <w:pStyle w:val="863"/>
              <w:jc w:val="both"/>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账</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号：10546501040014175</w:t>
            </w:r>
            <w:r>
              <w:rPr>
                <w:rFonts w:ascii="宋体" w:hAnsi="宋体" w:cs="宋体"/>
              </w:rPr>
            </w:r>
            <w:r/>
          </w:p>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开户行：中国农业银行吴江城南支行</w:t>
            </w:r>
            <w:r>
              <w:rPr>
                <w:rFonts w:ascii="宋体" w:hAnsi="宋体" w:cs="宋体"/>
              </w:rPr>
            </w:r>
            <w:r/>
          </w:p>
        </w:tc>
      </w:tr>
      <w:tr>
        <w:trPr>
          <w:trHeight w:val="567"/>
        </w:trPr>
        <w:tc>
          <w:tcPr>
            <w:tcW w:w="943" w:type="dxa"/>
            <w:vAlign w:val="center"/>
            <w:textDirection w:val="lrTb"/>
            <w:noWrap w:val="false"/>
          </w:tcPr>
          <w:p>
            <w:pPr>
              <w:pStyle w:val="924"/>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18</w:t>
            </w:r>
            <w:r>
              <w:rPr>
                <w:rFonts w:ascii="宋体" w:hAnsi="宋体" w:cs="宋体"/>
              </w:rPr>
            </w:r>
            <w:r/>
          </w:p>
        </w:tc>
        <w:tc>
          <w:tcPr>
            <w:tcW w:w="2173" w:type="dxa"/>
            <w:vAlign w:val="center"/>
            <w:textDirection w:val="lrTb"/>
            <w:noWrap w:val="false"/>
          </w:tcPr>
          <w:p>
            <w:pPr>
              <w:pStyle w:val="924"/>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中标通知书</w:t>
            </w:r>
            <w:r>
              <w:rPr>
                <w:rFonts w:ascii="宋体" w:hAnsi="宋体" w:cs="宋体"/>
              </w:rPr>
            </w:r>
            <w:r/>
          </w:p>
        </w:tc>
        <w:tc>
          <w:tcPr>
            <w:tcW w:w="7002"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确定出中标人后，招标代理机构在法定时间内向中标人发出中标通知书。中标通知书将成为合同的组成部分。</w:t>
            </w:r>
            <w:r>
              <w:rPr>
                <w:rFonts w:ascii="宋体" w:hAnsi="宋体" w:cs="宋体"/>
              </w:rPr>
            </w:r>
            <w:r/>
          </w:p>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b/>
                <w:bCs/>
                <w:color w:val="000000"/>
                <w:sz w:val="21"/>
                <w:szCs w:val="21"/>
                <w:highlight w:val="none"/>
              </w:rPr>
              <w:t xml:space="preserve">请中标人在中标结果公告届满之日起30日内，使用CA证书登录“苏采云政府采购一体化平台”系统及时下载中标通知书。</w:t>
            </w:r>
            <w:r>
              <w:rPr>
                <w:rFonts w:ascii="宋体" w:hAnsi="宋体" w:cs="宋体"/>
              </w:rPr>
            </w:r>
            <w:r/>
          </w:p>
        </w:tc>
      </w:tr>
      <w:tr>
        <w:trPr>
          <w:trHeight w:val="567"/>
        </w:trPr>
        <w:tc>
          <w:tcPr>
            <w:tcW w:w="943" w:type="dxa"/>
            <w:vAlign w:val="center"/>
            <w:textDirection w:val="lrTb"/>
            <w:noWrap w:val="false"/>
          </w:tcPr>
          <w:p>
            <w:pPr>
              <w:pStyle w:val="924"/>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19</w:t>
            </w:r>
            <w:r>
              <w:rPr>
                <w:rFonts w:ascii="宋体" w:hAnsi="宋体" w:cs="宋体"/>
              </w:rPr>
            </w:r>
            <w:r/>
          </w:p>
        </w:tc>
        <w:tc>
          <w:tcPr>
            <w:tcW w:w="2173" w:type="dxa"/>
            <w:vAlign w:val="center"/>
            <w:textDirection w:val="lrTb"/>
            <w:noWrap w:val="false"/>
          </w:tcPr>
          <w:p>
            <w:pPr>
              <w:pStyle w:val="924"/>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导致无效标因素</w:t>
            </w:r>
            <w:r>
              <w:rPr>
                <w:rFonts w:ascii="宋体" w:hAnsi="宋体" w:cs="宋体"/>
              </w:rPr>
            </w:r>
            <w:r/>
          </w:p>
        </w:tc>
        <w:tc>
          <w:tcPr>
            <w:tcW w:w="7002" w:type="dxa"/>
            <w:vAlign w:val="center"/>
            <w:textDirection w:val="lrTb"/>
            <w:noWrap w:val="false"/>
          </w:tcPr>
          <w:p>
            <w:pPr>
              <w:pStyle w:val="924"/>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投标文件属下列情况之一的，在资格性、符合性检查时按照无效投标处理：</w:t>
            </w:r>
            <w:r>
              <w:rPr>
                <w:rFonts w:ascii="宋体" w:hAnsi="宋体" w:cs="宋体"/>
              </w:rPr>
            </w:r>
            <w:r/>
          </w:p>
          <w:p>
            <w:pPr>
              <w:pStyle w:val="924"/>
              <w:numPr>
                <w:ilvl w:val="0"/>
                <w:numId w:val="1"/>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未按照招标文件规定要求签署、盖章的；</w:t>
            </w:r>
            <w:r>
              <w:rPr>
                <w:rFonts w:ascii="宋体" w:hAnsi="宋体" w:cs="宋体"/>
              </w:rPr>
            </w:r>
            <w:r/>
          </w:p>
          <w:p>
            <w:pPr>
              <w:pStyle w:val="924"/>
              <w:numPr>
                <w:ilvl w:val="0"/>
                <w:numId w:val="1"/>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不具备招标文件中规定资格要求的；</w:t>
            </w:r>
            <w:r>
              <w:rPr>
                <w:rFonts w:ascii="宋体" w:hAnsi="宋体" w:cs="宋体"/>
              </w:rPr>
            </w:r>
            <w:r/>
          </w:p>
          <w:p>
            <w:pPr>
              <w:pStyle w:val="924"/>
              <w:numPr>
                <w:ilvl w:val="0"/>
                <w:numId w:val="1"/>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报价超过招标文件中规定的预算金额（总预算和单项预算）或者最高限价的；</w:t>
            </w:r>
            <w:r>
              <w:rPr>
                <w:rFonts w:ascii="宋体" w:hAnsi="宋体" w:cs="宋体"/>
              </w:rPr>
            </w:r>
            <w:r/>
          </w:p>
          <w:p>
            <w:pPr>
              <w:pStyle w:val="924"/>
              <w:numPr>
                <w:ilvl w:val="0"/>
                <w:numId w:val="1"/>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投标文件含有采购人不能接受的附加条件的；</w:t>
            </w:r>
            <w:r>
              <w:rPr>
                <w:rFonts w:ascii="宋体" w:hAnsi="宋体" w:cs="宋体"/>
              </w:rPr>
            </w:r>
            <w:r/>
          </w:p>
          <w:p>
            <w:pPr>
              <w:pStyle w:val="924"/>
              <w:numPr>
                <w:ilvl w:val="0"/>
                <w:numId w:val="1"/>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平台报名系统内投标单位（投标单位）的报名名称（CA用户名）与投标文件中投标单位（投标单位）名称不一致的；</w:t>
            </w:r>
            <w:r>
              <w:rPr>
                <w:rFonts w:ascii="宋体" w:hAnsi="宋体" w:cs="宋体"/>
              </w:rPr>
            </w:r>
            <w:r/>
          </w:p>
          <w:p>
            <w:pPr>
              <w:pStyle w:val="924"/>
              <w:numPr>
                <w:ilvl w:val="0"/>
                <w:numId w:val="1"/>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因投标单位自身原因导致网上投标文件无法递交的其他情况；</w:t>
            </w:r>
            <w:r>
              <w:rPr>
                <w:rFonts w:ascii="宋体" w:hAnsi="宋体" w:cs="宋体"/>
              </w:rPr>
            </w:r>
            <w:r/>
          </w:p>
          <w:p>
            <w:pPr>
              <w:pStyle w:val="924"/>
              <w:numPr>
                <w:ilvl w:val="0"/>
                <w:numId w:val="1"/>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不同投标（响应）文件制作机器码一致的；</w:t>
            </w:r>
            <w:r>
              <w:rPr>
                <w:rFonts w:ascii="宋体" w:hAnsi="宋体" w:cs="宋体"/>
              </w:rPr>
            </w:r>
            <w:r/>
          </w:p>
          <w:p>
            <w:pPr>
              <w:pStyle w:val="924"/>
              <w:numPr>
                <w:ilvl w:val="0"/>
                <w:numId w:val="1"/>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法律、法规和招标文件规定的其他无效情形。</w:t>
            </w:r>
            <w:r>
              <w:rPr>
                <w:rFonts w:ascii="宋体" w:hAnsi="宋体" w:cs="宋体"/>
              </w:rPr>
            </w:r>
            <w:r/>
          </w:p>
        </w:tc>
      </w:tr>
      <w:tr>
        <w:trPr>
          <w:trHeight w:val="567"/>
        </w:trPr>
        <w:tc>
          <w:tcPr>
            <w:tcW w:w="943" w:type="dxa"/>
            <w:vAlign w:val="center"/>
            <w:textDirection w:val="lrTb"/>
            <w:noWrap w:val="false"/>
          </w:tcPr>
          <w:p>
            <w:pPr>
              <w:pStyle w:val="924"/>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20</w:t>
            </w:r>
            <w:r>
              <w:rPr>
                <w:rFonts w:ascii="宋体" w:hAnsi="宋体" w:cs="宋体"/>
              </w:rPr>
            </w:r>
            <w:r/>
          </w:p>
        </w:tc>
        <w:tc>
          <w:tcPr>
            <w:tcW w:w="2173" w:type="dxa"/>
            <w:vAlign w:val="center"/>
            <w:textDirection w:val="lrTb"/>
            <w:noWrap w:val="false"/>
          </w:tcPr>
          <w:p>
            <w:pPr>
              <w:pStyle w:val="924"/>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导致废标因素</w:t>
            </w:r>
            <w:r>
              <w:rPr>
                <w:rFonts w:ascii="宋体" w:hAnsi="宋体" w:cs="宋体"/>
              </w:rPr>
            </w:r>
            <w:r/>
          </w:p>
        </w:tc>
        <w:tc>
          <w:tcPr>
            <w:tcW w:w="7002" w:type="dxa"/>
            <w:vAlign w:val="center"/>
            <w:textDirection w:val="lrTb"/>
            <w:noWrap w:val="false"/>
          </w:tcPr>
          <w:p>
            <w:pPr>
              <w:pStyle w:val="924"/>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出现下列情形之一的，为废标：</w:t>
            </w:r>
            <w:r>
              <w:rPr>
                <w:rFonts w:ascii="宋体" w:hAnsi="宋体" w:cs="宋体"/>
              </w:rPr>
            </w:r>
            <w:r/>
          </w:p>
          <w:p>
            <w:pPr>
              <w:pStyle w:val="924"/>
              <w:numPr>
                <w:ilvl w:val="0"/>
                <w:numId w:val="2"/>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符合专业条件的供应商或者对招标文件作实质响应的供应商不足三家的；</w:t>
            </w:r>
            <w:r>
              <w:rPr>
                <w:rFonts w:ascii="宋体" w:hAnsi="宋体" w:cs="宋体"/>
              </w:rPr>
            </w:r>
            <w:r/>
          </w:p>
          <w:p>
            <w:pPr>
              <w:pStyle w:val="924"/>
              <w:numPr>
                <w:ilvl w:val="0"/>
                <w:numId w:val="2"/>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出现影响采购公正的违法、违规行为的；</w:t>
            </w:r>
            <w:r>
              <w:rPr>
                <w:rFonts w:ascii="宋体" w:hAnsi="宋体" w:cs="宋体"/>
              </w:rPr>
            </w:r>
            <w:r/>
          </w:p>
          <w:p>
            <w:pPr>
              <w:pStyle w:val="924"/>
              <w:numPr>
                <w:ilvl w:val="0"/>
                <w:numId w:val="2"/>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投标人的报价均超过了采购预算（总预算和单项预算）或者最高限价的，采购人不能支付的； </w:t>
            </w:r>
            <w:r>
              <w:rPr>
                <w:rFonts w:ascii="宋体" w:hAnsi="宋体" w:cs="宋体"/>
              </w:rPr>
            </w:r>
            <w:r/>
          </w:p>
          <w:p>
            <w:pPr>
              <w:pStyle w:val="924"/>
              <w:numPr>
                <w:ilvl w:val="0"/>
                <w:numId w:val="2"/>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因重大变故，采购任务取消的。</w:t>
            </w:r>
            <w:r>
              <w:rPr>
                <w:rFonts w:ascii="宋体" w:hAnsi="宋体" w:cs="宋体"/>
              </w:rPr>
            </w:r>
            <w:r/>
          </w:p>
        </w:tc>
      </w:tr>
    </w:tbl>
    <w:p>
      <w:pPr>
        <w:pStyle w:val="863"/>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ascii="宋体" w:hAnsi="宋体" w:cs="宋体"/>
        </w:rPr>
      </w:r>
      <w:r/>
    </w:p>
    <w:p>
      <w:pPr>
        <w:pStyle w:val="863"/>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ascii="宋体" w:hAnsi="宋体" w:cs="宋体"/>
        </w:rPr>
      </w:r>
      <w:r/>
    </w:p>
    <w:p>
      <w:pPr>
        <w:pStyle w:val="1052"/>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63"/>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053"/>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053"/>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053"/>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053"/>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053"/>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63"/>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052"/>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63"/>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05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76"/>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914"/>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914"/>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914"/>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914"/>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914"/>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914"/>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914"/>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914"/>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914"/>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914"/>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914"/>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052"/>
        <w:ind w:left="0" w:firstLine="0"/>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63"/>
        <w:jc w:val="center"/>
        <w:rPr>
          <w:rFonts w:ascii="宋体" w:hAnsi="宋体" w:cs="宋体"/>
          <w:b/>
          <w:bCs/>
          <w:color w:val="000000"/>
          <w:sz w:val="36"/>
          <w:szCs w:val="36"/>
          <w:highlight w:val="none"/>
        </w:rPr>
        <w:outlineLvl w:val="0"/>
      </w:pPr>
      <w:r>
        <w:rPr>
          <w:rFonts w:ascii="宋体" w:hAnsi="宋体" w:cs="宋体"/>
        </w:rPr>
      </w:r>
      <w:bookmarkStart w:id="1" w:name="_Toc1639"/>
      <w:r>
        <w:rPr>
          <w:rFonts w:hint="eastAsia" w:ascii="宋体" w:hAnsi="宋体" w:eastAsia="宋体" w:cs="宋体"/>
          <w:b/>
          <w:bCs/>
          <w:color w:val="000000"/>
          <w:sz w:val="36"/>
          <w:szCs w:val="36"/>
          <w:highlight w:val="none"/>
        </w:rPr>
        <w:t xml:space="preserve">第一章</w:t>
      </w:r>
      <w:r>
        <w:rPr>
          <w:rFonts w:ascii="宋体" w:hAnsi="宋体" w:cs="宋体"/>
          <w:b/>
          <w:bCs/>
          <w:color w:val="000000"/>
          <w:sz w:val="36"/>
          <w:szCs w:val="36"/>
          <w:highlight w:val="none"/>
        </w:rPr>
        <w:t xml:space="preserve">  </w:t>
      </w:r>
      <w:r>
        <w:rPr>
          <w:rFonts w:hint="eastAsia" w:ascii="宋体" w:hAnsi="宋体" w:eastAsia="宋体" w:cs="宋体"/>
          <w:b/>
          <w:bCs/>
          <w:color w:val="000000"/>
          <w:sz w:val="36"/>
          <w:szCs w:val="36"/>
          <w:highlight w:val="none"/>
        </w:rPr>
        <w:t xml:space="preserve">投标邀请函</w:t>
      </w:r>
      <w:bookmarkEnd w:id="1"/>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highlight w:val="none"/>
        </w:rPr>
        <w:t xml:space="preserve">项目概况</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highlight w:val="none"/>
          <w:u w:val="single"/>
          <w:lang w:eastAsia="zh-CN"/>
        </w:rPr>
        <w:t xml:space="preserve">2026年-2027年度食品安全AI可视化监管服务</w:t>
      </w:r>
      <w:r>
        <w:rPr>
          <w:rFonts w:hint="eastAsia" w:ascii="宋体" w:hAnsi="宋体" w:eastAsia="宋体" w:cs="宋体"/>
          <w:color w:val="000000"/>
          <w:sz w:val="21"/>
          <w:szCs w:val="21"/>
          <w:highlight w:val="none"/>
        </w:rPr>
        <w:t xml:space="preserve">招标项目的潜在投标人应在</w:t>
      </w:r>
      <w:r>
        <w:rPr>
          <w:rFonts w:hint="eastAsia" w:ascii="宋体" w:hAnsi="宋体" w:eastAsia="宋体" w:cs="宋体"/>
          <w:color w:val="000000"/>
          <w:sz w:val="21"/>
          <w:szCs w:val="21"/>
          <w:highlight w:val="none"/>
          <w:u w:val="single"/>
        </w:rPr>
        <w:t xml:space="preserve">苏采云政府采购一体化平台</w:t>
      </w:r>
      <w:r>
        <w:rPr>
          <w:rFonts w:hint="eastAsia" w:ascii="宋体" w:hAnsi="宋体" w:eastAsia="宋体" w:cs="宋体"/>
          <w:color w:val="000000"/>
          <w:sz w:val="21"/>
          <w:szCs w:val="21"/>
          <w:highlight w:val="none"/>
        </w:rPr>
        <w:t xml:space="preserve">获取招标文件，并于</w:t>
      </w:r>
      <w:r>
        <w:rPr>
          <w:rFonts w:hint="eastAsia" w:ascii="宋体" w:hAnsi="宋体" w:eastAsia="宋体" w:cs="宋体"/>
          <w:color w:val="000000"/>
          <w:sz w:val="21"/>
          <w:szCs w:val="21"/>
          <w:highlight w:val="none"/>
          <w:u w:val="single"/>
        </w:rPr>
        <w:t xml:space="preserve">202</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年</w:t>
      </w:r>
      <w:r>
        <w:rPr>
          <w:rFonts w:hint="eastAsia" w:ascii="宋体" w:hAnsi="宋体" w:eastAsia="宋体" w:cs="宋体"/>
          <w:color w:val="000000"/>
          <w:sz w:val="21"/>
          <w:szCs w:val="21"/>
          <w:highlight w:val="none"/>
          <w:u w:val="single"/>
          <w:lang w:val="en-US" w:eastAsia="zh-CN"/>
        </w:rPr>
        <w:t xml:space="preserve">1</w:t>
      </w:r>
      <w:r>
        <w:rPr>
          <w:rFonts w:hint="eastAsia" w:ascii="宋体" w:hAnsi="宋体" w:eastAsia="宋体" w:cs="宋体"/>
          <w:color w:val="000000"/>
          <w:sz w:val="21"/>
          <w:szCs w:val="21"/>
          <w:highlight w:val="none"/>
          <w:u w:val="single"/>
          <w:lang w:val="en-US" w:eastAsia="zh-CN"/>
        </w:rPr>
        <w:t xml:space="preserve">1</w:t>
      </w:r>
      <w:r>
        <w:rPr>
          <w:rFonts w:hint="eastAsia" w:ascii="宋体" w:hAnsi="宋体" w:eastAsia="宋体" w:cs="宋体"/>
          <w:color w:val="000000"/>
          <w:sz w:val="21"/>
          <w:szCs w:val="21"/>
          <w:highlight w:val="none"/>
          <w:u w:val="single"/>
        </w:rPr>
        <w:t xml:space="preserve">月</w:t>
      </w:r>
      <w:r>
        <w:rPr>
          <w:rFonts w:hint="eastAsia" w:ascii="宋体" w:hAnsi="宋体" w:eastAsia="宋体" w:cs="宋体"/>
          <w:color w:val="000000"/>
          <w:sz w:val="21"/>
          <w:szCs w:val="21"/>
          <w:highlight w:val="none"/>
          <w:u w:val="single"/>
        </w:rPr>
        <w:t xml:space="preserve">18日</w:t>
      </w:r>
      <w:r>
        <w:rPr>
          <w:rFonts w:hint="eastAsia" w:ascii="宋体" w:hAnsi="宋体" w:eastAsia="宋体" w:cs="宋体"/>
          <w:color w:val="000000"/>
          <w:sz w:val="21"/>
          <w:szCs w:val="21"/>
          <w:highlight w:val="none"/>
          <w:u w:val="single"/>
          <w:lang w:val="en-US" w:eastAsia="zh-CN"/>
        </w:rPr>
        <w:t xml:space="preserve">13</w:t>
      </w:r>
      <w:r>
        <w:rPr>
          <w:rFonts w:hint="eastAsia" w:ascii="宋体" w:hAnsi="宋体" w:eastAsia="宋体" w:cs="宋体"/>
          <w:color w:val="000000"/>
          <w:sz w:val="21"/>
          <w:szCs w:val="21"/>
          <w:highlight w:val="none"/>
          <w:u w:val="single"/>
        </w:rPr>
        <w:t xml:space="preserve">点30分（北京时间）</w:t>
      </w:r>
      <w:r>
        <w:rPr>
          <w:rFonts w:hint="eastAsia" w:ascii="宋体" w:hAnsi="宋体" w:eastAsia="宋体" w:cs="宋体"/>
          <w:color w:val="000000"/>
          <w:sz w:val="21"/>
          <w:szCs w:val="21"/>
          <w:highlight w:val="none"/>
        </w:rPr>
        <w:t xml:space="preserve">前提交</w:t>
      </w:r>
      <w:r>
        <w:rPr>
          <w:rFonts w:hint="eastAsia" w:ascii="宋体" w:hAnsi="宋体" w:eastAsia="宋体" w:cs="宋体"/>
          <w:color w:val="000000"/>
          <w:sz w:val="21"/>
          <w:szCs w:val="21"/>
          <w:highlight w:val="none"/>
          <w:lang w:eastAsia="zh-CN"/>
        </w:rPr>
        <w:t xml:space="preserve">投标</w:t>
      </w:r>
      <w:r>
        <w:rPr>
          <w:rFonts w:hint="eastAsia" w:ascii="宋体" w:hAnsi="宋体" w:eastAsia="宋体" w:cs="宋体"/>
          <w:color w:val="000000"/>
          <w:sz w:val="21"/>
          <w:szCs w:val="21"/>
          <w:highlight w:val="none"/>
        </w:rPr>
        <w:t xml:space="preserve">文件。</w:t>
      </w:r>
      <w:r>
        <w:rPr>
          <w:rFonts w:ascii="宋体" w:hAnsi="宋体" w:cs="宋体"/>
        </w:rPr>
      </w:r>
      <w:r/>
    </w:p>
    <w:p>
      <w:pPr>
        <w:pStyle w:val="865"/>
        <w:ind w:left="0" w:firstLine="422"/>
        <w:pageBreakBefore w:val="0"/>
        <w:spacing w:before="0" w:after="0" w:line="440" w:lineRule="exact"/>
        <w:tabs>
          <w:tab w:val="left" w:pos="576" w:leader="none"/>
        </w:tabs>
        <w:rPr>
          <w:rFonts w:hint="eastAsia" w:ascii="宋体" w:hAnsi="宋体" w:cs="宋体"/>
          <w:color w:val="000000"/>
          <w:sz w:val="21"/>
          <w:szCs w:val="21"/>
          <w:highlight w:val="none"/>
        </w:rPr>
      </w:pPr>
      <w:r>
        <w:rPr>
          <w:rFonts w:ascii="宋体" w:hAnsi="宋体" w:cs="宋体"/>
        </w:rPr>
      </w:r>
      <w:bookmarkStart w:id="2" w:name="_Toc35393629"/>
      <w:r>
        <w:rPr>
          <w:rFonts w:ascii="宋体" w:hAnsi="宋体" w:cs="宋体"/>
        </w:rPr>
      </w:r>
      <w:bookmarkStart w:id="3" w:name="_Toc28359012"/>
      <w:r>
        <w:rPr>
          <w:rFonts w:ascii="宋体" w:hAnsi="宋体" w:cs="宋体"/>
        </w:rPr>
      </w:r>
      <w:bookmarkStart w:id="4" w:name="_Toc28359089"/>
      <w:r>
        <w:rPr>
          <w:rFonts w:ascii="宋体" w:hAnsi="宋体" w:cs="宋体"/>
        </w:rPr>
      </w:r>
      <w:bookmarkStart w:id="5" w:name="_Toc35393798"/>
      <w:r>
        <w:rPr>
          <w:rFonts w:hint="eastAsia" w:ascii="宋体" w:hAnsi="宋体" w:eastAsia="宋体" w:cs="宋体"/>
          <w:color w:val="000000"/>
          <w:sz w:val="21"/>
          <w:szCs w:val="21"/>
          <w:highlight w:val="none"/>
        </w:rPr>
        <w:t xml:space="preserve">一、项目基本情况</w:t>
      </w:r>
      <w:bookmarkEnd w:id="2"/>
      <w:r>
        <w:rPr>
          <w:rFonts w:ascii="宋体" w:hAnsi="宋体" w:cs="宋体"/>
        </w:rPr>
      </w:r>
      <w:bookmarkEnd w:id="3"/>
      <w:r>
        <w:rPr>
          <w:rFonts w:ascii="宋体" w:hAnsi="宋体" w:cs="宋体"/>
        </w:rPr>
      </w:r>
      <w:bookmarkEnd w:id="4"/>
      <w:r>
        <w:rPr>
          <w:rFonts w:ascii="宋体" w:hAnsi="宋体" w:cs="宋体"/>
        </w:rPr>
      </w:r>
      <w:bookmarkEnd w:id="5"/>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eastAsia="zh-CN"/>
        </w:rPr>
        <w:t xml:space="preserve">JSZC-320509-SXHC-G2026-0018</w:t>
      </w:r>
      <w:r>
        <w:rPr>
          <w:rFonts w:hint="eastAsia" w:ascii="宋体" w:hAnsi="宋体" w:eastAsia="宋体" w:cs="宋体"/>
          <w:color w:val="000000"/>
          <w:sz w:val="21"/>
          <w:szCs w:val="21"/>
          <w:highlight w:val="none"/>
        </w:rPr>
        <w:t xml:space="preserve">号</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2026年-2027年度食品安全AI可视化监管服务</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采购方式：公开招标</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预算金额：人民币</w:t>
      </w:r>
      <w:r>
        <w:rPr>
          <w:rFonts w:hint="eastAsia" w:ascii="宋体" w:hAnsi="宋体" w:eastAsia="宋体" w:cs="宋体"/>
          <w:color w:val="000000"/>
          <w:sz w:val="21"/>
          <w:szCs w:val="21"/>
          <w:highlight w:val="none"/>
          <w:lang w:eastAsia="zh-CN"/>
        </w:rPr>
        <w:t xml:space="preserve">伍佰万元整（¥5000000.00）</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最高限价：</w:t>
      </w:r>
      <w:r>
        <w:rPr>
          <w:rFonts w:hint="eastAsia" w:ascii="宋体" w:hAnsi="宋体" w:eastAsia="宋体" w:cs="宋体"/>
          <w:color w:val="000000"/>
          <w:sz w:val="21"/>
          <w:szCs w:val="21"/>
          <w:highlight w:val="none"/>
          <w:lang w:eastAsia="zh-CN"/>
        </w:rPr>
        <w:t xml:space="preserve">同预算金额</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采购需求：根据《中华人民共和国食品安全法》等法律法规及各级食品安全智慧监管工作相关要求，破解传统“铁脚板”监管模式效率低、覆盖难的痛点，依托AI视频分析技术打造非现场智慧监管模式，帮助食品生产经营单位落实主体责任，拟采购专业运维服务，用于</w:t>
      </w:r>
      <w:r>
        <w:rPr>
          <w:rFonts w:hint="eastAsia" w:ascii="宋体" w:hAnsi="宋体" w:eastAsia="宋体" w:cs="宋体"/>
          <w:color w:val="000000"/>
          <w:sz w:val="21"/>
          <w:szCs w:val="21"/>
          <w:highlight w:val="none"/>
          <w:lang w:val="en-US" w:eastAsia="zh-CN" w:bidi="ar"/>
        </w:rPr>
        <w:t xml:space="preserve">保证为食品生产经营单位持续稳定提供落实主体责任的公共服务</w:t>
      </w:r>
      <w:r>
        <w:rPr>
          <w:rFonts w:hint="eastAsia" w:ascii="宋体" w:hAnsi="宋体" w:eastAsia="宋体" w:cs="宋体"/>
          <w:color w:val="000000"/>
          <w:sz w:val="21"/>
          <w:szCs w:val="21"/>
          <w:highlight w:val="none"/>
          <w:lang w:val="en-US" w:eastAsia="zh-CN"/>
        </w:rPr>
        <w:t xml:space="preserve">、持续优化AI智能识别能力、落实前端设备常态化维保、深化监管数据应用，进一步提升辖区食品安全智能化监管水平。具体采购内容及相关要求详见招标文件第四章。</w:t>
      </w:r>
      <w:r>
        <w:rPr>
          <w:rFonts w:ascii="宋体" w:hAnsi="宋体" w:cs="宋体"/>
        </w:rPr>
      </w:r>
      <w:r/>
    </w:p>
    <w:p>
      <w:pPr>
        <w:pStyle w:val="863"/>
        <w:ind w:firstLine="420"/>
        <w:jc w:val="both"/>
        <w:pageBreakBefore w:val="0"/>
        <w:spacing w:line="44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服务</w:t>
      </w:r>
      <w:r>
        <w:rPr>
          <w:rFonts w:hint="eastAsia" w:ascii="宋体" w:hAnsi="宋体" w:eastAsia="宋体" w:cs="宋体"/>
          <w:color w:val="000000"/>
          <w:sz w:val="21"/>
          <w:szCs w:val="21"/>
          <w:highlight w:val="none"/>
        </w:rPr>
        <w:t xml:space="preserve">期限：自合同签订之日起</w:t>
      </w:r>
      <w:r>
        <w:rPr>
          <w:rFonts w:hint="eastAsia" w:ascii="宋体" w:hAnsi="宋体" w:eastAsia="宋体" w:cs="宋体"/>
          <w:color w:val="000000"/>
          <w:sz w:val="21"/>
          <w:szCs w:val="21"/>
          <w:highlight w:val="none"/>
          <w:lang w:eastAsia="zh-CN"/>
        </w:rPr>
        <w:t xml:space="preserve">两</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bidi="ar"/>
        </w:rPr>
        <w:t xml:space="preserve">（具体实施时间节点以采购单位要求为准）。</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验收标准：本项目履约验收以《江苏省政府采购履约验收管理办法》（苏财规〔2024〕7号）、</w:t>
      </w:r>
      <w:r>
        <w:rPr>
          <w:rFonts w:hint="eastAsia" w:ascii="宋体" w:hAnsi="宋体" w:eastAsia="宋体" w:cs="宋体"/>
          <w:color w:val="000000"/>
          <w:sz w:val="21"/>
          <w:szCs w:val="21"/>
          <w:highlight w:val="none"/>
          <w:lang w:eastAsia="zh-CN"/>
        </w:rPr>
        <w:t xml:space="preserve">本</w:t>
      </w:r>
      <w:r>
        <w:rPr>
          <w:rFonts w:hint="eastAsia" w:ascii="宋体" w:hAnsi="宋体" w:eastAsia="宋体" w:cs="宋体"/>
          <w:color w:val="000000"/>
          <w:sz w:val="21"/>
          <w:szCs w:val="21"/>
          <w:highlight w:val="none"/>
        </w:rPr>
        <w:t xml:space="preserve">项目招标文件、中标人投标文件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采购合同</w:t>
      </w:r>
      <w:r>
        <w:rPr>
          <w:rFonts w:hint="eastAsia" w:ascii="宋体" w:hAnsi="宋体" w:eastAsia="宋体" w:cs="宋体"/>
          <w:color w:val="000000"/>
          <w:sz w:val="21"/>
          <w:szCs w:val="21"/>
          <w:highlight w:val="none"/>
          <w:lang w:eastAsia="zh-CN"/>
        </w:rPr>
        <w:t xml:space="preserve">及</w:t>
      </w:r>
      <w:r>
        <w:rPr>
          <w:rFonts w:hint="eastAsia" w:ascii="宋体" w:hAnsi="宋体" w:eastAsia="宋体" w:cs="宋体"/>
          <w:color w:val="000000"/>
          <w:sz w:val="21"/>
          <w:szCs w:val="21"/>
          <w:highlight w:val="none"/>
          <w:lang w:val="zh-CN" w:eastAsia="zh-CN"/>
        </w:rPr>
        <w:t xml:space="preserve">项目既定考核标准为依据</w:t>
      </w:r>
      <w:r>
        <w:rPr>
          <w:rFonts w:hint="eastAsia" w:ascii="宋体" w:hAnsi="宋体" w:eastAsia="宋体" w:cs="宋体"/>
          <w:color w:val="000000"/>
          <w:sz w:val="21"/>
          <w:szCs w:val="21"/>
          <w:highlight w:val="none"/>
        </w:rPr>
        <w:t xml:space="preserve">，由采购人统一组织开展验收工作。</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本项目不接受联合体投标。</w:t>
      </w:r>
      <w:r>
        <w:rPr>
          <w:rFonts w:ascii="宋体" w:hAnsi="宋体" w:cs="宋体"/>
        </w:rPr>
      </w:r>
      <w:r/>
    </w:p>
    <w:p>
      <w:pPr>
        <w:pStyle w:val="865"/>
        <w:ind w:left="0" w:firstLine="422"/>
        <w:pageBreakBefore w:val="0"/>
        <w:spacing w:before="0" w:after="0" w:line="440" w:lineRule="exact"/>
        <w:tabs>
          <w:tab w:val="left" w:pos="576" w:leader="none"/>
        </w:tabs>
        <w:rPr>
          <w:rFonts w:hint="eastAsia" w:ascii="宋体" w:hAnsi="宋体" w:cs="宋体"/>
          <w:color w:val="000000"/>
          <w:sz w:val="21"/>
          <w:szCs w:val="21"/>
          <w:highlight w:val="none"/>
        </w:rPr>
      </w:pPr>
      <w:r>
        <w:rPr>
          <w:rFonts w:ascii="宋体" w:hAnsi="宋体" w:cs="宋体"/>
        </w:rPr>
      </w:r>
      <w:bookmarkStart w:id="6" w:name="_Toc28359013"/>
      <w:r>
        <w:rPr>
          <w:rFonts w:ascii="宋体" w:hAnsi="宋体" w:cs="宋体"/>
        </w:rPr>
      </w:r>
      <w:bookmarkStart w:id="7" w:name="_Toc28359090"/>
      <w:r>
        <w:rPr>
          <w:rFonts w:ascii="宋体" w:hAnsi="宋体" w:cs="宋体"/>
        </w:rPr>
      </w:r>
      <w:bookmarkStart w:id="8" w:name="_Toc35393799"/>
      <w:r>
        <w:rPr>
          <w:rFonts w:ascii="宋体" w:hAnsi="宋体" w:cs="宋体"/>
        </w:rPr>
      </w:r>
      <w:bookmarkStart w:id="9" w:name="_Toc35393630"/>
      <w:r>
        <w:rPr>
          <w:rFonts w:hint="eastAsia" w:ascii="宋体" w:hAnsi="宋体" w:eastAsia="宋体" w:cs="宋体"/>
          <w:color w:val="000000"/>
          <w:sz w:val="21"/>
          <w:szCs w:val="21"/>
          <w:highlight w:val="none"/>
        </w:rPr>
        <w:t xml:space="preserve">二、申请人的资格要求：</w:t>
      </w:r>
      <w:bookmarkEnd w:id="6"/>
      <w:r>
        <w:rPr>
          <w:rFonts w:ascii="宋体" w:hAnsi="宋体" w:cs="宋体"/>
        </w:rPr>
      </w:r>
      <w:bookmarkEnd w:id="7"/>
      <w:r>
        <w:rPr>
          <w:rFonts w:ascii="宋体" w:hAnsi="宋体" w:cs="宋体"/>
        </w:rPr>
      </w:r>
      <w:bookmarkEnd w:id="8"/>
      <w:r>
        <w:rPr>
          <w:rFonts w:ascii="宋体" w:hAnsi="宋体" w:cs="宋体"/>
        </w:rPr>
      </w:r>
      <w:bookmarkEnd w:id="9"/>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1.满足《中华人民共和国政府采购法》第二十二条规定；</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（1）具有独立承担民事责任的能力；</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（2）具有良好的商业信誉和健全的财务会计制度；</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（3）具有履行合同所必需的设备和专业技术能力；</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（4）有依法缴纳税收和社会保障资金的良好记录；</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（5）参加政府采购活动前三年内，在经营活动中没有重大违法记录；</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（6）法律、行政法规规定的其他条件。 </w:t>
      </w:r>
      <w:r>
        <w:rPr>
          <w:rFonts w:ascii="宋体" w:hAnsi="宋体" w:cs="宋体"/>
        </w:rPr>
      </w:r>
      <w:r/>
    </w:p>
    <w:p>
      <w:pPr>
        <w:pStyle w:val="863"/>
        <w:ind w:firstLine="422"/>
        <w:pageBreakBefore w:val="0"/>
        <w:spacing w:line="440" w:lineRule="exact"/>
        <w:rPr>
          <w:rFonts w:hint="eastAsia" w:ascii="宋体" w:hAnsi="宋体" w:cs="宋体"/>
          <w:b/>
          <w:bCs/>
          <w:color w:val="000000"/>
          <w:sz w:val="21"/>
          <w:szCs w:val="21"/>
          <w:highlight w:val="none"/>
        </w:rPr>
      </w:pPr>
      <w:r>
        <w:rPr>
          <w:rFonts w:ascii="宋体" w:hAnsi="宋体" w:cs="宋体"/>
        </w:rPr>
      </w:r>
      <w:bookmarkStart w:id="10" w:name="_Toc28359014"/>
      <w:r>
        <w:rPr>
          <w:rFonts w:ascii="宋体" w:hAnsi="宋体" w:cs="宋体"/>
        </w:rPr>
      </w:r>
      <w:bookmarkStart w:id="11" w:name="_Toc28359091"/>
      <w:r>
        <w:rPr>
          <w:rFonts w:hint="eastAsia" w:ascii="宋体" w:hAnsi="宋体" w:eastAsia="宋体" w:cs="宋体"/>
          <w:b/>
          <w:bCs/>
          <w:color w:val="000000"/>
          <w:sz w:val="21"/>
          <w:szCs w:val="21"/>
          <w:highlight w:val="none"/>
        </w:rPr>
        <w:t xml:space="preserve">2.落实政府采购政策需满足的资格要求：</w:t>
      </w:r>
      <w:r>
        <w:rPr>
          <w:rFonts w:hint="eastAsia" w:ascii="宋体" w:hAnsi="宋体" w:eastAsia="宋体" w:cs="宋体"/>
          <w:b/>
          <w:bCs/>
          <w:color w:val="000000"/>
          <w:sz w:val="21"/>
          <w:szCs w:val="21"/>
          <w:highlight w:val="none"/>
        </w:rPr>
        <w:t xml:space="preserve">根据《政府采购促进中小企业发展管理办法》的相关规定，本项目非专门面向中小企业采购，所属行业为“其他未列明行业”。</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u w:val="single"/>
        </w:rPr>
      </w:pPr>
      <w:r>
        <w:rPr>
          <w:rFonts w:hint="eastAsia" w:ascii="宋体" w:hAnsi="宋体" w:eastAsia="宋体" w:cs="宋体"/>
          <w:color w:val="000000"/>
          <w:sz w:val="21"/>
          <w:szCs w:val="21"/>
          <w:highlight w:val="none"/>
        </w:rPr>
        <w:t xml:space="preserve">3.本项目的特定资格要求：</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（1）未被“信用中国”网站（www.creditchina.gov.cn）或“中国政府采购网”网站（www.ccgp.gov.cn）列入失信被执行人、重大税收违法案件当事人名单、政府采购严重失信行为记录名单；</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（2）本项目</w:t>
      </w:r>
      <w:r>
        <w:rPr>
          <w:rFonts w:hint="eastAsia" w:ascii="宋体" w:hAnsi="宋体" w:eastAsia="宋体" w:cs="宋体"/>
          <w:color w:val="000000"/>
          <w:sz w:val="21"/>
          <w:szCs w:val="21"/>
          <w:highlight w:val="none"/>
          <w:u w:val="single"/>
        </w:rPr>
        <w:t xml:space="preserve">不接受</w:t>
      </w:r>
      <w:r>
        <w:rPr>
          <w:rFonts w:hint="eastAsia" w:ascii="宋体" w:hAnsi="宋体" w:eastAsia="宋体" w:cs="宋体"/>
          <w:color w:val="000000"/>
          <w:sz w:val="21"/>
          <w:szCs w:val="21"/>
          <w:highlight w:val="none"/>
        </w:rPr>
        <w:t xml:space="preserve">联合体投标；</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（3）单位负责人为同一人或者存在直接控股、管理关系的不同供应商（包括法定代表人为同一个人的两个及两个以上法人，母公司、全资子公司及其控股公司），不得参加同一合同项下的政府采购活动。</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（4）法人的分支机构不得参加政府采购活动（除银行、保险、石油石化、电力、电信等行业特殊情况外）。 </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（5）</w:t>
      </w:r>
      <w:bookmarkStart w:id="12" w:name="_Toc35393800"/>
      <w:r>
        <w:rPr>
          <w:rFonts w:ascii="宋体" w:hAnsi="宋体" w:cs="宋体"/>
        </w:rPr>
      </w:r>
      <w:bookmarkStart w:id="13" w:name="_Toc35393631"/>
      <w:r>
        <w:rPr>
          <w:rFonts w:hint="eastAsia" w:ascii="宋体" w:hAnsi="宋体" w:eastAsia="宋体" w:cs="宋体"/>
          <w:color w:val="000000"/>
          <w:sz w:val="21"/>
          <w:szCs w:val="21"/>
          <w:highlight w:val="none"/>
        </w:rPr>
        <w:t xml:space="preserve">本项目的特定资格要求：无。</w:t>
      </w:r>
      <w:r>
        <w:rPr>
          <w:rFonts w:ascii="宋体" w:hAnsi="宋体" w:cs="宋体"/>
        </w:rPr>
      </w:r>
      <w:r/>
    </w:p>
    <w:p>
      <w:pPr>
        <w:pStyle w:val="865"/>
        <w:ind w:left="0" w:firstLine="422"/>
        <w:pageBreakBefore w:val="0"/>
        <w:spacing w:before="0" w:after="0" w:line="440" w:lineRule="exact"/>
        <w:tabs>
          <w:tab w:val="left" w:pos="576"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三、获取招标文件</w:t>
      </w:r>
      <w:bookmarkEnd w:id="10"/>
      <w:r>
        <w:rPr>
          <w:rFonts w:ascii="宋体" w:hAnsi="宋体" w:cs="宋体"/>
        </w:rPr>
      </w:r>
      <w:bookmarkEnd w:id="11"/>
      <w:r>
        <w:rPr>
          <w:rFonts w:ascii="宋体" w:hAnsi="宋体" w:cs="宋体"/>
        </w:rPr>
      </w:r>
      <w:bookmarkEnd w:id="12"/>
      <w:r>
        <w:rPr>
          <w:rFonts w:ascii="宋体" w:hAnsi="宋体" w:cs="宋体"/>
        </w:rPr>
      </w:r>
      <w:bookmarkEnd w:id="13"/>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1.时间：</w:t>
      </w:r>
      <w:r>
        <w:rPr>
          <w:rFonts w:hint="eastAsia" w:ascii="宋体" w:hAnsi="宋体" w:eastAsia="宋体" w:cs="宋体"/>
          <w:color w:val="000000"/>
          <w:spacing w:val="0"/>
          <w:sz w:val="21"/>
          <w:szCs w:val="21"/>
          <w:highlight w:val="none"/>
        </w:rPr>
        <w:t xml:space="preserve">自</w:t>
      </w:r>
      <w:r>
        <w:rPr>
          <w:rFonts w:hint="eastAsia" w:ascii="宋体" w:hAnsi="宋体" w:eastAsia="宋体" w:cs="宋体"/>
          <w:color w:val="000000"/>
          <w:spacing w:val="0"/>
          <w:sz w:val="21"/>
          <w:szCs w:val="21"/>
          <w:highlight w:val="none"/>
          <w:lang w:eastAsia="zh-CN"/>
        </w:rPr>
        <w:t xml:space="preserve">招标</w:t>
      </w:r>
      <w:r>
        <w:rPr>
          <w:rFonts w:hint="eastAsia" w:ascii="宋体" w:hAnsi="宋体" w:eastAsia="宋体" w:cs="宋体"/>
          <w:color w:val="000000"/>
          <w:spacing w:val="0"/>
          <w:sz w:val="21"/>
          <w:szCs w:val="21"/>
          <w:highlight w:val="none"/>
        </w:rPr>
        <w:t xml:space="preserve">公告发布之日起5个工作日</w:t>
      </w:r>
      <w:r>
        <w:rPr>
          <w:rFonts w:hint="eastAsia" w:ascii="宋体" w:hAnsi="宋体" w:eastAsia="宋体" w:cs="宋体"/>
          <w:color w:val="000000"/>
          <w:spacing w:val="0"/>
          <w:sz w:val="21"/>
          <w:szCs w:val="21"/>
          <w:highlight w:val="none"/>
          <w:lang w:eastAsia="zh-CN"/>
        </w:rPr>
        <w:t xml:space="preserve">。</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2.地点：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苏采云政府采购一体化平台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系统自行下载</w:t>
      </w:r>
      <w:r>
        <w:rPr>
          <w:rFonts w:hint="eastAsia" w:ascii="宋体" w:hAnsi="宋体" w:eastAsia="宋体" w:cs="宋体"/>
          <w:color w:val="000000"/>
          <w:sz w:val="21"/>
          <w:szCs w:val="21"/>
          <w:highlight w:val="none"/>
          <w:lang w:eastAsia="zh-CN"/>
        </w:rPr>
        <w:t xml:space="preserve">。</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方式</w:t>
      </w:r>
      <w:r>
        <w:rPr>
          <w:rFonts w:hint="eastAsia" w:ascii="宋体" w:hAnsi="宋体" w:eastAsia="宋体" w:cs="宋体"/>
          <w:color w:val="000000"/>
          <w:sz w:val="21"/>
          <w:szCs w:val="21"/>
          <w:highlight w:val="none"/>
        </w:rPr>
        <w:t xml:space="preserve">：</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（1）CA证书办理 </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000000"/>
          <w:sz w:val="21"/>
          <w:szCs w:val="21"/>
          <w:highlight w:val="none"/>
          <w:lang w:val="zh-CN"/>
        </w:rPr>
        <w:t xml:space="preserve">苏采云”系统目前仅支持“苏采云”系统下的政务CA证书，江苏省内各地区办理的“苏采云”系统下的政务CA证书全省通用。</w:t>
      </w:r>
      <w:r>
        <w:rPr>
          <w:rFonts w:hint="eastAsia" w:ascii="宋体" w:hAnsi="宋体" w:eastAsia="宋体" w:cs="宋体"/>
          <w:b w:val="0"/>
          <w:bCs w:val="0"/>
          <w:color w:val="000000"/>
          <w:sz w:val="21"/>
          <w:szCs w:val="21"/>
          <w:highlight w:val="none"/>
          <w:lang w:val="zh-CN"/>
        </w:rPr>
        <w:t xml:space="preserve">苏州现场办理地址：苏州市高新区邓尉路105号狮山科技馆一楼服务大厅，咨询电话：0512-65737699。 </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（2）参与采购活动 </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（3）电子投标准备 </w:t>
      </w:r>
      <w:r>
        <w:rPr>
          <w:rFonts w:ascii="宋体" w:hAnsi="宋体" w:cs="宋体"/>
        </w:rPr>
      </w:r>
      <w:r/>
    </w:p>
    <w:p>
      <w:pPr>
        <w:pStyle w:val="863"/>
        <w:ind w:firstLine="420"/>
        <w:jc w:val="left"/>
        <w:keepLines w:val="0"/>
        <w:keepNext w:val="0"/>
        <w:pageBreakBefore w:val="0"/>
        <w:spacing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color w:val="000000"/>
          <w:sz w:val="21"/>
          <w:szCs w:val="21"/>
          <w:highlight w:val="none"/>
          <w:lang w:val="zh-CN"/>
        </w:rPr>
        <w:t xml:space="preserve">供应商在“苏采云”系统中操作参与项目后，必须在“已参与项目”界面中下载电子采购文件（后缀名为“.kedt”）并导入政府采购客户端工具后方可进行投标文件制作和提交</w:t>
      </w:r>
      <w:r>
        <w:rPr>
          <w:rFonts w:hint="eastAsia" w:ascii="宋体" w:hAnsi="宋体" w:eastAsia="宋体" w:cs="宋体"/>
          <w:b/>
          <w:bCs/>
          <w:color w:val="000000"/>
          <w:sz w:val="21"/>
          <w:szCs w:val="21"/>
          <w:highlight w:val="none"/>
          <w:lang w:val="zh-CN"/>
        </w:rPr>
        <w:t xml:space="preserve">（具体详见《苏采云系统供应商操作手册》，网址链接https：//czju.suzhou.gov.cn/zfcg/html/content/20231220161910031.shtml）。 </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）补充通知（如有）。成功获取招标文件的供应商通过“苏州市政府采购网”或“苏采云”系统自行查看所报项目的补充通知。</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t xml:space="preserve">在系统操作过程中如有疑问，请按以下方式联系：</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注册咨询：18261002950； </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CA技术咨询电话：400-608-6099； </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签章使用问题：025-83633811、025-83633812、15380932027、15371015030； </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系统使用指导与咨询：联系电话：18261002950；QQ：3048755361、1315179389、895706745；智能客服：登录苏采云系统后，联系系统右下方智能客服图标进行咨询。</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4.售价：</w:t>
      </w:r>
      <w:r>
        <w:rPr>
          <w:rFonts w:hint="eastAsia" w:ascii="宋体" w:hAnsi="宋体" w:eastAsia="宋体" w:cs="宋体"/>
          <w:color w:val="000000"/>
          <w:sz w:val="21"/>
          <w:szCs w:val="21"/>
          <w:highlight w:val="none"/>
          <w:lang w:val="en-US" w:eastAsia="zh-CN"/>
        </w:rPr>
        <w:t xml:space="preserve">0元</w:t>
      </w:r>
      <w:r>
        <w:rPr>
          <w:rFonts w:hint="eastAsia" w:ascii="宋体" w:hAnsi="宋体" w:eastAsia="宋体" w:cs="宋体"/>
          <w:color w:val="000000"/>
          <w:sz w:val="21"/>
          <w:szCs w:val="21"/>
          <w:highlight w:val="none"/>
          <w:lang w:val="zh-CN"/>
        </w:rPr>
        <w:t xml:space="preserve">。</w:t>
      </w:r>
      <w:r>
        <w:rPr>
          <w:rFonts w:ascii="宋体" w:hAnsi="宋体" w:cs="宋体"/>
        </w:rPr>
      </w:r>
      <w:r/>
    </w:p>
    <w:p>
      <w:pPr>
        <w:pStyle w:val="865"/>
        <w:ind w:left="0" w:firstLine="422"/>
        <w:pageBreakBefore w:val="0"/>
        <w:spacing w:before="0" w:after="0" w:line="440" w:lineRule="exact"/>
        <w:tabs>
          <w:tab w:val="left" w:pos="576" w:leader="none"/>
        </w:tabs>
        <w:rPr>
          <w:rFonts w:hint="eastAsia" w:ascii="宋体" w:hAnsi="宋体" w:cs="宋体"/>
          <w:color w:val="000000"/>
          <w:sz w:val="21"/>
          <w:szCs w:val="21"/>
          <w:highlight w:val="none"/>
        </w:rPr>
      </w:pPr>
      <w:r>
        <w:rPr>
          <w:rFonts w:ascii="宋体" w:hAnsi="宋体" w:cs="宋体"/>
        </w:rPr>
      </w:r>
      <w:bookmarkStart w:id="14" w:name="_Toc28359092"/>
      <w:r>
        <w:rPr>
          <w:rFonts w:ascii="宋体" w:hAnsi="宋体" w:cs="宋体"/>
        </w:rPr>
      </w:r>
      <w:bookmarkStart w:id="15" w:name="_Toc28359015"/>
      <w:r>
        <w:rPr>
          <w:rFonts w:ascii="宋体" w:hAnsi="宋体" w:cs="宋体"/>
        </w:rPr>
      </w:r>
      <w:bookmarkStart w:id="16" w:name="_Toc35393632"/>
      <w:r>
        <w:rPr>
          <w:rFonts w:ascii="宋体" w:hAnsi="宋体" w:cs="宋体"/>
        </w:rPr>
      </w:r>
      <w:bookmarkStart w:id="17" w:name="_Toc35393801"/>
      <w:r>
        <w:rPr>
          <w:rFonts w:hint="eastAsia" w:ascii="宋体" w:hAnsi="宋体" w:eastAsia="宋体" w:cs="宋体"/>
          <w:color w:val="000000"/>
          <w:sz w:val="21"/>
          <w:szCs w:val="21"/>
          <w:highlight w:val="none"/>
        </w:rPr>
        <w:t xml:space="preserve">四、</w:t>
      </w:r>
      <w:bookmarkEnd w:id="14"/>
      <w:r>
        <w:rPr>
          <w:rFonts w:ascii="宋体" w:hAnsi="宋体" w:cs="宋体"/>
        </w:rPr>
      </w:r>
      <w:bookmarkEnd w:id="15"/>
      <w:r>
        <w:rPr>
          <w:rFonts w:ascii="宋体" w:hAnsi="宋体" w:cs="宋体"/>
        </w:rPr>
      </w:r>
      <w:bookmarkEnd w:id="16"/>
      <w:r>
        <w:rPr>
          <w:rFonts w:ascii="宋体" w:hAnsi="宋体" w:cs="宋体"/>
        </w:rPr>
      </w:r>
      <w:bookmarkEnd w:id="17"/>
      <w:r>
        <w:rPr>
          <w:rFonts w:hint="eastAsia" w:ascii="宋体" w:hAnsi="宋体" w:eastAsia="宋体" w:cs="宋体"/>
          <w:color w:val="000000"/>
          <w:sz w:val="21"/>
          <w:szCs w:val="21"/>
          <w:highlight w:val="none"/>
          <w:lang w:bidi="ar"/>
        </w:rPr>
        <w:t xml:space="preserve">提交电子投标文件截止时间、开标时间和地点</w:t>
      </w:r>
      <w:r>
        <w:rPr>
          <w:rFonts w:ascii="宋体" w:hAnsi="宋体" w:cs="宋体"/>
        </w:rPr>
      </w:r>
      <w:r/>
    </w:p>
    <w:p>
      <w:pPr>
        <w:pStyle w:val="863"/>
        <w:ind w:firstLine="420"/>
        <w:jc w:val="left"/>
        <w:pageBreakBefore w:val="0"/>
        <w:spacing w:line="440" w:lineRule="exact"/>
        <w:rPr>
          <w:rFonts w:hint="eastAsia" w:ascii="宋体" w:hAnsi="宋体" w:cs="宋体"/>
          <w:color w:val="000000"/>
          <w:sz w:val="21"/>
          <w:szCs w:val="21"/>
          <w:highlight w:val="none"/>
        </w:rPr>
      </w:pPr>
      <w:r>
        <w:rPr>
          <w:rFonts w:ascii="宋体" w:hAnsi="宋体" w:cs="宋体"/>
        </w:rPr>
      </w:r>
      <w:bookmarkStart w:id="18" w:name="_Hlk61337266"/>
      <w:r>
        <w:rPr>
          <w:rFonts w:hint="eastAsia" w:ascii="宋体" w:hAnsi="宋体" w:eastAsia="宋体" w:cs="宋体"/>
          <w:color w:val="000000"/>
          <w:sz w:val="21"/>
          <w:szCs w:val="21"/>
          <w:highlight w:val="none"/>
          <w:lang w:val="en-US" w:eastAsia="zh-CN"/>
        </w:rPr>
        <w:t xml:space="preserve">1.提交投标文件截止时间：202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年1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lang w:val="en-US" w:eastAsia="zh-CN"/>
        </w:rPr>
        <w:t xml:space="preserve">18日13：30（北京时间）； </w:t>
      </w:r>
      <w:r>
        <w:rPr>
          <w:rFonts w:ascii="宋体" w:hAnsi="宋体" w:cs="宋体"/>
        </w:rPr>
      </w:r>
      <w:r/>
    </w:p>
    <w:p>
      <w:pPr>
        <w:pStyle w:val="863"/>
        <w:ind w:firstLine="420"/>
        <w:jc w:val="left"/>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2.开标时间：202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年1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lang w:val="en-US" w:eastAsia="zh-CN"/>
        </w:rPr>
        <w:t xml:space="preserve">18日13：30（北京时间）；</w:t>
      </w:r>
      <w:r>
        <w:rPr>
          <w:rFonts w:ascii="宋体" w:hAnsi="宋体" w:cs="宋体"/>
        </w:rPr>
      </w:r>
      <w:r/>
    </w:p>
    <w:p>
      <w:pPr>
        <w:pStyle w:val="863"/>
        <w:ind w:firstLine="420"/>
        <w:jc w:val="left"/>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3.开标地点：“苏采云”系统（网址：http：//jszfcg.jsczt.cn/）</w:t>
      </w:r>
      <w:r>
        <w:rPr>
          <w:rFonts w:ascii="宋体" w:hAnsi="宋体" w:cs="宋体"/>
        </w:rPr>
      </w:r>
      <w:r/>
    </w:p>
    <w:p>
      <w:pPr>
        <w:pStyle w:val="863"/>
        <w:ind w:firstLine="420"/>
        <w:jc w:val="left"/>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en-US" w:eastAsia="zh-CN"/>
        </w:rPr>
        <w:t xml:space="preserve">本项目采用电子招投标形式，请供应商按照《苏采云系统供应商操作手册》进行制作、上传电子投标文件。</w:t>
      </w:r>
      <w:r>
        <w:rPr>
          <w:rFonts w:hint="eastAsia" w:ascii="宋体" w:hAnsi="宋体" w:eastAsia="宋体" w:cs="宋体"/>
          <w:color w:val="000000"/>
          <w:sz w:val="21"/>
          <w:szCs w:val="21"/>
          <w:highlight w:val="none"/>
          <w:lang w:val="en-US" w:eastAsia="zh-CN"/>
        </w:rPr>
        <w:t xml:space="preserve">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宋体" w:hAnsi="宋体" w:cs="宋体"/>
        </w:rPr>
      </w:r>
      <w:r/>
    </w:p>
    <w:p>
      <w:pPr>
        <w:pStyle w:val="863"/>
        <w:ind w:firstLine="420"/>
        <w:jc w:val="left"/>
        <w:pageBreakBefore w:val="0"/>
        <w:spacing w:line="440" w:lineRule="exact"/>
        <w:rPr>
          <w:rFonts w:hint="eastAsia" w:ascii="宋体" w:hAnsi="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1"/>
          <w:szCs w:val="21"/>
          <w:highlight w:val="none"/>
          <w:lang w:val="en-US" w:eastAsia="zh-CN"/>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ascii="宋体" w:hAnsi="宋体" w:cs="宋体"/>
        </w:rPr>
      </w:r>
      <w:r/>
    </w:p>
    <w:p>
      <w:pPr>
        <w:pStyle w:val="863"/>
        <w:ind w:firstLine="422"/>
        <w:jc w:val="left"/>
        <w:pageBreakBefore w:val="0"/>
        <w:spacing w:line="44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请供应商确保电脑、系统及其他设备（视频输入输出设备等）无误，且开标直至项目结束始终保持系统在线状态。</w:t>
      </w:r>
      <w:r>
        <w:rPr>
          <w:rFonts w:ascii="宋体" w:hAnsi="宋体" w:cs="宋体"/>
        </w:rPr>
      </w:r>
      <w:r/>
    </w:p>
    <w:p>
      <w:pPr>
        <w:pStyle w:val="863"/>
        <w:ind w:firstLine="422"/>
        <w:pageBreakBefore w:val="0"/>
        <w:spacing w:line="440" w:lineRule="exact"/>
        <w:rPr>
          <w:rFonts w:hint="eastAsia" w:ascii="宋体" w:hAnsi="宋体" w:cs="宋体"/>
          <w:b/>
          <w:bCs/>
          <w:color w:val="000000"/>
          <w:sz w:val="21"/>
          <w:szCs w:val="21"/>
          <w:highlight w:val="none"/>
        </w:rPr>
        <w:outlineLvl w:val="1"/>
      </w:pPr>
      <w:r>
        <w:rPr>
          <w:rFonts w:ascii="宋体" w:hAnsi="宋体" w:cs="宋体"/>
        </w:rPr>
      </w:r>
      <w:bookmarkEnd w:id="18"/>
      <w:r>
        <w:rPr>
          <w:rFonts w:ascii="宋体" w:hAnsi="宋体" w:cs="宋体"/>
        </w:rPr>
      </w:r>
      <w:bookmarkStart w:id="19" w:name="_Toc28359017"/>
      <w:r>
        <w:rPr>
          <w:rFonts w:ascii="宋体" w:hAnsi="宋体" w:cs="宋体"/>
        </w:rPr>
      </w:r>
      <w:bookmarkStart w:id="20" w:name="_Toc35393803"/>
      <w:r>
        <w:rPr>
          <w:rFonts w:ascii="宋体" w:hAnsi="宋体" w:cs="宋体"/>
        </w:rPr>
      </w:r>
      <w:bookmarkStart w:id="21" w:name="_Toc35393634"/>
      <w:r>
        <w:rPr>
          <w:rFonts w:ascii="宋体" w:hAnsi="宋体" w:cs="宋体"/>
        </w:rPr>
      </w:r>
      <w:bookmarkStart w:id="22" w:name="_Toc28359094"/>
      <w:r>
        <w:rPr>
          <w:rFonts w:hint="eastAsia" w:ascii="宋体" w:hAnsi="宋体" w:eastAsia="宋体" w:cs="宋体"/>
          <w:b/>
          <w:bCs/>
          <w:color w:val="000000"/>
          <w:sz w:val="21"/>
          <w:szCs w:val="21"/>
          <w:highlight w:val="none"/>
        </w:rPr>
        <w:t xml:space="preserve">五、公告期限</w:t>
      </w:r>
      <w:bookmarkEnd w:id="19"/>
      <w:r>
        <w:rPr>
          <w:rFonts w:ascii="宋体" w:hAnsi="宋体" w:cs="宋体"/>
        </w:rPr>
      </w:r>
      <w:bookmarkEnd w:id="20"/>
      <w:r>
        <w:rPr>
          <w:rFonts w:ascii="宋体" w:hAnsi="宋体" w:cs="宋体"/>
        </w:rPr>
      </w:r>
      <w:bookmarkEnd w:id="21"/>
      <w:r>
        <w:rPr>
          <w:rFonts w:ascii="宋体" w:hAnsi="宋体" w:cs="宋体"/>
        </w:rPr>
      </w:r>
      <w:bookmarkEnd w:id="22"/>
      <w:r>
        <w:rPr>
          <w:rFonts w:ascii="宋体" w:hAnsi="宋体" w:cs="宋体"/>
        </w:rPr>
      </w:r>
      <w:r/>
    </w:p>
    <w:p>
      <w:pPr>
        <w:pStyle w:val="863"/>
        <w:ind w:firstLine="420"/>
        <w:pageBreakBefore w:val="0"/>
        <w:spacing w:line="440" w:lineRule="exact"/>
        <w:tabs>
          <w:tab w:val="center" w:pos="4951"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自本公告发布之日起5个工作日。</w:t>
      </w:r>
      <w:r>
        <w:rPr>
          <w:rFonts w:hint="eastAsia" w:ascii="宋体" w:hAnsi="宋体" w:eastAsia="宋体" w:cs="宋体"/>
          <w:color w:val="000000"/>
          <w:sz w:val="21"/>
          <w:szCs w:val="21"/>
          <w:highlight w:val="none"/>
          <w:lang w:eastAsia="zh-CN"/>
        </w:rPr>
        <w:tab/>
      </w:r>
      <w:r>
        <w:rPr>
          <w:rFonts w:ascii="宋体" w:hAnsi="宋体" w:cs="宋体"/>
        </w:rPr>
      </w:r>
      <w:r/>
    </w:p>
    <w:p>
      <w:pPr>
        <w:pStyle w:val="865"/>
        <w:ind w:left="0" w:firstLine="422"/>
        <w:pageBreakBefore w:val="0"/>
        <w:spacing w:before="0" w:after="0" w:line="440" w:lineRule="exact"/>
        <w:tabs>
          <w:tab w:val="left" w:pos="576" w:leader="none"/>
        </w:tabs>
        <w:rPr>
          <w:rFonts w:hint="eastAsia" w:ascii="宋体" w:hAnsi="宋体" w:cs="宋体"/>
          <w:color w:val="000000"/>
          <w:sz w:val="21"/>
          <w:szCs w:val="21"/>
          <w:highlight w:val="none"/>
        </w:rPr>
      </w:pPr>
      <w:r>
        <w:rPr>
          <w:rFonts w:ascii="宋体" w:hAnsi="宋体" w:cs="宋体"/>
        </w:rPr>
      </w:r>
      <w:bookmarkStart w:id="23" w:name="_Toc35393635"/>
      <w:r>
        <w:rPr>
          <w:rFonts w:ascii="宋体" w:hAnsi="宋体" w:cs="宋体"/>
        </w:rPr>
      </w:r>
      <w:bookmarkStart w:id="24" w:name="_Toc35393804"/>
      <w:r>
        <w:rPr>
          <w:rFonts w:hint="eastAsia" w:ascii="宋体" w:hAnsi="宋体" w:eastAsia="宋体" w:cs="宋体"/>
          <w:color w:val="000000"/>
          <w:sz w:val="21"/>
          <w:szCs w:val="21"/>
          <w:highlight w:val="none"/>
        </w:rPr>
        <w:t xml:space="preserve">六、其他补充事宜</w:t>
      </w:r>
      <w:bookmarkEnd w:id="23"/>
      <w:r>
        <w:rPr>
          <w:rFonts w:ascii="宋体" w:hAnsi="宋体" w:cs="宋体"/>
        </w:rPr>
      </w:r>
      <w:bookmarkEnd w:id="24"/>
      <w:r>
        <w:rPr>
          <w:rFonts w:ascii="宋体" w:hAnsi="宋体" w:cs="宋体"/>
        </w:rPr>
      </w:r>
      <w:r/>
    </w:p>
    <w:p>
      <w:pPr>
        <w:pStyle w:val="863"/>
        <w:ind w:firstLine="420"/>
        <w:jc w:val="left"/>
        <w:keepLines w:val="0"/>
        <w:keepNext w:val="0"/>
        <w:pageBreakBefore w:val="0"/>
        <w:spacing w:line="440" w:lineRule="exact"/>
        <w:rPr>
          <w:rFonts w:hint="eastAsia" w:ascii="宋体" w:hAnsi="宋体" w:cs="宋体"/>
          <w:color w:val="000000"/>
          <w:sz w:val="21"/>
          <w:szCs w:val="21"/>
          <w:highlight w:val="none"/>
        </w:rPr>
      </w:pPr>
      <w:r>
        <w:rPr>
          <w:rFonts w:ascii="宋体" w:hAnsi="宋体" w:cs="宋体"/>
        </w:rPr>
      </w:r>
      <w:bookmarkStart w:id="25" w:name="_Toc28359018"/>
      <w:r>
        <w:rPr>
          <w:rFonts w:ascii="宋体" w:hAnsi="宋体" w:cs="宋体"/>
        </w:rPr>
      </w:r>
      <w:bookmarkStart w:id="26" w:name="_Toc35393636"/>
      <w:r>
        <w:rPr>
          <w:rFonts w:ascii="宋体" w:hAnsi="宋体" w:cs="宋体"/>
        </w:rPr>
      </w:r>
      <w:bookmarkStart w:id="27" w:name="_Toc35393805"/>
      <w:r>
        <w:rPr>
          <w:rFonts w:ascii="宋体" w:hAnsi="宋体" w:cs="宋体"/>
        </w:rPr>
      </w:r>
      <w:bookmarkStart w:id="28" w:name="_Toc28359095"/>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“苏采云”系统网址：http</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//jszfcg.jsczt.cn/</w:t>
      </w:r>
      <w:r>
        <w:rPr>
          <w:rFonts w:hint="eastAsia" w:ascii="宋体" w:hAnsi="宋体" w:eastAsia="宋体" w:cs="宋体"/>
          <w:color w:val="000000"/>
          <w:sz w:val="21"/>
          <w:szCs w:val="21"/>
          <w:highlight w:val="none"/>
          <w:lang w:eastAsia="zh-CN"/>
        </w:rPr>
        <w:t xml:space="preserve">。</w:t>
      </w:r>
      <w:r>
        <w:rPr>
          <w:rFonts w:ascii="宋体" w:hAnsi="宋体" w:cs="宋体"/>
        </w:rPr>
      </w:r>
      <w:r/>
    </w:p>
    <w:p>
      <w:pPr>
        <w:pStyle w:val="863"/>
        <w:ind w:firstLine="420"/>
        <w:jc w:val="left"/>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.本项目获取采购文件截止日期之后仍可以下载采购文件，但截止日期之后下载的采购文件，视为非有效方式且不作为供应商权益受到损害的证明材料和依据。</w:t>
      </w:r>
      <w:r>
        <w:rPr>
          <w:rFonts w:ascii="宋体" w:hAnsi="宋体" w:cs="宋体"/>
        </w:rPr>
      </w:r>
      <w:r/>
    </w:p>
    <w:p>
      <w:pPr>
        <w:pStyle w:val="863"/>
        <w:ind w:firstLine="420"/>
        <w:jc w:val="left"/>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3.苏州吴江区政府采购办公室监督电话：0512-63982393。</w:t>
      </w:r>
      <w:r>
        <w:rPr>
          <w:rFonts w:ascii="宋体" w:hAnsi="宋体" w:cs="宋体"/>
        </w:rPr>
      </w:r>
      <w:r/>
    </w:p>
    <w:p>
      <w:pPr>
        <w:pStyle w:val="863"/>
        <w:ind w:firstLine="420"/>
        <w:jc w:val="left"/>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4.根据苏州市财政局《关于深入开展苏州市政府采购合同信用融资业务的通知》相关要求，本项目支持政府采购合同信用融资。</w:t>
      </w:r>
      <w:r>
        <w:rPr>
          <w:rFonts w:ascii="宋体" w:hAnsi="宋体" w:cs="宋体"/>
        </w:rPr>
      </w:r>
      <w:r/>
    </w:p>
    <w:p>
      <w:pPr>
        <w:pStyle w:val="863"/>
        <w:ind w:firstLine="420"/>
        <w:jc w:val="left"/>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.本次采购的相关信息刊登在</w:t>
      </w:r>
      <w:r>
        <w:rPr>
          <w:rFonts w:hint="eastAsia" w:ascii="宋体" w:hAnsi="宋体" w:eastAsia="宋体" w:cs="宋体"/>
          <w:color w:val="000000"/>
          <w:sz w:val="21"/>
          <w:szCs w:val="21"/>
          <w:highlight w:val="none"/>
          <w:lang w:eastAsia="zh-CN"/>
        </w:rPr>
        <w:t xml:space="preserve">中国政府采购网、</w:t>
      </w:r>
      <w:r>
        <w:rPr>
          <w:rFonts w:hint="eastAsia" w:ascii="宋体" w:hAnsi="宋体" w:eastAsia="宋体" w:cs="宋体"/>
          <w:color w:val="000000"/>
          <w:sz w:val="21"/>
          <w:szCs w:val="21"/>
          <w:highlight w:val="none"/>
        </w:rPr>
        <w:t xml:space="preserve">江苏政府采购网、苏州</w:t>
      </w:r>
      <w:r>
        <w:rPr>
          <w:rFonts w:hint="eastAsia" w:ascii="宋体" w:hAnsi="宋体" w:eastAsia="宋体" w:cs="宋体"/>
          <w:color w:val="000000"/>
          <w:sz w:val="21"/>
          <w:szCs w:val="21"/>
          <w:highlight w:val="none"/>
          <w:lang w:eastAsia="zh-CN"/>
        </w:rPr>
        <w:t xml:space="preserve">市</w:t>
      </w:r>
      <w:r>
        <w:rPr>
          <w:rFonts w:hint="eastAsia" w:ascii="宋体" w:hAnsi="宋体" w:eastAsia="宋体" w:cs="宋体"/>
          <w:color w:val="000000"/>
          <w:sz w:val="21"/>
          <w:szCs w:val="21"/>
          <w:highlight w:val="none"/>
        </w:rPr>
        <w:t xml:space="preserve">政府采购网。</w:t>
      </w:r>
      <w:r>
        <w:rPr>
          <w:rFonts w:ascii="宋体" w:hAnsi="宋体" w:cs="宋体"/>
        </w:rPr>
      </w:r>
      <w:r/>
    </w:p>
    <w:p>
      <w:pPr>
        <w:pStyle w:val="863"/>
        <w:ind w:firstLine="422"/>
        <w:jc w:val="left"/>
        <w:pageBreakBefore w:val="0"/>
        <w:spacing w:line="440" w:lineRule="exact"/>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七、凡对本次招标提出询问，请按以下方式联系</w:t>
      </w:r>
      <w:bookmarkEnd w:id="25"/>
      <w:r>
        <w:rPr>
          <w:rFonts w:ascii="宋体" w:hAnsi="宋体" w:cs="宋体"/>
        </w:rPr>
      </w:r>
      <w:bookmarkEnd w:id="26"/>
      <w:r>
        <w:rPr>
          <w:rFonts w:ascii="宋体" w:hAnsi="宋体" w:cs="宋体"/>
        </w:rPr>
      </w:r>
      <w:bookmarkEnd w:id="27"/>
      <w:r>
        <w:rPr>
          <w:rFonts w:ascii="宋体" w:hAnsi="宋体" w:cs="宋体"/>
        </w:rPr>
      </w:r>
      <w:bookmarkEnd w:id="28"/>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outlineLvl w:val="2"/>
      </w:pPr>
      <w:r>
        <w:rPr>
          <w:rFonts w:ascii="宋体" w:hAnsi="宋体" w:cs="宋体"/>
        </w:rPr>
      </w:r>
      <w:bookmarkStart w:id="29" w:name="_Toc28359075"/>
      <w:r>
        <w:rPr>
          <w:rFonts w:ascii="宋体" w:hAnsi="宋体" w:cs="宋体"/>
        </w:rPr>
      </w:r>
      <w:bookmarkStart w:id="30" w:name="_Toc35393786"/>
      <w:r>
        <w:rPr>
          <w:rFonts w:ascii="宋体" w:hAnsi="宋体" w:cs="宋体"/>
        </w:rPr>
      </w:r>
      <w:bookmarkStart w:id="31" w:name="_Toc28358998"/>
      <w:r>
        <w:rPr>
          <w:rFonts w:ascii="宋体" w:hAnsi="宋体" w:cs="宋体"/>
        </w:rPr>
      </w:r>
      <w:bookmarkStart w:id="32" w:name="_Toc35393617"/>
      <w:r>
        <w:rPr>
          <w:rFonts w:hint="eastAsia" w:ascii="宋体" w:hAnsi="宋体" w:eastAsia="宋体" w:cs="宋体"/>
          <w:color w:val="000000"/>
          <w:sz w:val="21"/>
          <w:szCs w:val="21"/>
          <w:highlight w:val="none"/>
        </w:rPr>
        <w:t xml:space="preserve">1.采购人信息</w:t>
      </w:r>
      <w:bookmarkEnd w:id="29"/>
      <w:r>
        <w:rPr>
          <w:rFonts w:ascii="宋体" w:hAnsi="宋体" w:cs="宋体"/>
        </w:rPr>
      </w:r>
      <w:bookmarkEnd w:id="30"/>
      <w:r>
        <w:rPr>
          <w:rFonts w:ascii="宋体" w:hAnsi="宋体" w:cs="宋体"/>
        </w:rPr>
      </w:r>
      <w:bookmarkEnd w:id="31"/>
      <w:r>
        <w:rPr>
          <w:rFonts w:ascii="宋体" w:hAnsi="宋体" w:cs="宋体"/>
        </w:rPr>
      </w:r>
      <w:bookmarkEnd w:id="32"/>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名  称：</w:t>
      </w:r>
      <w:r>
        <w:rPr>
          <w:rFonts w:hint="eastAsia" w:ascii="宋体" w:hAnsi="宋体" w:eastAsia="宋体" w:cs="宋体"/>
          <w:color w:val="000000"/>
          <w:sz w:val="21"/>
          <w:szCs w:val="21"/>
          <w:highlight w:val="none"/>
          <w:lang w:eastAsia="zh-CN"/>
        </w:rPr>
        <w:t xml:space="preserve">苏州市吴江区市场监督管理局</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地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址：</w:t>
      </w:r>
      <w:bookmarkStart w:id="33" w:name="_Toc28359077"/>
      <w:r>
        <w:rPr>
          <w:rFonts w:ascii="宋体" w:hAnsi="宋体" w:cs="宋体"/>
        </w:rPr>
      </w:r>
      <w:bookmarkStart w:id="34" w:name="_Toc35393788"/>
      <w:r>
        <w:rPr>
          <w:rFonts w:ascii="宋体" w:hAnsi="宋体" w:cs="宋体"/>
        </w:rPr>
      </w:r>
      <w:bookmarkStart w:id="35" w:name="_Toc28359000"/>
      <w:r>
        <w:rPr>
          <w:rFonts w:ascii="宋体" w:hAnsi="宋体" w:cs="宋体"/>
        </w:rPr>
      </w:r>
      <w:bookmarkStart w:id="36" w:name="_Toc35393619"/>
      <w:r>
        <w:rPr>
          <w:rFonts w:hint="eastAsia" w:ascii="宋体" w:hAnsi="宋体" w:eastAsia="宋体" w:cs="宋体"/>
          <w:color w:val="000000"/>
          <w:sz w:val="21"/>
          <w:szCs w:val="21"/>
          <w:highlight w:val="none"/>
          <w:lang w:eastAsia="zh-CN"/>
        </w:rPr>
        <w:t xml:space="preserve">苏州市吴江区开平路550号</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联系人：</w:t>
      </w:r>
      <w:r>
        <w:rPr>
          <w:rFonts w:hint="eastAsia" w:ascii="宋体" w:hAnsi="宋体" w:eastAsia="宋体" w:cs="宋体"/>
          <w:color w:val="000000"/>
          <w:sz w:val="21"/>
          <w:szCs w:val="21"/>
          <w:highlight w:val="none"/>
          <w:lang w:val="en-US" w:eastAsia="zh-CN" w:bidi="ar-SA"/>
        </w:rPr>
        <w:t xml:space="preserve">董驰   </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联系电话：0512-63481788</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outlineLvl w:val="2"/>
      </w:pPr>
      <w:r>
        <w:rPr>
          <w:rFonts w:hint="eastAsia" w:ascii="宋体" w:hAnsi="宋体" w:eastAsia="宋体" w:cs="宋体"/>
          <w:color w:val="000000"/>
          <w:sz w:val="21"/>
          <w:szCs w:val="21"/>
          <w:highlight w:val="none"/>
        </w:rPr>
        <w:t xml:space="preserve">2.代理机构联系方式</w:t>
      </w:r>
      <w:bookmarkEnd w:id="33"/>
      <w:r>
        <w:rPr>
          <w:rFonts w:ascii="宋体" w:hAnsi="宋体" w:cs="宋体"/>
        </w:rPr>
      </w:r>
      <w:bookmarkEnd w:id="34"/>
      <w:r>
        <w:rPr>
          <w:rFonts w:ascii="宋体" w:hAnsi="宋体" w:cs="宋体"/>
        </w:rPr>
      </w:r>
      <w:bookmarkEnd w:id="35"/>
      <w:r>
        <w:rPr>
          <w:rFonts w:ascii="宋体" w:hAnsi="宋体" w:cs="宋体"/>
        </w:rPr>
      </w:r>
      <w:bookmarkEnd w:id="36"/>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名  称</w:t>
      </w:r>
      <w:bookmarkStart w:id="37" w:name="XTDLJG_2"/>
      <w:r>
        <w:rPr>
          <w:rFonts w:hint="eastAsia" w:ascii="宋体" w:hAnsi="宋体" w:eastAsia="宋体" w:cs="宋体"/>
          <w:color w:val="000000"/>
          <w:sz w:val="21"/>
          <w:szCs w:val="21"/>
          <w:highlight w:val="none"/>
        </w:rPr>
        <w:t xml:space="preserve">：</w:t>
      </w:r>
      <w:bookmarkEnd w:id="37"/>
      <w:r>
        <w:rPr>
          <w:rFonts w:hint="eastAsia" w:ascii="宋体" w:hAnsi="宋体" w:eastAsia="宋体" w:cs="宋体"/>
          <w:color w:val="000000"/>
          <w:sz w:val="21"/>
          <w:szCs w:val="21"/>
          <w:highlight w:val="none"/>
        </w:rPr>
        <w:t xml:space="preserve">苏州欣禾诚工程咨询服务有限公司</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lang w:eastAsia="zh-CN"/>
        </w:rPr>
        <w:t xml:space="preserve">苏州市吴江区通虹路68号中科联合创业园2楼209室</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联系人：朱思薇、沈雪娟</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电　话：0512-63659266　　　　　</w:t>
      </w:r>
      <w:r>
        <w:rPr>
          <w:rFonts w:hint="eastAsia" w:ascii="宋体" w:hAnsi="宋体" w:cs="宋体"/>
          <w:color w:val="000000"/>
          <w:sz w:val="21"/>
          <w:szCs w:val="21"/>
          <w:highlight w:val="none"/>
        </w:rPr>
        <w:t xml:space="preserve">　　　                       </w:t>
      </w:r>
      <w:r>
        <w:rPr>
          <w:rFonts w:ascii="宋体" w:hAnsi="宋体" w:cs="宋体"/>
        </w:rPr>
      </w:r>
      <w:r/>
    </w:p>
    <w:p>
      <w:pPr>
        <w:pStyle w:val="863"/>
        <w:ind w:firstLine="420"/>
        <w:jc w:val="right"/>
        <w:spacing w:line="42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63"/>
        <w:ind w:firstLine="420"/>
        <w:jc w:val="right"/>
        <w:spacing w:line="420" w:lineRule="exact"/>
        <w:widowControl/>
        <w:rPr>
          <w:rFonts w:hint="eastAsia" w:ascii="宋体" w:hAnsi="宋体" w:cs="宋体"/>
          <w:b/>
          <w:bCs/>
          <w:color w:val="000000"/>
          <w:sz w:val="44"/>
          <w:szCs w:val="44"/>
          <w:highlight w:val="none"/>
        </w:rPr>
      </w:pPr>
      <w:r>
        <w:rPr>
          <w:rFonts w:hint="eastAsia" w:ascii="宋体" w:hAnsi="宋体" w:cs="宋体"/>
          <w:color w:val="000000"/>
          <w:sz w:val="21"/>
          <w:szCs w:val="21"/>
          <w:highlight w:val="none"/>
        </w:rPr>
        <w:t xml:space="preserve">    </w:t>
      </w:r>
      <w:bookmarkStart w:id="38" w:name="_Toc414602014"/>
      <w:r>
        <w:rPr>
          <w:rFonts w:ascii="宋体" w:hAnsi="宋体" w:cs="宋体"/>
        </w:rPr>
      </w:r>
      <w:r/>
    </w:p>
    <w:p>
      <w:pPr>
        <w:pStyle w:val="863"/>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105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63"/>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1055"/>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76"/>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76"/>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76"/>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63"/>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63"/>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76"/>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914"/>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914"/>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hint="eastAsia" w:ascii="宋体" w:hAnsi="宋体" w:cs="宋体"/>
          <w:b/>
          <w:bCs/>
          <w:color w:val="000000"/>
          <w:sz w:val="44"/>
          <w:szCs w:val="44"/>
          <w:highlight w:val="none"/>
        </w:rPr>
      </w:r>
      <w:r/>
    </w:p>
    <w:p>
      <w:pPr>
        <w:pStyle w:val="914"/>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jc w:val="center"/>
        <w:rPr>
          <w:rFonts w:ascii="宋体" w:hAnsi="宋体" w:cs="宋体"/>
          <w:b/>
          <w:bCs/>
          <w:color w:val="000000"/>
          <w:sz w:val="44"/>
          <w:szCs w:val="44"/>
          <w:highlight w:val="none"/>
        </w:rPr>
        <w:outlineLvl w:val="0"/>
      </w:pPr>
      <w:r>
        <w:rPr>
          <w:rFonts w:ascii="宋体" w:hAnsi="宋体" w:cs="宋体"/>
        </w:rPr>
      </w:r>
      <w:bookmarkStart w:id="39" w:name="_Toc698"/>
      <w:r>
        <w:rPr>
          <w:rFonts w:hint="eastAsia" w:ascii="宋体" w:hAnsi="宋体" w:eastAsia="宋体" w:cs="宋体"/>
          <w:b/>
          <w:bCs/>
          <w:color w:val="000000"/>
          <w:sz w:val="44"/>
          <w:szCs w:val="44"/>
          <w:highlight w:val="none"/>
        </w:rPr>
        <w:t xml:space="preserve">第二章</w:t>
      </w:r>
      <w:r>
        <w:rPr>
          <w:rFonts w:ascii="宋体" w:hAnsi="宋体" w:cs="宋体"/>
          <w:b/>
          <w:bCs/>
          <w:color w:val="000000"/>
          <w:sz w:val="44"/>
          <w:szCs w:val="44"/>
          <w:highlight w:val="none"/>
        </w:rPr>
        <w:t xml:space="preserve">  </w:t>
      </w:r>
      <w:r>
        <w:rPr>
          <w:rFonts w:hint="eastAsia" w:ascii="宋体" w:hAnsi="宋体" w:eastAsia="宋体" w:cs="宋体"/>
          <w:b/>
          <w:bCs/>
          <w:color w:val="000000"/>
          <w:sz w:val="44"/>
          <w:szCs w:val="44"/>
          <w:highlight w:val="none"/>
        </w:rPr>
        <w:t xml:space="preserve">投标人须知</w:t>
      </w:r>
      <w:bookmarkEnd w:id="39"/>
      <w:r>
        <w:rPr>
          <w:rFonts w:ascii="宋体" w:hAnsi="宋体" w:cs="宋体"/>
        </w:rPr>
      </w:r>
      <w:r/>
    </w:p>
    <w:p>
      <w:pPr>
        <w:pStyle w:val="863"/>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说明和释义</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说明</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本招标文件仅适用于苏州欣禾诚工程咨询服务有限公司组织的招标活动。</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本次招标活动及因本次招标产生的合同受中国法律制约和保护。</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本招标文件的解释权属于苏州欣禾诚工程咨询服务有限公司。</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词语释义</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招标代理机构：具体组织实施招标活动的法人。</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采购</w:t>
      </w:r>
      <w:r>
        <w:rPr>
          <w:rFonts w:hint="eastAsia" w:ascii="宋体" w:hAnsi="宋体" w:eastAsia="宋体" w:cs="宋体"/>
          <w:color w:val="000000"/>
          <w:sz w:val="21"/>
          <w:szCs w:val="21"/>
          <w:highlight w:val="none"/>
          <w:lang w:val="zh-CN"/>
        </w:rPr>
        <w:t xml:space="preserve">单位）</w:t>
      </w:r>
      <w:r>
        <w:rPr>
          <w:rFonts w:hint="eastAsia" w:ascii="宋体" w:hAnsi="宋体" w:eastAsia="宋体" w:cs="宋体"/>
          <w:color w:val="000000"/>
          <w:sz w:val="21"/>
          <w:szCs w:val="21"/>
          <w:highlight w:val="none"/>
        </w:rPr>
        <w:t xml:space="preserve">：指依法进行政府采购的国家机关、事业单位、团体组织。</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投标人（投标单位）：经认定有资格响应招标，参加投标竞争的法人或其他组织和自然人。</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响应：投标人根据招标代理机构或招标代理机构发布的招标文件，编制投标文件并按规定投标的行为。</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合同：采供双方根据招标文件和中标的投标文件及中标通知书规定的内容签署的以书面形式所达成的协议，包括所有的附件、附录和构成协议的所有文件。</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甲方（委托方）：合同中明确规定的实际购买货物和服务的法人或其他组织和自然人 。</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乙方（服务方）：合同中规定的向采购单位提供货物和服务的法人或其他组织和自然人。</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评标委员会：是指在招标投标和政府采购活动中，依法由采购人代表和有关技术、经济等方面的专家组建，负责对投标文件进行评审并提出评审意见的临时性权威机构。</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服务：系指本次招标文件规定乙方应承担的与提供货物和服务有关的辅助服务，比如运输、保险、安装、调试、提供技术援助、培训、配合措施、维修响应及合同中规定乙方应承担的其他义务。</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货物：系指乙方按招标文件规定，应向甲方提供的一切设备、备品、备件、工具、手册及其它有关技术资料和材料。</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知识产权：指专利权、商标权、著作权等无形财产专有权的统称。</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天：日历日。</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服务地点：合同中明确约定的乙方履行服务的最终地点。</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交货地点：合同中明确约定的乙方提交的货物和服务最终交付地点（本项目不涉及）。</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合同价款：根据合同规定，乙方在正确地履行合同义务后甲方应支付乙方的价款。</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产地：货物开采、生长、生产、最终制造、加工或提供服务的来源地。</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不可抗力：不能预见、不能避免并且不能克服的客观情况。</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实质性响应：满足有关本次采购标的、数量、质量、价款或者报酬、履行期限、履行地点和方式、违约责任和解决争议方法等要求。</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进口产品：指通过中国海关报关验收进入中国境内且产自境外的产品，具体按照苏财购〔2008〕14号江苏省财政厅转发财政部办公厅关于政府采购进口产品管理有关问题的通知的规定。</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书面形式：指书面文字、合同书、信件和数据电文（包括电报、电传、传真、电子数据交换和电子邮件）等可以有形地表现所载内容的形式。</w:t>
      </w:r>
      <w:r>
        <w:rPr>
          <w:rFonts w:ascii="宋体" w:hAnsi="宋体" w:cs="宋体"/>
        </w:rPr>
      </w:r>
      <w:r/>
    </w:p>
    <w:p>
      <w:pPr>
        <w:pStyle w:val="863"/>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投标人</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合格投标人的范围</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符合《中华人民共和国政府采购法》第二十二条第一款之规定。</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合格投标人的特定条件</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见投标邀请函</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投标委托</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指全权代表投标人参加投标活动并签署投标文件的人，如果投标人代表不是法定代表人，须持有《法定代表人代表授权委托书》（详见统一格式）。</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投标费用</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无论投标过程的做法和结果如何，投标人自行承担所有与参加投标有关的全部费用。</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联合投标</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本项目不接受联合投标。</w:t>
      </w:r>
      <w:r>
        <w:rPr>
          <w:rFonts w:ascii="宋体" w:hAnsi="宋体" w:cs="宋体"/>
        </w:rPr>
      </w:r>
      <w:r/>
    </w:p>
    <w:p>
      <w:pPr>
        <w:pStyle w:val="863"/>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招标文件的说明</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招标文件</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招标文件由招标文件目录所列内容组成，投标人下载招标文件后，投标人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招标文件及其更正公告不是直接从江苏政府采购网、苏州市政府采购网上获得的，招标采购单位对招标文件及其补遗的真实性、完整性不承担任何责任。</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现场考察</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投标人自行对有关现场和周围环境进行考察，以获取编制投标文件和签署合同所需的信息。考察现场所发生的费用由投标人自己承担。</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招标采购单位向投标人提供的有关现场的资料和数据，是招标采购单位现有的并认为能使投标人可利用的资料。招标采购单位对投标人由此而做出的推论、理解和结论概不负责。</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经招标采购单位允许，投标人可为考察目的进入招标采购单位的项目现场，但投标人不得因此使招标采购单位承担有关的责任和蒙受损失。投标人应承担考察现场的责任和风险。</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招标文件的澄清和修改</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采购人无论出于自己的考虑，还是出于对投标人提问的澄清，均可对招标文件用更正公告的方式进行澄清或者修改，并通过</w:t>
      </w:r>
      <w:r>
        <w:rPr>
          <w:rFonts w:hint="eastAsia" w:ascii="宋体" w:hAnsi="宋体" w:eastAsia="宋体" w:cs="宋体"/>
          <w:color w:val="000000"/>
          <w:sz w:val="21"/>
          <w:szCs w:val="21"/>
          <w:highlight w:val="none"/>
          <w:lang w:eastAsia="zh-CN"/>
        </w:rPr>
        <w:t xml:space="preserve">中国政府采购网、</w:t>
      </w:r>
      <w:r>
        <w:rPr>
          <w:rFonts w:hint="eastAsia" w:ascii="宋体" w:hAnsi="宋体" w:eastAsia="宋体" w:cs="宋体"/>
          <w:color w:val="000000"/>
          <w:sz w:val="21"/>
          <w:szCs w:val="21"/>
          <w:highlight w:val="none"/>
        </w:rPr>
        <w:t xml:space="preserve">江苏政府采购网、苏州市政府采购网对外进行发布。</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对于补充通知（包括更正公告），报名成功的供应商通过“苏州市政府采购网”的“采购公告”自行查看所报项目的补充通知（包括更正公告）或通过“江苏政府采购网”的“采购公告”自行查看所报项目的补充通知（包括更正公告）。补充通知（包括更正公告）将作为招标文件的组成部分，对所有投标人有约束力。</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为使投标人有足够的时间按招标文件的修改要求考虑修正投标文件，或出于其他原因，招标采购单位有权推迟投标截止日期和开标日期，并将此变更通知以更正公告的形式对外发布。</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招标文件的更正（含澄清、修改等）内容与原招标文件在同一内容上表述不一致时，以发出日期最接近开标时间的公告为准。</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投标答疑</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投标人在获取招标文件后，若对招标文件有疑问，可与代理机构或采购单位联系。</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勘察现场：</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本项目因运行环境和安装设备的要求，投标单位根据自身投标需要，可对有关现场和周围环境进行勘察，以获取编制投标文件和签署合同所需的信息。勘察现场所发生的费用由投标人自己承担。</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招标采购单位向投标人提供的有关现场的资料和数据，是招标采购单位现有的并认为能使投标人可利用的资料。招标采购单位对投标人由此而做出的推论、理解和结论概不负责。</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经招标采购单位允许，投标人可为勘察目的进入招标采购单位的项目现场，但投标人不得因此使招标采购单位承担有关的责任和蒙受损失。投标人应承担勘察现场的责任和风险。</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w:t>
      </w:r>
      <w:r>
        <w:rPr>
          <w:rFonts w:hint="eastAsia" w:ascii="宋体" w:hAnsi="宋体" w:eastAsia="宋体" w:cs="宋体"/>
          <w:color w:val="000000"/>
          <w:sz w:val="21"/>
          <w:szCs w:val="21"/>
          <w:highlight w:val="none"/>
          <w:lang w:eastAsia="zh-CN"/>
        </w:rPr>
        <w:t xml:space="preserve">中国政府采购网、</w:t>
      </w:r>
      <w:r>
        <w:rPr>
          <w:rFonts w:hint="eastAsia" w:ascii="宋体" w:hAnsi="宋体" w:eastAsia="宋体" w:cs="宋体"/>
          <w:color w:val="000000"/>
          <w:sz w:val="21"/>
          <w:szCs w:val="21"/>
          <w:highlight w:val="none"/>
        </w:rPr>
        <w:t xml:space="preserve">江苏政府采购网、苏州</w:t>
      </w:r>
      <w:r>
        <w:rPr>
          <w:rFonts w:hint="eastAsia" w:ascii="宋体" w:hAnsi="宋体" w:eastAsia="宋体" w:cs="宋体"/>
          <w:color w:val="000000"/>
          <w:sz w:val="21"/>
          <w:szCs w:val="21"/>
          <w:highlight w:val="none"/>
          <w:lang w:eastAsia="zh-CN"/>
        </w:rPr>
        <w:t xml:space="preserve">市</w:t>
      </w:r>
      <w:r>
        <w:rPr>
          <w:rFonts w:hint="eastAsia" w:ascii="宋体" w:hAnsi="宋体" w:eastAsia="宋体" w:cs="宋体"/>
          <w:color w:val="000000"/>
          <w:sz w:val="21"/>
          <w:szCs w:val="21"/>
          <w:highlight w:val="none"/>
        </w:rPr>
        <w:t xml:space="preserve">政府采购网发布的内容为准。</w:t>
      </w:r>
      <w:r>
        <w:rPr>
          <w:rFonts w:ascii="宋体" w:hAnsi="宋体" w:cs="宋体"/>
        </w:rPr>
      </w:r>
      <w:r/>
    </w:p>
    <w:p>
      <w:pPr>
        <w:pStyle w:val="863"/>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投标文件说明</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投标文件计量单位和使用文字</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投标文件中所使用的计量单位，除招标文件中有特殊要求外，均应使用中华人民共和国法定计量单位。</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知识产权</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color w:val="000000"/>
          <w:sz w:val="21"/>
          <w:szCs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投标文件的组成</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投标文件</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封面</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开标一览表</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公开分项报价表</w:t>
      </w:r>
      <w:r>
        <w:rPr>
          <w:rFonts w:hint="eastAsia" w:ascii="宋体" w:hAnsi="宋体" w:eastAsia="宋体" w:cs="宋体"/>
          <w:b/>
          <w:bCs/>
          <w:color w:val="000000"/>
          <w:sz w:val="21"/>
          <w:szCs w:val="21"/>
          <w:highlight w:val="none"/>
          <w:lang w:eastAsia="zh-CN"/>
        </w:rPr>
        <w:t xml:space="preserve">（如有）</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资格审查文件</w:t>
      </w:r>
      <w:r>
        <w:rPr>
          <w:rFonts w:ascii="宋体" w:hAnsi="宋体" w:cs="宋体"/>
        </w:rPr>
      </w:r>
      <w:r/>
    </w:p>
    <w:p>
      <w:pPr>
        <w:pStyle w:val="882"/>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合格投标人资格证明材料：</w:t>
      </w:r>
      <w:r>
        <w:rPr>
          <w:rFonts w:ascii="宋体" w:hAnsi="宋体" w:cs="宋体"/>
        </w:rPr>
      </w:r>
      <w:r/>
    </w:p>
    <w:p>
      <w:pPr>
        <w:pStyle w:val="928"/>
        <w:ind w:left="166" w:right="0" w:firstLine="420"/>
        <w:keepLines w:val="0"/>
        <w:keepNext w:val="0"/>
        <w:pageBreakBefore w:val="0"/>
        <w:spacing w:before="0" w:after="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（1）具有独立承担民事责任的能力；</w:t>
      </w:r>
      <w:r>
        <w:rPr>
          <w:rFonts w:hint="eastAsia" w:ascii="宋体" w:hAnsi="宋体" w:eastAsia="宋体" w:cs="宋体"/>
          <w:color w:val="000000"/>
          <w:sz w:val="21"/>
          <w:szCs w:val="21"/>
          <w:highlight w:val="none"/>
          <w:lang w:val="zh-CN"/>
        </w:rPr>
        <w:t xml:space="preserve">提供包括法人或者其他组织的营业执照等证明文件，自然人的身份证明</w:t>
      </w:r>
      <w:r>
        <w:rPr>
          <w:rFonts w:hint="eastAsia" w:ascii="宋体" w:hAnsi="宋体" w:eastAsia="宋体" w:cs="宋体"/>
          <w:color w:val="000000"/>
          <w:sz w:val="21"/>
          <w:szCs w:val="21"/>
          <w:highlight w:val="none"/>
        </w:rPr>
        <w:t xml:space="preserve">； </w:t>
      </w:r>
      <w:r>
        <w:rPr>
          <w:rFonts w:ascii="宋体" w:hAnsi="宋体" w:cs="宋体"/>
        </w:rPr>
      </w:r>
      <w:r/>
    </w:p>
    <w:p>
      <w:pPr>
        <w:pStyle w:val="928"/>
        <w:ind w:left="166" w:right="0" w:firstLine="420"/>
        <w:keepLines w:val="0"/>
        <w:keepNext w:val="0"/>
        <w:pageBreakBefore w:val="0"/>
        <w:spacing w:before="0" w:after="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（2）具有良好的商业信誉和健全的财务会计制度；</w:t>
      </w:r>
      <w:r>
        <w:rPr>
          <w:rFonts w:hint="eastAsia" w:ascii="宋体" w:hAnsi="宋体" w:eastAsia="宋体" w:cs="宋体"/>
          <w:color w:val="000000"/>
          <w:sz w:val="21"/>
          <w:szCs w:val="21"/>
          <w:highlight w:val="none"/>
          <w:lang w:val="zh-CN"/>
        </w:rPr>
        <w:t xml:space="preserve">提供包括但不限于最近一期（202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年度或202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年度）经审计的财务报告或最近一期财务报表</w:t>
      </w:r>
      <w:r>
        <w:rPr>
          <w:rFonts w:hint="eastAsia" w:ascii="宋体" w:hAnsi="宋体" w:eastAsia="宋体" w:cs="宋体"/>
          <w:color w:val="000000"/>
          <w:sz w:val="21"/>
          <w:szCs w:val="21"/>
          <w:highlight w:val="none"/>
        </w:rPr>
        <w:t xml:space="preserve">（资产负债表、利润表）</w:t>
      </w:r>
      <w:r>
        <w:rPr>
          <w:rFonts w:hint="eastAsia" w:ascii="宋体" w:hAnsi="宋体" w:eastAsia="宋体" w:cs="宋体"/>
          <w:color w:val="000000"/>
          <w:sz w:val="21"/>
          <w:szCs w:val="21"/>
          <w:highlight w:val="none"/>
          <w:lang w:val="zh-CN"/>
        </w:rPr>
        <w:t xml:space="preserve">，其他组织、自然人及成立未满一年的法人应提供银行出具的资信证明；  </w:t>
      </w:r>
      <w:r>
        <w:rPr>
          <w:rFonts w:ascii="宋体" w:hAnsi="宋体" w:cs="宋体"/>
        </w:rPr>
      </w:r>
      <w:r/>
    </w:p>
    <w:p>
      <w:pPr>
        <w:pStyle w:val="928"/>
        <w:ind w:left="166" w:right="0" w:firstLine="420"/>
        <w:keepLines w:val="0"/>
        <w:keepNext w:val="0"/>
        <w:pageBreakBefore w:val="0"/>
        <w:spacing w:before="0" w:after="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（3）具有履行合同所必需的设备和专业技术能力</w:t>
      </w:r>
      <w:r>
        <w:rPr>
          <w:rFonts w:hint="eastAsia" w:ascii="宋体" w:hAnsi="宋体" w:eastAsia="宋体" w:cs="宋体"/>
          <w:color w:val="000000"/>
          <w:sz w:val="21"/>
          <w:szCs w:val="21"/>
          <w:highlight w:val="none"/>
          <w:lang w:val="zh-CN"/>
        </w:rPr>
        <w:t xml:space="preserve">；提供证明材料或书面承诺书</w:t>
      </w:r>
      <w:r>
        <w:rPr>
          <w:rFonts w:hint="eastAsia" w:ascii="宋体" w:hAnsi="宋体" w:eastAsia="宋体" w:cs="宋体"/>
          <w:color w:val="000000"/>
          <w:sz w:val="21"/>
          <w:szCs w:val="21"/>
          <w:highlight w:val="none"/>
        </w:rPr>
        <w:t xml:space="preserve">； </w:t>
      </w:r>
      <w:r>
        <w:rPr>
          <w:rFonts w:ascii="宋体" w:hAnsi="宋体" w:cs="宋体"/>
        </w:rPr>
      </w:r>
      <w:r/>
    </w:p>
    <w:p>
      <w:pPr>
        <w:pStyle w:val="928"/>
        <w:ind w:left="166" w:right="0" w:firstLine="420"/>
        <w:keepLines w:val="0"/>
        <w:keepNext w:val="0"/>
        <w:pageBreakBefore w:val="0"/>
        <w:spacing w:before="0" w:after="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（4）依法缴纳税收和社会保障资金的良好记录；</w:t>
      </w:r>
      <w:r>
        <w:rPr>
          <w:rFonts w:hint="eastAsia" w:ascii="宋体" w:hAnsi="宋体" w:eastAsia="宋体" w:cs="宋体"/>
          <w:color w:val="000000"/>
          <w:sz w:val="21"/>
          <w:szCs w:val="21"/>
          <w:highlight w:val="none"/>
          <w:lang w:val="zh-CN"/>
        </w:rPr>
        <w:t xml:space="preserve">提供税务登记证（如有）和最近期的依法缴纳税收的凭据，最近期的依法缴纳社会保险的凭据（专用收据或社会保险缴纳清单），依法免税或不需要缴纳社会保障资金的供应商，应提供对应证明文件； </w:t>
      </w:r>
      <w:r>
        <w:rPr>
          <w:rFonts w:ascii="宋体" w:hAnsi="宋体" w:cs="宋体"/>
        </w:rPr>
      </w:r>
      <w:r/>
    </w:p>
    <w:p>
      <w:pPr>
        <w:pStyle w:val="928"/>
        <w:ind w:left="166" w:right="0" w:firstLine="420"/>
        <w:keepLines w:val="0"/>
        <w:keepNext w:val="0"/>
        <w:pageBreakBefore w:val="0"/>
        <w:spacing w:before="0" w:after="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（5）参加政府采购活动前三年内，在经营活动中没有重大违法记录；</w:t>
      </w:r>
      <w:r>
        <w:rPr>
          <w:rFonts w:hint="eastAsia" w:ascii="宋体" w:hAnsi="宋体" w:eastAsia="宋体" w:cs="宋体"/>
          <w:color w:val="000000"/>
          <w:sz w:val="21"/>
          <w:szCs w:val="21"/>
          <w:highlight w:val="none"/>
          <w:lang w:val="zh-CN"/>
        </w:rPr>
        <w:t xml:space="preserve">提供书面声明函</w:t>
      </w:r>
      <w:r>
        <w:rPr>
          <w:rFonts w:hint="eastAsia" w:ascii="宋体" w:hAnsi="宋体" w:eastAsia="宋体" w:cs="宋体"/>
          <w:color w:val="000000"/>
          <w:sz w:val="21"/>
          <w:szCs w:val="21"/>
          <w:highlight w:val="none"/>
        </w:rPr>
        <w:t xml:space="preserve">。</w:t>
      </w:r>
      <w:r>
        <w:rPr>
          <w:rFonts w:ascii="宋体" w:hAnsi="宋体" w:cs="宋体"/>
        </w:rPr>
      </w:r>
      <w:r/>
    </w:p>
    <w:p>
      <w:pPr>
        <w:pStyle w:val="863"/>
        <w:ind w:left="166" w:right="0" w:firstLine="420"/>
        <w:jc w:val="left"/>
        <w:keepLines w:val="0"/>
        <w:keepNext w:val="0"/>
        <w:pageBreakBefore w:val="0"/>
        <w:spacing w:before="0" w:after="0" w:line="440"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（6）法律、行政法规规定的其他条件。提供承诺符合书面声明函。</w:t>
      </w:r>
      <w:r>
        <w:rPr>
          <w:rFonts w:ascii="宋体" w:hAnsi="宋体" w:cs="宋体"/>
        </w:rPr>
      </w:r>
      <w:r/>
    </w:p>
    <w:p>
      <w:pPr>
        <w:pStyle w:val="928"/>
        <w:ind w:left="166" w:right="0" w:firstLine="420"/>
        <w:keepLines w:val="0"/>
        <w:keepNext w:val="0"/>
        <w:pageBreakBefore w:val="0"/>
        <w:spacing w:before="0" w:after="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有关资格证明文件（包括但不限于投标邀请函中其他特定资格要求的证明文件，如有要求须提供）</w:t>
      </w:r>
      <w:r>
        <w:rPr>
          <w:rFonts w:hint="eastAsia" w:ascii="宋体" w:hAnsi="宋体" w:eastAsia="宋体" w:cs="宋体"/>
          <w:color w:val="000000"/>
          <w:sz w:val="21"/>
          <w:szCs w:val="21"/>
          <w:highlight w:val="none"/>
          <w:lang w:val="zh-CN"/>
        </w:rPr>
        <w:t xml:space="preserve">；</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符合性审查文件</w:t>
      </w:r>
      <w:r>
        <w:rPr>
          <w:rFonts w:ascii="宋体" w:hAnsi="宋体" w:cs="宋体"/>
        </w:rPr>
      </w:r>
      <w:r/>
    </w:p>
    <w:p>
      <w:pPr>
        <w:pStyle w:val="882"/>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15.1.5.1</w:t>
      </w:r>
      <w:r>
        <w:rPr>
          <w:rFonts w:hint="eastAsia" w:ascii="宋体" w:hAnsi="宋体" w:eastAsia="宋体" w:cs="宋体"/>
          <w:color w:val="000000"/>
          <w:sz w:val="21"/>
          <w:szCs w:val="21"/>
          <w:highlight w:val="none"/>
          <w:lang w:val="zh-CN"/>
        </w:rPr>
        <w:t xml:space="preserve">投标函；</w:t>
      </w:r>
      <w:r>
        <w:rPr>
          <w:rFonts w:ascii="宋体" w:hAnsi="宋体" w:cs="宋体"/>
        </w:rPr>
      </w:r>
      <w:r/>
    </w:p>
    <w:p>
      <w:pPr>
        <w:pStyle w:val="882"/>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15.1.5.</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服务及技术</w:t>
      </w:r>
      <w:r>
        <w:rPr>
          <w:rFonts w:hint="eastAsia" w:ascii="宋体" w:hAnsi="宋体" w:eastAsia="宋体" w:cs="宋体"/>
          <w:color w:val="000000"/>
          <w:sz w:val="21"/>
          <w:szCs w:val="21"/>
          <w:highlight w:val="none"/>
        </w:rPr>
        <w:t xml:space="preserve">条款偏离表；</w:t>
      </w:r>
      <w:r>
        <w:rPr>
          <w:rFonts w:ascii="宋体" w:hAnsi="宋体" w:cs="宋体"/>
        </w:rPr>
      </w:r>
      <w:r/>
    </w:p>
    <w:p>
      <w:pPr>
        <w:pStyle w:val="882"/>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15.1.5.</w:t>
      </w:r>
      <w:r>
        <w:rPr>
          <w:rFonts w:hint="eastAsia" w:ascii="宋体" w:hAnsi="宋体" w:eastAsia="宋体" w:cs="宋体"/>
          <w:color w:val="000000"/>
          <w:sz w:val="21"/>
          <w:szCs w:val="21"/>
          <w:highlight w:val="none"/>
        </w:rPr>
        <w:t xml:space="preserve">3商务条款偏离表；</w:t>
      </w:r>
      <w:r>
        <w:rPr>
          <w:rFonts w:ascii="宋体" w:hAnsi="宋体" w:cs="宋体"/>
        </w:rPr>
      </w:r>
      <w:r/>
    </w:p>
    <w:p>
      <w:pPr>
        <w:pStyle w:val="882"/>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5.4</w:t>
      </w:r>
      <w:r>
        <w:rPr>
          <w:rFonts w:hint="eastAsia" w:ascii="宋体" w:hAnsi="宋体" w:eastAsia="宋体" w:cs="宋体"/>
          <w:color w:val="000000"/>
          <w:sz w:val="21"/>
          <w:szCs w:val="21"/>
          <w:highlight w:val="none"/>
        </w:rPr>
        <w:t xml:space="preserve">关于资格文件的声明函；</w:t>
      </w:r>
      <w:r>
        <w:rPr>
          <w:rFonts w:ascii="宋体" w:hAnsi="宋体" w:cs="宋体"/>
        </w:rPr>
      </w:r>
      <w:r/>
    </w:p>
    <w:p>
      <w:pPr>
        <w:pStyle w:val="882"/>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投标人法定代表人身份证复印件；</w:t>
      </w:r>
      <w:r>
        <w:rPr>
          <w:rFonts w:ascii="宋体" w:hAnsi="宋体" w:cs="宋体"/>
        </w:rPr>
      </w:r>
      <w:r/>
    </w:p>
    <w:p>
      <w:pPr>
        <w:pStyle w:val="882"/>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法定代表人授权委托书（如有授权，格式见第三章）；</w:t>
      </w:r>
      <w:r>
        <w:rPr>
          <w:rFonts w:ascii="宋体" w:hAnsi="宋体" w:cs="宋体"/>
        </w:rPr>
      </w:r>
      <w:r/>
    </w:p>
    <w:p>
      <w:pPr>
        <w:pStyle w:val="882"/>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投标人授权代理人身份证复印件（如有授权）；</w:t>
      </w:r>
      <w:r>
        <w:rPr>
          <w:rFonts w:ascii="宋体" w:hAnsi="宋体" w:cs="宋体"/>
        </w:rPr>
      </w:r>
      <w:r/>
    </w:p>
    <w:p>
      <w:pPr>
        <w:pStyle w:val="882"/>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15.1.5.7</w:t>
      </w:r>
      <w:r>
        <w:rPr>
          <w:rFonts w:hint="eastAsia" w:ascii="宋体" w:hAnsi="宋体" w:eastAsia="宋体" w:cs="宋体"/>
          <w:color w:val="000000"/>
          <w:sz w:val="21"/>
          <w:szCs w:val="21"/>
          <w:highlight w:val="none"/>
          <w:lang w:val="zh-CN"/>
        </w:rPr>
        <w:t xml:space="preserve">投标（响应）保证承诺书；</w:t>
      </w:r>
      <w:r>
        <w:rPr>
          <w:rFonts w:ascii="宋体" w:hAnsi="宋体" w:cs="宋体"/>
        </w:rPr>
      </w:r>
      <w:r/>
    </w:p>
    <w:p>
      <w:pPr>
        <w:pStyle w:val="882"/>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15.1.5.8</w:t>
      </w:r>
      <w:r>
        <w:rPr>
          <w:rFonts w:hint="eastAsia" w:ascii="宋体" w:hAnsi="宋体" w:eastAsia="宋体" w:cs="宋体"/>
          <w:color w:val="000000"/>
          <w:sz w:val="21"/>
          <w:szCs w:val="21"/>
          <w:highlight w:val="none"/>
        </w:rPr>
        <w:t xml:space="preserve">其他有关符合性证明的文件；</w:t>
      </w:r>
      <w:r>
        <w:rPr>
          <w:rFonts w:ascii="宋体" w:hAnsi="宋体" w:cs="宋体"/>
        </w:rPr>
      </w:r>
      <w:r/>
    </w:p>
    <w:p>
      <w:pPr>
        <w:pStyle w:val="882"/>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15.1.5.9</w:t>
      </w:r>
      <w:r>
        <w:rPr>
          <w:rFonts w:hint="eastAsia" w:ascii="宋体" w:hAnsi="宋体" w:eastAsia="宋体" w:cs="宋体"/>
          <w:color w:val="000000"/>
          <w:sz w:val="21"/>
          <w:szCs w:val="21"/>
          <w:highlight w:val="none"/>
          <w:lang w:val="zh-CN"/>
        </w:rPr>
        <w:t xml:space="preserve">投标单位情况表；</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综合评审文件（具体模块以系统生成为准）</w:t>
      </w:r>
      <w:r>
        <w:rPr>
          <w:rFonts w:ascii="宋体" w:hAnsi="宋体" w:cs="宋体"/>
        </w:rPr>
      </w:r>
      <w:r/>
    </w:p>
    <w:p>
      <w:pPr>
        <w:pStyle w:val="882"/>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15.1.6.1针对本项目服务实施工作方案；</w:t>
      </w:r>
      <w:r>
        <w:rPr>
          <w:rFonts w:ascii="宋体" w:hAnsi="宋体" w:cs="宋体"/>
        </w:rPr>
      </w:r>
      <w:r/>
    </w:p>
    <w:p>
      <w:pPr>
        <w:pStyle w:val="882"/>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15.1.6.2针对本项目的人员及设备配置；</w:t>
      </w:r>
      <w:r>
        <w:rPr>
          <w:rFonts w:ascii="宋体" w:hAnsi="宋体" w:cs="宋体"/>
        </w:rPr>
      </w:r>
      <w:r/>
    </w:p>
    <w:p>
      <w:pPr>
        <w:pStyle w:val="882"/>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15.1.6.3类似业绩一览表；</w:t>
      </w:r>
      <w:r>
        <w:rPr>
          <w:rFonts w:ascii="宋体" w:hAnsi="宋体" w:cs="宋体"/>
        </w:rPr>
      </w:r>
      <w:r/>
    </w:p>
    <w:p>
      <w:pPr>
        <w:pStyle w:val="882"/>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15.1.6.4评分标准中要求的其他相关资料；</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价格折扣文件格式</w:t>
      </w:r>
      <w:r>
        <w:rPr>
          <w:rFonts w:ascii="宋体" w:hAnsi="宋体" w:cs="宋体"/>
        </w:rPr>
      </w:r>
      <w:r/>
    </w:p>
    <w:p>
      <w:pPr>
        <w:pStyle w:val="876"/>
        <w:keepLines w:val="0"/>
        <w:keepNext w:val="0"/>
        <w:pageBreakBefore w:val="0"/>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15.1.7.1</w:t>
      </w:r>
      <w:r>
        <w:rPr>
          <w:rFonts w:hint="eastAsia" w:ascii="宋体" w:hAnsi="宋体" w:eastAsia="宋体" w:cs="宋体"/>
          <w:b w:val="0"/>
          <w:bCs w:val="0"/>
          <w:color w:val="000000"/>
          <w:sz w:val="21"/>
          <w:szCs w:val="21"/>
          <w:highlight w:val="none"/>
          <w:lang w:val="zh-CN"/>
        </w:rPr>
        <w:t xml:space="preserve">《中小企业声明函》或《残疾人福利性单位声明函》或省级以上监狱管理局、戒毒管理局（含新疆生产建设兵团）出具的属于监狱企业的证明文件（格式见附件，如属于则提供；如不属于上述企业类型的则按实际企业类型进行声明）</w:t>
      </w:r>
      <w:r>
        <w:rPr>
          <w:rFonts w:ascii="宋体" w:hAnsi="宋体" w:cs="宋体"/>
        </w:rPr>
      </w:r>
      <w:r/>
    </w:p>
    <w:p>
      <w:pPr>
        <w:pStyle w:val="876"/>
        <w:keepLines w:val="0"/>
        <w:keepNext w:val="0"/>
        <w:pageBreakBefore w:val="0"/>
        <w:spacing w:line="44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注：（1）以上1</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zh-CN"/>
        </w:rPr>
        <w:t xml:space="preserve">.1.4.</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zh-CN"/>
        </w:rPr>
        <w:t xml:space="preserve">-1</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zh-CN"/>
        </w:rPr>
        <w:t xml:space="preserve">.1.4.</w:t>
      </w:r>
      <w:r>
        <w:rPr>
          <w:rFonts w:hint="eastAsia" w:ascii="宋体" w:hAnsi="宋体" w:eastAsia="宋体" w:cs="宋体"/>
          <w:b/>
          <w:bCs/>
          <w:color w:val="000000"/>
          <w:sz w:val="21"/>
          <w:szCs w:val="21"/>
          <w:highlight w:val="none"/>
          <w:lang w:val="en-US"/>
        </w:rPr>
        <w:t xml:space="preserve">2</w:t>
      </w:r>
      <w:r>
        <w:rPr>
          <w:rFonts w:hint="eastAsia" w:ascii="宋体" w:hAnsi="宋体" w:eastAsia="宋体" w:cs="宋体"/>
          <w:b/>
          <w:bCs/>
          <w:color w:val="000000"/>
          <w:sz w:val="21"/>
          <w:szCs w:val="21"/>
          <w:highlight w:val="none"/>
          <w:lang w:val="zh-CN"/>
        </w:rPr>
        <w:t xml:space="preserve">为资格审查要求提供的材料，是作为对供应商资格审查、质疑身份认定的依据，投标人必须提供并加盖电子公章。否则，投标文件将被认定为不符合资格审查要求。</w:t>
      </w:r>
      <w:r>
        <w:rPr>
          <w:rFonts w:ascii="宋体" w:hAnsi="宋体" w:cs="宋体"/>
        </w:rPr>
      </w:r>
      <w:r/>
    </w:p>
    <w:p>
      <w:pPr>
        <w:pStyle w:val="876"/>
        <w:keepLines w:val="0"/>
        <w:keepNext w:val="0"/>
        <w:pageBreakBefore w:val="0"/>
        <w:spacing w:line="44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（2）以上</w:t>
      </w:r>
      <w:r>
        <w:rPr>
          <w:rFonts w:hint="eastAsia" w:ascii="宋体" w:hAnsi="宋体" w:eastAsia="宋体" w:cs="宋体"/>
          <w:b/>
          <w:bCs/>
          <w:color w:val="000000"/>
          <w:sz w:val="21"/>
          <w:szCs w:val="21"/>
          <w:highlight w:val="none"/>
          <w:lang w:val="en-US" w:eastAsia="zh-CN"/>
        </w:rPr>
        <w:t xml:space="preserve">15.1.5.1</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15.1.5.8</w:t>
      </w:r>
      <w:r>
        <w:rPr>
          <w:rFonts w:hint="eastAsia" w:ascii="宋体" w:hAnsi="宋体" w:eastAsia="宋体" w:cs="宋体"/>
          <w:b/>
          <w:bCs/>
          <w:color w:val="000000"/>
          <w:sz w:val="21"/>
          <w:szCs w:val="21"/>
          <w:highlight w:val="none"/>
          <w:lang w:val="zh-CN"/>
        </w:rPr>
        <w:t xml:space="preserve">为符合性审查须提供的资料，投标人必须提供并加盖电子公章。否则，投标文件将被认定为未实质性响应。</w:t>
      </w:r>
      <w:r>
        <w:rPr>
          <w:rFonts w:ascii="宋体" w:hAnsi="宋体" w:cs="宋体"/>
        </w:rPr>
      </w:r>
      <w:r/>
    </w:p>
    <w:p>
      <w:pPr>
        <w:pStyle w:val="876"/>
        <w:keepLines w:val="0"/>
        <w:keepNext w:val="0"/>
        <w:pageBreakBefore w:val="0"/>
        <w:spacing w:line="44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（3）“</w:t>
      </w:r>
      <w:r>
        <w:rPr>
          <w:rFonts w:hint="eastAsia" w:ascii="宋体" w:hAnsi="宋体" w:eastAsia="宋体" w:cs="宋体"/>
          <w:b/>
          <w:bCs/>
          <w:color w:val="000000"/>
          <w:sz w:val="21"/>
          <w:szCs w:val="21"/>
          <w:highlight w:val="none"/>
          <w:lang w:val="en-US" w:eastAsia="zh-CN"/>
        </w:rPr>
        <w:t xml:space="preserve">15.1.1</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15.1.4</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15.1.</w:t>
      </w:r>
      <w:r>
        <w:rPr>
          <w:rFonts w:hint="eastAsia" w:ascii="宋体" w:hAnsi="宋体" w:eastAsia="宋体" w:cs="宋体"/>
          <w:b/>
          <w:bCs/>
          <w:color w:val="000000"/>
          <w:sz w:val="21"/>
          <w:szCs w:val="21"/>
          <w:highlight w:val="none"/>
          <w:lang w:val="en-US"/>
        </w:rPr>
        <w:t xml:space="preserve">7</w:t>
      </w:r>
      <w:r>
        <w:rPr>
          <w:rFonts w:hint="eastAsia" w:ascii="宋体" w:hAnsi="宋体" w:eastAsia="宋体" w:cs="宋体"/>
          <w:b/>
          <w:bCs/>
          <w:color w:val="000000"/>
          <w:sz w:val="21"/>
          <w:szCs w:val="21"/>
          <w:highlight w:val="none"/>
          <w:lang w:val="zh-CN"/>
        </w:rPr>
        <w:t xml:space="preserve">”中不得出现投标总报价。投标人所提交的资料的完整与否，将直接影响投标人的评分。</w:t>
      </w:r>
      <w:r>
        <w:rPr>
          <w:rFonts w:ascii="宋体" w:hAnsi="宋体" w:cs="宋体"/>
        </w:rPr>
      </w:r>
      <w:r/>
    </w:p>
    <w:p>
      <w:pPr>
        <w:pStyle w:val="876"/>
        <w:keepLines w:val="0"/>
        <w:keepNext w:val="0"/>
        <w:pageBreakBefore w:val="0"/>
        <w:spacing w:line="44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（4）制作电子投标文件时必须与投标文件制作软件目录一一对应，将相关资料上传至相应模块。</w:t>
      </w:r>
      <w:r>
        <w:rPr>
          <w:rFonts w:ascii="宋体" w:hAnsi="宋体" w:cs="宋体"/>
        </w:rPr>
      </w:r>
      <w:r/>
    </w:p>
    <w:p>
      <w:pPr>
        <w:pStyle w:val="876"/>
        <w:keepLines w:val="0"/>
        <w:keepNext w:val="0"/>
        <w:pageBreakBefore w:val="0"/>
        <w:spacing w:line="44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投标文件编制要求</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投标文件按统一格式、顺序编写。</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《开标一览表》为在开标仪式上唱标的内容，要求按格式填写，统一规范，不得自行增减内容。</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投标报价（编制）要求的说明</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报价包含前端点位勘察部署、平台接入，明厨亮灶智慧监管平台系统运维、AI算法运营迭代优化、前端监控设备运维巡检（保养、故障维修、零部件更换）、数据运营分析、技术培训、技术支持服务等人工与技术服务费，以及材料、管理、利润、税金、政策性文件规定及合同包含的所有风险、责任等一切费用。投标报价为最终报价，投标人所报价格在合同实施期间不因市场变化因素而变动。</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投标人应按《公开分项报价表》中的全部服务内容的每一单项计算并填写单价和总价，并由企业法定代表人或委托代理人签署。</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一项投标内容（标段）只允许一个报价，采购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投标文件报价采用人民币表示，除非合同的特殊条款另有规定。</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最低的投标报价是中标的重要条件但不是唯一条件。</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投标保证金：</w:t>
      </w:r>
      <w:r>
        <w:rPr>
          <w:rStyle w:val="953"/>
          <w:rFonts w:hint="eastAsia" w:ascii="宋体" w:hAnsi="宋体" w:eastAsia="宋体" w:cs="宋体"/>
          <w:b/>
          <w:color w:val="000000"/>
          <w:sz w:val="21"/>
          <w:szCs w:val="21"/>
          <w:highlight w:val="none"/>
        </w:rPr>
        <w:t xml:space="preserve">不需提交，招标文件中有关投标保证金的规定均不适用。投标（响应）人应在投标（响应）文件中提交《投标（响应）保证承诺书》（详见附件），否则为无效投标。</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投标文件的有效期</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提交投标文件的截止之日起九十日内</w:t>
      </w:r>
      <w:r>
        <w:rPr>
          <w:rFonts w:hint="eastAsia" w:ascii="宋体" w:hAnsi="宋体" w:eastAsia="宋体" w:cs="宋体"/>
          <w:color w:val="000000"/>
          <w:sz w:val="21"/>
          <w:szCs w:val="21"/>
          <w:highlight w:val="none"/>
          <w:lang w:val="zh-CN"/>
        </w:rPr>
        <w:t xml:space="preserve">，投标书应保持有效。有效期短于这个规定期限的投标文件，将被拒绝。</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投标文件的制作、签署、上传</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本项目采用电子招投标形式，请供应商按照</w:t>
      </w:r>
      <w:r>
        <w:rPr>
          <w:rFonts w:hint="eastAsia" w:ascii="宋体" w:hAnsi="宋体" w:eastAsia="宋体" w:cs="宋体"/>
          <w:b/>
          <w:bCs/>
          <w:color w:val="000000"/>
          <w:sz w:val="21"/>
          <w:szCs w:val="21"/>
          <w:highlight w:val="none"/>
        </w:rPr>
        <w:t xml:space="preserve">《苏采云系统供应商操作手册》</w:t>
      </w:r>
      <w:r>
        <w:rPr>
          <w:rFonts w:hint="eastAsia" w:ascii="宋体" w:hAnsi="宋体" w:eastAsia="宋体" w:cs="宋体"/>
          <w:color w:val="000000"/>
          <w:sz w:val="21"/>
          <w:szCs w:val="21"/>
          <w:highlight w:val="none"/>
        </w:rPr>
        <w:t xml:space="preserve">进行制作、上传电子投标文件。</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制作电子投标文件时，应按照招标文件要求加盖投标人电子公章。</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b/>
          <w:bCs/>
          <w:color w:val="000000"/>
          <w:sz w:val="21"/>
          <w:szCs w:val="21"/>
          <w:highlight w:val="none"/>
        </w:rPr>
        <w:t xml:space="preserve">电子投标文件制作完成后请于投标文件网上提交截止时间前成功上传至“苏采云”系统，否则视为放弃参加该采购项目。</w:t>
      </w:r>
      <w:r>
        <w:rPr>
          <w:rFonts w:hint="eastAsia" w:ascii="宋体" w:hAnsi="宋体" w:eastAsia="宋体" w:cs="宋体"/>
          <w:color w:val="000000"/>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ascii="宋体" w:hAnsi="宋体" w:cs="宋体"/>
        </w:rPr>
      </w:r>
      <w:r/>
    </w:p>
    <w:p>
      <w:pPr>
        <w:pStyle w:val="863"/>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lang w:val="zh-CN"/>
        </w:rPr>
        <w:t xml:space="preserve">投标文件的递交（上传）</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投标文件的递交</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投标人应当在投标截止时间前制作并上传电子投标文件。</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投标人通过</w:t>
      </w:r>
      <w:r>
        <w:rPr>
          <w:rFonts w:hint="eastAsia" w:ascii="宋体" w:hAnsi="宋体" w:eastAsia="宋体" w:cs="宋体"/>
          <w:b/>
          <w:bCs/>
          <w:color w:val="000000"/>
          <w:sz w:val="21"/>
          <w:szCs w:val="21"/>
          <w:highlight w:val="none"/>
        </w:rPr>
        <w:t xml:space="preserve">“苏采云”系统不见面开标大厅在线参与开标活动。（具体操作详见《苏采云系统供应商操作手册》，网址链接https：//czju.suzhou.gov.cn/zfcg/html/content/20231220161910031.shtml）</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b/>
          <w:bCs/>
          <w:color w:val="000000"/>
          <w:sz w:val="21"/>
          <w:szCs w:val="21"/>
          <w:highlight w:val="none"/>
          <w:lang w:val="zh-CN"/>
        </w:rPr>
        <w:t xml:space="preserve">纸质</w:t>
      </w:r>
      <w:r>
        <w:rPr>
          <w:rFonts w:hint="eastAsia" w:ascii="宋体" w:hAnsi="宋体" w:eastAsia="宋体" w:cs="宋体"/>
          <w:b/>
          <w:bCs/>
          <w:color w:val="000000"/>
          <w:sz w:val="21"/>
          <w:szCs w:val="21"/>
          <w:highlight w:val="none"/>
        </w:rPr>
        <w:t xml:space="preserve">投标</w:t>
      </w:r>
      <w:r>
        <w:rPr>
          <w:rFonts w:hint="eastAsia" w:ascii="宋体" w:hAnsi="宋体" w:eastAsia="宋体" w:cs="宋体"/>
          <w:b/>
          <w:bCs/>
          <w:color w:val="000000"/>
          <w:sz w:val="21"/>
          <w:szCs w:val="21"/>
          <w:highlight w:val="none"/>
          <w:lang w:val="zh-CN"/>
        </w:rPr>
        <w:t xml:space="preserve">文件：</w:t>
      </w:r>
      <w:r>
        <w:rPr>
          <w:rFonts w:hint="eastAsia" w:ascii="宋体" w:hAnsi="宋体" w:eastAsia="宋体" w:cs="宋体"/>
          <w:color w:val="000000"/>
          <w:sz w:val="21"/>
          <w:szCs w:val="21"/>
          <w:highlight w:val="none"/>
        </w:rPr>
        <w:t xml:space="preserve">中标后5个工作日内，中标单位向招标代理机构提供与电子投标文件内容一致的纸质投标文件两份。</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投标截止时间</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投标人应当在招标文件要求投标文件网上提交截止时间前，将投标文件完成提交（上传）。逾期提交（上传）的投标文件，采购人和采购代理机构拒绝接收。</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采购人和采购代理机构推迟投标截止时间时，将按本须知规定的更正公告的方式对外发布。在这种情况下，采购人、采购代理机构和投标人的权利和义务将受到新的截止期的约束。</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在投标截止时间止成功解密的投标文件少于三份，采购代理机构有权宣布本次招标失败。</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投标文件的补充、修改和撤回</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投标人在投标文件网上提交截止时间前，可以对其电子投标文件进行补充、修改，具体操作方法见</w:t>
      </w:r>
      <w:r>
        <w:rPr>
          <w:rFonts w:hint="eastAsia" w:ascii="宋体" w:hAnsi="宋体" w:eastAsia="宋体" w:cs="宋体"/>
          <w:b/>
          <w:bCs/>
          <w:color w:val="000000"/>
          <w:sz w:val="21"/>
          <w:szCs w:val="21"/>
          <w:highlight w:val="none"/>
        </w:rPr>
        <w:t xml:space="preserve">《苏采云系统供应商操作手册》</w:t>
      </w:r>
      <w:r>
        <w:rPr>
          <w:rFonts w:hint="eastAsia" w:ascii="宋体" w:hAnsi="宋体" w:eastAsia="宋体" w:cs="宋体"/>
          <w:color w:val="000000"/>
          <w:sz w:val="21"/>
          <w:szCs w:val="21"/>
          <w:highlight w:val="none"/>
        </w:rPr>
        <w:t xml:space="preserve">。在投标文件网上提交截止时间之后，投标人不得对其电子投标文件作任何修改</w:t>
      </w:r>
      <w:r>
        <w:rPr>
          <w:rFonts w:hint="eastAsia" w:ascii="宋体" w:hAnsi="宋体" w:eastAsia="宋体" w:cs="宋体"/>
          <w:color w:val="000000"/>
          <w:sz w:val="21"/>
          <w:szCs w:val="21"/>
          <w:highlight w:val="none"/>
          <w:lang w:val="zh-CN"/>
        </w:rPr>
        <w:t xml:space="preserve">。</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投标人在投标文件网上提交截止时间前，可以撤回其电子投标文件，具体操作方法见</w:t>
      </w:r>
      <w:r>
        <w:rPr>
          <w:rFonts w:hint="eastAsia" w:ascii="宋体" w:hAnsi="宋体" w:eastAsia="宋体" w:cs="宋体"/>
          <w:b/>
          <w:bCs/>
          <w:color w:val="000000"/>
          <w:sz w:val="21"/>
          <w:szCs w:val="21"/>
          <w:highlight w:val="none"/>
        </w:rPr>
        <w:t xml:space="preserve">《苏采云系统供应商操作手册》</w:t>
      </w:r>
      <w:r>
        <w:rPr>
          <w:rFonts w:hint="eastAsia" w:ascii="宋体" w:hAnsi="宋体" w:eastAsia="宋体" w:cs="宋体"/>
          <w:color w:val="000000"/>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000000"/>
          <w:sz w:val="21"/>
          <w:szCs w:val="21"/>
          <w:highlight w:val="none"/>
          <w:lang w:val="zh-CN"/>
        </w:rPr>
        <w:t xml:space="preserve">。</w:t>
      </w:r>
      <w:r>
        <w:rPr>
          <w:rFonts w:ascii="宋体" w:hAnsi="宋体" w:cs="宋体"/>
        </w:rPr>
      </w:r>
      <w:r/>
    </w:p>
    <w:p>
      <w:pPr>
        <w:pStyle w:val="863"/>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lang w:val="zh-CN"/>
        </w:rPr>
        <w:t xml:space="preserve">开标和评标</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开标</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开标由采购代理机构</w:t>
      </w:r>
      <w:r>
        <w:rPr>
          <w:rFonts w:hint="eastAsia" w:ascii="宋体" w:hAnsi="宋体" w:eastAsia="宋体" w:cs="宋体"/>
          <w:color w:val="000000"/>
          <w:sz w:val="21"/>
          <w:szCs w:val="21"/>
          <w:highlight w:val="none"/>
        </w:rPr>
        <w:t xml:space="preserve">在线</w:t>
      </w:r>
      <w:r>
        <w:rPr>
          <w:rFonts w:hint="eastAsia" w:ascii="宋体" w:hAnsi="宋体" w:eastAsia="宋体" w:cs="宋体"/>
          <w:color w:val="000000"/>
          <w:sz w:val="21"/>
          <w:szCs w:val="21"/>
          <w:highlight w:val="none"/>
          <w:lang w:val="zh-CN"/>
        </w:rPr>
        <w:t xml:space="preserve">主持，邀请投标人</w:t>
      </w:r>
      <w:r>
        <w:rPr>
          <w:rFonts w:hint="eastAsia" w:ascii="宋体" w:hAnsi="宋体" w:eastAsia="宋体" w:cs="宋体"/>
          <w:color w:val="000000"/>
          <w:sz w:val="21"/>
          <w:szCs w:val="21"/>
          <w:highlight w:val="none"/>
        </w:rPr>
        <w:t xml:space="preserve">在线</w:t>
      </w:r>
      <w:r>
        <w:rPr>
          <w:rFonts w:hint="eastAsia" w:ascii="宋体" w:hAnsi="宋体" w:eastAsia="宋体" w:cs="宋体"/>
          <w:color w:val="000000"/>
          <w:sz w:val="21"/>
          <w:szCs w:val="21"/>
          <w:highlight w:val="none"/>
          <w:lang w:val="zh-CN"/>
        </w:rPr>
        <w:t xml:space="preserve">参加。投标人应当按照《苏采云系统供应商操作手册》规定，</w:t>
      </w:r>
      <w:r>
        <w:rPr>
          <w:rFonts w:hint="eastAsia" w:ascii="宋体" w:hAnsi="宋体" w:eastAsia="宋体" w:cs="宋体"/>
          <w:b/>
          <w:bCs/>
          <w:color w:val="000000"/>
          <w:sz w:val="21"/>
          <w:szCs w:val="21"/>
          <w:highlight w:val="none"/>
          <w:lang w:val="zh-CN"/>
        </w:rPr>
        <w:t xml:space="preserve">参加开标活动和在“苏采云”系统规定的时间内对投标文件进行解密</w:t>
      </w:r>
      <w:r>
        <w:rPr>
          <w:rFonts w:hint="eastAsia" w:ascii="宋体" w:hAnsi="宋体" w:eastAsia="宋体" w:cs="宋体"/>
          <w:color w:val="000000"/>
          <w:sz w:val="21"/>
          <w:szCs w:val="21"/>
          <w:highlight w:val="none"/>
          <w:lang w:val="zh-CN"/>
        </w:rPr>
        <w:t xml:space="preserve">。评标委员会成员不得参加开标活动。</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开标时，由采购代理机构</w:t>
      </w:r>
      <w:r>
        <w:rPr>
          <w:rFonts w:hint="eastAsia" w:ascii="宋体" w:hAnsi="宋体" w:eastAsia="宋体" w:cs="宋体"/>
          <w:color w:val="000000"/>
          <w:sz w:val="21"/>
          <w:szCs w:val="21"/>
          <w:highlight w:val="none"/>
        </w:rPr>
        <w:t xml:space="preserve">通过“苏采云”系统在线</w:t>
      </w:r>
      <w:r>
        <w:rPr>
          <w:rFonts w:hint="eastAsia" w:ascii="宋体" w:hAnsi="宋体" w:eastAsia="宋体" w:cs="宋体"/>
          <w:color w:val="000000"/>
          <w:sz w:val="21"/>
          <w:szCs w:val="21"/>
          <w:highlight w:val="none"/>
          <w:lang w:val="zh-CN"/>
        </w:rPr>
        <w:t xml:space="preserve">宣布投标人名称、投标价格和招标文件规定的需要宣布的其他内容。</w:t>
      </w:r>
      <w:r>
        <w:rPr>
          <w:rFonts w:hint="eastAsia" w:ascii="宋体" w:hAnsi="宋体" w:eastAsia="宋体" w:cs="宋体"/>
          <w:color w:val="000000"/>
          <w:sz w:val="21"/>
          <w:szCs w:val="21"/>
          <w:highlight w:val="none"/>
        </w:rPr>
        <w:t xml:space="preserve">投标人在不见面开标系统中确认投标价格，如</w:t>
      </w:r>
      <w:r>
        <w:rPr>
          <w:rFonts w:hint="eastAsia" w:ascii="宋体" w:hAnsi="宋体" w:eastAsia="宋体" w:cs="宋体"/>
          <w:color w:val="000000"/>
          <w:sz w:val="21"/>
          <w:szCs w:val="21"/>
          <w:highlight w:val="none"/>
          <w:lang w:val="zh-CN"/>
        </w:rPr>
        <w:t xml:space="preserve">投标人未</w:t>
      </w:r>
      <w:r>
        <w:rPr>
          <w:rFonts w:hint="eastAsia" w:ascii="宋体" w:hAnsi="宋体" w:eastAsia="宋体" w:cs="宋体"/>
          <w:color w:val="000000"/>
          <w:sz w:val="21"/>
          <w:szCs w:val="21"/>
          <w:highlight w:val="none"/>
        </w:rPr>
        <w:t xml:space="preserve">在线</w:t>
      </w:r>
      <w:r>
        <w:rPr>
          <w:rFonts w:hint="eastAsia" w:ascii="宋体" w:hAnsi="宋体" w:eastAsia="宋体" w:cs="宋体"/>
          <w:color w:val="000000"/>
          <w:sz w:val="21"/>
          <w:szCs w:val="21"/>
          <w:highlight w:val="none"/>
          <w:lang w:val="zh-CN"/>
        </w:rPr>
        <w:t xml:space="preserve">参加开标</w:t>
      </w:r>
      <w:r>
        <w:rPr>
          <w:rFonts w:hint="eastAsia" w:ascii="宋体" w:hAnsi="宋体" w:eastAsia="宋体" w:cs="宋体"/>
          <w:color w:val="000000"/>
          <w:sz w:val="21"/>
          <w:szCs w:val="21"/>
          <w:highlight w:val="none"/>
        </w:rPr>
        <w:t xml:space="preserve">或未在规定时间内确认价格</w:t>
      </w:r>
      <w:r>
        <w:rPr>
          <w:rFonts w:hint="eastAsia" w:ascii="宋体" w:hAnsi="宋体" w:eastAsia="宋体" w:cs="宋体"/>
          <w:color w:val="000000"/>
          <w:sz w:val="21"/>
          <w:szCs w:val="21"/>
          <w:highlight w:val="none"/>
          <w:lang w:val="zh-CN"/>
        </w:rPr>
        <w:t xml:space="preserve">的，视同认可开标结果。</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资格审查</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公开招标采购项目开标结束后，采购人或采购代理机构应当依法对投标人的资格进行审查，未通过资格审查的视为无效投标。</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评标委员会或评标小组</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评标委员会或评标小组（以下简称评标委员会）成员依法组建。</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评标委员会或评标小组负责具体的评标事务，并独立履行以下职责：</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审查、评价投标文件是否符合招标文件的商务、技术等实质性要求；</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要求投标人对投标文件有关事项作出澄清或者说明；</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对投标文件进行比较和评价；</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确定中标候选人名单，以及根据采购单位委托直接确定中标单位；</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向采购单位、采购代理机构或者有关部门报告评标中发现的违法行为。</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评标委员会成员应当履行下列义务：</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遵纪守法，客观、公正、廉洁地履行职责；</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按照招标文件规定的评标方法和评标标准进行评标，对评审意见承担个人责任；</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对评标过程和结果，以及投标人的商业秘密保密；</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参与评标报告的起草；</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配合财政部门的投诉处理工作；</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配合招标采购单位答复投标供应商提出的质疑。</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评标内容的保密</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公开开标后，直到宣布授予中标单位合同为止，凡属于审查、澄清、评价和比较投标的所有资料，有关授予合同的信息都不应向投标人或与评标无关的其他人泄露。</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在投标文件的审查、澄清、评价和比较以及授予合同的过程中，投标人对招标代理机构和评标委员会成员施加影响的任何行为，都将取消其中标资格。</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在评标期间，招标代理机构将通过指定联络人与投标人进行联系。</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对投标文件初审</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评标委员会应当对符合资格的投标人的投标文件进行符合性审查，以确定其是否满足招标文件的实质性要求。</w:t>
      </w:r>
      <w:r>
        <w:rPr>
          <w:rFonts w:ascii="宋体" w:hAnsi="宋体" w:cs="宋体"/>
        </w:rPr>
      </w:r>
      <w:r/>
    </w:p>
    <w:p>
      <w:pPr>
        <w:pStyle w:val="863"/>
        <w:ind w:left="540"/>
        <w:keepLines w:val="0"/>
        <w:keepNext w:val="0"/>
        <w:pageBreakBefore w:val="0"/>
        <w:spacing w:line="440" w:lineRule="exact"/>
        <w:tabs>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投标文件有下列情况之一者将被拒绝：</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投标人的投标文件未按照本须知规定制作的；</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未按本须知规定提交资格文件或资质不合格；</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与招标文件有重大偏离；</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投标人拒绝修正错误；</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投标人的报价是选择性的；</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投标人的报价只投了部分内容；</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投标人的报价超采购预算或经评标小组评定为无效报价；</w:t>
      </w:r>
      <w:r>
        <w:rPr>
          <w:rFonts w:hint="eastAsia" w:ascii="宋体" w:hAnsi="宋体" w:eastAsia="宋体" w:cs="宋体"/>
          <w:b/>
          <w:bCs/>
          <w:color w:val="000000"/>
          <w:sz w:val="21"/>
          <w:szCs w:val="21"/>
          <w:highlight w:val="none"/>
          <w:lang w:val="en-US" w:eastAsia="zh-CN" w:bidi="ar-SA"/>
        </w:rPr>
        <w:t xml:space="preserve">按照财政部发布的《关于推动解决政府采购异常低价问题的通知》（财库</w:t>
      </w:r>
      <w:bookmarkStart w:id="40" w:name="OLE_LINK5"/>
      <w:r>
        <w:rPr>
          <w:rFonts w:hint="eastAsia" w:ascii="宋体" w:hAnsi="宋体" w:eastAsia="宋体" w:cs="宋体"/>
          <w:b/>
          <w:bCs/>
          <w:color w:val="000000"/>
          <w:sz w:val="21"/>
          <w:szCs w:val="21"/>
          <w:highlight w:val="none"/>
          <w:lang w:val="en-US" w:eastAsia="zh-CN" w:bidi="ar-SA"/>
        </w:rPr>
        <w:t xml:space="preserve">〔2026〕2号</w:t>
      </w:r>
      <w:bookmarkEnd w:id="40"/>
      <w:r>
        <w:rPr>
          <w:rFonts w:hint="eastAsia" w:ascii="宋体" w:hAnsi="宋体" w:eastAsia="宋体" w:cs="宋体"/>
          <w:b/>
          <w:bCs/>
          <w:color w:val="000000"/>
          <w:sz w:val="21"/>
          <w:szCs w:val="21"/>
          <w:highlight w:val="none"/>
          <w:lang w:val="en-US" w:eastAsia="zh-CN" w:bidi="ar-SA"/>
        </w:rPr>
        <w:t xml:space="preserve">）文，政府采购评审中出现下列情形之一的，评审委员会应当启动异常低价投标（响应）审查程序：</w:t>
      </w:r>
      <w:r>
        <w:rPr>
          <w:rFonts w:ascii="宋体" w:hAnsi="宋体" w:cs="宋体"/>
        </w:rPr>
      </w:r>
      <w:r/>
    </w:p>
    <w:p>
      <w:pPr>
        <w:pStyle w:val="863"/>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（1）评审过程中出现下列情形之一的，评审委员会应当启动异常低价投标（响应）审查程序：</w:t>
      </w:r>
      <w:r>
        <w:rPr>
          <w:rFonts w:ascii="宋体" w:hAnsi="宋体" w:cs="宋体"/>
        </w:rPr>
      </w:r>
      <w:r/>
    </w:p>
    <w:p>
      <w:pPr>
        <w:pStyle w:val="863"/>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①投标（响应）报价低于全部通过符合性审查供应商投标（响应）报价平均值50%的，即投标（响应）报价&lt;全部通过符合性审查供应商投标（响应）报价平均值×50%；</w:t>
      </w:r>
      <w:r>
        <w:rPr>
          <w:rFonts w:ascii="宋体" w:hAnsi="宋体" w:cs="宋体"/>
        </w:rPr>
      </w:r>
      <w:r/>
    </w:p>
    <w:p>
      <w:pPr>
        <w:pStyle w:val="863"/>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②投标（响应）报价低于通过符合性审查的次低报价供应商投标（响应）报价50%的，即投标（响应）报价&lt;通过符合性审查的次低报价供应商投标（响应）报价×50%；</w:t>
      </w:r>
      <w:r>
        <w:rPr>
          <w:rFonts w:ascii="宋体" w:hAnsi="宋体" w:cs="宋体"/>
        </w:rPr>
      </w:r>
      <w:r/>
    </w:p>
    <w:p>
      <w:pPr>
        <w:pStyle w:val="863"/>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③投标（响应）报价低于采购项目最高限价45%的，即投标（响应）报价&lt;采购项目最高限价×45%；</w:t>
      </w:r>
      <w:r>
        <w:rPr>
          <w:rFonts w:ascii="宋体" w:hAnsi="宋体" w:cs="宋体"/>
        </w:rPr>
      </w:r>
      <w:r/>
    </w:p>
    <w:p>
      <w:pPr>
        <w:pStyle w:val="863"/>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④评审委员会基于专业判断，认为供应商报价过低，有可能影响产品质量或者不能诚信履约的其他情形。</w:t>
      </w:r>
      <w:r>
        <w:rPr>
          <w:rFonts w:ascii="宋体" w:hAnsi="宋体" w:cs="宋体"/>
        </w:rPr>
      </w:r>
      <w:r/>
    </w:p>
    <w:p>
      <w:pPr>
        <w:pStyle w:val="863"/>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rPr>
      </w:r>
      <w:r/>
    </w:p>
    <w:p>
      <w:pPr>
        <w:pStyle w:val="863"/>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rPr>
      </w:r>
      <w:r/>
    </w:p>
    <w:p>
      <w:pPr>
        <w:pStyle w:val="863"/>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其他被评委会认定无效的情况。</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查询时间：投标文件递交截止时间后。</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查询渠道：采购代理机构会在接收投标文件截止时间后，登录信用中国网站（www.creditchina.gov.cn）和中国政府采购网（www.ccgp.gov.cn/）查询供应商的信用记录，并将查询结果递交评标委员会。</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rFonts w:ascii="宋体" w:hAnsi="宋体" w:cs="宋体"/>
        </w:rPr>
      </w:r>
      <w:r/>
    </w:p>
    <w:p>
      <w:pPr>
        <w:pStyle w:val="863"/>
        <w:ind w:left="1417"/>
        <w:keepLines w:val="0"/>
        <w:keepNext w:val="0"/>
        <w:pageBreakBefore w:val="0"/>
        <w:spacing w:line="440" w:lineRule="exact"/>
        <w:tabs>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（一）政府采购严重违法记录，即供应商被全国各级财政部门列入“政府采购严重违法失信行为记录名单”，且在处罚有效期内的。</w:t>
      </w:r>
      <w:r>
        <w:rPr>
          <w:rFonts w:ascii="宋体" w:hAnsi="宋体" w:cs="宋体"/>
        </w:rPr>
      </w:r>
      <w:r/>
    </w:p>
    <w:p>
      <w:pPr>
        <w:pStyle w:val="863"/>
        <w:ind w:left="1417"/>
        <w:keepLines w:val="0"/>
        <w:keepNext w:val="0"/>
        <w:pageBreakBefore w:val="0"/>
        <w:spacing w:line="440" w:lineRule="exact"/>
        <w:tabs>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（二）财政部门与法院、工商、税务等部门联合惩戒的失信信息，包括：</w:t>
      </w:r>
      <w:r>
        <w:rPr>
          <w:rFonts w:ascii="宋体" w:hAnsi="宋体" w:cs="宋体"/>
        </w:rPr>
      </w:r>
      <w:r/>
    </w:p>
    <w:p>
      <w:pPr>
        <w:pStyle w:val="863"/>
        <w:ind w:left="1417"/>
        <w:keepLines w:val="0"/>
        <w:keepNext w:val="0"/>
        <w:pageBreakBefore w:val="0"/>
        <w:spacing w:line="440" w:lineRule="exact"/>
        <w:tabs>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（1）被列入失信被执行人名单；</w:t>
      </w:r>
      <w:r>
        <w:rPr>
          <w:rFonts w:ascii="宋体" w:hAnsi="宋体" w:cs="宋体"/>
        </w:rPr>
      </w:r>
      <w:r/>
    </w:p>
    <w:p>
      <w:pPr>
        <w:pStyle w:val="863"/>
        <w:ind w:left="1417"/>
        <w:keepLines w:val="0"/>
        <w:keepNext w:val="0"/>
        <w:pageBreakBefore w:val="0"/>
        <w:spacing w:line="440" w:lineRule="exact"/>
        <w:tabs>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（2）被列入重大税收违法案件当事人名单；</w:t>
      </w:r>
      <w:r>
        <w:rPr>
          <w:rFonts w:ascii="宋体" w:hAnsi="宋体" w:cs="宋体"/>
        </w:rPr>
      </w:r>
      <w:r/>
    </w:p>
    <w:p>
      <w:pPr>
        <w:pStyle w:val="863"/>
        <w:ind w:left="1417"/>
        <w:keepLines w:val="0"/>
        <w:keepNext w:val="0"/>
        <w:pageBreakBefore w:val="0"/>
        <w:spacing w:line="440" w:lineRule="exact"/>
        <w:tabs>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评委会将对确定为实质上响应的投标进行审核，看其是否有计算上或累加上的算术错误，修正错误的原则如下：</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投标文件中开标一览表（报价表）内容与投标文件中相应内容不一致的，以开标一览表（报价表）为准；</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大写金额和小写金额不一致的，以大写金额为准；</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单价金额小数点或者百分比有明显错位的，以开标一览表的总价为准，并修改单价；</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总价金额与按单价汇总金额不一致的，以单价金额计算结果为准。</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招标代理机构对投标文件的判定，只依据投标内容本身，不依靠开标后的任何外来证明。</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招标代理机构将拒绝被确定为非实质性响应的投标，投标人不能通过修正或撤销不符之处而使其投标成为实质性响应的投标。</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投标的澄清</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投标人的澄清、说明或者补正应当采用书面形式，并加盖其单位电子公章。投标人的澄清、说明或者补正不得超出投标文件的范围或者改变投标文件的实质性内容。</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b/>
          <w:bCs/>
          <w:color w:val="000000"/>
          <w:sz w:val="21"/>
          <w:szCs w:val="21"/>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000000"/>
          <w:sz w:val="21"/>
          <w:szCs w:val="21"/>
          <w:highlight w:val="none"/>
          <w:lang w:val="zh-CN"/>
        </w:rPr>
        <w:t xml:space="preserve">供应商应随时保持系统在线，如因供应商自身原因未在规定时间内提交澄清确认资料的，导致的不利后果由供应商自行承担。</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无效投标的具体情形有：</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未按照招标文件规定要求签署、盖章的；</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不具备招标文件中规定资格要求的；</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报价超过招标文件中规定的预算金额（总预算和单项预算）或者最高限价的；</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投标文件含有采购加条件的；</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投标文件与招标文件有重大偏离的；</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平台报名系统内投标单位（投标单位）的报名名称（CA用户名）与投标文件中投标单位（投标单位）名称不一致的；</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因投标单位自身原因导致网上投标文件无法递交的其他情况；</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不同投标（响应）文件制作机器码一致的；</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法律、法规和招标文件规定的其他无效情形。</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废标的具体情形有：</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符合专业条件的供应商或者对招标文件作实质响应的供应商不足三家的；</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出现影响采购公正的违法、违规行为的；</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投标人的报价均超过了采购预算</w:t>
      </w:r>
      <w:r>
        <w:rPr>
          <w:rFonts w:hint="eastAsia" w:ascii="宋体" w:hAnsi="宋体" w:eastAsia="宋体" w:cs="宋体"/>
          <w:b/>
          <w:bCs/>
          <w:color w:val="000000"/>
          <w:sz w:val="21"/>
          <w:szCs w:val="21"/>
          <w:highlight w:val="none"/>
          <w:lang w:val="zh-CN"/>
        </w:rPr>
        <w:t xml:space="preserve">（总预算和单项预算）</w:t>
      </w:r>
      <w:r>
        <w:rPr>
          <w:rFonts w:hint="eastAsia" w:ascii="宋体" w:hAnsi="宋体" w:eastAsia="宋体" w:cs="宋体"/>
          <w:b/>
          <w:bCs/>
          <w:color w:val="000000"/>
          <w:sz w:val="21"/>
          <w:szCs w:val="21"/>
          <w:highlight w:val="none"/>
          <w:lang w:val="zh-CN"/>
        </w:rPr>
        <w:t xml:space="preserve">或者最高限价的，采购人不能支付的； </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因重大变故，采购任务取消的。</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投标文件的评价和比较</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评标委员会将仅对按照本须知有关规定确定为实质上响应招标文件要求的投标文件进行评价和比较。</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针对本项目的服务方案；</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针对本项目的人员投入；</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投标者的质量、服务措施；</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投标者提供的其他优惠条件；</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参与本项目政府采购工作的态度及信誉；</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最低的投标报价是中标的重要条件但不是唯一条件。</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评标原则及方法</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公正、公平、公开、科学、择优。</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对所有投标文件的评审，均采用相同的程序和标准。</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评审方案的可行性、先进性、实用性以及风险等（含同类项目业绩，人员资质，实施本项目的资金能力、技术能力、履约能力和用户信誉等方面的从业表现等）。</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评审技术服务的承诺文件是否满足采购单位的要求。</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评委会根据评分标准（除报价）进行独立打分，公证员进行汇总并按算术平均方法计算出各投标单位的得分，报价得分根据评分标准直接计算取得，评委得分与报价得分之和最高者为中标单位。</w:t>
      </w:r>
      <w:r>
        <w:rPr>
          <w:rFonts w:ascii="宋体" w:hAnsi="宋体" w:cs="宋体"/>
        </w:rPr>
      </w:r>
      <w:r/>
    </w:p>
    <w:p>
      <w:pPr>
        <w:pStyle w:val="863"/>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lang w:val="zh-CN"/>
        </w:rPr>
        <w:t xml:space="preserve">授予合同</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中标单位的确认</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评标委员会根据投标单位专业性资格审查情况和符合性审查情况，对投标文件进行评价和比较，按照评标办法和标准进行评标，并按招标代理机构的委托向招标代理机构推荐中标单位。</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经评标委员会评审并确定中标单位后，招标代理机构将在规定的时间内将中标结果在政府采购管理部门指定媒体上予以公示。</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政府采购合同履行中，采购单位需追加与合同标的相同的货物、工程或服务的，在不改变合同其他条款的前提下，可以与供应商协商签订补充合同，但所有补充合同的采购金额不得超过原合同采购金额的10%。 </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质疑处理</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本次招标文件要求供应商在法定质疑期内一次性提出针对同一采购程序环节的质疑，否则不予受理。</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供应商提出质疑应当提交质疑函和必要的证明材料，质疑函应当包括下列内容：</w:t>
      </w:r>
      <w:r>
        <w:rPr>
          <w:rFonts w:ascii="宋体" w:hAnsi="宋体" w:cs="宋体"/>
        </w:rPr>
      </w:r>
      <w:r/>
    </w:p>
    <w:p>
      <w:pPr>
        <w:pStyle w:val="1043"/>
        <w:jc w:val="left"/>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（1）供应商的姓名或者名称（以提供的营业执照副本复印件为准）、地址、邮编、联系人及联系电话；</w:t>
      </w:r>
      <w:r>
        <w:rPr>
          <w:rFonts w:ascii="宋体" w:hAnsi="宋体" w:cs="宋体"/>
        </w:rPr>
      </w:r>
      <w:r/>
    </w:p>
    <w:p>
      <w:pPr>
        <w:pStyle w:val="1043"/>
        <w:jc w:val="left"/>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（2）质疑项目的名称、编号；</w:t>
      </w:r>
      <w:r>
        <w:rPr>
          <w:rFonts w:ascii="宋体" w:hAnsi="宋体" w:cs="宋体"/>
        </w:rPr>
      </w:r>
      <w:r/>
    </w:p>
    <w:p>
      <w:pPr>
        <w:pStyle w:val="1043"/>
        <w:jc w:val="left"/>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（3）具体、明确的质疑事项和与质疑事项相关的请求；</w:t>
      </w:r>
      <w:r>
        <w:rPr>
          <w:rFonts w:ascii="宋体" w:hAnsi="宋体" w:cs="宋体"/>
        </w:rPr>
      </w:r>
      <w:r/>
    </w:p>
    <w:p>
      <w:pPr>
        <w:pStyle w:val="1043"/>
        <w:jc w:val="left"/>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（4）事实依据；</w:t>
      </w:r>
      <w:r>
        <w:rPr>
          <w:rFonts w:ascii="宋体" w:hAnsi="宋体" w:cs="宋体"/>
        </w:rPr>
      </w:r>
      <w:r/>
    </w:p>
    <w:p>
      <w:pPr>
        <w:pStyle w:val="1043"/>
        <w:jc w:val="left"/>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（5）必要的法律依据；</w:t>
      </w:r>
      <w:r>
        <w:rPr>
          <w:rFonts w:ascii="宋体" w:hAnsi="宋体" w:cs="宋体"/>
        </w:rPr>
      </w:r>
      <w:r/>
    </w:p>
    <w:p>
      <w:pPr>
        <w:pStyle w:val="1043"/>
        <w:jc w:val="left"/>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（6）提出质疑的日期。</w:t>
      </w:r>
      <w:r>
        <w:rPr>
          <w:rFonts w:ascii="宋体" w:hAnsi="宋体" w:cs="宋体"/>
        </w:rPr>
      </w:r>
      <w:r/>
    </w:p>
    <w:p>
      <w:pPr>
        <w:pStyle w:val="1043"/>
        <w:jc w:val="left"/>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000000"/>
          <w:sz w:val="21"/>
          <w:szCs w:val="21"/>
          <w:highlight w:val="none"/>
          <w:lang w:val="zh-CN"/>
        </w:rPr>
        <w:t xml:space="preserve">授权委托书</w:t>
      </w:r>
      <w:r>
        <w:rPr>
          <w:rFonts w:hint="eastAsia" w:ascii="宋体" w:hAnsi="宋体" w:eastAsia="宋体" w:cs="宋体"/>
          <w:color w:val="000000"/>
          <w:sz w:val="21"/>
          <w:szCs w:val="21"/>
          <w:highlight w:val="none"/>
          <w:lang w:val="zh-CN"/>
        </w:rPr>
        <w:t xml:space="preserve">上应当载明代理人的姓名或者名称、代理事项、具体权限、期限和相关事项。</w:t>
      </w:r>
      <w:r>
        <w:rPr>
          <w:rFonts w:ascii="宋体" w:hAnsi="宋体" w:cs="宋体"/>
        </w:rPr>
      </w:r>
      <w:r/>
    </w:p>
    <w:p>
      <w:pPr>
        <w:pStyle w:val="1043"/>
        <w:ind w:firstLine="422"/>
        <w:jc w:val="left"/>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b/>
          <w:bCs/>
          <w:color w:val="000000"/>
          <w:sz w:val="21"/>
          <w:szCs w:val="21"/>
          <w:highlight w:val="none"/>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sz w:val="21"/>
          <w:szCs w:val="21"/>
          <w:highlight w:val="none"/>
          <w:lang w:val="zh-CN"/>
        </w:rPr>
        <w:t xml:space="preserve">。</w:t>
      </w:r>
      <w:r>
        <w:rPr>
          <w:rFonts w:ascii="宋体" w:hAnsi="宋体" w:cs="宋体"/>
        </w:rPr>
      </w:r>
      <w:r/>
    </w:p>
    <w:p>
      <w:pPr>
        <w:pStyle w:val="863"/>
        <w:ind w:firstLine="420"/>
        <w:jc w:val="left"/>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供应商提出书面质疑必须有理、有据，不得恶意质疑或提交虚假质疑。否则，一经查实，采购人有权依据政府采购的有关规定，报请政府采购监管部门对该质疑单位进行相应的行政处罚。</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接收质疑函的方式：书面形式（当场送达或邮寄方式，不接收到付快递）。</w:t>
      </w:r>
      <w:r>
        <w:rPr>
          <w:rFonts w:ascii="宋体" w:hAnsi="宋体" w:cs="宋体"/>
        </w:rPr>
      </w:r>
      <w:r/>
    </w:p>
    <w:p>
      <w:pPr>
        <w:pStyle w:val="1043"/>
        <w:ind w:firstLine="556"/>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采购代理机构：苏州欣禾诚工程咨询服务有限公司</w:t>
      </w:r>
      <w:r>
        <w:rPr>
          <w:rFonts w:ascii="宋体" w:hAnsi="宋体" w:cs="宋体"/>
        </w:rPr>
      </w:r>
      <w:r/>
    </w:p>
    <w:p>
      <w:pPr>
        <w:pStyle w:val="1043"/>
        <w:ind w:firstLine="556"/>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质疑联系人：朱思薇、沈雪娟</w:t>
      </w:r>
      <w:r>
        <w:rPr>
          <w:rFonts w:ascii="宋体" w:hAnsi="宋体" w:cs="宋体"/>
        </w:rPr>
      </w:r>
      <w:r/>
    </w:p>
    <w:p>
      <w:pPr>
        <w:pStyle w:val="1043"/>
        <w:ind w:firstLine="556"/>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邮编：</w:t>
      </w:r>
      <w:r>
        <w:rPr>
          <w:rFonts w:hint="eastAsia" w:ascii="宋体" w:hAnsi="宋体" w:eastAsia="宋体" w:cs="宋体"/>
          <w:color w:val="000000"/>
          <w:sz w:val="21"/>
          <w:szCs w:val="21"/>
          <w:highlight w:val="none"/>
        </w:rPr>
        <w:t xml:space="preserve">215200</w:t>
      </w:r>
      <w:r>
        <w:rPr>
          <w:rFonts w:ascii="宋体" w:hAnsi="宋体" w:cs="宋体"/>
        </w:rPr>
      </w:r>
      <w:r/>
    </w:p>
    <w:p>
      <w:pPr>
        <w:pStyle w:val="1043"/>
        <w:ind w:firstLine="556"/>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联系电话：0512-</w:t>
      </w:r>
      <w:r>
        <w:rPr>
          <w:rFonts w:hint="eastAsia" w:ascii="宋体" w:hAnsi="宋体" w:eastAsia="宋体" w:cs="宋体"/>
          <w:color w:val="000000"/>
          <w:sz w:val="21"/>
          <w:szCs w:val="21"/>
          <w:highlight w:val="none"/>
        </w:rPr>
        <w:t xml:space="preserve">63659266</w:t>
      </w:r>
      <w:r>
        <w:rPr>
          <w:rFonts w:ascii="宋体" w:hAnsi="宋体" w:cs="宋体"/>
        </w:rPr>
      </w:r>
      <w:r/>
    </w:p>
    <w:p>
      <w:pPr>
        <w:pStyle w:val="1043"/>
        <w:ind w:firstLine="556"/>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现场递交地址</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苏州市吴江区通虹路68号中科联合创业园2楼209室</w:t>
      </w:r>
      <w:r>
        <w:rPr>
          <w:rFonts w:ascii="宋体" w:hAnsi="宋体" w:cs="宋体"/>
        </w:rPr>
      </w:r>
      <w:r/>
    </w:p>
    <w:p>
      <w:pPr>
        <w:pStyle w:val="1043"/>
        <w:ind w:firstLine="556"/>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邮寄收取地址</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苏州市吴江区通虹路68号中科联合创业园2楼209室</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合同授予标准</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招标代理机构将把合同授予其投标文件在实质上响应招标文件要求和按本须知规定评选出的投标单位。确定为中标的投标单位必须具有实施本合同的能力和资源。</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中标通知书</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确定出中标人后，采购代理机构在法定时间内向中标人发出中标通知书。</w:t>
      </w:r>
      <w:r>
        <w:rPr>
          <w:rFonts w:hint="eastAsia" w:ascii="宋体" w:hAnsi="宋体" w:eastAsia="宋体" w:cs="宋体"/>
          <w:b/>
          <w:bCs/>
          <w:color w:val="000000"/>
          <w:sz w:val="21"/>
          <w:szCs w:val="21"/>
          <w:highlight w:val="none"/>
          <w:lang w:val="zh-CN"/>
        </w:rPr>
        <w:t xml:space="preserve">请中标人在中标结果公告届满之日起30日内，使用CA证书登录“苏采云”系统及时下载中标通知书。</w:t>
      </w:r>
      <w:r>
        <w:rPr>
          <w:rFonts w:hint="eastAsia" w:ascii="宋体" w:hAnsi="宋体" w:eastAsia="宋体" w:cs="宋体"/>
          <w:color w:val="000000"/>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中标通知书将成为合同的组成部分，对采购人和中标人具有同等法律效力。</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中标通知书发出后，采购人不得违法改变中标结果，中标人无正当理由不得放弃中标。</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合同的签订</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中标单位应按中标通知书中规定的时间和地点，由法定代表人或委托代理人与甲方代表签订合同，否则按放弃中标权处理。</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签订合同及合同条款应以招标文件和中标单位的投标文件及其澄清文件为依据。</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中标单位无正当理由拒签合同的，或在签订合同时向采购单位提出附加条件或者更改合同实质性内容的，报请政府采购监管部门对该投标单位进行相应的行政处罚。</w:t>
      </w:r>
      <w:r>
        <w:rPr>
          <w:rFonts w:ascii="宋体" w:hAnsi="宋体" w:cs="宋体"/>
        </w:rPr>
      </w:r>
      <w:r/>
    </w:p>
    <w:p>
      <w:pPr>
        <w:pStyle w:val="863"/>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lang w:val="zh-CN"/>
        </w:rPr>
        <w:t xml:space="preserve">其他事项</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采购代理费</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中标单位须按前附表规定支付中标服务费，该费用应在领取中标通知书时付清。</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中标单位如果未按规定缴纳中标服务费，招标代理机构保留诉讼的权利。</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监督和公证</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政府有关监督部门将对招投标全过程进行监督。</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未尽事宜</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按《中华人民共和国政府采购法》及其他有关政府采购的法律法规的规定执行。</w:t>
      </w:r>
      <w:r>
        <w:rPr>
          <w:rFonts w:ascii="宋体" w:hAnsi="宋体" w:cs="宋体"/>
        </w:rPr>
      </w:r>
      <w:r/>
    </w:p>
    <w:p>
      <w:pPr>
        <w:pStyle w:val="863"/>
        <w:jc w:val="center"/>
        <w:spacing w:before="166" w:after="166" w:line="460" w:lineRule="exact"/>
        <w:rPr>
          <w:rFonts w:ascii="宋体" w:hAnsi="宋体" w:cs="宋体"/>
          <w:b/>
          <w:bCs/>
          <w:color w:val="000000"/>
          <w:sz w:val="44"/>
          <w:szCs w:val="44"/>
          <w:highlight w:val="none"/>
        </w:rPr>
        <w:outlineLvl w:val="0"/>
      </w:pPr>
      <w:r>
        <w:rPr>
          <w:rFonts w:ascii="宋体" w:hAnsi="宋体" w:cs="宋体"/>
          <w:color w:val="000000"/>
          <w:highlight w:val="none"/>
        </w:rPr>
        <w:br w:type="page" w:clear="all"/>
      </w:r>
      <w:bookmarkStart w:id="41" w:name="_Toc9263"/>
      <w:r>
        <w:rPr>
          <w:rFonts w:hint="eastAsia" w:ascii="宋体" w:hAnsi="宋体" w:eastAsia="宋体" w:cs="宋体"/>
          <w:b/>
          <w:bCs/>
          <w:color w:val="000000"/>
          <w:sz w:val="44"/>
          <w:szCs w:val="44"/>
          <w:highlight w:val="none"/>
        </w:rPr>
        <w:t xml:space="preserve">第三章  投标文件格式</w:t>
      </w:r>
      <w:bookmarkEnd w:id="38"/>
      <w:r>
        <w:rPr>
          <w:rFonts w:ascii="宋体" w:hAnsi="宋体" w:cs="宋体"/>
        </w:rPr>
      </w:r>
      <w:bookmarkEnd w:id="41"/>
      <w:r>
        <w:rPr>
          <w:rFonts w:ascii="宋体" w:hAnsi="宋体" w:cs="宋体"/>
        </w:rPr>
      </w:r>
      <w:r/>
    </w:p>
    <w:p>
      <w:pPr>
        <w:pStyle w:val="863"/>
        <w:spacing w:line="440" w:lineRule="exact"/>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说明：</w:t>
      </w:r>
      <w:r>
        <w:rPr>
          <w:rFonts w:ascii="宋体" w:hAnsi="宋体" w:cs="宋体"/>
        </w:rPr>
      </w:r>
      <w:r/>
    </w:p>
    <w:p>
      <w:pPr>
        <w:pStyle w:val="863"/>
        <w:ind w:firstLine="420"/>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对本章所有的投标书格式，投标方可根据自身情况进行补充和修改，但补充和修改不得造成与本格式内容有实质性的违背。</w:t>
      </w:r>
      <w:r>
        <w:rPr>
          <w:rFonts w:ascii="宋体" w:hAnsi="宋体" w:cs="宋体"/>
        </w:rPr>
      </w:r>
      <w:r/>
    </w:p>
    <w:p>
      <w:pPr>
        <w:pStyle w:val="863"/>
        <w:spacing w:line="400" w:lineRule="exact"/>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3"/>
        <w:spacing w:line="400" w:lineRule="exact"/>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附件</w:t>
      </w:r>
      <w:r>
        <w:rPr>
          <w:rFonts w:ascii="宋体" w:hAnsi="宋体" w:cs="宋体"/>
          <w:b/>
          <w:bCs/>
          <w:color w:val="000000"/>
          <w:sz w:val="21"/>
          <w:szCs w:val="21"/>
          <w:highlight w:val="none"/>
        </w:rPr>
        <w:t xml:space="preserve">1</w:t>
      </w:r>
      <w:r>
        <w:rPr>
          <w:rFonts w:hint="eastAsia" w:ascii="宋体" w:hAnsi="宋体" w:eastAsia="宋体" w:cs="宋体"/>
          <w:b/>
          <w:bCs/>
          <w:color w:val="000000"/>
          <w:sz w:val="21"/>
          <w:szCs w:val="21"/>
          <w:highlight w:val="none"/>
        </w:rPr>
        <w:t xml:space="preserve">、（投标方）法定代表人授权委托书</w:t>
      </w:r>
      <w:r>
        <w:rPr>
          <w:rFonts w:ascii="宋体" w:hAnsi="宋体" w:cs="宋体"/>
        </w:rPr>
      </w:r>
      <w:r/>
    </w:p>
    <w:p>
      <w:pPr>
        <w:pStyle w:val="863"/>
        <w:jc w:val="center"/>
        <w:spacing w:line="400" w:lineRule="exact"/>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授权委托书</w:t>
      </w:r>
      <w:r>
        <w:rPr>
          <w:rFonts w:ascii="宋体" w:hAnsi="宋体" w:cs="宋体"/>
        </w:rPr>
      </w:r>
      <w:r/>
    </w:p>
    <w:p>
      <w:pPr>
        <w:pStyle w:val="863"/>
        <w:ind w:left="211" w:firstLine="434"/>
        <w:spacing w:line="52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本授权委托书声明：我</w:t>
      </w:r>
      <w:r>
        <w:rPr>
          <w:rFonts w:hint="eastAsia" w:ascii="宋体" w:hAnsi="宋体" w:eastAsia="宋体" w:cs="宋体"/>
          <w:color w:val="000000"/>
          <w:sz w:val="21"/>
          <w:szCs w:val="21"/>
          <w:highlight w:val="none"/>
          <w:u w:val="single"/>
        </w:rPr>
        <w:t xml:space="preserve">（姓名）</w:t>
      </w:r>
      <w:r>
        <w:rPr>
          <w:rFonts w:hint="eastAsia" w:ascii="宋体" w:hAnsi="宋体" w:eastAsia="宋体" w:cs="宋体"/>
          <w:color w:val="000000"/>
          <w:sz w:val="21"/>
          <w:szCs w:val="21"/>
          <w:highlight w:val="none"/>
        </w:rPr>
        <w:t xml:space="preserve">系</w:t>
      </w:r>
      <w:r>
        <w:rPr>
          <w:rFonts w:hint="eastAsia" w:ascii="宋体" w:hAnsi="宋体" w:eastAsia="宋体" w:cs="宋体"/>
          <w:color w:val="000000"/>
          <w:sz w:val="21"/>
          <w:szCs w:val="21"/>
          <w:highlight w:val="none"/>
          <w:u w:val="single"/>
        </w:rPr>
        <w:t xml:space="preserve">（供应商名称）</w:t>
      </w:r>
      <w:r>
        <w:rPr>
          <w:rFonts w:hint="eastAsia" w:ascii="宋体" w:hAnsi="宋体" w:eastAsia="宋体" w:cs="宋体"/>
          <w:color w:val="000000"/>
          <w:sz w:val="21"/>
          <w:szCs w:val="21"/>
          <w:highlight w:val="none"/>
        </w:rPr>
        <w:t xml:space="preserve">的法定代表人，现授权委托</w:t>
      </w:r>
      <w:r>
        <w:rPr>
          <w:rFonts w:hint="eastAsia" w:ascii="宋体" w:hAnsi="宋体" w:eastAsia="宋体" w:cs="宋体"/>
          <w:color w:val="000000"/>
          <w:sz w:val="21"/>
          <w:szCs w:val="21"/>
          <w:highlight w:val="none"/>
          <w:u w:val="single"/>
        </w:rPr>
        <w:t xml:space="preserve">（供应商名称）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（姓名）</w:t>
      </w:r>
      <w:r>
        <w:rPr>
          <w:rFonts w:hint="eastAsia" w:ascii="宋体" w:hAnsi="宋体" w:eastAsia="宋体" w:cs="宋体"/>
          <w:color w:val="000000"/>
          <w:sz w:val="21"/>
          <w:szCs w:val="21"/>
          <w:highlight w:val="none"/>
        </w:rPr>
        <w:t xml:space="preserve">为我公司代理人，以本公司的名义参加苏州欣禾诚工程咨询服务有限公司组织实施的编号为</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号的招标活动。代理人在</w:t>
      </w:r>
      <w:r>
        <w:rPr>
          <w:rFonts w:hint="eastAsia" w:ascii="宋体" w:hAnsi="宋体" w:eastAsia="宋体" w:cs="宋体"/>
          <w:color w:val="000000"/>
          <w:sz w:val="21"/>
          <w:highlight w:val="none"/>
        </w:rPr>
        <w:t xml:space="preserve">投标报名、制作投标文件、</w:t>
      </w:r>
      <w:r>
        <w:rPr>
          <w:rFonts w:hint="eastAsia" w:ascii="宋体" w:hAnsi="宋体" w:eastAsia="宋体" w:cs="宋体"/>
          <w:color w:val="000000"/>
          <w:sz w:val="21"/>
          <w:szCs w:val="21"/>
          <w:highlight w:val="none"/>
        </w:rPr>
        <w:t xml:space="preserve">开标、评标、合同谈判过程中所签署的一切文件和处理与这有关的一切事务，我均予以承认。</w:t>
      </w:r>
      <w:r>
        <w:rPr>
          <w:rFonts w:ascii="宋体" w:hAnsi="宋体" w:cs="宋体"/>
        </w:rPr>
      </w:r>
      <w:r/>
    </w:p>
    <w:p>
      <w:pPr>
        <w:pStyle w:val="863"/>
        <w:ind w:left="211" w:firstLine="434"/>
        <w:spacing w:line="52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ascii="宋体" w:hAnsi="宋体" w:cs="宋体"/>
        </w:rPr>
      </w:r>
      <w:r/>
    </w:p>
    <w:p>
      <w:pPr>
        <w:pStyle w:val="863"/>
        <w:ind w:firstLine="644"/>
        <w:spacing w:line="52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代理人无转让委托权。</w:t>
      </w:r>
      <w:r>
        <w:rPr>
          <w:rFonts w:ascii="宋体" w:hAnsi="宋体" w:cs="宋体"/>
        </w:rPr>
      </w:r>
      <w:r/>
    </w:p>
    <w:p>
      <w:pPr>
        <w:pStyle w:val="863"/>
        <w:ind w:firstLine="644"/>
        <w:spacing w:line="52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特此委托。</w:t>
      </w:r>
      <w:r>
        <w:rPr>
          <w:rFonts w:ascii="宋体" w:hAnsi="宋体" w:cs="宋体"/>
        </w:rPr>
      </w:r>
      <w:r/>
    </w:p>
    <w:p>
      <w:pPr>
        <w:pStyle w:val="863"/>
        <w:ind w:firstLine="435"/>
        <w:spacing w:line="440" w:lineRule="exact"/>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p>
      <w:pPr>
        <w:pStyle w:val="863"/>
        <w:ind w:firstLine="435"/>
        <w:spacing w:line="440" w:lineRule="exact"/>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p>
      <w:pPr>
        <w:pStyle w:val="863"/>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供应商：（盖章）</w:t>
      </w:r>
      <w:r>
        <w:rPr>
          <w:rFonts w:ascii="宋体" w:hAnsi="宋体" w:cs="宋体"/>
        </w:rPr>
      </w:r>
      <w:r/>
    </w:p>
    <w:p>
      <w:pPr>
        <w:pStyle w:val="863"/>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法定代表人：（签字或盖章）</w:t>
      </w:r>
      <w:r>
        <w:rPr>
          <w:rFonts w:ascii="宋体" w:hAnsi="宋体" w:cs="宋体"/>
        </w:rPr>
      </w:r>
      <w:r/>
    </w:p>
    <w:p>
      <w:pPr>
        <w:pStyle w:val="863"/>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代理人：（签字或盖章）</w:t>
      </w:r>
      <w:r>
        <w:rPr>
          <w:rFonts w:ascii="宋体" w:hAnsi="宋体" w:cs="宋体"/>
        </w:rPr>
      </w:r>
      <w:r/>
    </w:p>
    <w:p>
      <w:pPr>
        <w:pStyle w:val="863"/>
        <w:ind w:right="480"/>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w:t>
      </w:r>
      <w:r>
        <w:rPr>
          <w:rFonts w:ascii="宋体" w:hAnsi="宋体" w:cs="宋体"/>
          <w:color w:val="000000"/>
          <w:sz w:val="21"/>
          <w:szCs w:val="21"/>
          <w:highlight w:val="none"/>
        </w:rPr>
        <w:t xml:space="preserve">  </w:t>
      </w:r>
      <w:r>
        <w:rPr>
          <w:rFonts w:hint="eastAsia" w:ascii="宋体" w:hAnsi="宋体" w:eastAsia="宋体" w:cs="宋体"/>
          <w:color w:val="000000"/>
          <w:sz w:val="21"/>
          <w:szCs w:val="21"/>
          <w:highlight w:val="none"/>
        </w:rPr>
        <w:t xml:space="preserve">月   </w:t>
      </w:r>
      <w:r>
        <w:rPr>
          <w:rFonts w:ascii="宋体" w:hAnsi="宋体" w:cs="宋体"/>
          <w:color w:val="000000"/>
          <w:sz w:val="21"/>
          <w:szCs w:val="21"/>
          <w:highlight w:val="none"/>
        </w:rPr>
        <w:t xml:space="preserve">  </w:t>
      </w:r>
      <w:r>
        <w:rPr>
          <w:rFonts w:hint="eastAsia" w:ascii="宋体" w:hAnsi="宋体" w:eastAsia="宋体" w:cs="宋体"/>
          <w:color w:val="000000"/>
          <w:sz w:val="21"/>
          <w:szCs w:val="21"/>
          <w:highlight w:val="none"/>
        </w:rPr>
        <w:t xml:space="preserve">日</w:t>
      </w:r>
      <w:r>
        <w:rPr>
          <w:rFonts w:ascii="宋体" w:hAnsi="宋体" w:cs="宋体"/>
        </w:rPr>
      </w:r>
      <w:r/>
    </w:p>
    <w:p>
      <w:pPr>
        <w:pStyle w:val="863"/>
        <w:ind w:firstLine="435"/>
        <w:spacing w:line="440" w:lineRule="exact"/>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p>
      <w:pPr>
        <w:pStyle w:val="882"/>
        <w:ind w:firstLine="0"/>
        <w:spacing w:line="440" w:lineRule="exact"/>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注：须单位签章、法定代表人签字或盖章、代理人签字或盖章三者齐全，否则该授权委托书无效。</w:t>
      </w:r>
      <w:r>
        <w:rPr>
          <w:rFonts w:ascii="宋体" w:hAnsi="宋体" w:cs="宋体"/>
        </w:rPr>
      </w:r>
      <w:r/>
    </w:p>
    <w:p>
      <w:pPr>
        <w:pStyle w:val="882"/>
        <w:ind w:firstLine="0"/>
        <w:rPr>
          <w:rFonts w:ascii="宋体" w:hAnsi="宋体" w:cs="宋体"/>
          <w:color w:val="000000"/>
          <w:sz w:val="21"/>
          <w:szCs w:val="21"/>
          <w:highlight w:val="none"/>
        </w:rPr>
      </w:pPr>
      <w:r>
        <w:rPr>
          <w:rFonts w:ascii="宋体" w:hAnsi="宋体" w:eastAsia="宋体" w:cs="宋体"/>
          <w:b/>
          <w:bCs/>
          <w:color w:val="000000"/>
          <w:highlight w:val="none"/>
        </w:rPr>
        <w:br w:type="page" w:clear="all"/>
      </w:r>
      <w:r>
        <w:rPr>
          <w:rFonts w:hint="eastAsia" w:ascii="宋体" w:hAnsi="宋体" w:eastAsia="宋体" w:cs="宋体"/>
          <w:b/>
          <w:bCs/>
          <w:color w:val="000000"/>
          <w:sz w:val="21"/>
          <w:szCs w:val="21"/>
          <w:highlight w:val="none"/>
        </w:rPr>
        <w:t xml:space="preserve">附件</w:t>
      </w:r>
      <w:r>
        <w:rPr>
          <w:rFonts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rPr>
        <w:t xml:space="preserve">、投标函</w:t>
      </w:r>
      <w:r>
        <w:rPr>
          <w:rFonts w:ascii="宋体" w:hAnsi="宋体" w:cs="宋体"/>
        </w:rPr>
      </w:r>
      <w:r/>
    </w:p>
    <w:p>
      <w:pPr>
        <w:pStyle w:val="863"/>
        <w:jc w:val="center"/>
        <w:spacing w:line="400" w:lineRule="exact"/>
        <w:rPr>
          <w:rFonts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投标函</w:t>
      </w:r>
      <w:r>
        <w:rPr>
          <w:rFonts w:ascii="宋体" w:hAnsi="宋体" w:cs="宋体"/>
        </w:rPr>
      </w:r>
      <w:r/>
    </w:p>
    <w:p>
      <w:pPr>
        <w:pStyle w:val="863"/>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u w:val="single"/>
        </w:rPr>
        <w:t xml:space="preserve">苏州欣禾诚工程咨询服务有限公司</w:t>
      </w:r>
      <w:r>
        <w:rPr>
          <w:rFonts w:hint="eastAsia" w:ascii="宋体" w:hAnsi="宋体" w:eastAsia="宋体" w:cs="宋体"/>
          <w:color w:val="000000"/>
          <w:sz w:val="21"/>
          <w:szCs w:val="21"/>
          <w:highlight w:val="none"/>
        </w:rPr>
        <w:t xml:space="preserve">：</w:t>
      </w:r>
      <w:r>
        <w:rPr>
          <w:rFonts w:ascii="宋体" w:hAnsi="宋体" w:cs="宋体"/>
        </w:rPr>
      </w:r>
      <w:r/>
    </w:p>
    <w:p>
      <w:pPr>
        <w:pStyle w:val="86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我们收到贵公司</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号招标文件，经仔细阅读和研究，我们决定参加投标。</w:t>
      </w:r>
      <w:r>
        <w:rPr>
          <w:rFonts w:ascii="宋体" w:hAnsi="宋体" w:cs="宋体"/>
        </w:rPr>
      </w:r>
      <w:r/>
    </w:p>
    <w:p>
      <w:pPr>
        <w:pStyle w:val="863"/>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我们愿意按照招标文件的一切要求，</w:t>
      </w:r>
      <w:r>
        <w:rPr>
          <w:rFonts w:hint="eastAsia" w:ascii="宋体" w:hAnsi="宋体" w:eastAsia="宋体" w:cs="宋体"/>
          <w:color w:val="000000"/>
          <w:sz w:val="21"/>
          <w:szCs w:val="21"/>
          <w:highlight w:val="none"/>
          <w:lang w:eastAsia="zh-CN"/>
        </w:rPr>
        <w:t xml:space="preserve">投标</w:t>
      </w:r>
      <w:r>
        <w:rPr>
          <w:rFonts w:hint="eastAsia" w:ascii="宋体" w:hAnsi="宋体" w:eastAsia="宋体" w:cs="宋体"/>
          <w:color w:val="000000"/>
          <w:sz w:val="21"/>
          <w:szCs w:val="21"/>
          <w:highlight w:val="none"/>
        </w:rPr>
        <w:t xml:space="preserve">报价包含完成本项目所需全部费用。我们保证</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后不会对</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价格提出任何异议，更不会以任何理由要求采购单位针对</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范围的价款要求额外补偿。不会以不了解</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文件、合同文件为由或曲解、片面理解</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文件、合同文件或割裂</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文件、合同文件，断章取义，向采购单位提出任何补偿要求。</w:t>
      </w:r>
      <w:r>
        <w:rPr>
          <w:rFonts w:ascii="宋体" w:hAnsi="宋体" w:cs="宋体"/>
        </w:rPr>
      </w:r>
      <w:r/>
    </w:p>
    <w:p>
      <w:pPr>
        <w:pStyle w:val="863"/>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如果我们的投标书被接受，我们将严格履行招标文件中规定的每一项要求，按期、按质、按量履行合同的义务。</w:t>
      </w:r>
      <w:r>
        <w:rPr>
          <w:rFonts w:ascii="宋体" w:hAnsi="宋体" w:cs="宋体"/>
        </w:rPr>
      </w:r>
      <w:r/>
    </w:p>
    <w:p>
      <w:pPr>
        <w:pStyle w:val="863"/>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我们同意按招标文件中的规定，本投标书的有效期限为提交投标文件的截止之日起</w:t>
      </w:r>
      <w:r>
        <w:rPr>
          <w:rFonts w:hint="eastAsia" w:ascii="宋体" w:hAnsi="宋体" w:cs="宋体"/>
          <w:color w:val="000000"/>
          <w:sz w:val="21"/>
          <w:szCs w:val="21"/>
          <w:highlight w:val="none"/>
          <w:u w:val="single"/>
        </w:rPr>
        <w:t xml:space="preserve"> 90 </w:t>
      </w:r>
      <w:r>
        <w:rPr>
          <w:rFonts w:hint="eastAsia" w:ascii="宋体" w:hAnsi="宋体" w:eastAsia="宋体" w:cs="宋体"/>
          <w:color w:val="000000"/>
          <w:sz w:val="21"/>
          <w:szCs w:val="21"/>
          <w:highlight w:val="none"/>
        </w:rPr>
        <w:t xml:space="preserve">天。</w:t>
      </w:r>
      <w:r>
        <w:rPr>
          <w:rFonts w:ascii="宋体" w:hAnsi="宋体" w:cs="宋体"/>
        </w:rPr>
      </w:r>
      <w:r/>
    </w:p>
    <w:p>
      <w:pPr>
        <w:pStyle w:val="863"/>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我们愿意提供招标代理机构在招标文件中要求的所有资料</w:t>
      </w:r>
      <w:r>
        <w:rPr>
          <w:rFonts w:hint="eastAsia" w:ascii="宋体" w:hAnsi="宋体" w:eastAsia="宋体" w:cs="宋体"/>
          <w:color w:val="000000"/>
          <w:sz w:val="21"/>
          <w:szCs w:val="21"/>
          <w:highlight w:val="none"/>
          <w:lang w:val="zh-CN"/>
        </w:rPr>
        <w:t xml:space="preserve">，也同意向贵方提供贵方可能另外要求的与其投标有关的任何证据或资料。</w:t>
      </w:r>
      <w:r>
        <w:rPr>
          <w:rFonts w:ascii="宋体" w:hAnsi="宋体" w:cs="宋体"/>
        </w:rPr>
      </w:r>
      <w:r/>
    </w:p>
    <w:p>
      <w:pPr>
        <w:pStyle w:val="863"/>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我们愿意遵守招标通告及招标文件中所列的收费标准。</w:t>
      </w:r>
      <w:r>
        <w:rPr>
          <w:rFonts w:ascii="宋体" w:hAnsi="宋体" w:cs="宋体"/>
        </w:rPr>
      </w:r>
      <w:r/>
    </w:p>
    <w:p>
      <w:pPr>
        <w:pStyle w:val="863"/>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我们承诺该项投标在开标后的全过程中保持有效，不作任何更改和变动。</w:t>
      </w:r>
      <w:r>
        <w:rPr>
          <w:rFonts w:hint="eastAsia" w:ascii="宋体" w:hAnsi="宋体" w:eastAsia="宋体" w:cs="宋体"/>
          <w:color w:val="000000"/>
          <w:sz w:val="21"/>
          <w:szCs w:val="21"/>
          <w:highlight w:val="none"/>
          <w:lang w:val="zh-CN"/>
        </w:rPr>
        <w:t xml:space="preserve">我们同意</w:t>
      </w:r>
      <w:r>
        <w:rPr>
          <w:rFonts w:hint="eastAsia" w:ascii="宋体" w:hAnsi="宋体" w:eastAsia="宋体" w:cs="宋体"/>
          <w:color w:val="000000"/>
          <w:sz w:val="21"/>
          <w:szCs w:val="21"/>
          <w:highlight w:val="none"/>
        </w:rPr>
        <w:t xml:space="preserve">中标</w:t>
      </w:r>
      <w:r>
        <w:rPr>
          <w:rFonts w:hint="eastAsia" w:ascii="宋体" w:hAnsi="宋体" w:eastAsia="宋体" w:cs="宋体"/>
          <w:color w:val="000000"/>
          <w:sz w:val="21"/>
          <w:szCs w:val="21"/>
          <w:highlight w:val="none"/>
          <w:lang w:val="zh-CN"/>
        </w:rPr>
        <w:t xml:space="preserve">后若不履行投标文件的内容要求和各项承诺及义务的即被视为违约，其</w:t>
      </w:r>
      <w:r>
        <w:rPr>
          <w:rFonts w:hint="eastAsia" w:ascii="宋体" w:hAnsi="宋体" w:eastAsia="宋体" w:cs="宋体"/>
          <w:color w:val="000000"/>
          <w:sz w:val="21"/>
          <w:szCs w:val="21"/>
          <w:highlight w:val="none"/>
        </w:rPr>
        <w:t xml:space="preserve">中标</w:t>
      </w:r>
      <w:r>
        <w:rPr>
          <w:rFonts w:hint="eastAsia" w:ascii="宋体" w:hAnsi="宋体" w:eastAsia="宋体" w:cs="宋体"/>
          <w:color w:val="000000"/>
          <w:sz w:val="21"/>
          <w:szCs w:val="21"/>
          <w:highlight w:val="none"/>
          <w:lang w:val="zh-CN"/>
        </w:rPr>
        <w:t xml:space="preserve">资格将被取消。</w:t>
      </w:r>
      <w:r>
        <w:rPr>
          <w:rFonts w:ascii="宋体" w:hAnsi="宋体" w:cs="宋体"/>
        </w:rPr>
      </w:r>
      <w:r/>
    </w:p>
    <w:p>
      <w:pPr>
        <w:pStyle w:val="863"/>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如果我们中标，我们愿意按招标文件要求支付中标服务费</w:t>
      </w:r>
      <w:r>
        <w:rPr>
          <w:rFonts w:hint="eastAsia" w:ascii="宋体" w:hAnsi="宋体" w:eastAsia="宋体" w:cs="宋体"/>
          <w:color w:val="000000"/>
          <w:sz w:val="21"/>
          <w:szCs w:val="21"/>
          <w:highlight w:val="none"/>
          <w:lang w:val="zh-CN"/>
        </w:rPr>
        <w:t xml:space="preserve">，逾期按中国人民银行公布的同期人民币贷款最高利率计付利息</w:t>
      </w:r>
      <w:r>
        <w:rPr>
          <w:rFonts w:hint="eastAsia" w:ascii="宋体" w:hAnsi="宋体" w:eastAsia="宋体" w:cs="宋体"/>
          <w:color w:val="000000"/>
          <w:sz w:val="21"/>
          <w:szCs w:val="21"/>
          <w:highlight w:val="none"/>
        </w:rPr>
        <w:t xml:space="preserve">。</w:t>
      </w:r>
      <w:r>
        <w:rPr>
          <w:rFonts w:ascii="宋体" w:hAnsi="宋体" w:cs="宋体"/>
        </w:rPr>
      </w:r>
      <w:r/>
    </w:p>
    <w:p>
      <w:pPr>
        <w:pStyle w:val="863"/>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rPr>
          <w:rFonts w:ascii="宋体" w:hAnsi="宋体" w:cs="宋体"/>
        </w:rPr>
      </w:r>
      <w:r/>
    </w:p>
    <w:p>
      <w:pPr>
        <w:pStyle w:val="863"/>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我们愿意按照《中华人民共和国民法典》履行自己应该承担的全部责任。</w:t>
      </w:r>
      <w:r>
        <w:rPr>
          <w:rFonts w:ascii="宋体" w:hAnsi="宋体" w:cs="宋体"/>
        </w:rPr>
      </w:r>
      <w:r/>
    </w:p>
    <w:p>
      <w:pPr>
        <w:pStyle w:val="863"/>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综合说明：</w:t>
      </w:r>
      <w:r>
        <w:rPr>
          <w:rFonts w:ascii="宋体" w:hAnsi="宋体" w:cs="宋体"/>
        </w:rPr>
      </w:r>
      <w:r/>
    </w:p>
    <w:p>
      <w:pPr>
        <w:pStyle w:val="86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（1）伴随服务及配合措施；                    （2）要求甲方提供的配合；</w:t>
      </w:r>
      <w:r>
        <w:rPr>
          <w:rFonts w:ascii="宋体" w:hAnsi="宋体" w:cs="宋体"/>
        </w:rPr>
      </w:r>
      <w:r/>
    </w:p>
    <w:p>
      <w:pPr>
        <w:pStyle w:val="86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（3）对招标文件有不同意见的偏离说明；        （4）</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说明。</w:t>
      </w:r>
      <w:r>
        <w:rPr>
          <w:rFonts w:ascii="宋体" w:hAnsi="宋体" w:cs="宋体"/>
        </w:rPr>
      </w:r>
      <w:r/>
    </w:p>
    <w:p>
      <w:pPr>
        <w:pStyle w:val="86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所有有关标书的函电，请按下列地址联系：</w:t>
      </w:r>
      <w:r>
        <w:rPr>
          <w:rFonts w:ascii="宋体" w:hAnsi="宋体" w:cs="宋体"/>
        </w:rPr>
      </w:r>
      <w:r/>
    </w:p>
    <w:p>
      <w:pPr>
        <w:pStyle w:val="86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单位：                         联系人：</w:t>
      </w:r>
      <w:r>
        <w:rPr>
          <w:rFonts w:ascii="宋体" w:hAnsi="宋体" w:cs="宋体"/>
        </w:rPr>
      </w:r>
      <w:r/>
    </w:p>
    <w:p>
      <w:pPr>
        <w:pStyle w:val="86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地址：                         邮政编码：</w:t>
      </w:r>
      <w:r>
        <w:rPr>
          <w:rFonts w:ascii="宋体" w:hAnsi="宋体" w:cs="宋体"/>
        </w:rPr>
      </w:r>
      <w:r/>
    </w:p>
    <w:p>
      <w:pPr>
        <w:pStyle w:val="86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联系电话：                     传真：</w:t>
      </w:r>
      <w:r>
        <w:rPr>
          <w:rFonts w:ascii="宋体" w:hAnsi="宋体" w:cs="宋体"/>
        </w:rPr>
      </w:r>
      <w:r/>
    </w:p>
    <w:p>
      <w:pPr>
        <w:pStyle w:val="863"/>
        <w:ind w:firstLine="1102"/>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63"/>
        <w:ind w:firstLine="4200"/>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63"/>
        <w:ind w:firstLine="4200"/>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63"/>
        <w:ind w:firstLine="4200"/>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63"/>
        <w:spacing w:line="440" w:lineRule="exact"/>
        <w:rPr>
          <w:rFonts w:hint="eastAsia" w:ascii="宋体" w:hAnsi="宋体" w:cs="宋体"/>
          <w:b/>
          <w:color w:val="000000"/>
          <w:sz w:val="21"/>
          <w:szCs w:val="21"/>
          <w:highlight w:val="none"/>
        </w:rPr>
      </w:pPr>
      <w:r>
        <w:rPr>
          <w:rFonts w:ascii="宋体" w:hAnsi="宋体" w:cs="宋体"/>
          <w:b/>
          <w:bCs/>
          <w:color w:val="000000"/>
          <w:highlight w:val="none"/>
        </w:rPr>
        <w:br w:type="page" w:clear="all"/>
      </w:r>
      <w:r>
        <w:rPr>
          <w:rFonts w:hint="eastAsia" w:ascii="宋体" w:hAnsi="宋体" w:eastAsia="宋体" w:cs="宋体"/>
          <w:b/>
          <w:bCs/>
          <w:color w:val="000000"/>
          <w:sz w:val="21"/>
          <w:szCs w:val="21"/>
          <w:highlight w:val="none"/>
        </w:rPr>
        <w:t xml:space="preserve">附件</w:t>
      </w:r>
      <w:r>
        <w:rPr>
          <w:rFonts w:ascii="宋体" w:hAnsi="宋体" w:cs="宋体"/>
          <w:b/>
          <w:bCs/>
          <w:color w:val="000000"/>
          <w:sz w:val="21"/>
          <w:szCs w:val="21"/>
          <w:highlight w:val="none"/>
        </w:rPr>
        <w:t xml:space="preserve">3</w:t>
      </w:r>
      <w:r>
        <w:rPr>
          <w:rFonts w:hint="eastAsia" w:ascii="宋体" w:hAnsi="宋体" w:eastAsia="宋体" w:cs="宋体"/>
          <w:b/>
          <w:bCs/>
          <w:color w:val="000000"/>
          <w:sz w:val="21"/>
          <w:szCs w:val="21"/>
          <w:highlight w:val="none"/>
        </w:rPr>
        <w:t xml:space="preserve">、</w:t>
      </w:r>
      <w:r>
        <w:rPr>
          <w:rFonts w:hint="eastAsia" w:ascii="宋体" w:hAnsi="宋体" w:eastAsia="宋体" w:cs="宋体"/>
          <w:b/>
          <w:color w:val="000000"/>
          <w:sz w:val="21"/>
          <w:szCs w:val="21"/>
          <w:highlight w:val="none"/>
        </w:rPr>
        <w:t xml:space="preserve">开标一览表</w:t>
      </w:r>
      <w:r>
        <w:rPr>
          <w:rFonts w:ascii="宋体" w:hAnsi="宋体" w:cs="宋体"/>
        </w:rPr>
      </w:r>
      <w:r/>
    </w:p>
    <w:p>
      <w:pPr>
        <w:pStyle w:val="863"/>
        <w:jc w:val="center"/>
        <w:spacing w:line="440" w:lineRule="exact"/>
        <w:rPr>
          <w:rFonts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开标一览表（格式）</w:t>
      </w:r>
      <w:r>
        <w:rPr>
          <w:rFonts w:ascii="宋体" w:hAnsi="宋体" w:cs="宋体"/>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589"/>
        <w:gridCol w:w="8529"/>
      </w:tblGrid>
      <w:tr>
        <w:trPr>
          <w:trHeight w:val="633"/>
        </w:trPr>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pStyle w:val="863"/>
              <w:jc w:val="center"/>
              <w:spacing w:line="360" w:lineRule="auto"/>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29" w:type="dxa"/>
            <w:vAlign w:val="center"/>
            <w:textDirection w:val="lrTb"/>
            <w:noWrap w:val="false"/>
          </w:tcPr>
          <w:p>
            <w:pPr>
              <w:pStyle w:val="863"/>
              <w:jc w:val="center"/>
              <w:spacing w:line="360" w:lineRule="auto"/>
              <w:widowControl/>
              <w:rPr>
                <w:rFonts w:hint="eastAsia" w:ascii="宋体" w:hAnsi="宋体" w:cs="宋体"/>
                <w:color w:val="000000"/>
                <w:szCs w:val="21"/>
                <w:highlight w:val="none"/>
              </w:rPr>
            </w:pPr>
            <w:r>
              <w:rPr>
                <w:rFonts w:hint="eastAsia" w:ascii="宋体" w:hAnsi="宋体" w:eastAsia="宋体" w:cs="宋体"/>
                <w:color w:val="000000"/>
                <w:sz w:val="21"/>
                <w:szCs w:val="21"/>
                <w:highlight w:val="none"/>
                <w:lang w:eastAsia="zh-CN"/>
              </w:rPr>
              <w:t xml:space="preserve">2026年-2027年度食品安全AI可视化监管服务</w:t>
            </w:r>
            <w:r>
              <w:rPr>
                <w:rFonts w:ascii="宋体" w:hAnsi="宋体" w:cs="宋体"/>
              </w:rPr>
            </w:r>
            <w:r/>
          </w:p>
        </w:tc>
      </w:tr>
      <w:tr>
        <w:trPr>
          <w:trHeight w:val="651"/>
        </w:trPr>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pStyle w:val="863"/>
              <w:jc w:val="center"/>
              <w:spacing w:line="360" w:lineRule="auto"/>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招标编号</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29" w:type="dxa"/>
            <w:vAlign w:val="center"/>
            <w:textDirection w:val="lrTb"/>
            <w:noWrap w:val="false"/>
          </w:tcPr>
          <w:p>
            <w:pPr>
              <w:pStyle w:val="863"/>
              <w:jc w:val="center"/>
              <w:spacing w:line="360" w:lineRule="auto"/>
              <w:widowControl/>
              <w:rPr>
                <w:rFonts w:hint="eastAsia" w:ascii="宋体" w:hAnsi="宋体" w:cs="宋体"/>
                <w:color w:val="000000"/>
                <w:szCs w:val="21"/>
                <w:highlight w:val="none"/>
              </w:rPr>
            </w:pPr>
            <w:r>
              <w:rPr>
                <w:rFonts w:hint="eastAsia" w:ascii="宋体" w:hAnsi="宋体" w:cs="宋体"/>
                <w:color w:val="000000"/>
                <w:sz w:val="21"/>
                <w:szCs w:val="21"/>
                <w:highlight w:val="none"/>
                <w:lang w:eastAsia="zh-CN"/>
              </w:rPr>
              <w:t xml:space="preserve">JSZC-320509-SXHC-G2026-0018</w:t>
            </w:r>
            <w:r>
              <w:rPr>
                <w:rFonts w:ascii="宋体" w:hAnsi="宋体" w:cs="宋体"/>
              </w:rPr>
            </w:r>
            <w:r/>
          </w:p>
        </w:tc>
      </w:tr>
      <w:tr>
        <w:trPr>
          <w:trHeight w:val="702"/>
        </w:trPr>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pStyle w:val="863"/>
              <w:jc w:val="center"/>
              <w:spacing w:line="360" w:lineRule="auto"/>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投标总价</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29" w:type="dxa"/>
            <w:vAlign w:val="center"/>
            <w:textDirection w:val="lrTb"/>
            <w:noWrap w:val="false"/>
          </w:tcPr>
          <w:p>
            <w:pPr>
              <w:pStyle w:val="863"/>
              <w:jc w:val="center"/>
              <w:spacing w:line="360" w:lineRule="auto"/>
              <w:widowControl/>
              <w:rPr>
                <w:rFonts w:ascii="宋体" w:hAnsi="宋体" w:cs="宋体"/>
                <w:color w:val="000000"/>
                <w:szCs w:val="21"/>
                <w:highlight w:val="none"/>
                <w:u w:val="singl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none"/>
              </w:rPr>
              <w:t xml:space="preserve">人民币</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ascii="宋体" w:hAnsi="宋体" w:cs="宋体"/>
                <w:color w:val="000000"/>
                <w:sz w:val="21"/>
                <w:szCs w:val="21"/>
                <w:highlight w:val="none"/>
              </w:rPr>
              <w:t xml:space="preserve">               </w:t>
            </w:r>
            <w:r>
              <w:rPr>
                <w:rFonts w:hint="eastAsia" w:ascii="宋体" w:hAnsi="宋体" w:eastAsia="宋体" w:cs="宋体"/>
                <w:color w:val="000000"/>
                <w:sz w:val="21"/>
                <w:szCs w:val="21"/>
                <w:highlight w:val="none"/>
              </w:rPr>
              <w:t xml:space="preserve">（小写）¥</w:t>
            </w:r>
            <w:r>
              <w:rPr>
                <w:rFonts w:ascii="宋体" w:hAnsi="宋体" w:cs="宋体"/>
                <w:color w:val="000000"/>
                <w:sz w:val="21"/>
                <w:szCs w:val="21"/>
                <w:highlight w:val="none"/>
                <w:u w:val="single"/>
              </w:rPr>
              <w:t xml:space="preserve">         </w:t>
            </w:r>
            <w:r>
              <w:rPr>
                <w:rFonts w:ascii="宋体" w:hAnsi="宋体" w:cs="宋体"/>
              </w:rPr>
            </w:r>
            <w:r/>
          </w:p>
        </w:tc>
      </w:tr>
    </w:tbl>
    <w:p>
      <w:pPr>
        <w:pStyle w:val="863"/>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7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921"/>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7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921"/>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7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921"/>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pStyle w:val="921"/>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pStyle w:val="921"/>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pStyle w:val="921"/>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pStyle w:val="921"/>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pStyle w:val="921"/>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pStyle w:val="921"/>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pStyle w:val="921"/>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pStyle w:val="921"/>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pStyle w:val="921"/>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pStyle w:val="921"/>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7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921"/>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jc w:val="center"/>
        <w:spacing w:line="440" w:lineRule="exact"/>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公开分项报价表</w:t>
      </w:r>
      <w:r>
        <w:rPr>
          <w:rFonts w:ascii="宋体" w:hAnsi="宋体" w:cs="宋体"/>
        </w:rPr>
      </w:r>
      <w:r/>
    </w:p>
    <w:p>
      <w:pPr>
        <w:pStyle w:val="863"/>
        <w:jc w:val="center"/>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（格式）</w:t>
      </w:r>
      <w:r>
        <w:rPr>
          <w:rFonts w:ascii="宋体" w:hAnsi="宋体" w:eastAsia="宋体" w:cs="宋体"/>
          <w:color w:val="000000"/>
          <w:sz w:val="21"/>
          <w:szCs w:val="21"/>
          <w:highlight w:val="none"/>
        </w:rPr>
        <w:t xml:space="preserve">  </w:t>
      </w:r>
      <w:r>
        <w:rPr>
          <w:rFonts w:ascii="宋体" w:hAnsi="宋体" w:cs="宋体"/>
        </w:rPr>
      </w:r>
      <w:r/>
    </w:p>
    <w:p>
      <w:pPr>
        <w:pStyle w:val="863"/>
        <w:ind w:firstLine="210"/>
        <w:jc w:val="both"/>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投标编号</w:t>
      </w: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JSZC-320509-SXHC-G2026-0018</w:t>
      </w:r>
      <w:r>
        <w:rPr>
          <w:rFonts w:hint="eastAsia" w:ascii="宋体" w:hAnsi="宋体" w:eastAsia="宋体" w:cs="宋体"/>
          <w:color w:val="000000"/>
          <w:sz w:val="21"/>
          <w:szCs w:val="21"/>
          <w:highlight w:val="none"/>
          <w:lang w:val="en-US" w:eastAsia="zh-CN" w:bidi="ar-SA"/>
        </w:rPr>
        <w:t xml:space="preserve">                              单位：元（人民币）</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4397"/>
        <w:gridCol w:w="1533"/>
        <w:gridCol w:w="1533"/>
        <w:gridCol w:w="1533"/>
      </w:tblGrid>
      <w:tr>
        <w:trPr>
          <w:cantSplit/>
          <w:trHeight w:val="454"/>
        </w:trPr>
        <w:tc>
          <w:tcPr>
            <w:tcW w:w="1122"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
              </w:rPr>
              <w:t xml:space="preserve">序号</w:t>
            </w:r>
            <w:r>
              <w:rPr>
                <w:rFonts w:ascii="宋体" w:hAnsi="宋体" w:cs="宋体"/>
              </w:rPr>
            </w:r>
            <w:r/>
          </w:p>
        </w:tc>
        <w:tc>
          <w:tcPr>
            <w:tcW w:w="4397"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
              </w:rPr>
              <w:t xml:space="preserve">名称</w:t>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
              </w:rPr>
              <w:t xml:space="preserve">单价</w:t>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
              </w:rPr>
              <w:t xml:space="preserve">数量</w:t>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
              </w:rPr>
              <w:t xml:space="preserve">总价</w:t>
            </w:r>
            <w:r>
              <w:rPr>
                <w:rFonts w:ascii="宋体" w:hAnsi="宋体" w:cs="宋体"/>
              </w:rPr>
            </w:r>
            <w:r/>
          </w:p>
        </w:tc>
      </w:tr>
      <w:tr>
        <w:trPr>
          <w:cantSplit/>
          <w:trHeight w:val="454"/>
        </w:trPr>
        <w:tc>
          <w:tcPr>
            <w:tcW w:w="1122"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bidi="ar"/>
              </w:rPr>
              <w:t xml:space="preserve">1</w:t>
            </w:r>
            <w:r>
              <w:rPr>
                <w:rFonts w:ascii="宋体" w:hAnsi="宋体" w:cs="宋体"/>
              </w:rPr>
            </w:r>
            <w:r/>
          </w:p>
        </w:tc>
        <w:tc>
          <w:tcPr>
            <w:tcW w:w="4397"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r>
      <w:tr>
        <w:trPr>
          <w:cantSplit/>
          <w:trHeight w:val="454"/>
        </w:trPr>
        <w:tc>
          <w:tcPr>
            <w:tcW w:w="1122"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bidi="ar"/>
              </w:rPr>
              <w:t xml:space="preserve">2</w:t>
            </w:r>
            <w:r>
              <w:rPr>
                <w:rFonts w:ascii="宋体" w:hAnsi="宋体" w:cs="宋体"/>
              </w:rPr>
            </w:r>
            <w:r/>
          </w:p>
        </w:tc>
        <w:tc>
          <w:tcPr>
            <w:tcW w:w="4397"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r>
      <w:tr>
        <w:trPr>
          <w:cantSplit/>
          <w:trHeight w:val="454"/>
        </w:trPr>
        <w:tc>
          <w:tcPr>
            <w:tcW w:w="1122"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bidi="ar"/>
              </w:rPr>
              <w:t xml:space="preserve">3</w:t>
            </w:r>
            <w:r>
              <w:rPr>
                <w:rFonts w:ascii="宋体" w:hAnsi="宋体" w:cs="宋体"/>
              </w:rPr>
            </w:r>
            <w:r/>
          </w:p>
        </w:tc>
        <w:tc>
          <w:tcPr>
            <w:tcW w:w="4397"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r>
      <w:tr>
        <w:trPr>
          <w:cantSplit/>
          <w:trHeight w:val="454"/>
        </w:trPr>
        <w:tc>
          <w:tcPr>
            <w:tcW w:w="1122"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bidi="ar"/>
              </w:rPr>
              <w:t xml:space="preserve">4</w:t>
            </w:r>
            <w:r>
              <w:rPr>
                <w:rFonts w:ascii="宋体" w:hAnsi="宋体" w:cs="宋体"/>
              </w:rPr>
            </w:r>
            <w:r/>
          </w:p>
        </w:tc>
        <w:tc>
          <w:tcPr>
            <w:tcW w:w="4397"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r>
      <w:tr>
        <w:trPr>
          <w:cantSplit/>
          <w:trHeight w:val="454"/>
        </w:trPr>
        <w:tc>
          <w:tcPr>
            <w:tcW w:w="1122"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bidi="ar"/>
              </w:rPr>
              <w:t xml:space="preserve">5</w:t>
            </w:r>
            <w:r>
              <w:rPr>
                <w:rFonts w:ascii="宋体" w:hAnsi="宋体" w:cs="宋体"/>
              </w:rPr>
            </w:r>
            <w:r/>
          </w:p>
        </w:tc>
        <w:tc>
          <w:tcPr>
            <w:tcW w:w="4397"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r>
      <w:tr>
        <w:trPr>
          <w:cantSplit/>
          <w:trHeight w:val="454"/>
        </w:trPr>
        <w:tc>
          <w:tcPr>
            <w:tcW w:w="1122"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4397"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r>
      <w:tr>
        <w:trPr>
          <w:cantSplit/>
          <w:trHeight w:val="454"/>
        </w:trPr>
        <w:tc>
          <w:tcPr>
            <w:tcW w:w="1122"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最终报价</w:t>
            </w:r>
            <w:r>
              <w:rPr>
                <w:rFonts w:ascii="宋体" w:hAnsi="宋体" w:cs="宋体"/>
              </w:rPr>
            </w:r>
            <w:r/>
          </w:p>
        </w:tc>
        <w:tc>
          <w:tcPr>
            <w:gridSpan w:val="4"/>
            <w:tcW w:w="8996" w:type="dxa"/>
            <w:vAlign w:val="center"/>
            <w:textDirection w:val="lrTb"/>
            <w:noWrap w:val="false"/>
          </w:tcPr>
          <w:p>
            <w:pPr>
              <w:pStyle w:val="863"/>
              <w:jc w:val="both"/>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金额（大写）</w:t>
            </w:r>
            <w:r>
              <w:rPr>
                <w:rFonts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t xml:space="preserve">（小写）¥</w:t>
            </w:r>
            <w:r>
              <w:rPr>
                <w:rFonts w:ascii="宋体" w:hAnsi="宋体" w:eastAsia="宋体" w:cs="宋体"/>
                <w:color w:val="000000"/>
                <w:sz w:val="21"/>
                <w:szCs w:val="21"/>
                <w:highlight w:val="none"/>
                <w:u w:val="single"/>
              </w:rPr>
              <w:t xml:space="preserve">         </w:t>
            </w:r>
            <w:r>
              <w:rPr>
                <w:rFonts w:ascii="宋体" w:hAnsi="宋体" w:cs="宋体"/>
              </w:rPr>
            </w:r>
            <w:r/>
          </w:p>
        </w:tc>
      </w:tr>
    </w:tbl>
    <w:p>
      <w:pPr>
        <w:pStyle w:val="863"/>
        <w:ind w:firstLine="210"/>
        <w:jc w:val="both"/>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r>
      <w:r>
        <w:rPr>
          <w:rFonts w:ascii="宋体" w:hAnsi="宋体" w:cs="宋体"/>
        </w:rPr>
      </w:r>
      <w:r/>
    </w:p>
    <w:p>
      <w:pPr>
        <w:pStyle w:val="863"/>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63"/>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63"/>
        <w:keepLines w:val="0"/>
        <w:keepNext w:val="0"/>
        <w:pageBreakBefore w:val="0"/>
        <w:spacing w:line="440" w:lineRule="exact"/>
        <w:widowControl w:val="off"/>
        <w:rPr>
          <w:rFonts w:ascii="宋体" w:hAnsi="宋体" w:cs="宋体"/>
          <w:b/>
          <w:bCs/>
          <w:color w:val="000000"/>
          <w:sz w:val="21"/>
          <w:szCs w:val="21"/>
          <w:highlight w:val="none"/>
        </w:rPr>
        <w:outlineLvl w:val="9"/>
      </w:pPr>
      <w:r>
        <w:rPr>
          <w:rFonts w:hint="eastAsia" w:ascii="宋体" w:hAnsi="宋体" w:eastAsia="宋体" w:cs="宋体"/>
          <w:color w:val="000000"/>
          <w:sz w:val="21"/>
          <w:szCs w:val="21"/>
          <w:highlight w:val="none"/>
        </w:rPr>
        <w:t xml:space="preserve">日期：    年    月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ascii="宋体" w:hAnsi="宋体" w:cs="宋体"/>
        </w:rPr>
      </w:r>
      <w:r/>
    </w:p>
    <w:p>
      <w:pPr>
        <w:pStyle w:val="86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eastAsia="zh-CN"/>
        </w:rPr>
      </w:r>
      <w:r>
        <w:rPr>
          <w:rFonts w:ascii="宋体" w:hAnsi="宋体" w:cs="宋体"/>
        </w:rPr>
      </w:r>
      <w:r/>
    </w:p>
    <w:p>
      <w:pPr>
        <w:pStyle w:val="86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注：1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请投标单位按照上述格式分析投标总报价，本项投标总价需与开标一览表投标总价一致。如有出现漏报、错报或未报项，均由投标单位自行承担，采购单位不再另行支付其他费用。</w:t>
      </w:r>
      <w:r>
        <w:rPr>
          <w:rFonts w:ascii="宋体" w:hAnsi="宋体" w:cs="宋体"/>
        </w:rPr>
      </w:r>
      <w:r/>
    </w:p>
    <w:p>
      <w:pPr>
        <w:pStyle w:val="86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投标报价包含前端点位勘察部署、平台接入，明厨亮灶智慧监管平台系统运维、AI算法运营迭代优化、前端监控设备运维巡检（保养、故障维修、零部件更换）、数据运营分析、技术培训、技术支持服务等人工与技术服务费，以及材料、管理、利润、税金、政策性文件规定及合同包含的所有风险、责任等一切费用。</w:t>
      </w:r>
      <w:r>
        <w:rPr>
          <w:rFonts w:ascii="宋体" w:hAnsi="宋体" w:cs="宋体"/>
        </w:rPr>
      </w:r>
      <w:r/>
    </w:p>
    <w:p>
      <w:pPr>
        <w:pStyle w:val="863"/>
        <w:numPr>
          <w:ilvl w:val="0"/>
          <w:numId w:val="0"/>
        </w:numP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7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921"/>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7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921"/>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5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05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63"/>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keepLines w:val="0"/>
        <w:keepNext w:val="0"/>
        <w:pageBreakBefore w:val="0"/>
        <w:spacing w:line="400" w:lineRule="exact"/>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rPr>
        <w:t xml:space="preserve">附件4、关于投标报价合理性的澄清说明</w:t>
      </w:r>
      <w:r>
        <w:rPr>
          <w:rFonts w:ascii="宋体" w:hAnsi="宋体" w:cs="宋体"/>
        </w:rPr>
      </w:r>
      <w:r/>
    </w:p>
    <w:p>
      <w:pPr>
        <w:pStyle w:val="863"/>
        <w:jc w:val="center"/>
        <w:keepLines w:val="0"/>
        <w:keepNext w:val="0"/>
        <w:pageBreakBefore w:val="0"/>
        <w:spacing w:line="400" w:lineRule="exact"/>
        <w:rPr>
          <w:rFonts w:ascii="宋体" w:hAnsi="宋体" w:cs="宋体"/>
          <w:b/>
          <w:bCs/>
          <w:color w:val="000000"/>
          <w:sz w:val="21"/>
          <w:szCs w:val="21"/>
          <w:highlight w:val="none"/>
        </w:rPr>
        <w:outlineLvl w:val="9"/>
      </w:pPr>
      <w:r>
        <w:rPr>
          <w:rFonts w:ascii="宋体" w:hAnsi="宋体" w:eastAsia="宋体" w:cs="宋体"/>
          <w:b/>
          <w:bCs/>
          <w:color w:val="000000"/>
          <w:sz w:val="21"/>
          <w:szCs w:val="21"/>
          <w:highlight w:val="none"/>
        </w:rPr>
        <w:t xml:space="preserve">关于</w:t>
      </w:r>
      <w:r>
        <w:rPr>
          <w:rFonts w:hint="eastAsia" w:ascii="宋体" w:hAnsi="宋体" w:eastAsia="宋体" w:cs="宋体"/>
          <w:b/>
          <w:bCs/>
          <w:color w:val="000000"/>
          <w:sz w:val="21"/>
          <w:szCs w:val="21"/>
          <w:highlight w:val="none"/>
        </w:rPr>
        <w:t xml:space="preserve">投标报价合理性</w:t>
      </w:r>
      <w:r>
        <w:rPr>
          <w:rFonts w:ascii="宋体" w:hAnsi="宋体" w:eastAsia="宋体" w:cs="宋体"/>
          <w:b/>
          <w:bCs/>
          <w:color w:val="000000"/>
          <w:sz w:val="21"/>
          <w:szCs w:val="21"/>
          <w:highlight w:val="none"/>
        </w:rPr>
        <w:t xml:space="preserve">的</w:t>
      </w:r>
      <w:r>
        <w:rPr>
          <w:rFonts w:hint="eastAsia" w:ascii="宋体" w:hAnsi="宋体" w:eastAsia="宋体" w:cs="宋体"/>
          <w:b/>
          <w:bCs/>
          <w:color w:val="000000"/>
          <w:sz w:val="21"/>
          <w:szCs w:val="21"/>
          <w:highlight w:val="none"/>
        </w:rPr>
        <w:t xml:space="preserve">澄清说明</w:t>
      </w:r>
      <w:r>
        <w:rPr>
          <w:rFonts w:ascii="宋体" w:hAnsi="宋体" w:cs="宋体"/>
        </w:rPr>
      </w:r>
      <w:r/>
    </w:p>
    <w:p>
      <w:pPr>
        <w:pStyle w:val="863"/>
        <w:ind w:left="0"/>
        <w:jc w:val="left"/>
        <w:keepLines w:val="0"/>
        <w:keepNext w:val="0"/>
        <w:pageBreakBefore w:val="0"/>
        <w:spacing w:line="400" w:lineRule="exact"/>
        <w:widowControl/>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u w:val="single"/>
        </w:rPr>
        <w:t xml:space="preserve">苏州欣禾诚工程咨询服务有限公司</w:t>
      </w:r>
      <w:r>
        <w:rPr>
          <w:rFonts w:ascii="宋体" w:hAnsi="宋体" w:eastAsia="宋体" w:cs="宋体"/>
          <w:color w:val="000000"/>
          <w:sz w:val="21"/>
          <w:szCs w:val="21"/>
          <w:highlight w:val="none"/>
        </w:rPr>
        <w:t xml:space="preserve">：</w:t>
      </w:r>
      <w:r>
        <w:rPr>
          <w:rFonts w:ascii="宋体" w:hAnsi="宋体" w:cs="宋体"/>
        </w:rPr>
      </w:r>
      <w:r/>
    </w:p>
    <w:p>
      <w:pPr>
        <w:pStyle w:val="863"/>
        <w:ind w:left="0" w:firstLine="420"/>
        <w:jc w:val="both"/>
        <w:keepLines w:val="0"/>
        <w:keepNext w:val="0"/>
        <w:pageBreakBefore w:val="0"/>
        <w:spacing w:line="400" w:lineRule="exact"/>
        <w:rPr>
          <w:rFonts w:ascii="宋体" w:hAnsi="宋体" w:cs="宋体"/>
          <w:color w:val="000000"/>
          <w:sz w:val="21"/>
          <w:szCs w:val="21"/>
          <w:highlight w:val="none"/>
        </w:rPr>
        <w:outlineLvl w:val="9"/>
      </w:pPr>
      <w:r>
        <w:rPr>
          <w:rFonts w:ascii="宋体" w:hAnsi="宋体" w:eastAsia="宋体" w:cs="宋体"/>
          <w:color w:val="000000"/>
          <w:sz w:val="21"/>
          <w:szCs w:val="21"/>
          <w:highlight w:val="none"/>
        </w:rPr>
        <w:t xml:space="preserve">本公司愿就由贵</w:t>
      </w:r>
      <w:r>
        <w:rPr>
          <w:rFonts w:hint="eastAsia" w:ascii="宋体" w:hAnsi="宋体" w:eastAsia="宋体" w:cs="宋体"/>
          <w:color w:val="000000"/>
          <w:sz w:val="21"/>
          <w:szCs w:val="21"/>
          <w:highlight w:val="none"/>
          <w:lang w:eastAsia="zh-CN"/>
        </w:rPr>
        <w:t xml:space="preserve">公司</w:t>
      </w:r>
      <w:r>
        <w:rPr>
          <w:rFonts w:ascii="宋体" w:hAnsi="宋体" w:eastAsia="宋体" w:cs="宋体"/>
          <w:color w:val="000000"/>
          <w:sz w:val="21"/>
          <w:szCs w:val="21"/>
          <w:highlight w:val="none"/>
        </w:rPr>
        <w:t xml:space="preserve">组织实施的编号为</w:t>
      </w:r>
      <w:r>
        <w:rPr>
          <w:rFonts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rPr>
        <w:t xml:space="preserve">项目</w:t>
      </w:r>
      <w:r>
        <w:rPr>
          <w:rFonts w:ascii="宋体" w:hAnsi="宋体" w:eastAsia="宋体" w:cs="宋体"/>
          <w:color w:val="000000"/>
          <w:sz w:val="21"/>
          <w:szCs w:val="21"/>
          <w:highlight w:val="none"/>
        </w:rPr>
        <w:t xml:space="preserve">编号）的招标活动进行投标</w:t>
      </w:r>
      <w:r>
        <w:rPr>
          <w:rFonts w:hint="eastAsia" w:ascii="宋体" w:hAnsi="宋体" w:eastAsia="宋体" w:cs="宋体"/>
          <w:color w:val="000000"/>
          <w:sz w:val="21"/>
          <w:szCs w:val="21"/>
          <w:highlight w:val="none"/>
        </w:rPr>
        <w:t xml:space="preserve">，对于本公司的投标报价合理性作出说明如下：</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8"/>
      </w:tblGrid>
      <w:tr>
        <w:trPr>
          <w:trHeight w:val="3940"/>
        </w:trPr>
        <w:tc>
          <w:tcPr>
            <w:tcW w:w="10118" w:type="dxa"/>
            <w:vAlign w:val="center"/>
            <w:textDirection w:val="lrTb"/>
            <w:noWrap w:val="false"/>
          </w:tcPr>
          <w:p>
            <w:pPr>
              <w:pStyle w:val="863"/>
              <w:ind w:left="0"/>
              <w:spacing w:line="600" w:lineRule="auto"/>
              <w:widowControl w:val="off"/>
              <w:rPr>
                <w:rFonts w:ascii="宋体" w:hAnsi="宋体" w:cs="宋体"/>
                <w:b/>
                <w:color w:val="000000"/>
                <w:sz w:val="21"/>
                <w:szCs w:val="21"/>
                <w:highlight w:val="none"/>
                <w:shd w:val="pct10" w:color="auto" w:fill="ffffff"/>
              </w:rPr>
            </w:pPr>
            <w:r>
              <w:rPr>
                <w:rFonts w:hint="eastAsia" w:ascii="宋体" w:hAnsi="宋体" w:eastAsia="宋体" w:cs="宋体"/>
                <w:b/>
                <w:color w:val="000000"/>
                <w:sz w:val="21"/>
                <w:szCs w:val="21"/>
                <w:highlight w:val="none"/>
              </w:rPr>
              <w:t xml:space="preserve">投标人应当根据实际情况自拟答复并根据评标委员会关于澄清的要求提供相关证明材料作为附件。</w:t>
            </w:r>
            <w:r>
              <w:rPr>
                <w:rFonts w:ascii="宋体" w:hAnsi="宋体" w:cs="宋体"/>
              </w:rPr>
            </w:r>
            <w:r/>
          </w:p>
        </w:tc>
      </w:tr>
    </w:tbl>
    <w:p>
      <w:pPr>
        <w:pStyle w:val="863"/>
        <w:ind w:left="0" w:firstLine="420"/>
        <w:jc w:val="both"/>
        <w:keepLines w:val="0"/>
        <w:keepNext w:val="0"/>
        <w:pageBreakBefore w:val="0"/>
        <w:spacing w:line="400" w:lineRule="exact"/>
        <w:rPr>
          <w:rFonts w:hint="eastAsia" w:ascii="宋体" w:hAnsi="宋体" w:cs="宋体"/>
          <w:b/>
          <w:bCs/>
          <w:color w:val="000000"/>
          <w:sz w:val="21"/>
          <w:szCs w:val="21"/>
          <w:highlight w:val="none"/>
        </w:rPr>
        <w:outlineLvl w:val="9"/>
      </w:pPr>
      <w:r>
        <w:rPr>
          <w:rFonts w:ascii="宋体" w:hAnsi="宋体" w:cs="宋体"/>
        </w:rPr>
      </w:r>
      <w:bookmarkStart w:id="42" w:name="OLE_LINK8"/>
      <w:r>
        <w:rPr>
          <w:rFonts w:hint="eastAsia" w:ascii="宋体" w:hAnsi="宋体" w:eastAsia="宋体" w:cs="宋体"/>
          <w:b/>
          <w:bCs/>
          <w:color w:val="000000"/>
          <w:sz w:val="21"/>
          <w:szCs w:val="21"/>
          <w:highlight w:val="none"/>
          <w:lang w:val="zh-CN"/>
        </w:rPr>
        <w:t xml:space="preserve">备注：根据招标文件第二章“投标人须知”第27.1.7条要求，当政府采购评审中出现供应商“</w:t>
      </w:r>
      <w:r>
        <w:rPr>
          <w:rFonts w:hint="eastAsia" w:ascii="宋体" w:hAnsi="宋体" w:eastAsia="宋体" w:cs="宋体"/>
          <w:b/>
          <w:bCs/>
          <w:color w:val="000000"/>
          <w:sz w:val="21"/>
          <w:szCs w:val="21"/>
          <w:highlight w:val="none"/>
          <w:lang w:val="en-US" w:eastAsia="zh-CN"/>
        </w:rPr>
        <w:t xml:space="preserve">投标（响应）报价低于全部通过符合性审查供应商投标（响应）报价平均值50%的</w:t>
      </w:r>
      <w:r>
        <w:rPr>
          <w:rFonts w:hint="eastAsia" w:ascii="宋体" w:hAnsi="宋体" w:eastAsia="宋体" w:cs="宋体"/>
          <w:b/>
          <w:bCs/>
          <w:color w:val="000000"/>
          <w:sz w:val="21"/>
          <w:szCs w:val="21"/>
          <w:highlight w:val="none"/>
          <w:lang w:val="zh-CN"/>
        </w:rPr>
        <w:t xml:space="preserve">”或者“</w:t>
      </w:r>
      <w:r>
        <w:rPr>
          <w:rFonts w:hint="eastAsia" w:ascii="宋体" w:hAnsi="宋体" w:eastAsia="宋体" w:cs="宋体"/>
          <w:b/>
          <w:bCs/>
          <w:color w:val="000000"/>
          <w:sz w:val="21"/>
          <w:szCs w:val="21"/>
          <w:highlight w:val="none"/>
          <w:lang w:val="en-US" w:eastAsia="zh-CN"/>
        </w:rPr>
        <w:t xml:space="preserve">投标（响应）报价低于通过符合性审查的次低报价供应商投标（响应）报价50%的</w:t>
      </w:r>
      <w:r>
        <w:rPr>
          <w:rFonts w:hint="eastAsia" w:ascii="宋体" w:hAnsi="宋体" w:eastAsia="宋体" w:cs="宋体"/>
          <w:b/>
          <w:bCs/>
          <w:color w:val="000000"/>
          <w:sz w:val="21"/>
          <w:szCs w:val="21"/>
          <w:highlight w:val="none"/>
          <w:lang w:val="zh-CN"/>
        </w:rPr>
        <w:t xml:space="preserve">”或者“</w:t>
      </w:r>
      <w:r>
        <w:rPr>
          <w:rFonts w:hint="eastAsia" w:ascii="宋体" w:hAnsi="宋体" w:eastAsia="宋体" w:cs="宋体"/>
          <w:b/>
          <w:bCs/>
          <w:color w:val="000000"/>
          <w:sz w:val="21"/>
          <w:szCs w:val="21"/>
          <w:highlight w:val="none"/>
          <w:lang w:val="en-US" w:eastAsia="zh-CN"/>
        </w:rPr>
        <w:t xml:space="preserve">投标（响应）报价低于采购项目最高限价45%的</w:t>
      </w:r>
      <w:r>
        <w:rPr>
          <w:rFonts w:hint="eastAsia" w:ascii="宋体" w:hAnsi="宋体" w:eastAsia="宋体" w:cs="宋体"/>
          <w:b/>
          <w:bCs/>
          <w:color w:val="000000"/>
          <w:sz w:val="21"/>
          <w:szCs w:val="21"/>
          <w:highlight w:val="none"/>
          <w:lang w:val="zh-CN"/>
        </w:rPr>
        <w:t xml:space="preserve">”或者“评审委员会基于专业判断，认为供应商报价过低，有可能影响产品质量或者不能诚信履约的其他情形”时，评标委员会应当要求相关供应商在评审现场合理时间内，对投标价格进行解释，并提供项目具体成本测算等与报价合理性相关的书面说明及必要证明材料，包括但不限于原材料成本、人工成本、制造费用等。若投标供应商未能提供书面说明及证明材料，或者所提供的书面说明、证明材料无法证明其报价合理性的，评标委员会应当将其按无效投标处理。</w:t>
      </w:r>
      <w:r>
        <w:rPr>
          <w:rFonts w:ascii="宋体" w:hAnsi="宋体" w:cs="宋体"/>
        </w:rPr>
      </w:r>
      <w:r/>
    </w:p>
    <w:p>
      <w:pPr>
        <w:pStyle w:val="863"/>
        <w:ind w:left="0" w:firstLine="420"/>
        <w:jc w:val="both"/>
        <w:keepLines w:val="0"/>
        <w:keepNext w:val="0"/>
        <w:pageBreakBefore w:val="0"/>
        <w:spacing w:line="400" w:lineRule="exact"/>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ascii="宋体" w:hAnsi="宋体" w:cs="宋体"/>
        </w:rPr>
      </w:r>
      <w:bookmarkEnd w:id="42"/>
      <w:r>
        <w:rPr>
          <w:rFonts w:ascii="宋体" w:hAnsi="宋体" w:cs="宋体"/>
        </w:rPr>
      </w:r>
      <w:r/>
    </w:p>
    <w:p>
      <w:pPr>
        <w:pStyle w:val="863"/>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63"/>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63"/>
        <w:jc w:val="left"/>
        <w:spacing w:line="48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76"/>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76"/>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76"/>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76"/>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76"/>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63"/>
        <w:jc w:val="left"/>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附件</w:t>
      </w:r>
      <w:r>
        <w:rPr>
          <w:rFonts w:hint="eastAsia" w:ascii="宋体" w:hAnsi="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zh-CN"/>
        </w:rPr>
        <w:t xml:space="preserve">技术部分（格式为参考，投标单位可参照下述格式自制表格投标，但至少应包括下述格式中的内容，没有参考格式的则可根据情况自行编制）</w:t>
      </w:r>
      <w:r>
        <w:rPr>
          <w:rFonts w:ascii="宋体" w:hAnsi="宋体" w:cs="宋体"/>
        </w:rPr>
      </w:r>
      <w:r/>
    </w:p>
    <w:p>
      <w:pPr>
        <w:pStyle w:val="863"/>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服务及技术</w:t>
      </w:r>
      <w:r>
        <w:rPr>
          <w:rFonts w:hint="eastAsia" w:ascii="宋体" w:hAnsi="宋体" w:eastAsia="宋体" w:cs="宋体"/>
          <w:b/>
          <w:bCs/>
          <w:color w:val="000000"/>
          <w:sz w:val="21"/>
          <w:szCs w:val="21"/>
          <w:highlight w:val="none"/>
        </w:rPr>
        <w:t xml:space="preserve">条款偏离表</w:t>
      </w:r>
      <w:r>
        <w:rPr>
          <w:rFonts w:ascii="宋体" w:hAnsi="宋体" w:cs="宋体"/>
        </w:rPr>
      </w:r>
      <w:r/>
    </w:p>
    <w:p>
      <w:pPr>
        <w:pStyle w:val="863"/>
        <w:jc w:val="center"/>
        <w:spacing w:line="440" w:lineRule="exact"/>
        <w:shd w:val="clear" w:color="auto" w:fill="ffffff"/>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服务及技术</w:t>
      </w:r>
      <w:r>
        <w:rPr>
          <w:rFonts w:hint="eastAsia" w:ascii="宋体" w:hAnsi="宋体" w:eastAsia="宋体" w:cs="宋体"/>
          <w:b/>
          <w:bCs/>
          <w:color w:val="000000"/>
          <w:sz w:val="21"/>
          <w:szCs w:val="21"/>
          <w:highlight w:val="none"/>
        </w:rPr>
        <w:t xml:space="preserve">条款偏离表</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1"/>
        <w:gridCol w:w="2003"/>
        <w:gridCol w:w="2310"/>
        <w:gridCol w:w="3193"/>
        <w:gridCol w:w="1691"/>
      </w:tblGrid>
      <w:tr>
        <w:trPr/>
        <w:tc>
          <w:tcPr>
            <w:tcW w:w="921"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序号</w:t>
            </w:r>
            <w:r>
              <w:rPr>
                <w:rFonts w:ascii="宋体" w:hAnsi="宋体" w:cs="宋体"/>
              </w:rPr>
            </w:r>
            <w:r/>
          </w:p>
        </w:tc>
        <w:tc>
          <w:tcPr>
            <w:tcW w:w="200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w:t>
            </w:r>
            <w:r>
              <w:rPr>
                <w:rFonts w:ascii="宋体" w:hAnsi="宋体" w:cs="宋体"/>
              </w:rPr>
            </w:r>
            <w:r/>
          </w:p>
        </w:tc>
        <w:tc>
          <w:tcPr>
            <w:tcW w:w="2310"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招标文件服务要求</w:t>
            </w:r>
            <w:r>
              <w:rPr>
                <w:rFonts w:ascii="宋体" w:hAnsi="宋体" w:cs="宋体"/>
              </w:rPr>
            </w:r>
            <w:r/>
          </w:p>
        </w:tc>
        <w:tc>
          <w:tcPr>
            <w:tcW w:w="319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投标文件响应情况</w:t>
            </w:r>
            <w:r>
              <w:rPr>
                <w:rFonts w:ascii="宋体" w:hAnsi="宋体" w:cs="宋体"/>
              </w:rPr>
            </w:r>
            <w:r/>
          </w:p>
        </w:tc>
        <w:tc>
          <w:tcPr>
            <w:tcW w:w="1691"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说明</w:t>
            </w:r>
            <w:r>
              <w:rPr>
                <w:rFonts w:ascii="宋体" w:hAnsi="宋体" w:cs="宋体"/>
              </w:rPr>
            </w:r>
            <w:r/>
          </w:p>
        </w:tc>
      </w:tr>
      <w:tr>
        <w:trPr/>
        <w:tc>
          <w:tcPr>
            <w:tcW w:w="921"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003"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310"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3193"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691"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tc>
          <w:tcPr>
            <w:tcW w:w="921"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003"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310"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3193"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691"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tc>
          <w:tcPr>
            <w:tcW w:w="921"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003"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310"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3193"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691"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tc>
          <w:tcPr>
            <w:tcW w:w="921"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003"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310"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3193"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691"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tc>
          <w:tcPr>
            <w:tcW w:w="921"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003"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310"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3193"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691"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tc>
          <w:tcPr>
            <w:tcW w:w="921"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003"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310"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3193"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691"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tc>
          <w:tcPr>
            <w:tcW w:w="921"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003"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310"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3193"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691"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tc>
          <w:tcPr>
            <w:tcW w:w="921"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003"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310"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3193"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691"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tc>
          <w:tcPr>
            <w:tcW w:w="921"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003"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310"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3193"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691"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tc>
          <w:tcPr>
            <w:tcW w:w="921"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003"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310"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3193"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691"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bl>
    <w:p>
      <w:pPr>
        <w:pStyle w:val="863"/>
        <w:ind w:firstLine="420"/>
        <w:jc w:val="left"/>
        <w:spacing w:line="440" w:lineRule="exact"/>
        <w:rPr>
          <w:rFonts w:ascii="宋体" w:hAnsi="宋体" w:cs="宋体"/>
          <w:color w:val="000000"/>
          <w:sz w:val="21"/>
          <w:szCs w:val="22"/>
          <w:highlight w:val="none"/>
        </w:rPr>
      </w:pPr>
      <w:r>
        <w:rPr>
          <w:rFonts w:hint="eastAsia" w:ascii="宋体" w:hAnsi="宋体" w:eastAsia="宋体" w:cs="宋体"/>
          <w:color w:val="000000"/>
          <w:sz w:val="21"/>
          <w:szCs w:val="22"/>
          <w:highlight w:val="none"/>
        </w:rPr>
        <w:t xml:space="preserve">注：1</w:t>
      </w:r>
      <w:r>
        <w:rPr>
          <w:rFonts w:hint="eastAsia" w:ascii="宋体" w:hAnsi="宋体" w:eastAsia="宋体" w:cs="宋体"/>
          <w:color w:val="000000"/>
          <w:sz w:val="21"/>
          <w:szCs w:val="22"/>
          <w:highlight w:val="none"/>
          <w:lang w:val="en-US" w:eastAsia="zh-CN"/>
        </w:rPr>
        <w:t xml:space="preserve">.</w:t>
      </w:r>
      <w:r>
        <w:rPr>
          <w:rFonts w:hint="eastAsia" w:ascii="宋体" w:hAnsi="宋体" w:eastAsia="宋体" w:cs="宋体"/>
          <w:color w:val="000000"/>
          <w:sz w:val="21"/>
          <w:szCs w:val="22"/>
          <w:highlight w:val="none"/>
          <w:lang w:eastAsia="zh-CN"/>
        </w:rPr>
        <w:t xml:space="preserve">投标</w:t>
      </w:r>
      <w:r>
        <w:rPr>
          <w:rFonts w:hint="eastAsia" w:ascii="宋体" w:hAnsi="宋体" w:eastAsia="宋体" w:cs="宋体"/>
          <w:color w:val="000000"/>
          <w:sz w:val="21"/>
          <w:szCs w:val="22"/>
          <w:highlight w:val="none"/>
        </w:rPr>
        <w:t xml:space="preserve">单位应对照</w:t>
      </w:r>
      <w:r>
        <w:rPr>
          <w:rFonts w:hint="eastAsia" w:ascii="宋体" w:hAnsi="宋体" w:eastAsia="宋体" w:cs="宋体"/>
          <w:color w:val="000000"/>
          <w:sz w:val="21"/>
          <w:szCs w:val="22"/>
          <w:highlight w:val="none"/>
          <w:lang w:eastAsia="zh-CN"/>
        </w:rPr>
        <w:t xml:space="preserve">招标</w:t>
      </w:r>
      <w:r>
        <w:rPr>
          <w:rFonts w:hint="eastAsia" w:ascii="宋体" w:hAnsi="宋体" w:eastAsia="宋体" w:cs="宋体"/>
          <w:color w:val="000000"/>
          <w:sz w:val="21"/>
          <w:szCs w:val="22"/>
          <w:highlight w:val="none"/>
        </w:rPr>
        <w:t xml:space="preserve">文件</w:t>
      </w:r>
      <w:r>
        <w:rPr>
          <w:rFonts w:hint="eastAsia" w:ascii="宋体" w:hAnsi="宋体" w:eastAsia="宋体" w:cs="宋体"/>
          <w:color w:val="000000"/>
          <w:sz w:val="21"/>
          <w:szCs w:val="22"/>
          <w:highlight w:val="none"/>
          <w:lang w:eastAsia="zh-CN"/>
        </w:rPr>
        <w:t xml:space="preserve">服务（技术）</w:t>
      </w:r>
      <w:r>
        <w:rPr>
          <w:rFonts w:hint="eastAsia" w:ascii="宋体" w:hAnsi="宋体" w:eastAsia="宋体" w:cs="宋体"/>
          <w:color w:val="000000"/>
          <w:sz w:val="21"/>
          <w:szCs w:val="22"/>
          <w:highlight w:val="none"/>
        </w:rPr>
        <w:t xml:space="preserve">要求等要求，所投标的物与</w:t>
      </w:r>
      <w:r>
        <w:rPr>
          <w:rFonts w:hint="eastAsia" w:ascii="宋体" w:hAnsi="宋体" w:eastAsia="宋体" w:cs="宋体"/>
          <w:color w:val="000000"/>
          <w:sz w:val="21"/>
          <w:szCs w:val="22"/>
          <w:highlight w:val="none"/>
          <w:lang w:eastAsia="zh-CN"/>
        </w:rPr>
        <w:t xml:space="preserve">招标</w:t>
      </w:r>
      <w:r>
        <w:rPr>
          <w:rFonts w:hint="eastAsia" w:ascii="宋体" w:hAnsi="宋体" w:eastAsia="宋体" w:cs="宋体"/>
          <w:color w:val="000000"/>
          <w:sz w:val="21"/>
          <w:szCs w:val="22"/>
          <w:highlight w:val="none"/>
        </w:rPr>
        <w:t xml:space="preserve">文件的规定有偏离的，应在此表中申明与</w:t>
      </w:r>
      <w:r>
        <w:rPr>
          <w:rFonts w:hint="eastAsia" w:ascii="宋体" w:hAnsi="宋体" w:eastAsia="宋体" w:cs="宋体"/>
          <w:color w:val="000000"/>
          <w:sz w:val="21"/>
          <w:szCs w:val="22"/>
          <w:highlight w:val="none"/>
          <w:lang w:eastAsia="zh-CN"/>
        </w:rPr>
        <w:t xml:space="preserve">服务（技术）</w:t>
      </w:r>
      <w:r>
        <w:rPr>
          <w:rFonts w:hint="eastAsia" w:ascii="宋体" w:hAnsi="宋体" w:eastAsia="宋体" w:cs="宋体"/>
          <w:color w:val="000000"/>
          <w:sz w:val="21"/>
          <w:szCs w:val="22"/>
          <w:highlight w:val="none"/>
        </w:rPr>
        <w:t xml:space="preserve">要求条文的偏差和例外。</w:t>
      </w:r>
      <w:r>
        <w:rPr>
          <w:rFonts w:ascii="宋体" w:hAnsi="宋体" w:cs="宋体"/>
        </w:rPr>
      </w:r>
      <w:r/>
    </w:p>
    <w:p>
      <w:pPr>
        <w:pStyle w:val="863"/>
        <w:ind w:firstLine="420"/>
        <w:jc w:val="left"/>
        <w:spacing w:line="440" w:lineRule="exact"/>
        <w:rPr>
          <w:rFonts w:ascii="宋体" w:hAnsi="宋体" w:cs="宋体"/>
          <w:color w:val="000000"/>
          <w:sz w:val="21"/>
          <w:szCs w:val="22"/>
          <w:highlight w:val="none"/>
        </w:rPr>
      </w:pPr>
      <w:r>
        <w:rPr>
          <w:rFonts w:hint="eastAsia" w:ascii="宋体" w:hAnsi="宋体" w:eastAsia="宋体" w:cs="宋体"/>
          <w:color w:val="000000"/>
          <w:sz w:val="21"/>
          <w:szCs w:val="22"/>
          <w:highlight w:val="none"/>
        </w:rPr>
        <w:t xml:space="preserve">2</w:t>
      </w:r>
      <w:r>
        <w:rPr>
          <w:rFonts w:hint="eastAsia" w:ascii="宋体" w:hAnsi="宋体" w:eastAsia="宋体" w:cs="宋体"/>
          <w:color w:val="000000"/>
          <w:sz w:val="21"/>
          <w:szCs w:val="22"/>
          <w:highlight w:val="none"/>
          <w:lang w:val="en-US" w:eastAsia="zh-CN"/>
        </w:rPr>
        <w:t xml:space="preserve">.</w:t>
      </w:r>
      <w:r>
        <w:rPr>
          <w:rFonts w:hint="eastAsia" w:ascii="宋体" w:hAnsi="宋体" w:eastAsia="宋体" w:cs="宋体"/>
          <w:color w:val="000000"/>
          <w:sz w:val="21"/>
          <w:szCs w:val="22"/>
          <w:highlight w:val="none"/>
        </w:rPr>
        <w:t xml:space="preserve">未在上表中说明的，如在</w:t>
      </w:r>
      <w:r>
        <w:rPr>
          <w:rFonts w:hint="eastAsia" w:ascii="宋体" w:hAnsi="宋体" w:eastAsia="宋体" w:cs="宋体"/>
          <w:color w:val="000000"/>
          <w:sz w:val="21"/>
          <w:szCs w:val="22"/>
          <w:highlight w:val="none"/>
          <w:lang w:eastAsia="zh-CN"/>
        </w:rPr>
        <w:t xml:space="preserve">投标</w:t>
      </w:r>
      <w:r>
        <w:rPr>
          <w:rFonts w:hint="eastAsia" w:ascii="宋体" w:hAnsi="宋体" w:eastAsia="宋体" w:cs="宋体"/>
          <w:color w:val="000000"/>
          <w:sz w:val="21"/>
          <w:szCs w:val="22"/>
          <w:highlight w:val="none"/>
        </w:rPr>
        <w:t xml:space="preserve">文件其他内容中已有文字说明的，则以已有文字说明为准，否则，将被认为完全响应</w:t>
      </w:r>
      <w:r>
        <w:rPr>
          <w:rFonts w:hint="eastAsia" w:ascii="宋体" w:hAnsi="宋体" w:eastAsia="宋体" w:cs="宋体"/>
          <w:color w:val="000000"/>
          <w:sz w:val="21"/>
          <w:szCs w:val="22"/>
          <w:highlight w:val="none"/>
          <w:lang w:eastAsia="zh-CN"/>
        </w:rPr>
        <w:t xml:space="preserve">招标</w:t>
      </w:r>
      <w:r>
        <w:rPr>
          <w:rFonts w:hint="eastAsia" w:ascii="宋体" w:hAnsi="宋体" w:eastAsia="宋体" w:cs="宋体"/>
          <w:color w:val="000000"/>
          <w:sz w:val="21"/>
          <w:szCs w:val="22"/>
          <w:highlight w:val="none"/>
        </w:rPr>
        <w:t xml:space="preserve">文件的规定。但该表不作为</w:t>
      </w:r>
      <w:r>
        <w:rPr>
          <w:rFonts w:hint="eastAsia" w:ascii="宋体" w:hAnsi="宋体" w:eastAsia="宋体" w:cs="宋体"/>
          <w:color w:val="000000"/>
          <w:sz w:val="21"/>
          <w:szCs w:val="22"/>
          <w:highlight w:val="none"/>
          <w:lang w:eastAsia="zh-CN"/>
        </w:rPr>
        <w:t xml:space="preserve">投标</w:t>
      </w:r>
      <w:r>
        <w:rPr>
          <w:rFonts w:hint="eastAsia" w:ascii="宋体" w:hAnsi="宋体" w:eastAsia="宋体" w:cs="宋体"/>
          <w:color w:val="000000"/>
          <w:sz w:val="21"/>
          <w:szCs w:val="22"/>
          <w:highlight w:val="none"/>
        </w:rPr>
        <w:t xml:space="preserve">单位对所投标的物关于</w:t>
      </w:r>
      <w:r>
        <w:rPr>
          <w:rFonts w:hint="eastAsia" w:ascii="宋体" w:hAnsi="宋体" w:eastAsia="宋体" w:cs="宋体"/>
          <w:color w:val="000000"/>
          <w:sz w:val="21"/>
          <w:szCs w:val="22"/>
          <w:highlight w:val="none"/>
          <w:lang w:eastAsia="zh-CN"/>
        </w:rPr>
        <w:t xml:space="preserve">服务（技术）</w:t>
      </w:r>
      <w:r>
        <w:rPr>
          <w:rFonts w:hint="eastAsia" w:ascii="宋体" w:hAnsi="宋体" w:eastAsia="宋体" w:cs="宋体"/>
          <w:color w:val="000000"/>
          <w:sz w:val="21"/>
          <w:szCs w:val="22"/>
          <w:highlight w:val="none"/>
        </w:rPr>
        <w:t xml:space="preserve">要求等详细描述和说明的替代。</w:t>
      </w:r>
      <w:r>
        <w:rPr>
          <w:rFonts w:ascii="宋体" w:hAnsi="宋体" w:cs="宋体"/>
        </w:rPr>
      </w:r>
      <w:r/>
    </w:p>
    <w:p>
      <w:pPr>
        <w:pStyle w:val="863"/>
        <w:spacing w:line="440" w:lineRule="exact"/>
        <w:shd w:val="clear" w:color="auto" w:fill="ffffff"/>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63"/>
        <w:ind w:firstLine="211"/>
        <w:spacing w:line="400" w:lineRule="exact"/>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3"/>
        <w:ind w:firstLine="211"/>
        <w:spacing w:line="400" w:lineRule="exact"/>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3"/>
        <w:ind w:firstLine="211"/>
        <w:spacing w:line="400" w:lineRule="exact"/>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3"/>
        <w:ind w:firstLine="211"/>
        <w:spacing w:line="400" w:lineRule="exact"/>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5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2.商务条款偏离表</w:t>
      </w:r>
      <w:r>
        <w:rPr>
          <w:rFonts w:ascii="宋体" w:hAnsi="宋体" w:cs="宋体"/>
        </w:rPr>
      </w:r>
      <w:r/>
    </w:p>
    <w:p>
      <w:pPr>
        <w:pStyle w:val="863"/>
        <w:jc w:val="center"/>
        <w:spacing w:line="440" w:lineRule="exact"/>
        <w:shd w:val="clear" w:color="auto" w:fill="ffffff"/>
        <w:rPr>
          <w:rFonts w:hint="eastAsia" w:ascii="宋体" w:hAnsi="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商务条款偏离表</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2125"/>
        <w:gridCol w:w="2656"/>
        <w:gridCol w:w="2655"/>
        <w:gridCol w:w="1899"/>
      </w:tblGrid>
      <w:tr>
        <w:trPr/>
        <w:tc>
          <w:tcPr>
            <w:tcW w:w="78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序号</w:t>
            </w:r>
            <w:r>
              <w:rPr>
                <w:rFonts w:ascii="宋体" w:hAnsi="宋体" w:cs="宋体"/>
              </w:rPr>
            </w:r>
            <w:r/>
          </w:p>
        </w:tc>
        <w:tc>
          <w:tcPr>
            <w:tcW w:w="212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名称</w:t>
            </w:r>
            <w:r>
              <w:rPr>
                <w:rFonts w:ascii="宋体" w:hAnsi="宋体" w:cs="宋体"/>
              </w:rPr>
            </w:r>
            <w:r/>
          </w:p>
        </w:tc>
        <w:tc>
          <w:tcPr>
            <w:tcW w:w="2656"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招标文件商务要求</w:t>
            </w:r>
            <w:r>
              <w:rPr>
                <w:rFonts w:ascii="宋体" w:hAnsi="宋体" w:cs="宋体"/>
              </w:rPr>
            </w:r>
            <w:r/>
          </w:p>
        </w:tc>
        <w:tc>
          <w:tcPr>
            <w:tcW w:w="265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投标文件响应情况</w:t>
            </w:r>
            <w:r>
              <w:rPr>
                <w:rFonts w:ascii="宋体" w:hAnsi="宋体" w:cs="宋体"/>
              </w:rPr>
            </w:r>
            <w:r/>
          </w:p>
        </w:tc>
        <w:tc>
          <w:tcPr>
            <w:tcW w:w="1899" w:type="dxa"/>
            <w:vAlign w:val="top"/>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说明</w:t>
            </w:r>
            <w:r>
              <w:rPr>
                <w:rFonts w:ascii="宋体" w:hAnsi="宋体" w:cs="宋体"/>
              </w:rPr>
            </w:r>
            <w:r/>
          </w:p>
        </w:tc>
      </w:tr>
      <w:tr>
        <w:trPr/>
        <w:tc>
          <w:tcPr>
            <w:tcW w:w="78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ascii="宋体" w:hAnsi="宋体" w:cs="宋体"/>
              </w:rPr>
            </w:r>
            <w:r/>
          </w:p>
        </w:tc>
        <w:tc>
          <w:tcPr>
            <w:tcW w:w="212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合同履行期限</w:t>
            </w:r>
            <w:r>
              <w:rPr>
                <w:rFonts w:ascii="宋体" w:hAnsi="宋体" w:cs="宋体"/>
              </w:rPr>
            </w:r>
            <w:r/>
          </w:p>
        </w:tc>
        <w:tc>
          <w:tcPr>
            <w:tcW w:w="2656"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655"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899"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tc>
          <w:tcPr>
            <w:tcW w:w="78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ascii="宋体" w:hAnsi="宋体" w:cs="宋体"/>
              </w:rPr>
            </w:r>
            <w:r/>
          </w:p>
        </w:tc>
        <w:tc>
          <w:tcPr>
            <w:tcW w:w="212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付款方式</w:t>
            </w:r>
            <w:r>
              <w:rPr>
                <w:rFonts w:ascii="宋体" w:hAnsi="宋体" w:cs="宋体"/>
              </w:rPr>
            </w:r>
            <w:r/>
          </w:p>
        </w:tc>
        <w:tc>
          <w:tcPr>
            <w:tcW w:w="2656"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655"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899"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tc>
          <w:tcPr>
            <w:tcW w:w="78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ascii="宋体" w:hAnsi="宋体" w:cs="宋体"/>
              </w:rPr>
            </w:r>
            <w:r/>
          </w:p>
        </w:tc>
        <w:tc>
          <w:tcPr>
            <w:tcW w:w="212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合同主要条款</w:t>
            </w:r>
            <w:r>
              <w:rPr>
                <w:rFonts w:ascii="宋体" w:hAnsi="宋体" w:cs="宋体"/>
              </w:rPr>
            </w:r>
            <w:r/>
          </w:p>
        </w:tc>
        <w:tc>
          <w:tcPr>
            <w:tcW w:w="2656"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655"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899"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tc>
          <w:tcPr>
            <w:tcW w:w="78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ascii="宋体" w:hAnsi="宋体" w:cs="宋体"/>
              </w:rPr>
            </w:r>
            <w:r/>
          </w:p>
        </w:tc>
        <w:tc>
          <w:tcPr>
            <w:tcW w:w="212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ascii="宋体" w:hAnsi="宋体" w:cs="宋体"/>
              </w:rPr>
            </w:r>
            <w:r/>
          </w:p>
        </w:tc>
        <w:tc>
          <w:tcPr>
            <w:tcW w:w="2656"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65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899"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tc>
          <w:tcPr>
            <w:tcW w:w="78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12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656"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655"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899"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tc>
          <w:tcPr>
            <w:tcW w:w="783"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125"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656"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655"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899"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tc>
          <w:tcPr>
            <w:tcW w:w="783"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125"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656"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655"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899"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tc>
          <w:tcPr>
            <w:tcW w:w="783"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125"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656"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655"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899"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tc>
          <w:tcPr>
            <w:tcW w:w="783"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125"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656"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655"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899"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bl>
    <w:p>
      <w:pPr>
        <w:pStyle w:val="863"/>
        <w:ind w:firstLine="420"/>
        <w:jc w:val="left"/>
        <w:spacing w:line="440" w:lineRule="exact"/>
        <w:rPr>
          <w:rFonts w:ascii="宋体" w:hAnsi="宋体" w:cs="宋体"/>
          <w:color w:val="000000"/>
          <w:sz w:val="21"/>
          <w:szCs w:val="22"/>
          <w:highlight w:val="none"/>
        </w:rPr>
      </w:pPr>
      <w:r>
        <w:rPr>
          <w:rFonts w:hint="eastAsia" w:ascii="宋体" w:hAnsi="宋体" w:eastAsia="宋体" w:cs="宋体"/>
          <w:color w:val="000000"/>
          <w:sz w:val="21"/>
          <w:szCs w:val="22"/>
          <w:highlight w:val="none"/>
        </w:rPr>
        <w:t xml:space="preserve">注：</w:t>
      </w:r>
      <w:r>
        <w:rPr>
          <w:rFonts w:hint="eastAsia" w:ascii="宋体" w:hAnsi="宋体" w:eastAsia="宋体" w:cs="宋体"/>
          <w:color w:val="000000"/>
          <w:sz w:val="21"/>
          <w:szCs w:val="22"/>
          <w:highlight w:val="none"/>
          <w:lang w:eastAsia="zh-CN"/>
        </w:rPr>
        <w:t xml:space="preserve">投标</w:t>
      </w:r>
      <w:r>
        <w:rPr>
          <w:rFonts w:hint="eastAsia" w:ascii="宋体" w:hAnsi="宋体" w:eastAsia="宋体" w:cs="宋体"/>
          <w:color w:val="000000"/>
          <w:sz w:val="21"/>
          <w:szCs w:val="22"/>
          <w:highlight w:val="none"/>
        </w:rPr>
        <w:t xml:space="preserve">单位的</w:t>
      </w:r>
      <w:r>
        <w:rPr>
          <w:rFonts w:hint="eastAsia" w:ascii="宋体" w:hAnsi="宋体" w:eastAsia="宋体" w:cs="宋体"/>
          <w:color w:val="000000"/>
          <w:sz w:val="21"/>
          <w:szCs w:val="22"/>
          <w:highlight w:val="none"/>
          <w:lang w:eastAsia="zh-CN"/>
        </w:rPr>
        <w:t xml:space="preserve">投标</w:t>
      </w:r>
      <w:r>
        <w:rPr>
          <w:rFonts w:hint="eastAsia" w:ascii="宋体" w:hAnsi="宋体" w:eastAsia="宋体" w:cs="宋体"/>
          <w:color w:val="000000"/>
          <w:sz w:val="21"/>
          <w:szCs w:val="22"/>
          <w:highlight w:val="none"/>
        </w:rPr>
        <w:t xml:space="preserve">文件（除服务</w:t>
      </w:r>
      <w:r>
        <w:rPr>
          <w:rFonts w:hint="eastAsia" w:ascii="宋体" w:hAnsi="宋体" w:eastAsia="宋体" w:cs="宋体"/>
          <w:color w:val="000000"/>
          <w:sz w:val="21"/>
          <w:szCs w:val="22"/>
          <w:highlight w:val="none"/>
          <w:lang w:eastAsia="zh-CN"/>
        </w:rPr>
        <w:t xml:space="preserve">及技术</w:t>
      </w:r>
      <w:r>
        <w:rPr>
          <w:rFonts w:hint="eastAsia" w:ascii="宋体" w:hAnsi="宋体" w:eastAsia="宋体" w:cs="宋体"/>
          <w:color w:val="000000"/>
          <w:sz w:val="21"/>
          <w:szCs w:val="22"/>
          <w:highlight w:val="none"/>
        </w:rPr>
        <w:t xml:space="preserve">要求部分）与</w:t>
      </w:r>
      <w:r>
        <w:rPr>
          <w:rFonts w:hint="eastAsia" w:ascii="宋体" w:hAnsi="宋体" w:eastAsia="宋体" w:cs="宋体"/>
          <w:color w:val="000000"/>
          <w:sz w:val="21"/>
          <w:szCs w:val="22"/>
          <w:highlight w:val="none"/>
          <w:lang w:eastAsia="zh-CN"/>
        </w:rPr>
        <w:t xml:space="preserve">招标</w:t>
      </w:r>
      <w:r>
        <w:rPr>
          <w:rFonts w:hint="eastAsia" w:ascii="宋体" w:hAnsi="宋体" w:eastAsia="宋体" w:cs="宋体"/>
          <w:color w:val="000000"/>
          <w:sz w:val="21"/>
          <w:szCs w:val="22"/>
          <w:highlight w:val="none"/>
        </w:rPr>
        <w:t xml:space="preserve">文件规定的有偏离的，应在此表中说明。未在上表中说明的，如在</w:t>
      </w:r>
      <w:r>
        <w:rPr>
          <w:rFonts w:hint="eastAsia" w:ascii="宋体" w:hAnsi="宋体" w:eastAsia="宋体" w:cs="宋体"/>
          <w:color w:val="000000"/>
          <w:sz w:val="21"/>
          <w:szCs w:val="22"/>
          <w:highlight w:val="none"/>
          <w:lang w:eastAsia="zh-CN"/>
        </w:rPr>
        <w:t xml:space="preserve">投标</w:t>
      </w:r>
      <w:r>
        <w:rPr>
          <w:rFonts w:hint="eastAsia" w:ascii="宋体" w:hAnsi="宋体" w:eastAsia="宋体" w:cs="宋体"/>
          <w:color w:val="000000"/>
          <w:sz w:val="21"/>
          <w:szCs w:val="22"/>
          <w:highlight w:val="none"/>
        </w:rPr>
        <w:t xml:space="preserve">文件其他内容中已有文字说明的，则以已有文字说明为准，否则，将被认为完全响应</w:t>
      </w:r>
      <w:r>
        <w:rPr>
          <w:rFonts w:hint="eastAsia" w:ascii="宋体" w:hAnsi="宋体" w:eastAsia="宋体" w:cs="宋体"/>
          <w:color w:val="000000"/>
          <w:sz w:val="21"/>
          <w:szCs w:val="22"/>
          <w:highlight w:val="none"/>
          <w:lang w:eastAsia="zh-CN"/>
        </w:rPr>
        <w:t xml:space="preserve">招标</w:t>
      </w:r>
      <w:r>
        <w:rPr>
          <w:rFonts w:hint="eastAsia" w:ascii="宋体" w:hAnsi="宋体" w:eastAsia="宋体" w:cs="宋体"/>
          <w:color w:val="000000"/>
          <w:sz w:val="21"/>
          <w:szCs w:val="22"/>
          <w:highlight w:val="none"/>
        </w:rPr>
        <w:t xml:space="preserve">文件的规定。但该表不作为</w:t>
      </w:r>
      <w:r>
        <w:rPr>
          <w:rFonts w:hint="eastAsia" w:ascii="宋体" w:hAnsi="宋体" w:eastAsia="宋体" w:cs="宋体"/>
          <w:color w:val="000000"/>
          <w:sz w:val="21"/>
          <w:szCs w:val="22"/>
          <w:highlight w:val="none"/>
          <w:lang w:eastAsia="zh-CN"/>
        </w:rPr>
        <w:t xml:space="preserve">投标</w:t>
      </w:r>
      <w:r>
        <w:rPr>
          <w:rFonts w:hint="eastAsia" w:ascii="宋体" w:hAnsi="宋体" w:eastAsia="宋体" w:cs="宋体"/>
          <w:color w:val="000000"/>
          <w:sz w:val="21"/>
          <w:szCs w:val="22"/>
          <w:highlight w:val="none"/>
        </w:rPr>
        <w:t xml:space="preserve">单位对所投标</w:t>
      </w:r>
      <w:r>
        <w:rPr>
          <w:rFonts w:hint="eastAsia" w:ascii="宋体" w:hAnsi="宋体" w:eastAsia="宋体" w:cs="宋体"/>
          <w:color w:val="000000"/>
          <w:sz w:val="21"/>
          <w:szCs w:val="22"/>
          <w:highlight w:val="none"/>
          <w:lang w:eastAsia="zh-CN"/>
        </w:rPr>
        <w:t xml:space="preserve">的物</w:t>
      </w:r>
      <w:r>
        <w:rPr>
          <w:rFonts w:hint="eastAsia" w:ascii="宋体" w:hAnsi="宋体" w:eastAsia="宋体" w:cs="宋体"/>
          <w:color w:val="000000"/>
          <w:sz w:val="21"/>
          <w:szCs w:val="22"/>
          <w:highlight w:val="none"/>
        </w:rPr>
        <w:t xml:space="preserve">关于商务条款等详细描述和说明的替代。</w:t>
      </w:r>
      <w:r>
        <w:rPr>
          <w:rFonts w:ascii="宋体" w:hAnsi="宋体" w:cs="宋体"/>
        </w:rPr>
      </w:r>
      <w:r/>
    </w:p>
    <w:p>
      <w:pPr>
        <w:pStyle w:val="863"/>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76"/>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ind w:firstLine="211"/>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ind w:firstLine="211"/>
        <w:spacing w:line="400" w:lineRule="exact"/>
        <w:rPr>
          <w:rFonts w:ascii="宋体" w:hAnsi="宋体" w:cs="宋体"/>
          <w:b/>
          <w:bCs/>
          <w:color w:val="000000"/>
          <w:sz w:val="21"/>
          <w:szCs w:val="21"/>
          <w:highlight w:val="none"/>
        </w:rPr>
      </w:pPr>
      <w:r>
        <w:rPr>
          <w:rFonts w:ascii="宋体" w:hAnsi="宋体" w:cs="宋体"/>
          <w:b/>
          <w:bCs/>
          <w:color w:val="000000"/>
          <w:sz w:val="21"/>
          <w:szCs w:val="21"/>
          <w:highlight w:val="none"/>
        </w:rPr>
        <w:t xml:space="preserve">   </w:t>
      </w:r>
      <w:r>
        <w:rPr>
          <w:rFonts w:ascii="宋体" w:hAnsi="宋体" w:cs="宋体"/>
        </w:rPr>
      </w:r>
      <w:r/>
    </w:p>
    <w:p>
      <w:pPr>
        <w:pStyle w:val="900"/>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3"/>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900"/>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3"/>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63"/>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900"/>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3"/>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900"/>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3"/>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3"/>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zh-CN" w:eastAsia="zh-CN"/>
        </w:rPr>
        <w:t xml:space="preserve">针对本项目配置的人员情况介绍</w:t>
      </w:r>
      <w:r>
        <w:rPr>
          <w:rFonts w:ascii="宋体" w:hAnsi="宋体" w:cs="宋体"/>
        </w:rPr>
      </w:r>
      <w:r/>
    </w:p>
    <w:p>
      <w:pPr>
        <w:pStyle w:val="863"/>
        <w:jc w:val="center"/>
        <w:keepLines w:val="0"/>
        <w:keepNext w:val="0"/>
        <w:pageBreakBefore w:val="0"/>
        <w:spacing w:line="44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针对本项目配置的人员情况介绍表</w:t>
      </w:r>
      <w:r>
        <w:rPr>
          <w:rFonts w:ascii="宋体" w:hAnsi="宋体" w:cs="宋体"/>
        </w:rPr>
      </w:r>
      <w:r/>
    </w:p>
    <w:p>
      <w:pPr>
        <w:pStyle w:val="863"/>
        <w:jc w:val="center"/>
        <w:keepLines w:val="0"/>
        <w:keepNext w:val="0"/>
        <w:pageBreakBefore w:val="0"/>
        <w:spacing w:line="44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（格式）</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1874"/>
        <w:gridCol w:w="920"/>
        <w:gridCol w:w="920"/>
        <w:gridCol w:w="921"/>
        <w:gridCol w:w="1697"/>
        <w:gridCol w:w="1698"/>
        <w:gridCol w:w="1154"/>
      </w:tblGrid>
      <w:tr>
        <w:trPr>
          <w:trHeight w:val="454"/>
        </w:trPr>
        <w:tc>
          <w:tcPr>
            <w:tcW w:w="934"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序号</w:t>
            </w:r>
            <w:r>
              <w:rPr>
                <w:rFonts w:ascii="宋体" w:hAnsi="宋体" w:cs="宋体"/>
              </w:rPr>
            </w:r>
            <w:r/>
          </w:p>
        </w:tc>
        <w:tc>
          <w:tcPr>
            <w:tcW w:w="1874"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在本项目中负责的岗位</w:t>
            </w:r>
            <w:r>
              <w:rPr>
                <w:rFonts w:ascii="宋体" w:hAnsi="宋体" w:cs="宋体"/>
              </w:rPr>
            </w:r>
            <w:r/>
          </w:p>
        </w:tc>
        <w:tc>
          <w:tcPr>
            <w:tcW w:w="920"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姓名</w:t>
            </w:r>
            <w:r>
              <w:rPr>
                <w:rFonts w:ascii="宋体" w:hAnsi="宋体" w:cs="宋体"/>
              </w:rPr>
            </w:r>
            <w:r/>
          </w:p>
        </w:tc>
        <w:tc>
          <w:tcPr>
            <w:tcW w:w="920"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性别</w:t>
            </w:r>
            <w:r>
              <w:rPr>
                <w:rFonts w:ascii="宋体" w:hAnsi="宋体" w:cs="宋体"/>
              </w:rPr>
            </w:r>
            <w:r/>
          </w:p>
        </w:tc>
        <w:tc>
          <w:tcPr>
            <w:tcW w:w="921"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年龄</w:t>
            </w:r>
            <w:r>
              <w:rPr>
                <w:rFonts w:ascii="宋体" w:hAnsi="宋体" w:cs="宋体"/>
              </w:rPr>
            </w:r>
            <w:r/>
          </w:p>
        </w:tc>
        <w:tc>
          <w:tcPr>
            <w:tcW w:w="1697"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学历</w:t>
            </w:r>
            <w:r>
              <w:rPr>
                <w:rFonts w:ascii="宋体" w:hAnsi="宋体" w:cs="宋体"/>
              </w:rPr>
            </w:r>
            <w:r/>
          </w:p>
        </w:tc>
        <w:tc>
          <w:tcPr>
            <w:tcW w:w="1698"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职称</w:t>
            </w:r>
            <w:r>
              <w:rPr>
                <w:rFonts w:ascii="宋体" w:hAnsi="宋体" w:cs="宋体"/>
              </w:rPr>
            </w:r>
            <w:r/>
          </w:p>
        </w:tc>
        <w:tc>
          <w:tcPr>
            <w:tcW w:w="1154"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备注</w:t>
            </w:r>
            <w:r>
              <w:rPr>
                <w:rFonts w:ascii="宋体" w:hAnsi="宋体" w:cs="宋体"/>
              </w:rPr>
            </w:r>
            <w:r/>
          </w:p>
        </w:tc>
      </w:tr>
      <w:tr>
        <w:trPr>
          <w:cantSplit/>
          <w:trHeight w:val="454"/>
        </w:trPr>
        <w:tc>
          <w:tcPr>
            <w:tcW w:w="934"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874"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920"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920"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921"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697"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698"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154"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cantSplit/>
          <w:trHeight w:val="454"/>
        </w:trPr>
        <w:tc>
          <w:tcPr>
            <w:tcW w:w="934"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874"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921"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697"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698"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154"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cantSplit/>
          <w:trHeight w:val="454"/>
        </w:trPr>
        <w:tc>
          <w:tcPr>
            <w:tcW w:w="934"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874"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921"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697"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698"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154"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cantSplit/>
          <w:trHeight w:val="454"/>
        </w:trPr>
        <w:tc>
          <w:tcPr>
            <w:tcW w:w="934"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874"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921"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697"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698"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154"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cantSplit/>
          <w:trHeight w:val="454"/>
        </w:trPr>
        <w:tc>
          <w:tcPr>
            <w:tcW w:w="934"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874"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921"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697"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698"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154"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cantSplit/>
          <w:trHeight w:val="454"/>
        </w:trPr>
        <w:tc>
          <w:tcPr>
            <w:tcW w:w="934"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874"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921"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697"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698"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154"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cantSplit/>
          <w:trHeight w:val="454"/>
        </w:trPr>
        <w:tc>
          <w:tcPr>
            <w:tcW w:w="934"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874"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921"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697"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698"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154"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cantSplit/>
          <w:trHeight w:val="454"/>
        </w:trPr>
        <w:tc>
          <w:tcPr>
            <w:tcW w:w="934"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874"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921"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697"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698"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154"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cantSplit/>
          <w:trHeight w:val="454"/>
        </w:trPr>
        <w:tc>
          <w:tcPr>
            <w:tcW w:w="934"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874"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921"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697"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698" w:type="dxa"/>
            <w:vAlign w:val="center"/>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154" w:type="dxa"/>
            <w:vAlign w:val="top"/>
            <w:textDirection w:val="lrTb"/>
            <w:noWrap w:val="false"/>
          </w:tcPr>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bl>
    <w:p>
      <w:pPr>
        <w:pStyle w:val="86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注：投标单位可参照上述格式自制《针对本项目配置的人员情况介绍表》投标</w:t>
      </w:r>
      <w:r>
        <w:rPr>
          <w:rFonts w:hint="eastAsia" w:ascii="宋体" w:hAnsi="宋体" w:eastAsia="宋体" w:cs="宋体"/>
          <w:color w:val="000000"/>
          <w:sz w:val="21"/>
          <w:szCs w:val="21"/>
          <w:highlight w:val="none"/>
          <w:lang w:val="zh-CN"/>
        </w:rPr>
        <w:t xml:space="preserve">。</w:t>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5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5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5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5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105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5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5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75"/>
        <w:rPr>
          <w:rFonts w:hint="eastAsia" w:ascii="宋体" w:hAnsi="宋体" w:cs="宋体"/>
          <w:color w:val="000000"/>
          <w:highlight w:val="none"/>
        </w:rPr>
      </w:pPr>
      <w:r>
        <w:rPr>
          <w:rFonts w:hint="eastAsia" w:ascii="宋体" w:hAnsi="宋体" w:cs="宋体"/>
          <w:color w:val="000000"/>
          <w:highlight w:val="none"/>
        </w:rPr>
      </w:r>
      <w:r>
        <w:rPr>
          <w:rFonts w:hint="eastAsia" w:ascii="宋体" w:hAnsi="宋体" w:cs="宋体"/>
          <w:color w:val="000000"/>
          <w:highlight w:val="none"/>
        </w:rPr>
      </w:r>
      <w:r/>
    </w:p>
    <w:p>
      <w:pPr>
        <w:pStyle w:val="87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63"/>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t xml:space="preserve">附件</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val="zh-CN" w:eastAsia="zh-CN"/>
        </w:rPr>
        <w:t xml:space="preserve">、类似项目业绩一览表</w:t>
      </w:r>
      <w:r>
        <w:rPr>
          <w:rFonts w:ascii="宋体" w:hAnsi="宋体" w:cs="宋体"/>
        </w:rPr>
      </w:r>
      <w:r/>
    </w:p>
    <w:p>
      <w:pPr>
        <w:pStyle w:val="863"/>
        <w:jc w:val="center"/>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t xml:space="preserve">类似项目业绩一览表</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663"/>
        <w:gridCol w:w="2159"/>
        <w:gridCol w:w="1822"/>
        <w:gridCol w:w="2183"/>
        <w:gridCol w:w="1473"/>
      </w:tblGrid>
      <w:tr>
        <w:trPr/>
        <w:tc>
          <w:tcPr>
            <w:tcW w:w="818"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序号</w:t>
            </w:r>
            <w:r>
              <w:rPr>
                <w:rFonts w:ascii="宋体" w:hAnsi="宋体" w:cs="宋体"/>
              </w:rPr>
            </w:r>
            <w:r/>
          </w:p>
        </w:tc>
        <w:tc>
          <w:tcPr>
            <w:tcW w:w="166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项目名称</w:t>
            </w:r>
            <w:r>
              <w:rPr>
                <w:rFonts w:ascii="宋体" w:hAnsi="宋体" w:cs="宋体"/>
              </w:rPr>
            </w:r>
            <w:r/>
          </w:p>
        </w:tc>
        <w:tc>
          <w:tcPr>
            <w:tcW w:w="2159" w:type="dxa"/>
            <w:vAlign w:val="center"/>
            <w:textDirection w:val="lrTb"/>
            <w:noWrap w:val="false"/>
          </w:tcPr>
          <w:p>
            <w:pPr>
              <w:pStyle w:val="863"/>
              <w:jc w:val="center"/>
              <w:keepLines w:val="0"/>
              <w:keepNext w:val="0"/>
              <w:pageBreakBefore w:val="0"/>
              <w:spacing w:line="440" w:lineRule="exact"/>
              <w:widowControl w:val="off"/>
              <w:tabs>
                <w:tab w:val="left" w:pos="6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项目时间</w:t>
            </w:r>
            <w:r>
              <w:rPr>
                <w:rFonts w:ascii="宋体" w:hAnsi="宋体" w:cs="宋体"/>
              </w:rPr>
            </w:r>
            <w:r/>
          </w:p>
          <w:p>
            <w:pPr>
              <w:pStyle w:val="863"/>
              <w:jc w:val="center"/>
              <w:keepLines w:val="0"/>
              <w:keepNext w:val="0"/>
              <w:pageBreakBefore w:val="0"/>
              <w:spacing w:line="440" w:lineRule="exact"/>
              <w:widowControl w:val="off"/>
              <w:tabs>
                <w:tab w:val="left" w:pos="6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（合同签订时间）</w:t>
            </w:r>
            <w:r>
              <w:rPr>
                <w:rFonts w:ascii="宋体" w:hAnsi="宋体" w:cs="宋体"/>
              </w:rPr>
            </w:r>
            <w:r/>
          </w:p>
        </w:tc>
        <w:tc>
          <w:tcPr>
            <w:tcW w:w="1822" w:type="dxa"/>
            <w:vAlign w:val="center"/>
            <w:textDirection w:val="lrTb"/>
            <w:noWrap w:val="false"/>
          </w:tcPr>
          <w:p>
            <w:pPr>
              <w:pStyle w:val="863"/>
              <w:jc w:val="center"/>
              <w:keepLines w:val="0"/>
              <w:keepNext w:val="0"/>
              <w:pageBreakBefore w:val="0"/>
              <w:spacing w:line="440" w:lineRule="exact"/>
              <w:widowControl w:val="off"/>
              <w:tabs>
                <w:tab w:val="left" w:pos="6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合同金额</w:t>
            </w:r>
            <w:r>
              <w:rPr>
                <w:rFonts w:ascii="宋体" w:hAnsi="宋体" w:cs="宋体"/>
              </w:rPr>
            </w:r>
            <w:r/>
          </w:p>
          <w:p>
            <w:pPr>
              <w:pStyle w:val="863"/>
              <w:jc w:val="center"/>
              <w:keepLines w:val="0"/>
              <w:keepNext w:val="0"/>
              <w:pageBreakBefore w:val="0"/>
              <w:spacing w:line="440" w:lineRule="exact"/>
              <w:widowControl w:val="off"/>
              <w:tabs>
                <w:tab w:val="left" w:pos="6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（人民币元）</w:t>
            </w:r>
            <w:r>
              <w:rPr>
                <w:rFonts w:ascii="宋体" w:hAnsi="宋体" w:cs="宋体"/>
              </w:rPr>
            </w:r>
            <w:r/>
          </w:p>
        </w:tc>
        <w:tc>
          <w:tcPr>
            <w:tcW w:w="2183" w:type="dxa"/>
            <w:vAlign w:val="center"/>
            <w:textDirection w:val="lrTb"/>
            <w:noWrap w:val="false"/>
          </w:tcPr>
          <w:p>
            <w:pPr>
              <w:pStyle w:val="863"/>
              <w:jc w:val="center"/>
              <w:keepLines w:val="0"/>
              <w:keepNext w:val="0"/>
              <w:pageBreakBefore w:val="0"/>
              <w:spacing w:line="440" w:lineRule="exact"/>
              <w:widowControl w:val="off"/>
              <w:tabs>
                <w:tab w:val="left" w:pos="6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业主单位及联系电话</w:t>
            </w:r>
            <w:r>
              <w:rPr>
                <w:rFonts w:ascii="宋体" w:hAnsi="宋体" w:cs="宋体"/>
              </w:rPr>
            </w:r>
            <w:r/>
          </w:p>
        </w:tc>
        <w:tc>
          <w:tcPr>
            <w:tcW w:w="147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备注</w:t>
            </w:r>
            <w:r>
              <w:rPr>
                <w:rFonts w:ascii="宋体" w:hAnsi="宋体" w:cs="宋体"/>
              </w:rPr>
            </w:r>
            <w:r/>
          </w:p>
        </w:tc>
      </w:tr>
      <w:tr>
        <w:trPr>
          <w:trHeight w:val="567" w:hRule="exact"/>
        </w:trPr>
        <w:tc>
          <w:tcPr>
            <w:tcW w:w="818"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ascii="宋体" w:hAnsi="宋体" w:cs="宋体"/>
              </w:rPr>
            </w:r>
            <w:r/>
          </w:p>
        </w:tc>
        <w:tc>
          <w:tcPr>
            <w:tcW w:w="166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15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82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18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47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trHeight w:val="567" w:hRule="exact"/>
        </w:trPr>
        <w:tc>
          <w:tcPr>
            <w:tcW w:w="818"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ascii="宋体" w:hAnsi="宋体" w:cs="宋体"/>
              </w:rPr>
            </w:r>
            <w:r/>
          </w:p>
        </w:tc>
        <w:tc>
          <w:tcPr>
            <w:tcW w:w="166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15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82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18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47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trHeight w:val="567" w:hRule="exact"/>
        </w:trPr>
        <w:tc>
          <w:tcPr>
            <w:tcW w:w="818"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ascii="宋体" w:hAnsi="宋体" w:cs="宋体"/>
              </w:rPr>
            </w:r>
            <w:r/>
          </w:p>
        </w:tc>
        <w:tc>
          <w:tcPr>
            <w:tcW w:w="166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15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82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18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47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trHeight w:val="567" w:hRule="exact"/>
        </w:trPr>
        <w:tc>
          <w:tcPr>
            <w:tcW w:w="818"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4</w:t>
            </w:r>
            <w:r>
              <w:rPr>
                <w:rFonts w:ascii="宋体" w:hAnsi="宋体" w:cs="宋体"/>
              </w:rPr>
            </w:r>
            <w:r/>
          </w:p>
        </w:tc>
        <w:tc>
          <w:tcPr>
            <w:tcW w:w="166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15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82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18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47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trHeight w:val="567" w:hRule="exact"/>
        </w:trPr>
        <w:tc>
          <w:tcPr>
            <w:tcW w:w="818"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5</w:t>
            </w:r>
            <w:r>
              <w:rPr>
                <w:rFonts w:ascii="宋体" w:hAnsi="宋体" w:cs="宋体"/>
              </w:rPr>
            </w:r>
            <w:r/>
          </w:p>
        </w:tc>
        <w:tc>
          <w:tcPr>
            <w:tcW w:w="166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15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82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18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47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trHeight w:val="567" w:hRule="exact"/>
        </w:trPr>
        <w:tc>
          <w:tcPr>
            <w:tcW w:w="818"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6</w:t>
            </w:r>
            <w:r>
              <w:rPr>
                <w:rFonts w:ascii="宋体" w:hAnsi="宋体" w:cs="宋体"/>
              </w:rPr>
            </w:r>
            <w:r/>
          </w:p>
        </w:tc>
        <w:tc>
          <w:tcPr>
            <w:tcW w:w="166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15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82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18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47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trHeight w:val="567" w:hRule="exact"/>
        </w:trPr>
        <w:tc>
          <w:tcPr>
            <w:tcW w:w="818"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ascii="宋体" w:hAnsi="宋体" w:cs="宋体"/>
              </w:rPr>
            </w:r>
            <w:r/>
          </w:p>
        </w:tc>
        <w:tc>
          <w:tcPr>
            <w:tcW w:w="166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15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82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18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47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trHeight w:val="567" w:hRule="exact"/>
        </w:trPr>
        <w:tc>
          <w:tcPr>
            <w:tcW w:w="818"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66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15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82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18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47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r>
        <w:trPr>
          <w:trHeight w:val="567" w:hRule="exact"/>
        </w:trPr>
        <w:tc>
          <w:tcPr>
            <w:tcW w:w="818"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66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15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82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218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W w:w="147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r>
    </w:tbl>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5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5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63"/>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5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jc w:val="both"/>
        <w:keepLines w:val="0"/>
        <w:keepNext w:val="0"/>
        <w:pageBreakBefore w:val="0"/>
        <w:spacing w:line="44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eastAsia="zh-CN"/>
        </w:rPr>
        <w:t xml:space="preserve">附件</w:t>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lang w:val="zh-CN" w:eastAsia="zh-CN"/>
        </w:rPr>
        <w:t xml:space="preserve">、资格证明文件（格式为参考，投标单位可参照下述格式自制表格投标，但至少应包括下述格式中的内容，没有参考格式的则可根据情况自行编制）</w:t>
      </w:r>
      <w:r>
        <w:rPr>
          <w:rFonts w:ascii="宋体" w:hAnsi="宋体" w:cs="宋体"/>
        </w:rPr>
      </w:r>
      <w:r/>
    </w:p>
    <w:p>
      <w:pPr>
        <w:pStyle w:val="863"/>
        <w:jc w:val="left"/>
        <w:keepLines w:val="0"/>
        <w:keepNext w:val="0"/>
        <w:pageBreakBefore w:val="0"/>
        <w:spacing w:line="44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1.关于资格文件的声明函</w:t>
      </w:r>
      <w:r>
        <w:rPr>
          <w:rFonts w:ascii="宋体" w:hAnsi="宋体" w:cs="宋体"/>
        </w:rPr>
      </w:r>
      <w:r/>
    </w:p>
    <w:p>
      <w:pPr>
        <w:pStyle w:val="863"/>
        <w:jc w:val="left"/>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r>
      <w:r>
        <w:rPr>
          <w:rFonts w:ascii="宋体" w:hAnsi="宋体" w:cs="宋体"/>
        </w:rPr>
      </w:r>
      <w:r/>
    </w:p>
    <w:p>
      <w:pPr>
        <w:pStyle w:val="863"/>
        <w:ind w:firstLine="420"/>
        <w:jc w:val="center"/>
        <w:spacing w:line="360" w:lineRule="auto"/>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关于资格文件的声明函</w:t>
      </w:r>
      <w:r>
        <w:rPr>
          <w:rFonts w:ascii="宋体" w:hAnsi="宋体" w:cs="宋体"/>
        </w:rPr>
      </w:r>
      <w:r/>
    </w:p>
    <w:p>
      <w:pPr>
        <w:pStyle w:val="863"/>
        <w:ind w:firstLine="420"/>
        <w:jc w:val="center"/>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r>
      <w:r>
        <w:rPr>
          <w:rFonts w:ascii="宋体" w:hAnsi="宋体" w:cs="宋体"/>
        </w:rPr>
      </w:r>
      <w:r/>
    </w:p>
    <w:p>
      <w:pPr>
        <w:pStyle w:val="863"/>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u w:val="single"/>
        </w:rPr>
        <w:t xml:space="preserve">苏州欣禾诚工程咨询服务有限公司</w:t>
      </w:r>
      <w:r>
        <w:rPr>
          <w:rFonts w:hint="eastAsia" w:ascii="宋体" w:hAnsi="宋体" w:eastAsia="宋体" w:cs="宋体"/>
          <w:color w:val="000000"/>
          <w:sz w:val="21"/>
          <w:szCs w:val="21"/>
          <w:highlight w:val="none"/>
        </w:rPr>
        <w:t xml:space="preserve">：</w:t>
      </w:r>
      <w:r>
        <w:rPr>
          <w:rFonts w:ascii="宋体" w:hAnsi="宋体" w:cs="宋体"/>
        </w:rPr>
      </w:r>
      <w:r/>
    </w:p>
    <w:p>
      <w:pPr>
        <w:pStyle w:val="882"/>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本公司愿就由贵公司组织实施的编号为</w:t>
      </w:r>
      <w:r>
        <w:rPr>
          <w:rFonts w:hint="eastAsia" w:ascii="宋体" w:hAnsi="宋体" w:eastAsia="宋体" w:cs="宋体"/>
          <w:color w:val="000000"/>
          <w:sz w:val="21"/>
          <w:szCs w:val="21"/>
          <w:highlight w:val="none"/>
          <w:u w:val="single"/>
          <w:lang w:eastAsia="zh-CN"/>
        </w:rPr>
        <w:t xml:space="preserve">JSZC-320509-SXHC-G2026-0018</w:t>
      </w:r>
      <w:r>
        <w:rPr>
          <w:rFonts w:hint="eastAsia" w:ascii="宋体" w:hAnsi="宋体" w:eastAsia="宋体" w:cs="宋体"/>
          <w:color w:val="000000"/>
          <w:sz w:val="21"/>
          <w:szCs w:val="21"/>
          <w:highlight w:val="none"/>
        </w:rPr>
        <w:t xml:space="preserve">号的采购活动进行投标。本公司所提交的</w:t>
      </w:r>
      <w:r>
        <w:rPr>
          <w:rFonts w:hint="eastAsia" w:ascii="宋体" w:hAnsi="宋体" w:eastAsia="宋体" w:cs="宋体"/>
          <w:color w:val="000000"/>
          <w:sz w:val="21"/>
          <w:szCs w:val="21"/>
          <w:highlight w:val="none"/>
          <w:lang w:eastAsia="zh-CN"/>
        </w:rPr>
        <w:t xml:space="preserve">投标</w:t>
      </w:r>
      <w:r>
        <w:rPr>
          <w:rFonts w:hint="eastAsia" w:ascii="宋体" w:hAnsi="宋体" w:eastAsia="宋体" w:cs="宋体"/>
          <w:color w:val="000000"/>
          <w:sz w:val="21"/>
          <w:szCs w:val="21"/>
          <w:highlight w:val="none"/>
        </w:rPr>
        <w:t xml:space="preserve">文件中所有关于投标资格的文件、证明和陈述均是真实的、准确的、有效的。本公司愿意提供</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文件中要求的所有资料，本公司承诺我单位符合</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文件中“</w:t>
      </w:r>
      <w:r>
        <w:rPr>
          <w:rFonts w:hint="eastAsia" w:ascii="宋体" w:hAnsi="宋体" w:eastAsia="宋体" w:cs="宋体"/>
          <w:bCs/>
          <w:color w:val="000000"/>
          <w:sz w:val="21"/>
          <w:szCs w:val="21"/>
          <w:highlight w:val="none"/>
        </w:rPr>
        <w:t xml:space="preserve">申请人的资格要求</w:t>
      </w:r>
      <w:r>
        <w:rPr>
          <w:rFonts w:hint="eastAsia" w:ascii="宋体" w:hAnsi="宋体" w:eastAsia="宋体" w:cs="宋体"/>
          <w:color w:val="000000"/>
          <w:sz w:val="21"/>
          <w:szCs w:val="21"/>
          <w:highlight w:val="none"/>
        </w:rPr>
        <w:t xml:space="preserve">”的资格要求。若与真实情况不符，本公司愿意承担由此而产生的一切后果。</w:t>
      </w:r>
      <w:r>
        <w:rPr>
          <w:rFonts w:ascii="宋体" w:hAnsi="宋体" w:cs="宋体"/>
        </w:rPr>
      </w:r>
      <w:r/>
    </w:p>
    <w:p>
      <w:pPr>
        <w:pStyle w:val="863"/>
        <w:ind w:firstLine="420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r>
      <w:r>
        <w:rPr>
          <w:rFonts w:ascii="宋体" w:hAnsi="宋体" w:cs="宋体"/>
        </w:rPr>
      </w:r>
      <w:r/>
    </w:p>
    <w:p>
      <w:pPr>
        <w:pStyle w:val="863"/>
        <w:ind w:firstLine="420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r>
      <w:r>
        <w:rPr>
          <w:rFonts w:ascii="宋体" w:hAnsi="宋体" w:cs="宋体"/>
        </w:rPr>
      </w:r>
      <w:r/>
    </w:p>
    <w:p>
      <w:pPr>
        <w:pStyle w:val="863"/>
        <w:ind w:firstLine="420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r>
      <w:r>
        <w:rPr>
          <w:rFonts w:ascii="宋体" w:hAnsi="宋体" w:cs="宋体"/>
        </w:rPr>
      </w:r>
      <w:r/>
    </w:p>
    <w:p>
      <w:pPr>
        <w:pStyle w:val="863"/>
        <w:ind w:firstLine="420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投标</w:t>
      </w:r>
      <w:r>
        <w:rPr>
          <w:rFonts w:hint="eastAsia" w:ascii="宋体" w:hAnsi="宋体" w:eastAsia="宋体" w:cs="宋体"/>
          <w:color w:val="000000"/>
          <w:sz w:val="21"/>
          <w:szCs w:val="21"/>
          <w:highlight w:val="none"/>
          <w:lang w:val="zh-CN"/>
        </w:rPr>
        <w:t xml:space="preserve">单位：（单位盖章）             </w:t>
      </w:r>
      <w:r>
        <w:rPr>
          <w:rFonts w:ascii="宋体" w:hAnsi="宋体" w:cs="宋体"/>
        </w:rPr>
      </w:r>
      <w:r/>
    </w:p>
    <w:p>
      <w:pPr>
        <w:pStyle w:val="863"/>
        <w:ind w:firstLine="420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法定代表人或委托代理人：（签字或盖章）</w:t>
      </w:r>
      <w:r>
        <w:rPr>
          <w:rFonts w:ascii="宋体" w:hAnsi="宋体" w:cs="宋体"/>
        </w:rPr>
      </w:r>
      <w:r/>
    </w:p>
    <w:p>
      <w:pPr>
        <w:pStyle w:val="863"/>
        <w:ind w:firstLine="420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日期：</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年     月     日</w:t>
      </w:r>
      <w:r>
        <w:rPr>
          <w:rFonts w:ascii="宋体" w:hAnsi="宋体" w:cs="宋体"/>
        </w:rPr>
      </w:r>
      <w:r/>
    </w:p>
    <w:p>
      <w:pPr>
        <w:pStyle w:val="882"/>
        <w:spacing w:line="360" w:lineRule="auto"/>
        <w:tabs>
          <w:tab w:val="left" w:pos="32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863"/>
        <w:jc w:val="left"/>
        <w:spacing w:line="360" w:lineRule="auto"/>
        <w:rPr>
          <w:rFonts w:hint="eastAsia" w:ascii="宋体" w:hAnsi="宋体" w:cs="宋体"/>
          <w:b/>
          <w:bCs/>
          <w:color w:val="000000"/>
          <w:sz w:val="21"/>
          <w:szCs w:val="21"/>
          <w:highlight w:val="none"/>
        </w:rPr>
      </w:pPr>
      <w:r>
        <w:rPr>
          <w:rFonts w:hint="eastAsia" w:ascii="宋体" w:hAnsi="宋体" w:eastAsia="宋体" w:cs="宋体"/>
          <w:color w:val="000000"/>
          <w:sz w:val="21"/>
          <w:szCs w:val="21"/>
          <w:highlight w:val="none"/>
          <w:lang w:val="zh-CN"/>
        </w:rPr>
        <w:br w:type="page" w:clear="all"/>
      </w:r>
      <w:r>
        <w:rPr>
          <w:rFonts w:hint="eastAsia" w:ascii="宋体" w:hAnsi="宋体" w:eastAsia="宋体" w:cs="宋体"/>
          <w:b/>
          <w:bCs/>
          <w:color w:val="000000"/>
          <w:sz w:val="21"/>
          <w:szCs w:val="21"/>
          <w:highlight w:val="none"/>
          <w:lang w:val="zh-CN"/>
        </w:rPr>
        <w:t xml:space="preserve">2.</w:t>
      </w:r>
      <w:r>
        <w:rPr>
          <w:rFonts w:hint="eastAsia" w:ascii="宋体" w:hAnsi="宋体" w:eastAsia="宋体" w:cs="宋体"/>
          <w:b/>
          <w:bCs/>
          <w:color w:val="000000"/>
          <w:sz w:val="21"/>
          <w:szCs w:val="21"/>
          <w:highlight w:val="none"/>
          <w:lang w:val="zh-CN"/>
        </w:rPr>
        <w:t xml:space="preserve">投标</w:t>
      </w:r>
      <w:r>
        <w:rPr>
          <w:rFonts w:hint="eastAsia" w:ascii="宋体" w:hAnsi="宋体" w:eastAsia="宋体" w:cs="宋体"/>
          <w:b/>
          <w:bCs/>
          <w:color w:val="000000"/>
          <w:sz w:val="21"/>
          <w:szCs w:val="21"/>
          <w:highlight w:val="none"/>
          <w:lang w:val="zh-CN"/>
        </w:rPr>
        <w:t xml:space="preserve">单位情况表</w:t>
      </w:r>
      <w:r>
        <w:rPr>
          <w:rFonts w:ascii="宋体" w:hAnsi="宋体" w:cs="宋体"/>
        </w:rPr>
      </w:r>
      <w:r/>
    </w:p>
    <w:p>
      <w:pPr>
        <w:pStyle w:val="863"/>
        <w:jc w:val="center"/>
        <w:spacing w:line="360" w:lineRule="auto"/>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w:t>
      </w:r>
      <w:r>
        <w:rPr>
          <w:rFonts w:hint="eastAsia" w:ascii="宋体" w:hAnsi="宋体" w:eastAsia="宋体" w:cs="宋体"/>
          <w:b/>
          <w:bCs/>
          <w:color w:val="000000"/>
          <w:sz w:val="21"/>
          <w:szCs w:val="21"/>
          <w:highlight w:val="none"/>
          <w:lang w:val="zh-CN"/>
        </w:rPr>
        <w:t xml:space="preserve">单位情况表</w:t>
      </w:r>
      <w:r>
        <w:rPr>
          <w:rFonts w:ascii="宋体" w:hAnsi="宋体" w:cs="宋体"/>
        </w:rPr>
      </w:r>
      <w:r/>
    </w:p>
    <w:p>
      <w:pPr>
        <w:pStyle w:val="863"/>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投标</w:t>
      </w:r>
      <w:r>
        <w:rPr>
          <w:rFonts w:hint="eastAsia" w:ascii="宋体" w:hAnsi="宋体" w:eastAsia="宋体" w:cs="宋体"/>
          <w:color w:val="000000"/>
          <w:sz w:val="21"/>
          <w:szCs w:val="21"/>
          <w:highlight w:val="none"/>
          <w:lang w:val="zh-CN"/>
        </w:rPr>
        <w:t xml:space="preserve">单位：（公章）</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32"/>
        <w:gridCol w:w="1947"/>
        <w:gridCol w:w="2143"/>
        <w:gridCol w:w="2532"/>
      </w:tblGrid>
      <w:tr>
        <w:trPr>
          <w:cantSplit/>
          <w:trHeight w:val="482"/>
        </w:trPr>
        <w:tc>
          <w:tcPr>
            <w:tcW w:w="323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ascii="宋体" w:hAnsi="宋体" w:cs="宋体"/>
              </w:rPr>
            </w:r>
            <w:r/>
          </w:p>
        </w:tc>
        <w:tc>
          <w:tcPr>
            <w:tcW w:w="1947"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tc>
        <w:tc>
          <w:tcPr>
            <w:tcW w:w="2143"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成立日期</w:t>
            </w:r>
            <w:r>
              <w:rPr>
                <w:rFonts w:ascii="宋体" w:hAnsi="宋体" w:cs="宋体"/>
              </w:rPr>
            </w:r>
            <w:r/>
          </w:p>
        </w:tc>
        <w:tc>
          <w:tcPr>
            <w:tcW w:w="253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tc>
      </w:tr>
      <w:tr>
        <w:trPr>
          <w:cantSplit/>
          <w:trHeight w:val="473"/>
        </w:trPr>
        <w:tc>
          <w:tcPr>
            <w:tcW w:w="323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企业地址</w:t>
            </w:r>
            <w:r>
              <w:rPr>
                <w:rFonts w:ascii="宋体" w:hAnsi="宋体" w:cs="宋体"/>
              </w:rPr>
            </w:r>
            <w:r/>
          </w:p>
        </w:tc>
        <w:tc>
          <w:tcPr>
            <w:tcW w:w="1947"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tc>
        <w:tc>
          <w:tcPr>
            <w:tcW w:w="2143"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注册资本</w:t>
            </w:r>
            <w:r>
              <w:rPr>
                <w:rFonts w:ascii="宋体" w:hAnsi="宋体" w:cs="宋体"/>
              </w:rPr>
            </w:r>
            <w:r/>
          </w:p>
        </w:tc>
        <w:tc>
          <w:tcPr>
            <w:tcW w:w="253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_________</w:t>
            </w:r>
            <w:r>
              <w:rPr>
                <w:rFonts w:hint="eastAsia" w:ascii="宋体" w:hAnsi="宋体" w:eastAsia="宋体" w:cs="宋体"/>
                <w:color w:val="000000"/>
                <w:sz w:val="21"/>
                <w:szCs w:val="21"/>
                <w:highlight w:val="none"/>
              </w:rPr>
              <w:t xml:space="preserve">万元</w:t>
            </w:r>
            <w:r>
              <w:rPr>
                <w:rFonts w:ascii="宋体" w:hAnsi="宋体" w:cs="宋体"/>
              </w:rPr>
            </w:r>
            <w:r/>
          </w:p>
        </w:tc>
      </w:tr>
      <w:tr>
        <w:trPr>
          <w:cantSplit/>
          <w:trHeight w:val="463"/>
        </w:trPr>
        <w:tc>
          <w:tcPr>
            <w:tcW w:w="323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经营范围</w:t>
            </w:r>
            <w:r>
              <w:rPr>
                <w:rFonts w:ascii="宋体" w:hAnsi="宋体" w:cs="宋体"/>
              </w:rPr>
            </w:r>
            <w:r/>
          </w:p>
        </w:tc>
        <w:tc>
          <w:tcPr>
            <w:gridSpan w:val="3"/>
            <w:tcW w:w="662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tc>
      </w:tr>
      <w:tr>
        <w:trPr>
          <w:cantSplit/>
        </w:trPr>
        <w:tc>
          <w:tcPr>
            <w:tcW w:w="323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职工人数</w:t>
            </w:r>
            <w:r>
              <w:rPr>
                <w:rFonts w:ascii="宋体" w:hAnsi="宋体" w:cs="宋体"/>
              </w:rPr>
            </w:r>
            <w:r/>
          </w:p>
        </w:tc>
        <w:tc>
          <w:tcPr>
            <w:tcW w:w="1947"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tc>
        <w:tc>
          <w:tcPr>
            <w:tcW w:w="2143"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其中：中高级</w:t>
            </w:r>
            <w:r>
              <w:rPr>
                <w:rFonts w:ascii="宋体" w:hAnsi="宋体" w:cs="宋体"/>
              </w:rPr>
            </w:r>
            <w:r/>
          </w:p>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以上职称的人数</w:t>
            </w:r>
            <w:r>
              <w:rPr>
                <w:rFonts w:ascii="宋体" w:hAnsi="宋体" w:cs="宋体"/>
              </w:rPr>
            </w:r>
            <w:r/>
          </w:p>
        </w:tc>
        <w:tc>
          <w:tcPr>
            <w:tcW w:w="253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tc>
      </w:tr>
      <w:tr>
        <w:trPr>
          <w:cantSplit/>
          <w:trHeight w:val="510"/>
        </w:trPr>
        <w:tc>
          <w:tcPr>
            <w:tcW w:w="323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资产总计</w:t>
            </w:r>
            <w:r>
              <w:rPr>
                <w:rFonts w:ascii="宋体" w:hAnsi="宋体" w:cs="宋体"/>
              </w:rPr>
            </w:r>
            <w:r/>
          </w:p>
        </w:tc>
        <w:tc>
          <w:tcPr>
            <w:tcW w:w="1947"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_________</w:t>
            </w:r>
            <w:r>
              <w:rPr>
                <w:rFonts w:hint="eastAsia" w:ascii="宋体" w:hAnsi="宋体" w:eastAsia="宋体" w:cs="宋体"/>
                <w:color w:val="000000"/>
                <w:sz w:val="21"/>
                <w:szCs w:val="21"/>
                <w:highlight w:val="none"/>
              </w:rPr>
              <w:t xml:space="preserve">万元</w:t>
            </w:r>
            <w:r>
              <w:rPr>
                <w:rFonts w:ascii="宋体" w:hAnsi="宋体" w:cs="宋体"/>
              </w:rPr>
            </w:r>
            <w:r/>
          </w:p>
        </w:tc>
        <w:tc>
          <w:tcPr>
            <w:tcW w:w="2143"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净资产</w:t>
            </w:r>
            <w:r>
              <w:rPr>
                <w:rFonts w:ascii="宋体" w:hAnsi="宋体" w:cs="宋体"/>
              </w:rPr>
            </w:r>
            <w:r/>
          </w:p>
        </w:tc>
        <w:tc>
          <w:tcPr>
            <w:tcW w:w="253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_________</w:t>
            </w:r>
            <w:r>
              <w:rPr>
                <w:rFonts w:hint="eastAsia" w:ascii="宋体" w:hAnsi="宋体" w:eastAsia="宋体" w:cs="宋体"/>
                <w:color w:val="000000"/>
                <w:sz w:val="21"/>
                <w:szCs w:val="21"/>
                <w:highlight w:val="none"/>
              </w:rPr>
              <w:t xml:space="preserve">万元</w:t>
            </w:r>
            <w:r>
              <w:rPr>
                <w:rFonts w:ascii="宋体" w:hAnsi="宋体" w:cs="宋体"/>
              </w:rPr>
            </w:r>
            <w:r/>
          </w:p>
        </w:tc>
      </w:tr>
      <w:tr>
        <w:trPr>
          <w:cantSplit/>
          <w:trHeight w:val="445"/>
        </w:trPr>
        <w:tc>
          <w:tcPr>
            <w:tcW w:w="323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股东权益</w:t>
            </w:r>
            <w:r>
              <w:rPr>
                <w:rFonts w:ascii="宋体" w:hAnsi="宋体" w:cs="宋体"/>
              </w:rPr>
            </w:r>
            <w:r/>
          </w:p>
        </w:tc>
        <w:tc>
          <w:tcPr>
            <w:tcW w:w="1947"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_________</w:t>
            </w:r>
            <w:r>
              <w:rPr>
                <w:rFonts w:hint="eastAsia" w:ascii="宋体" w:hAnsi="宋体" w:eastAsia="宋体" w:cs="宋体"/>
                <w:color w:val="000000"/>
                <w:sz w:val="21"/>
                <w:szCs w:val="21"/>
                <w:highlight w:val="none"/>
              </w:rPr>
              <w:t xml:space="preserve">万元</w:t>
            </w:r>
            <w:r>
              <w:rPr>
                <w:rFonts w:ascii="宋体" w:hAnsi="宋体" w:cs="宋体"/>
              </w:rPr>
            </w:r>
            <w:r/>
          </w:p>
        </w:tc>
        <w:tc>
          <w:tcPr>
            <w:tcW w:w="2143"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销售收入</w:t>
            </w:r>
            <w:r>
              <w:rPr>
                <w:rFonts w:ascii="宋体" w:hAnsi="宋体" w:cs="宋体"/>
              </w:rPr>
            </w:r>
            <w:r/>
          </w:p>
        </w:tc>
        <w:tc>
          <w:tcPr>
            <w:tcW w:w="253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________</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zh-CN"/>
              </w:rPr>
              <w:t xml:space="preserve">______</w:t>
            </w:r>
            <w:r>
              <w:rPr>
                <w:rFonts w:hint="eastAsia" w:ascii="宋体" w:hAnsi="宋体" w:eastAsia="宋体" w:cs="宋体"/>
                <w:color w:val="000000"/>
                <w:sz w:val="21"/>
                <w:szCs w:val="21"/>
                <w:highlight w:val="none"/>
              </w:rPr>
              <w:t xml:space="preserve">万元</w:t>
            </w:r>
            <w:r>
              <w:rPr>
                <w:rFonts w:ascii="宋体" w:hAnsi="宋体" w:cs="宋体"/>
              </w:rPr>
            </w:r>
            <w:r/>
          </w:p>
        </w:tc>
      </w:tr>
      <w:tr>
        <w:trPr>
          <w:cantSplit/>
          <w:trHeight w:val="666"/>
        </w:trPr>
        <w:tc>
          <w:tcPr>
            <w:tcW w:w="323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实现利润</w:t>
            </w:r>
            <w:r>
              <w:rPr>
                <w:rFonts w:ascii="宋体" w:hAnsi="宋体" w:cs="宋体"/>
              </w:rPr>
            </w:r>
            <w:r/>
          </w:p>
        </w:tc>
        <w:tc>
          <w:tcPr>
            <w:gridSpan w:val="3"/>
            <w:tcW w:w="662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_________</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zh-CN"/>
              </w:rPr>
              <w:t xml:space="preserve">_________</w:t>
            </w:r>
            <w:r>
              <w:rPr>
                <w:rFonts w:hint="eastAsia" w:ascii="宋体" w:hAnsi="宋体" w:eastAsia="宋体" w:cs="宋体"/>
                <w:color w:val="000000"/>
                <w:sz w:val="21"/>
                <w:szCs w:val="21"/>
                <w:highlight w:val="none"/>
              </w:rPr>
              <w:t xml:space="preserve">万元</w:t>
            </w:r>
            <w:r>
              <w:rPr>
                <w:rFonts w:ascii="宋体" w:hAnsi="宋体" w:cs="宋体"/>
              </w:rPr>
            </w:r>
            <w:r/>
          </w:p>
        </w:tc>
      </w:tr>
      <w:tr>
        <w:trPr>
          <w:cantSplit/>
        </w:trPr>
        <w:tc>
          <w:tcPr>
            <w:tcW w:w="323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营业面积（含厂房面积）</w:t>
            </w:r>
            <w:r>
              <w:rPr>
                <w:rFonts w:ascii="宋体" w:hAnsi="宋体" w:cs="宋体"/>
              </w:rPr>
            </w:r>
            <w:r/>
          </w:p>
        </w:tc>
        <w:tc>
          <w:tcPr>
            <w:tcW w:w="1947"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_________</w:t>
            </w:r>
            <w:r>
              <w:rPr>
                <w:rFonts w:hint="eastAsia" w:ascii="宋体" w:hAnsi="宋体" w:eastAsia="宋体" w:cs="宋体"/>
                <w:color w:val="000000"/>
                <w:sz w:val="21"/>
                <w:szCs w:val="21"/>
                <w:highlight w:val="none"/>
              </w:rPr>
              <w:t xml:space="preserve">平方米</w:t>
            </w:r>
            <w:r>
              <w:rPr>
                <w:rFonts w:ascii="宋体" w:hAnsi="宋体" w:cs="宋体"/>
              </w:rPr>
            </w:r>
            <w:r/>
          </w:p>
        </w:tc>
        <w:tc>
          <w:tcPr>
            <w:tcW w:w="2143"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其中：</w:t>
            </w:r>
            <w:r>
              <w:rPr>
                <w:rFonts w:ascii="宋体" w:hAnsi="宋体" w:cs="宋体"/>
              </w:rPr>
            </w:r>
            <w:r/>
          </w:p>
        </w:tc>
        <w:tc>
          <w:tcPr>
            <w:tcW w:w="253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自有面积</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平方米</w:t>
            </w:r>
            <w:r>
              <w:rPr>
                <w:rFonts w:ascii="宋体" w:hAnsi="宋体" w:cs="宋体"/>
              </w:rPr>
            </w:r>
            <w:r/>
          </w:p>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承租面积</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平方米</w:t>
            </w:r>
            <w:r>
              <w:rPr>
                <w:rFonts w:ascii="宋体" w:hAnsi="宋体" w:cs="宋体"/>
              </w:rPr>
            </w:r>
            <w:r/>
          </w:p>
        </w:tc>
      </w:tr>
      <w:tr>
        <w:trPr>
          <w:cantSplit/>
          <w:trHeight w:val="1022"/>
        </w:trPr>
        <w:tc>
          <w:tcPr>
            <w:tcW w:w="323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单位简历及内设机构情况</w:t>
            </w:r>
            <w:r>
              <w:rPr>
                <w:rFonts w:ascii="宋体" w:hAnsi="宋体" w:cs="宋体"/>
              </w:rPr>
            </w:r>
            <w:r/>
          </w:p>
        </w:tc>
        <w:tc>
          <w:tcPr>
            <w:gridSpan w:val="3"/>
            <w:tcW w:w="662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tc>
      </w:tr>
      <w:tr>
        <w:trPr>
          <w:cantSplit/>
        </w:trPr>
        <w:tc>
          <w:tcPr>
            <w:tcW w:w="3232" w:type="dxa"/>
            <w:vAlign w:val="top"/>
            <w:textDirection w:val="lrTb"/>
            <w:noWrap w:val="false"/>
          </w:tcPr>
          <w:p>
            <w:pPr>
              <w:pStyle w:val="863"/>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最近2年内在经营过程中受到何种奖励或处分</w:t>
            </w:r>
            <w:r>
              <w:rPr>
                <w:rFonts w:ascii="宋体" w:hAnsi="宋体" w:cs="宋体"/>
              </w:rPr>
            </w:r>
            <w:r/>
          </w:p>
        </w:tc>
        <w:tc>
          <w:tcPr>
            <w:gridSpan w:val="3"/>
            <w:tcW w:w="662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（包括财政、工商、税务、物价、技监部门稽查情况、结果）</w:t>
            </w:r>
            <w:r>
              <w:rPr>
                <w:rFonts w:ascii="宋体" w:hAnsi="宋体" w:cs="宋体"/>
              </w:rPr>
            </w:r>
            <w:r/>
          </w:p>
        </w:tc>
      </w:tr>
      <w:tr>
        <w:trPr>
          <w:cantSplit/>
        </w:trPr>
        <w:tc>
          <w:tcPr>
            <w:tcW w:w="3232" w:type="dxa"/>
            <w:vAlign w:val="top"/>
            <w:textDirection w:val="lrTb"/>
            <w:noWrap w:val="false"/>
          </w:tcPr>
          <w:p>
            <w:pPr>
              <w:pStyle w:val="863"/>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rPr>
                <w:rFonts w:ascii="宋体" w:hAnsi="宋体" w:cs="宋体"/>
              </w:rPr>
            </w:r>
            <w:r/>
          </w:p>
        </w:tc>
        <w:tc>
          <w:tcPr>
            <w:gridSpan w:val="3"/>
            <w:tcW w:w="662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（包括解决方式和结果）</w:t>
            </w:r>
            <w:r>
              <w:rPr>
                <w:rFonts w:ascii="宋体" w:hAnsi="宋体" w:cs="宋体"/>
              </w:rPr>
            </w:r>
            <w:r/>
          </w:p>
        </w:tc>
      </w:tr>
      <w:tr>
        <w:trPr>
          <w:cantSplit/>
        </w:trPr>
        <w:tc>
          <w:tcPr>
            <w:tcW w:w="3232" w:type="dxa"/>
            <w:vAlign w:val="top"/>
            <w:textDirection w:val="lrTb"/>
            <w:noWrap w:val="false"/>
          </w:tcPr>
          <w:p>
            <w:pPr>
              <w:pStyle w:val="863"/>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最近3年内主要负责人有无经济犯罪被司法机关追究的情况及说明</w:t>
            </w:r>
            <w:r>
              <w:rPr>
                <w:rFonts w:ascii="宋体" w:hAnsi="宋体" w:cs="宋体"/>
              </w:rPr>
            </w:r>
            <w:r/>
          </w:p>
        </w:tc>
        <w:tc>
          <w:tcPr>
            <w:gridSpan w:val="3"/>
            <w:tcW w:w="6622" w:type="dxa"/>
            <w:vAlign w:val="top"/>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tc>
      </w:tr>
      <w:tr>
        <w:trPr>
          <w:cantSplit/>
          <w:trHeight w:val="737"/>
        </w:trPr>
        <w:tc>
          <w:tcPr>
            <w:tcW w:w="3232" w:type="dxa"/>
            <w:vAlign w:val="center"/>
            <w:textDirection w:val="lrTb"/>
            <w:noWrap w:val="false"/>
          </w:tcPr>
          <w:p>
            <w:pPr>
              <w:pStyle w:val="863"/>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rPr>
                <w:rFonts w:ascii="宋体" w:hAnsi="宋体" w:cs="宋体"/>
              </w:rPr>
            </w:r>
            <w:r/>
          </w:p>
        </w:tc>
        <w:tc>
          <w:tcPr>
            <w:gridSpan w:val="3"/>
            <w:tcW w:w="6622" w:type="dxa"/>
            <w:vAlign w:val="top"/>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tc>
      </w:tr>
    </w:tbl>
    <w:p>
      <w:pPr>
        <w:pStyle w:val="863"/>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r>
      <w:r>
        <w:rPr>
          <w:rFonts w:ascii="宋体" w:hAnsi="宋体" w:cs="宋体"/>
        </w:rPr>
      </w:r>
      <w:r/>
    </w:p>
    <w:p>
      <w:pPr>
        <w:pStyle w:val="863"/>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法定代表人或委托代理人：（签字或盖章）</w:t>
      </w:r>
      <w:r>
        <w:rPr>
          <w:rFonts w:ascii="宋体" w:hAnsi="宋体" w:cs="宋体"/>
        </w:rPr>
      </w:r>
      <w:r/>
    </w:p>
    <w:p>
      <w:pPr>
        <w:pStyle w:val="863"/>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日期：</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年     月     日</w:t>
      </w:r>
      <w:r>
        <w:rPr>
          <w:rFonts w:ascii="宋体" w:hAnsi="宋体" w:cs="宋体"/>
        </w:rPr>
      </w:r>
      <w:r/>
    </w:p>
    <w:p>
      <w:pPr>
        <w:pStyle w:val="863"/>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r>
      <w:r>
        <w:rPr>
          <w:rFonts w:ascii="宋体" w:hAnsi="宋体" w:cs="宋体"/>
        </w:rPr>
      </w:r>
      <w:r/>
    </w:p>
    <w:p>
      <w:pPr>
        <w:pStyle w:val="863"/>
        <w:jc w:val="left"/>
        <w:spacing w:line="360" w:lineRule="auto"/>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r>
      <w:r>
        <w:rPr>
          <w:rFonts w:ascii="宋体" w:hAnsi="宋体" w:cs="宋体"/>
        </w:rPr>
      </w:r>
      <w:r/>
    </w:p>
    <w:p>
      <w:pPr>
        <w:pStyle w:val="863"/>
        <w:pageBreakBefore/>
        <w:spacing w:line="360" w:lineRule="auto"/>
        <w:rPr>
          <w:rFonts w:hint="eastAsia" w:ascii="宋体" w:hAnsi="宋体" w:cs="宋体"/>
          <w:b/>
          <w:bCs/>
          <w:color w:val="000000"/>
          <w:sz w:val="21"/>
          <w:szCs w:val="21"/>
          <w:highlight w:val="none"/>
        </w:rPr>
      </w:pPr>
      <w:r>
        <w:rPr>
          <w:rFonts w:hint="eastAsia" w:ascii="宋体" w:hAnsi="宋体" w:eastAsia="宋体" w:cs="宋体"/>
          <w:b/>
          <w:color w:val="000000"/>
          <w:sz w:val="21"/>
          <w:szCs w:val="21"/>
          <w:highlight w:val="none"/>
        </w:rPr>
        <w:t xml:space="preserve">3.</w:t>
      </w:r>
      <w:r>
        <w:rPr>
          <w:rFonts w:hint="eastAsia" w:ascii="宋体" w:hAnsi="宋体" w:eastAsia="宋体" w:cs="宋体"/>
          <w:b/>
          <w:bCs/>
          <w:color w:val="000000"/>
          <w:sz w:val="21"/>
          <w:szCs w:val="21"/>
          <w:highlight w:val="none"/>
          <w:lang w:val="zh-CN"/>
        </w:rPr>
        <w:t xml:space="preserve">中小企业声明资料</w:t>
      </w:r>
      <w:r>
        <w:rPr>
          <w:rFonts w:ascii="宋体" w:hAnsi="宋体" w:cs="宋体"/>
        </w:rPr>
      </w:r>
      <w:r/>
    </w:p>
    <w:p>
      <w:pPr>
        <w:pStyle w:val="863"/>
        <w:jc w:val="center"/>
        <w:spacing w:line="44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中小企业声明函（服务） </w:t>
      </w:r>
      <w:r>
        <w:rPr>
          <w:rFonts w:ascii="宋体" w:hAnsi="宋体" w:cs="宋体"/>
        </w:rPr>
      </w:r>
      <w:r/>
    </w:p>
    <w:p>
      <w:pPr>
        <w:pStyle w:val="863"/>
        <w:ind w:firstLine="424"/>
        <w:jc w:val="left"/>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本公司（或联合体）郑重声明，根据《政府采购促进中小企业发展管理办法》（财库﹝2020﹞46 号）的规定，本公司（或联合体）参加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color w:val="000000"/>
          <w:sz w:val="21"/>
          <w:szCs w:val="21"/>
          <w:highlight w:val="none"/>
        </w:rPr>
        <w:t xml:space="preserve">采购活动，服务全部由符合政策要求的中小企业承接。相关企业（含联合体中的中小企业、签订分包意向协议的中小企业）的具体情况如下： </w:t>
      </w:r>
      <w:r>
        <w:rPr>
          <w:rFonts w:ascii="宋体" w:hAnsi="宋体" w:cs="宋体"/>
        </w:rPr>
      </w:r>
      <w:r/>
    </w:p>
    <w:p>
      <w:pPr>
        <w:pStyle w:val="863"/>
        <w:ind w:firstLine="424"/>
        <w:jc w:val="left"/>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u w:val="single"/>
        </w:rPr>
        <w:t xml:space="preserve">（标的名称） </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（其他未列明行业）</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rPr>
        <w:t xml:space="preserve">； </w:t>
      </w:r>
      <w:r>
        <w:rPr>
          <w:rFonts w:ascii="宋体" w:hAnsi="宋体" w:cs="宋体"/>
        </w:rPr>
      </w:r>
      <w:r/>
    </w:p>
    <w:p>
      <w:pPr>
        <w:pStyle w:val="863"/>
        <w:ind w:firstLine="424"/>
        <w:jc w:val="left"/>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u w:val="single"/>
        </w:rPr>
        <w:t xml:space="preserve">（标的名称） </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（其他未列明行业）</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rPr>
        <w:t xml:space="preserve">； …… </w:t>
      </w:r>
      <w:r>
        <w:rPr>
          <w:rFonts w:ascii="宋体" w:hAnsi="宋体" w:cs="宋体"/>
        </w:rPr>
      </w:r>
      <w:r/>
    </w:p>
    <w:p>
      <w:pPr>
        <w:pStyle w:val="863"/>
        <w:ind w:firstLine="424"/>
        <w:jc w:val="left"/>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 </w:t>
      </w:r>
      <w:r>
        <w:rPr>
          <w:rFonts w:ascii="宋体" w:hAnsi="宋体" w:cs="宋体"/>
        </w:rPr>
      </w:r>
      <w:r/>
    </w:p>
    <w:p>
      <w:pPr>
        <w:pStyle w:val="863"/>
        <w:ind w:firstLine="424"/>
        <w:jc w:val="left"/>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 </w:t>
      </w:r>
      <w:r>
        <w:rPr>
          <w:rFonts w:ascii="宋体" w:hAnsi="宋体" w:cs="宋体"/>
        </w:rPr>
      </w:r>
      <w:r/>
    </w:p>
    <w:p>
      <w:pPr>
        <w:pStyle w:val="863"/>
        <w:ind w:firstLine="424"/>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863"/>
        <w:ind w:firstLine="424"/>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企业名称（盖章）：</w:t>
      </w:r>
      <w:r>
        <w:rPr>
          <w:rFonts w:ascii="宋体" w:hAnsi="宋体" w:cs="宋体"/>
        </w:rPr>
      </w:r>
      <w:r/>
    </w:p>
    <w:p>
      <w:pPr>
        <w:pStyle w:val="863"/>
        <w:ind w:firstLine="4305"/>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r>
      <w:r>
        <w:rPr>
          <w:rFonts w:ascii="宋体" w:hAnsi="宋体" w:cs="宋体"/>
        </w:rPr>
      </w:r>
      <w:r/>
    </w:p>
    <w:p>
      <w:pPr>
        <w:pStyle w:val="863"/>
        <w:ind w:firstLine="422"/>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
          <w:bCs/>
          <w:color w:val="000000"/>
          <w:sz w:val="21"/>
          <w:szCs w:val="21"/>
          <w:highlight w:val="none"/>
        </w:rPr>
        <w:t xml:space="preserve">备注：</w:t>
      </w:r>
      <w:r>
        <w:rPr>
          <w:rFonts w:hint="eastAsia" w:ascii="宋体" w:hAnsi="宋体" w:cs="宋体"/>
          <w:bCs/>
          <w:color w:val="000000"/>
          <w:sz w:val="21"/>
          <w:szCs w:val="21"/>
          <w:highlight w:val="none"/>
        </w:rPr>
        <w:t xml:space="preserve">1</w:t>
      </w:r>
      <w:r>
        <w:rPr>
          <w:rFonts w:hint="eastAsia" w:ascii="宋体" w:hAnsi="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t xml:space="preserve">从业人员、营业收入、资产总额填报上一年度数据，无上一年度数据的新成立企业可不填报。</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2</w:t>
      </w:r>
      <w:r>
        <w:rPr>
          <w:rFonts w:hint="eastAsia" w:ascii="宋体" w:hAnsi="宋体" w:cs="宋体"/>
          <w:bCs/>
          <w:color w:val="000000"/>
          <w:sz w:val="21"/>
          <w:szCs w:val="21"/>
          <w:highlight w:val="none"/>
          <w:lang w:val="en-US" w:eastAsia="zh-CN"/>
        </w:rPr>
        <w:t xml:space="preserve">.</w:t>
      </w:r>
      <w:r>
        <w:rPr>
          <w:rFonts w:hint="eastAsia" w:ascii="宋体" w:hAnsi="宋体" w:eastAsia="宋体" w:cs="宋体"/>
          <w:b w:val="0"/>
          <w:bCs w:val="0"/>
          <w:color w:val="000000"/>
          <w:sz w:val="21"/>
          <w:szCs w:val="24"/>
          <w:highlight w:val="none"/>
        </w:rPr>
        <w:t xml:space="preserve">在服务采购项目中，服务由中小企业承接，即提供服务的人员为中小企业依照《中华人民共和国劳动合同法》订立劳动合同的从业人员。</w:t>
      </w:r>
      <w:r>
        <w:rPr>
          <w:rFonts w:hint="eastAsia" w:ascii="宋体" w:hAnsi="宋体" w:eastAsia="宋体" w:cs="宋体"/>
          <w:b/>
          <w:bCs/>
          <w:color w:val="000000"/>
          <w:sz w:val="21"/>
          <w:szCs w:val="24"/>
          <w:highlight w:val="none"/>
        </w:rPr>
        <w:t xml:space="preserve">服务类项目中供应商若使用退休人员，将不享受相应扶持政策。</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cs="宋体"/>
          <w:bCs/>
          <w:color w:val="000000"/>
          <w:sz w:val="21"/>
          <w:szCs w:val="21"/>
          <w:highlight w:val="none"/>
        </w:rPr>
        <w:t xml:space="preserve">3</w:t>
      </w:r>
      <w:r>
        <w:rPr>
          <w:rFonts w:hint="eastAsia" w:ascii="宋体" w:hAnsi="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t xml:space="preserve">《中小企业声明函》中所填的行业应与本采购标的对应的中小企业划分标准所属行业一致，不一致的不可享受相应政策优惠。</w:t>
      </w:r>
      <w:r>
        <w:rPr>
          <w:rFonts w:hint="eastAsia" w:ascii="宋体" w:hAnsi="宋体" w:eastAsia="宋体" w:cs="宋体"/>
          <w:b/>
          <w:bCs/>
          <w:color w:val="000000"/>
          <w:sz w:val="21"/>
          <w:szCs w:val="21"/>
          <w:highlight w:val="none"/>
        </w:rPr>
        <w:t xml:space="preserve">本采购标的对应的中小企业划分标准所属行业，以招标文件中具体规定为准。</w:t>
      </w:r>
      <w:r>
        <w:rPr>
          <w:rFonts w:ascii="宋体" w:hAnsi="宋体" w:cs="宋体"/>
        </w:rPr>
      </w:r>
      <w:r/>
    </w:p>
    <w:p>
      <w:pPr>
        <w:pStyle w:val="863"/>
        <w:ind w:firstLine="422"/>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cs="宋体"/>
          <w:b/>
          <w:color w:val="000000"/>
          <w:sz w:val="21"/>
          <w:szCs w:val="21"/>
          <w:highlight w:val="none"/>
        </w:rPr>
        <w:t xml:space="preserve">4</w:t>
      </w:r>
      <w:r>
        <w:rPr>
          <w:rFonts w:hint="eastAsia" w:ascii="宋体" w:hAnsi="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如未对（□中型企业、□小型企业、□微型企业）进行勾选，视同非中小微企业，不可享受相应扶持政策。</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5</w:t>
      </w:r>
      <w:r>
        <w:rPr>
          <w:rFonts w:hint="eastAsia" w:ascii="宋体" w:hAnsi="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t xml:space="preserve">中标单位享受中小企业扶持政策的，《中小企业声明函》将随中标结果同时公告。</w:t>
      </w:r>
      <w:r>
        <w:rPr>
          <w:rFonts w:ascii="宋体" w:hAnsi="宋体" w:cs="宋体"/>
        </w:rPr>
      </w:r>
      <w:r/>
    </w:p>
    <w:p>
      <w:pPr>
        <w:pStyle w:val="863"/>
        <w:ind w:firstLine="420"/>
        <w:jc w:val="left"/>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863"/>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r>
      <w:r>
        <w:rPr>
          <w:rFonts w:ascii="宋体" w:hAnsi="宋体" w:cs="宋体"/>
        </w:rPr>
      </w:r>
      <w:r/>
    </w:p>
    <w:p>
      <w:pPr>
        <w:pStyle w:val="863"/>
        <w:jc w:val="left"/>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876"/>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914"/>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914"/>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914"/>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914"/>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914"/>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900"/>
        <w:spacing w:line="360" w:lineRule="auto"/>
        <w:tabs>
          <w:tab w:val="left" w:pos="525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1053"/>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1053"/>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863"/>
        <w:spacing w:line="440" w:lineRule="exact"/>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r>
      <w:r>
        <w:rPr>
          <w:rFonts w:ascii="宋体" w:hAnsi="宋体" w:cs="宋体"/>
        </w:rPr>
      </w:r>
      <w:r/>
    </w:p>
    <w:p>
      <w:pPr>
        <w:pStyle w:val="863"/>
        <w:spacing w:line="440" w:lineRule="exact"/>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附：中小企业划型标准规定</w:t>
      </w:r>
      <w:r>
        <w:rPr>
          <w:rFonts w:ascii="宋体" w:hAnsi="宋体" w:cs="宋体"/>
        </w:rPr>
      </w:r>
      <w:r/>
    </w:p>
    <w:p>
      <w:pPr>
        <w:pStyle w:val="863"/>
        <w:ind w:firstLine="422"/>
        <w:spacing w:line="440" w:lineRule="exact"/>
        <w:rPr>
          <w:rFonts w:hint="eastAsia"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（一）农、林、牧、渔业。</w:t>
      </w:r>
      <w:r>
        <w:rPr>
          <w:rFonts w:hint="eastAsia" w:ascii="宋体" w:hAnsi="宋体" w:eastAsia="宋体" w:cs="宋体"/>
          <w:color w:val="000000"/>
          <w:sz w:val="21"/>
          <w:szCs w:val="21"/>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rPr>
      </w:r>
      <w:r/>
    </w:p>
    <w:p>
      <w:pPr>
        <w:pStyle w:val="863"/>
        <w:ind w:firstLine="422"/>
        <w:spacing w:line="440" w:lineRule="exact"/>
        <w:rPr>
          <w:rFonts w:hint="eastAsia"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（二）工业。</w:t>
      </w:r>
      <w:r>
        <w:rPr>
          <w:rFonts w:hint="eastAsia" w:ascii="宋体" w:hAnsi="宋体" w:eastAsia="宋体" w:cs="宋体"/>
          <w:color w:val="000000"/>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rPr>
      </w:r>
      <w:r/>
    </w:p>
    <w:p>
      <w:pPr>
        <w:pStyle w:val="863"/>
        <w:ind w:firstLine="422"/>
        <w:spacing w:line="440" w:lineRule="exact"/>
        <w:rPr>
          <w:rFonts w:hint="eastAsia"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（三）建筑业。</w:t>
      </w:r>
      <w:r>
        <w:rPr>
          <w:rFonts w:hint="eastAsia" w:ascii="宋体" w:hAnsi="宋体" w:eastAsia="宋体" w:cs="宋体"/>
          <w:color w:val="000000"/>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rPr>
      </w:r>
      <w:r/>
    </w:p>
    <w:p>
      <w:pPr>
        <w:pStyle w:val="863"/>
        <w:ind w:firstLine="422"/>
        <w:spacing w:line="440" w:lineRule="exact"/>
        <w:rPr>
          <w:rFonts w:hint="eastAsia"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（四）批发业。</w:t>
      </w:r>
      <w:r>
        <w:rPr>
          <w:rFonts w:hint="eastAsia" w:ascii="宋体" w:hAnsi="宋体" w:eastAsia="宋体" w:cs="宋体"/>
          <w:color w:val="000000"/>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rPr>
      </w:r>
      <w:r/>
    </w:p>
    <w:p>
      <w:pPr>
        <w:pStyle w:val="863"/>
        <w:ind w:firstLine="422"/>
        <w:spacing w:line="440" w:lineRule="exact"/>
        <w:rPr>
          <w:rFonts w:hint="eastAsia"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（五）零售业。</w:t>
      </w:r>
      <w:r>
        <w:rPr>
          <w:rFonts w:hint="eastAsia" w:ascii="宋体" w:hAnsi="宋体" w:eastAsia="宋体" w:cs="宋体"/>
          <w:color w:val="000000"/>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rPr>
      </w:r>
      <w:r/>
    </w:p>
    <w:p>
      <w:pPr>
        <w:pStyle w:val="863"/>
        <w:ind w:firstLine="422"/>
        <w:spacing w:line="440" w:lineRule="exact"/>
        <w:rPr>
          <w:rFonts w:hint="eastAsia"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（六）交通运输业。</w:t>
      </w:r>
      <w:r>
        <w:rPr>
          <w:rFonts w:hint="eastAsia" w:ascii="宋体" w:hAnsi="宋体" w:eastAsia="宋体" w:cs="宋体"/>
          <w:color w:val="000000"/>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rPr>
      </w:r>
      <w:r/>
    </w:p>
    <w:p>
      <w:pPr>
        <w:pStyle w:val="863"/>
        <w:ind w:firstLine="422"/>
        <w:spacing w:line="440" w:lineRule="exact"/>
        <w:rPr>
          <w:rFonts w:hint="eastAsia"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（七）仓储业。</w:t>
      </w:r>
      <w:r>
        <w:rPr>
          <w:rFonts w:hint="eastAsia" w:ascii="宋体" w:hAnsi="宋体" w:eastAsia="宋体" w:cs="宋体"/>
          <w:color w:val="000000"/>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rPr>
      </w:r>
      <w:r/>
    </w:p>
    <w:p>
      <w:pPr>
        <w:pStyle w:val="863"/>
        <w:ind w:firstLine="422"/>
        <w:spacing w:line="440" w:lineRule="exact"/>
        <w:rPr>
          <w:rFonts w:hint="eastAsia"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（八）邮政业。</w:t>
      </w:r>
      <w:r>
        <w:rPr>
          <w:rFonts w:hint="eastAsia" w:ascii="宋体" w:hAnsi="宋体" w:eastAsia="宋体" w:cs="宋体"/>
          <w:color w:val="000000"/>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rPr>
      </w:r>
      <w:r/>
    </w:p>
    <w:p>
      <w:pPr>
        <w:pStyle w:val="863"/>
        <w:ind w:firstLine="422"/>
        <w:spacing w:line="440" w:lineRule="exact"/>
        <w:rPr>
          <w:rFonts w:hint="eastAsia"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（九）住宿业。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863"/>
        <w:ind w:firstLine="422"/>
        <w:spacing w:line="440" w:lineRule="exact"/>
        <w:rPr>
          <w:rFonts w:hint="eastAsia"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（十）餐饮业。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863"/>
        <w:ind w:firstLine="422"/>
        <w:spacing w:line="440" w:lineRule="exact"/>
        <w:rPr>
          <w:rFonts w:hint="eastAsia"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（十一）信息传输业。</w:t>
      </w:r>
      <w:r>
        <w:rPr>
          <w:rFonts w:hint="eastAsia" w:ascii="宋体" w:hAnsi="宋体" w:eastAsia="宋体" w:cs="宋体"/>
          <w:color w:val="000000"/>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rPr>
      </w:r>
      <w:r/>
    </w:p>
    <w:p>
      <w:pPr>
        <w:pStyle w:val="863"/>
        <w:ind w:firstLine="422"/>
        <w:spacing w:line="440" w:lineRule="exact"/>
        <w:rPr>
          <w:rFonts w:hint="eastAsia"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（十二）软件和信息技术服务业。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rPr>
      </w:r>
      <w:r/>
    </w:p>
    <w:p>
      <w:pPr>
        <w:pStyle w:val="863"/>
        <w:ind w:firstLine="422"/>
        <w:spacing w:line="440" w:lineRule="exact"/>
        <w:rPr>
          <w:rFonts w:hint="eastAsia"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（十三）房地产开发经营。</w:t>
      </w:r>
      <w:r>
        <w:rPr>
          <w:rFonts w:hint="eastAsia" w:ascii="宋体" w:hAnsi="宋体" w:eastAsia="宋体" w:cs="宋体"/>
          <w:color w:val="000000"/>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rPr>
      </w:r>
      <w:r/>
    </w:p>
    <w:p>
      <w:pPr>
        <w:pStyle w:val="863"/>
        <w:ind w:firstLine="422"/>
        <w:spacing w:line="440" w:lineRule="exact"/>
        <w:rPr>
          <w:rFonts w:hint="eastAsia"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（十四）物业管理。</w:t>
      </w:r>
      <w:r>
        <w:rPr>
          <w:rFonts w:hint="eastAsia" w:ascii="宋体" w:hAnsi="宋体" w:eastAsia="宋体" w:cs="宋体"/>
          <w:color w:val="000000"/>
          <w:sz w:val="21"/>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rPr>
      </w:r>
      <w:r/>
    </w:p>
    <w:p>
      <w:pPr>
        <w:pStyle w:val="863"/>
        <w:ind w:firstLine="422"/>
        <w:spacing w:line="440" w:lineRule="exact"/>
        <w:rPr>
          <w:rFonts w:hint="eastAsia"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（十五）租赁和商务服务业。</w:t>
      </w:r>
      <w:r>
        <w:rPr>
          <w:rFonts w:hint="eastAsia" w:ascii="宋体" w:hAnsi="宋体" w:eastAsia="宋体" w:cs="宋体"/>
          <w:color w:val="000000"/>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rPr>
      </w:r>
      <w:r/>
    </w:p>
    <w:p>
      <w:pPr>
        <w:pStyle w:val="996"/>
        <w:ind w:firstLine="422"/>
        <w:spacing w:line="440" w:lineRule="exact"/>
        <w:rPr>
          <w:rFonts w:hint="eastAsia"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（十六）其他未列明行业。</w:t>
      </w:r>
      <w:r>
        <w:rPr>
          <w:rFonts w:hint="eastAsia" w:ascii="宋体" w:hAnsi="宋体" w:eastAsia="宋体" w:cs="宋体"/>
          <w:color w:val="000000"/>
          <w:sz w:val="21"/>
          <w:szCs w:val="21"/>
          <w:highlight w:val="none"/>
        </w:rPr>
        <w:t xml:space="preserve">从业人员300人以下的为中小微型企业。其中，从业人员100人及以上的为中型企业；从业人员10人及以上的为小型企业；从业人员10人以下的为微型企业。</w:t>
      </w:r>
      <w:r>
        <w:rPr>
          <w:rFonts w:ascii="宋体" w:hAnsi="宋体" w:cs="宋体"/>
        </w:rPr>
      </w:r>
      <w:r/>
    </w:p>
    <w:p>
      <w:pPr>
        <w:pStyle w:val="863"/>
        <w:ind w:right="-5"/>
        <w:pageBreakBefore/>
        <w:spacing w:line="360" w:lineRule="auto"/>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4.</w:t>
      </w:r>
      <w:bookmarkStart w:id="43" w:name="OLE_LINK14"/>
      <w:r>
        <w:rPr>
          <w:rFonts w:ascii="宋体" w:hAnsi="宋体" w:cs="宋体"/>
        </w:rPr>
      </w:r>
      <w:bookmarkStart w:id="44" w:name="OLE_LINK13"/>
      <w:r>
        <w:rPr>
          <w:rFonts w:hint="eastAsia" w:ascii="宋体" w:hAnsi="宋体" w:eastAsia="宋体" w:cs="宋体"/>
          <w:b/>
          <w:color w:val="000000"/>
          <w:sz w:val="21"/>
          <w:szCs w:val="21"/>
          <w:highlight w:val="none"/>
        </w:rPr>
        <w:t xml:space="preserve">残疾人福利性单位声明函</w:t>
      </w:r>
      <w:r>
        <w:rPr>
          <w:rFonts w:ascii="宋体" w:hAnsi="宋体" w:cs="宋体"/>
        </w:rPr>
      </w:r>
      <w:r/>
    </w:p>
    <w:p>
      <w:pPr>
        <w:pStyle w:val="863"/>
        <w:jc w:val="center"/>
        <w:spacing w:line="360" w:lineRule="auto"/>
        <w:rPr>
          <w:rFonts w:hint="eastAsia" w:ascii="宋体" w:hAnsi="宋体" w:cs="宋体"/>
          <w:b/>
          <w:color w:val="000000"/>
          <w:spacing w:val="6"/>
          <w:sz w:val="21"/>
          <w:szCs w:val="21"/>
          <w:highlight w:val="none"/>
        </w:rPr>
      </w:pPr>
      <w:r>
        <w:rPr>
          <w:rFonts w:hint="eastAsia" w:ascii="宋体" w:hAnsi="宋体" w:eastAsia="宋体" w:cs="宋体"/>
          <w:b/>
          <w:color w:val="000000"/>
          <w:spacing w:val="6"/>
          <w:sz w:val="21"/>
          <w:szCs w:val="21"/>
          <w:highlight w:val="none"/>
        </w:rPr>
        <w:t xml:space="preserve">残疾人福利性单位声明函</w:t>
      </w:r>
      <w:bookmarkEnd w:id="43"/>
      <w:r>
        <w:rPr>
          <w:rFonts w:ascii="宋体" w:hAnsi="宋体" w:cs="宋体"/>
        </w:rPr>
      </w:r>
      <w:bookmarkEnd w:id="44"/>
      <w:r>
        <w:rPr>
          <w:rFonts w:ascii="宋体" w:hAnsi="宋体" w:cs="宋体"/>
        </w:rPr>
      </w:r>
      <w:r/>
    </w:p>
    <w:p>
      <w:pPr>
        <w:pStyle w:val="863"/>
        <w:ind w:firstLine="444"/>
        <w:spacing w:line="440" w:lineRule="exact"/>
        <w:rPr>
          <w:rFonts w:hint="eastAsia" w:ascii="宋体" w:hAnsi="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1"/>
          <w:szCs w:val="21"/>
          <w:highlight w:val="none"/>
        </w:rPr>
        <w:t xml:space="preserve">〔2017〕141</w:t>
      </w:r>
      <w:r>
        <w:rPr>
          <w:rFonts w:hint="eastAsia" w:ascii="宋体" w:hAnsi="宋体" w:eastAsia="宋体" w:cs="宋体"/>
          <w:color w:val="000000"/>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rPr>
      </w:r>
      <w:r/>
    </w:p>
    <w:p>
      <w:pPr>
        <w:pStyle w:val="863"/>
        <w:ind w:firstLine="444"/>
        <w:spacing w:line="440" w:lineRule="exact"/>
        <w:rPr>
          <w:rFonts w:hint="eastAsia" w:ascii="宋体" w:hAnsi="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本单位对上述声明的真实性负责。如有虚假，将依法承担相应责任。</w:t>
      </w:r>
      <w:r>
        <w:rPr>
          <w:rFonts w:ascii="宋体" w:hAnsi="宋体" w:cs="宋体"/>
        </w:rPr>
      </w:r>
      <w:r/>
    </w:p>
    <w:p>
      <w:pPr>
        <w:pStyle w:val="863"/>
        <w:ind w:firstLine="444"/>
        <w:spacing w:line="440" w:lineRule="exact"/>
        <w:rPr>
          <w:rFonts w:hint="eastAsia" w:ascii="宋体" w:hAnsi="宋体" w:cs="宋体"/>
          <w:color w:val="000000"/>
          <w:spacing w:val="6"/>
          <w:sz w:val="21"/>
          <w:szCs w:val="21"/>
          <w:highlight w:val="none"/>
        </w:rPr>
      </w:pPr>
      <w:r>
        <w:rPr>
          <w:rFonts w:hint="eastAsia" w:ascii="宋体" w:hAnsi="宋体" w:eastAsia="宋体" w:cs="宋体"/>
          <w:color w:val="000000"/>
          <w:spacing w:val="6"/>
          <w:sz w:val="21"/>
          <w:szCs w:val="21"/>
          <w:highlight w:val="none"/>
        </w:rPr>
      </w:r>
      <w:r>
        <w:rPr>
          <w:rFonts w:ascii="宋体" w:hAnsi="宋体" w:cs="宋体"/>
        </w:rPr>
      </w:r>
      <w:r/>
    </w:p>
    <w:p>
      <w:pPr>
        <w:pStyle w:val="863"/>
        <w:ind w:firstLine="444"/>
        <w:spacing w:line="440" w:lineRule="exact"/>
        <w:rPr>
          <w:rFonts w:hint="eastAsia" w:ascii="宋体" w:hAnsi="宋体" w:cs="宋体"/>
          <w:color w:val="000000"/>
          <w:spacing w:val="6"/>
          <w:sz w:val="21"/>
          <w:szCs w:val="21"/>
          <w:highlight w:val="none"/>
        </w:rPr>
      </w:pPr>
      <w:r>
        <w:rPr>
          <w:rFonts w:hint="eastAsia" w:ascii="宋体" w:hAnsi="宋体" w:eastAsia="宋体" w:cs="宋体"/>
          <w:color w:val="000000"/>
          <w:spacing w:val="6"/>
          <w:sz w:val="21"/>
          <w:szCs w:val="21"/>
          <w:highlight w:val="none"/>
        </w:rPr>
      </w:r>
      <w:r>
        <w:rPr>
          <w:rFonts w:ascii="宋体" w:hAnsi="宋体" w:cs="宋体"/>
        </w:rPr>
      </w:r>
      <w:r/>
    </w:p>
    <w:p>
      <w:pPr>
        <w:pStyle w:val="863"/>
        <w:ind w:right="1560" w:firstLine="444"/>
        <w:jc w:val="center"/>
        <w:spacing w:line="440" w:lineRule="exact"/>
        <w:tabs>
          <w:tab w:val="left" w:pos="4860" w:leader="none"/>
        </w:tabs>
        <w:rPr>
          <w:rFonts w:hint="eastAsia" w:ascii="宋体" w:hAnsi="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单位名称（盖章）：</w:t>
      </w:r>
      <w:r>
        <w:rPr>
          <w:rFonts w:ascii="宋体" w:hAnsi="宋体" w:cs="宋体"/>
        </w:rPr>
      </w:r>
      <w:r/>
    </w:p>
    <w:p>
      <w:pPr>
        <w:pStyle w:val="863"/>
        <w:ind w:right="1560" w:firstLine="444"/>
        <w:jc w:val="center"/>
        <w:spacing w:line="440" w:lineRule="exact"/>
        <w:tabs>
          <w:tab w:val="left" w:pos="4860" w:leader="none"/>
        </w:tabs>
        <w:rPr>
          <w:rFonts w:hint="eastAsia" w:ascii="宋体" w:hAnsi="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日  期：</w:t>
      </w:r>
      <w:r>
        <w:rPr>
          <w:rFonts w:ascii="宋体" w:hAnsi="宋体" w:cs="宋体"/>
        </w:rPr>
      </w:r>
      <w:r/>
    </w:p>
    <w:p>
      <w:pPr>
        <w:pStyle w:val="863"/>
        <w:ind w:firstLine="444"/>
        <w:spacing w:line="440" w:lineRule="exact"/>
        <w:rPr>
          <w:rFonts w:hint="eastAsia" w:ascii="宋体" w:hAnsi="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备注：</w:t>
      </w:r>
      <w:r>
        <w:rPr>
          <w:rFonts w:hint="eastAsia" w:ascii="宋体" w:hAnsi="宋体" w:eastAsia="宋体" w:cs="宋体"/>
          <w:color w:val="000000"/>
          <w:spacing w:val="6"/>
          <w:sz w:val="21"/>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ascii="宋体" w:hAnsi="宋体" w:cs="宋体"/>
        </w:rPr>
      </w:r>
      <w:r/>
    </w:p>
    <w:p>
      <w:pPr>
        <w:pStyle w:val="863"/>
        <w:ind w:firstLine="351"/>
        <w:jc w:val="left"/>
        <w:spacing w:line="360" w:lineRule="auto"/>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863"/>
        <w:ind w:right="492" w:firstLine="388"/>
        <w:spacing w:line="360" w:lineRule="auto"/>
        <w:rPr>
          <w:rFonts w:hint="eastAsia" w:ascii="宋体" w:hAnsi="宋体" w:cs="宋体"/>
          <w:color w:val="000000"/>
          <w:spacing w:val="6"/>
          <w:sz w:val="21"/>
          <w:szCs w:val="21"/>
          <w:highlight w:val="none"/>
        </w:rPr>
      </w:pPr>
      <w:r>
        <w:rPr>
          <w:rFonts w:hint="eastAsia" w:ascii="宋体" w:hAnsi="宋体" w:eastAsia="宋体" w:cs="宋体"/>
          <w:color w:val="000000"/>
          <w:spacing w:val="6"/>
          <w:sz w:val="21"/>
          <w:szCs w:val="21"/>
          <w:highlight w:val="none"/>
        </w:rPr>
      </w:r>
      <w:r>
        <w:rPr>
          <w:rFonts w:ascii="宋体" w:hAnsi="宋体" w:cs="宋体"/>
        </w:rPr>
      </w:r>
      <w:r/>
    </w:p>
    <w:p>
      <w:pPr>
        <w:pStyle w:val="863"/>
        <w:ind w:right="492" w:firstLine="388"/>
        <w:jc w:val="center"/>
        <w:spacing w:line="360" w:lineRule="auto"/>
        <w:rPr>
          <w:rFonts w:hint="eastAsia" w:ascii="宋体" w:hAnsi="宋体" w:cs="宋体"/>
          <w:color w:val="000000"/>
          <w:spacing w:val="6"/>
          <w:sz w:val="21"/>
          <w:szCs w:val="21"/>
          <w:highlight w:val="none"/>
        </w:rPr>
      </w:pPr>
      <w:r>
        <w:rPr>
          <w:rFonts w:hint="eastAsia" w:ascii="宋体" w:hAnsi="宋体" w:eastAsia="宋体" w:cs="宋体"/>
          <w:color w:val="000000"/>
          <w:spacing w:val="6"/>
          <w:sz w:val="21"/>
          <w:szCs w:val="21"/>
          <w:highlight w:val="none"/>
        </w:rPr>
      </w:r>
      <w:r>
        <w:rPr>
          <w:rFonts w:ascii="宋体" w:hAnsi="宋体" w:cs="宋体"/>
        </w:rPr>
      </w:r>
      <w:r/>
    </w:p>
    <w:p>
      <w:pPr>
        <w:pStyle w:val="863"/>
        <w:ind w:right="492" w:firstLine="388"/>
        <w:jc w:val="center"/>
        <w:spacing w:line="360" w:lineRule="auto"/>
        <w:rPr>
          <w:rFonts w:hint="eastAsia" w:ascii="宋体" w:hAnsi="宋体" w:cs="宋体"/>
          <w:color w:val="000000"/>
          <w:spacing w:val="6"/>
          <w:sz w:val="21"/>
          <w:szCs w:val="21"/>
          <w:highlight w:val="none"/>
        </w:rPr>
      </w:pPr>
      <w:r>
        <w:rPr>
          <w:rFonts w:hint="eastAsia" w:ascii="宋体" w:hAnsi="宋体" w:eastAsia="宋体" w:cs="宋体"/>
          <w:color w:val="000000"/>
          <w:spacing w:val="6"/>
          <w:sz w:val="21"/>
          <w:szCs w:val="21"/>
          <w:highlight w:val="none"/>
        </w:rPr>
      </w:r>
      <w:r>
        <w:rPr>
          <w:rFonts w:ascii="宋体" w:hAnsi="宋体" w:cs="宋体"/>
        </w:rPr>
      </w:r>
      <w:r/>
    </w:p>
    <w:p>
      <w:pPr>
        <w:pStyle w:val="863"/>
        <w:jc w:val="left"/>
        <w:spacing w:line="360" w:lineRule="auto"/>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r>
      <w:r>
        <w:rPr>
          <w:rFonts w:ascii="宋体" w:hAnsi="宋体" w:cs="宋体"/>
        </w:rPr>
      </w:r>
      <w:r/>
    </w:p>
    <w:p>
      <w:pPr>
        <w:pStyle w:val="863"/>
        <w:ind w:firstLine="422"/>
        <w:jc w:val="center"/>
        <w:spacing w:line="360" w:lineRule="auto"/>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r>
      <w:r>
        <w:rPr>
          <w:rFonts w:ascii="宋体" w:hAnsi="宋体" w:cs="宋体"/>
        </w:rPr>
      </w:r>
      <w:r/>
    </w:p>
    <w:p>
      <w:pPr>
        <w:pStyle w:val="863"/>
        <w:ind w:firstLine="422"/>
        <w:jc w:val="center"/>
        <w:spacing w:line="360" w:lineRule="auto"/>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r>
      <w:r>
        <w:rPr>
          <w:rFonts w:ascii="宋体" w:hAnsi="宋体" w:cs="宋体"/>
        </w:rPr>
      </w:r>
      <w:r/>
    </w:p>
    <w:p>
      <w:pPr>
        <w:pStyle w:val="863"/>
        <w:ind w:firstLine="422"/>
        <w:jc w:val="center"/>
        <w:spacing w:line="360" w:lineRule="auto"/>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r>
      <w:r>
        <w:rPr>
          <w:rFonts w:ascii="宋体" w:hAnsi="宋体" w:cs="宋体"/>
        </w:rPr>
      </w:r>
      <w:r/>
    </w:p>
    <w:p>
      <w:pPr>
        <w:pStyle w:val="863"/>
        <w:ind w:firstLine="422"/>
        <w:jc w:val="center"/>
        <w:spacing w:line="360" w:lineRule="auto"/>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r>
      <w:r>
        <w:rPr>
          <w:rFonts w:ascii="宋体" w:hAnsi="宋体" w:cs="宋体"/>
        </w:rPr>
      </w:r>
      <w:r/>
    </w:p>
    <w:p>
      <w:pPr>
        <w:pStyle w:val="863"/>
        <w:ind w:firstLine="422"/>
        <w:jc w:val="center"/>
        <w:spacing w:line="360" w:lineRule="auto"/>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r>
      <w:r>
        <w:rPr>
          <w:rFonts w:ascii="宋体" w:hAnsi="宋体" w:cs="宋体"/>
        </w:rPr>
      </w:r>
      <w:r/>
    </w:p>
    <w:p>
      <w:pPr>
        <w:pStyle w:val="863"/>
        <w:pageBreakBefore/>
        <w:spacing w:line="360" w:lineRule="auto"/>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5.监狱企业证明文件</w:t>
      </w:r>
      <w:r>
        <w:rPr>
          <w:rFonts w:ascii="宋体" w:hAnsi="宋体" w:cs="宋体"/>
        </w:rPr>
      </w:r>
      <w:r/>
    </w:p>
    <w:p>
      <w:pPr>
        <w:pStyle w:val="863"/>
        <w:jc w:val="center"/>
        <w:rPr>
          <w:rFonts w:hint="eastAsia" w:ascii="宋体" w:hAnsi="宋体" w:cs="宋体"/>
          <w:b/>
          <w:color w:val="000000"/>
          <w:sz w:val="21"/>
          <w:szCs w:val="21"/>
          <w:highlight w:val="none"/>
        </w:rPr>
      </w:pPr>
      <w:r>
        <w:rPr>
          <w:rFonts w:hint="eastAsia" w:ascii="宋体" w:hAnsi="宋体" w:eastAsia="宋体" w:cs="宋体"/>
          <w:b/>
          <w:bCs/>
          <w:color w:val="000000"/>
          <w:sz w:val="21"/>
          <w:szCs w:val="21"/>
          <w:highlight w:val="none"/>
        </w:rPr>
        <w:t xml:space="preserve">监狱企业声明函</w:t>
      </w:r>
      <w:r>
        <w:rPr>
          <w:rFonts w:ascii="宋体" w:hAnsi="宋体" w:cs="宋体"/>
        </w:rPr>
      </w:r>
      <w:r/>
    </w:p>
    <w:p>
      <w:pPr>
        <w:pStyle w:val="928"/>
        <w:ind w:firstLine="480"/>
        <w:spacing w:before="0" w:beforeAutospacing="0" w:after="0" w:afterAutospacing="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928"/>
        <w:ind w:firstLine="480"/>
        <w:spacing w:before="0" w:beforeAutospacing="0" w:after="0" w:afterAutospacing="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本企业（单位）郑重声明下列事项（按照实际情况勾选或填空）：</w:t>
      </w:r>
      <w:r>
        <w:rPr>
          <w:rFonts w:ascii="宋体" w:hAnsi="宋体" w:cs="宋体"/>
        </w:rPr>
      </w:r>
      <w:r/>
    </w:p>
    <w:p>
      <w:pPr>
        <w:pStyle w:val="928"/>
        <w:ind w:firstLine="480"/>
        <w:spacing w:before="0" w:beforeAutospacing="0" w:after="0" w:afterAutospacing="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本企业（单位）为直接投标人提供本企业（单位）的服务。</w:t>
      </w:r>
      <w:r>
        <w:rPr>
          <w:rFonts w:ascii="宋体" w:hAnsi="宋体" w:cs="宋体"/>
        </w:rPr>
      </w:r>
      <w:r/>
    </w:p>
    <w:p>
      <w:pPr>
        <w:pStyle w:val="928"/>
        <w:ind w:firstLine="480"/>
        <w:spacing w:before="0" w:beforeAutospacing="0" w:after="0" w:afterAutospacing="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（1）本企业（单位）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（请填写：是、不是）监狱企业。后附省级以上监狱管理局、戒毒管理局（含新疆生产建设兵团）出具的属于监狱企业的证明文件。</w:t>
      </w:r>
      <w:r>
        <w:rPr>
          <w:rFonts w:ascii="宋体" w:hAnsi="宋体" w:cs="宋体"/>
        </w:rPr>
      </w:r>
      <w:r/>
    </w:p>
    <w:p>
      <w:pPr>
        <w:pStyle w:val="928"/>
        <w:ind w:firstLine="480"/>
        <w:spacing w:before="0" w:beforeAutospacing="0" w:after="0" w:afterAutospacing="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（2）本企业（单位）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（请填写：是、不是）为联合体一方，提供本企业（单位）的服务。本企业（单位）提供协议合同金额占到共同投标协议合同总金额的比例为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cs="宋体"/>
        </w:rPr>
      </w:r>
      <w:r/>
    </w:p>
    <w:p>
      <w:pPr>
        <w:pStyle w:val="928"/>
        <w:ind w:firstLine="480"/>
        <w:spacing w:before="0" w:beforeAutospacing="0" w:after="0" w:afterAutospacing="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本企业（单位）对上述声明的真实性负责。如有虚假，将依法承担相应责任。</w:t>
      </w:r>
      <w:r>
        <w:rPr>
          <w:rFonts w:ascii="宋体" w:hAnsi="宋体" w:cs="宋体"/>
        </w:rPr>
      </w:r>
      <w:r/>
    </w:p>
    <w:p>
      <w:pPr>
        <w:pStyle w:val="928"/>
        <w:ind w:firstLine="480"/>
        <w:spacing w:before="0" w:beforeAutospacing="0" w:after="0" w:afterAutospacing="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928"/>
        <w:ind w:firstLine="480"/>
        <w:spacing w:before="0" w:beforeAutospacing="0" w:after="0" w:afterAutospacing="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863"/>
        <w:ind w:right="1560" w:firstLine="444"/>
        <w:jc w:val="center"/>
        <w:spacing w:line="440" w:lineRule="exact"/>
        <w:tabs>
          <w:tab w:val="left" w:pos="4860" w:leader="none"/>
        </w:tabs>
        <w:rPr>
          <w:rFonts w:hint="eastAsia" w:ascii="宋体" w:hAnsi="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单位名称（盖章）：</w:t>
      </w:r>
      <w:r>
        <w:rPr>
          <w:rFonts w:ascii="宋体" w:hAnsi="宋体" w:cs="宋体"/>
        </w:rPr>
      </w:r>
      <w:r/>
    </w:p>
    <w:p>
      <w:pPr>
        <w:pStyle w:val="900"/>
        <w:ind w:firstLine="444"/>
        <w:spacing w:line="440" w:lineRule="exact"/>
        <w:tabs>
          <w:tab w:val="left" w:pos="5250" w:leader="none"/>
        </w:tabs>
        <w:rPr>
          <w:rFonts w:hint="eastAsia" w:ascii="宋体" w:hAnsi="宋体" w:cs="宋体"/>
          <w:color w:val="000000"/>
          <w:sz w:val="21"/>
          <w:szCs w:val="21"/>
          <w:highlight w:val="none"/>
        </w:rPr>
      </w:pPr>
      <w:r>
        <w:rPr>
          <w:rFonts w:hint="eastAsia" w:ascii="宋体" w:hAnsi="宋体" w:eastAsia="宋体" w:cs="宋体"/>
          <w:color w:val="000000"/>
          <w:spacing w:val="6"/>
          <w:sz w:val="21"/>
          <w:szCs w:val="21"/>
          <w:highlight w:val="none"/>
        </w:rPr>
        <w:t xml:space="preserve">                              </w:t>
      </w:r>
      <w:r>
        <w:rPr>
          <w:rFonts w:hint="eastAsia" w:ascii="宋体" w:hAnsi="宋体" w:eastAsia="宋体" w:cs="宋体"/>
          <w:color w:val="000000"/>
          <w:spacing w:val="6"/>
          <w:sz w:val="21"/>
          <w:szCs w:val="21"/>
          <w:highlight w:val="none"/>
          <w:lang w:val="en-US" w:eastAsia="zh-CN"/>
        </w:rPr>
        <w:t xml:space="preserve">           </w:t>
      </w:r>
      <w:r>
        <w:rPr>
          <w:rFonts w:hint="eastAsia" w:ascii="宋体" w:hAnsi="宋体" w:eastAsia="宋体" w:cs="宋体"/>
          <w:color w:val="000000"/>
          <w:spacing w:val="6"/>
          <w:sz w:val="21"/>
          <w:szCs w:val="21"/>
          <w:highlight w:val="none"/>
        </w:rPr>
        <w:t xml:space="preserve">   日  期：</w:t>
      </w:r>
      <w:r>
        <w:rPr>
          <w:rFonts w:ascii="宋体" w:hAnsi="宋体" w:cs="宋体"/>
        </w:rPr>
      </w:r>
      <w:r/>
    </w:p>
    <w:p>
      <w:pPr>
        <w:pStyle w:val="863"/>
        <w:ind w:firstLine="422"/>
        <w:jc w:val="center"/>
        <w:spacing w:line="360" w:lineRule="auto"/>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r>
      <w:r>
        <w:rPr>
          <w:rFonts w:ascii="宋体" w:hAnsi="宋体" w:cs="宋体"/>
        </w:rPr>
      </w:r>
      <w:r/>
    </w:p>
    <w:p>
      <w:pPr>
        <w:pStyle w:val="863"/>
        <w:ind w:firstLine="422"/>
        <w:jc w:val="center"/>
        <w:spacing w:line="360" w:lineRule="auto"/>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r>
      <w:r>
        <w:rPr>
          <w:rFonts w:ascii="宋体" w:hAnsi="宋体" w:cs="宋体"/>
        </w:rPr>
      </w:r>
      <w:r/>
    </w:p>
    <w:p>
      <w:pPr>
        <w:pStyle w:val="863"/>
        <w:ind w:firstLine="422"/>
        <w:jc w:val="center"/>
        <w:spacing w:line="360" w:lineRule="auto"/>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r>
      <w:r>
        <w:rPr>
          <w:rFonts w:ascii="宋体" w:hAnsi="宋体" w:cs="宋体"/>
        </w:rPr>
      </w:r>
      <w:r/>
    </w:p>
    <w:p>
      <w:pPr>
        <w:pStyle w:val="863"/>
        <w:ind w:firstLine="422"/>
        <w:jc w:val="center"/>
        <w:spacing w:line="360" w:lineRule="auto"/>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r>
      <w:r>
        <w:rPr>
          <w:rFonts w:ascii="宋体" w:hAnsi="宋体" w:cs="宋体"/>
        </w:rPr>
      </w:r>
      <w:r/>
    </w:p>
    <w:p>
      <w:pPr>
        <w:pStyle w:val="863"/>
        <w:ind w:firstLine="422"/>
        <w:jc w:val="center"/>
        <w:spacing w:line="360" w:lineRule="auto"/>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r>
      <w:r>
        <w:rPr>
          <w:rFonts w:ascii="宋体" w:hAnsi="宋体" w:cs="宋体"/>
        </w:rPr>
      </w:r>
      <w:r/>
    </w:p>
    <w:p>
      <w:pPr>
        <w:pStyle w:val="863"/>
        <w:keepLines w:val="0"/>
        <w:keepNext w:val="0"/>
        <w:pageBreakBefore/>
        <w:spacing w:beforeAutospacing="0" w:after="0" w:afterAutospacing="0" w:line="440" w:lineRule="exact"/>
        <w:widowControl w:val="off"/>
        <w:rPr>
          <w:rFonts w:hint="eastAsia" w:ascii="宋体" w:hAnsi="宋体" w:cs="宋体"/>
          <w:b/>
          <w:bCs/>
          <w:color w:val="000000"/>
          <w:sz w:val="21"/>
          <w:szCs w:val="21"/>
          <w:highlight w:val="none"/>
        </w:rPr>
        <w:outlineLvl w:val="1"/>
      </w:pPr>
      <w:r>
        <w:rPr>
          <w:rFonts w:hint="eastAsia" w:ascii="宋体" w:hAnsi="宋体" w:eastAsia="宋体" w:cs="宋体"/>
          <w:b/>
          <w:color w:val="000000"/>
          <w:sz w:val="21"/>
          <w:szCs w:val="21"/>
          <w:highlight w:val="none"/>
        </w:rPr>
        <w:t xml:space="preserve">6.</w:t>
      </w:r>
      <w:r>
        <w:rPr>
          <w:rFonts w:hint="eastAsia" w:ascii="宋体" w:hAnsi="宋体" w:eastAsia="宋体" w:cs="宋体"/>
          <w:b/>
          <w:bCs/>
          <w:color w:val="000000"/>
          <w:sz w:val="21"/>
          <w:szCs w:val="21"/>
          <w:highlight w:val="none"/>
          <w:lang w:val="en-US" w:eastAsia="zh-CN"/>
        </w:rPr>
        <w:t xml:space="preserve">关于符合本国产品标准的声明函（本项目不涉及）</w:t>
      </w:r>
      <w:r>
        <w:rPr>
          <w:rFonts w:ascii="宋体" w:hAnsi="宋体" w:cs="宋体"/>
        </w:rPr>
      </w:r>
      <w:r/>
    </w:p>
    <w:p>
      <w:pPr>
        <w:pStyle w:val="863"/>
        <w:ind w:left="0" w:firstLine="0"/>
        <w:jc w:val="center"/>
        <w:keepLines w:val="0"/>
        <w:keepNext w:val="0"/>
        <w:spacing w:line="440" w:lineRule="exact"/>
        <w:widowControl w:val="off"/>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关于符合本国产品标准的声明函</w:t>
      </w:r>
      <w:r>
        <w:rPr>
          <w:rFonts w:ascii="宋体" w:hAnsi="宋体" w:cs="宋体"/>
        </w:rPr>
      </w:r>
      <w:r/>
    </w:p>
    <w:p>
      <w:pPr>
        <w:pStyle w:val="863"/>
        <w:ind w:left="15" w:right="15" w:firstLine="480"/>
        <w:jc w:val="both"/>
        <w:keepLines w:val="0"/>
        <w:keepNext w:val="0"/>
        <w:pageBreakBefore w:val="0"/>
        <w:spacing w:before="30" w:after="30" w:line="440" w:lineRule="exact"/>
        <w:shd w:val="clear" w:color="auto" w:fill="ffffff"/>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rPr>
      </w:r>
      <w:r/>
    </w:p>
    <w:p>
      <w:pPr>
        <w:pStyle w:val="863"/>
        <w:ind w:left="15" w:right="15" w:firstLine="480"/>
        <w:jc w:val="both"/>
        <w:keepLines w:val="0"/>
        <w:keepNext w:val="0"/>
        <w:pageBreakBefore w:val="0"/>
        <w:spacing w:before="0" w:after="0" w:line="440" w:lineRule="exact"/>
        <w:shd w:val="clear" w:color="auto" w:fill="ffffff"/>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mc:AlternateContent>
          <mc:Choice Requires="wpg">
            <w:drawing>
              <wp:anchor xmlns:wp="http://schemas.openxmlformats.org/drawingml/2006/wordprocessingDrawing" xmlns:wp14="http://schemas.microsoft.com/office/word/2010/wordprocessingDrawing" distT="0" distB="0" distL="115200" distR="115200" simplePos="0" relativeHeight="251683841" behindDoc="0" locked="0" layoutInCell="1" allowOverlap="1">
                <wp:simplePos x="0" y="0"/>
                <wp:positionH relativeFrom="column">
                  <wp:posOffset>5770795</wp:posOffset>
                </wp:positionH>
                <wp:positionV relativeFrom="paragraph">
                  <wp:posOffset>436200</wp:posOffset>
                </wp:positionV>
                <wp:extent cx="520898" cy="81855"/>
                <wp:effectExtent l="4762" t="4762" r="4762" b="4762"/>
                <wp:wrapNone/>
                <wp:docPr id="1" name=""/>
                <wp:cNvGraphicFramePr/>
                <a:graphic xmlns:a="http://schemas.openxmlformats.org/drawingml/2006/main">
                  <a:graphicData uri="http://schemas.microsoft.com/office/word/2010/wordprocessingShape">
                    <wps:wsp>
                      <wps:cNvPr id="0" name=""/>
                      <wps:cNvSpPr/>
                      <wps:spPr bwMode="auto">
                        <a:xfrm flipH="0" flipV="1">
                          <a:off x="0" y="0"/>
                          <a:ext cx="520898" cy="81855"/>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0" o:spid="_x0000_s0" style="position:absolute;left:0;text-align:left;z-index:251683841;mso-wrap-distance-left:9.1pt;mso-wrap-distance-top:0.0pt;mso-wrap-distance-right:9.1pt;mso-wrap-distance-bottom:0.0pt;flip:y;visibility:visible;" from="454.4pt,34.3pt" to="495.4pt,40.8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2817" behindDoc="0" locked="0" layoutInCell="1" allowOverlap="1">
                <wp:simplePos x="0" y="0"/>
                <wp:positionH relativeFrom="column">
                  <wp:posOffset>4706674</wp:posOffset>
                </wp:positionH>
                <wp:positionV relativeFrom="paragraph">
                  <wp:posOffset>421317</wp:posOffset>
                </wp:positionV>
                <wp:extent cx="848320" cy="89297"/>
                <wp:effectExtent l="4762" t="4762" r="4762" b="4762"/>
                <wp:wrapNone/>
                <wp:docPr id="2" name=""/>
                <wp:cNvGraphicFramePr/>
                <a:graphic xmlns:a="http://schemas.openxmlformats.org/drawingml/2006/main">
                  <a:graphicData uri="http://schemas.microsoft.com/office/word/2010/wordprocessingShape">
                    <wps:wsp>
                      <wps:cNvPr id="0" name=""/>
                      <wps:cNvSpPr/>
                      <wps:spPr bwMode="auto">
                        <a:xfrm flipH="0" flipV="1">
                          <a:off x="0" y="0"/>
                          <a:ext cx="848320" cy="89295"/>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 o:spid="_x0000_s1" style="position:absolute;left:0;text-align:left;z-index:251682817;mso-wrap-distance-left:9.1pt;mso-wrap-distance-top:0.0pt;mso-wrap-distance-right:9.1pt;mso-wrap-distance-bottom:0.0pt;flip:y;visibility:visible;" from="370.6pt,33.2pt" to="437.4pt,40.2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1793" behindDoc="0" locked="0" layoutInCell="1" allowOverlap="1">
                <wp:simplePos x="0" y="0"/>
                <wp:positionH relativeFrom="column">
                  <wp:posOffset>2712377</wp:posOffset>
                </wp:positionH>
                <wp:positionV relativeFrom="paragraph">
                  <wp:posOffset>428759</wp:posOffset>
                </wp:positionV>
                <wp:extent cx="855761" cy="81855"/>
                <wp:effectExtent l="4762" t="4762" r="4762" b="4762"/>
                <wp:wrapNone/>
                <wp:docPr id="3" name=""/>
                <wp:cNvGraphicFramePr/>
                <a:graphic xmlns:a="http://schemas.openxmlformats.org/drawingml/2006/main">
                  <a:graphicData uri="http://schemas.microsoft.com/office/word/2010/wordprocessingShape">
                    <wps:wsp>
                      <wps:cNvPr id="0" name=""/>
                      <wps:cNvSpPr/>
                      <wps:spPr bwMode="auto">
                        <a:xfrm flipH="0" flipV="1">
                          <a:off x="0" y="0"/>
                          <a:ext cx="855761" cy="81855"/>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2" o:spid="_x0000_s2" style="position:absolute;left:0;text-align:left;z-index:251681793;mso-wrap-distance-left:9.1pt;mso-wrap-distance-top:0.0pt;mso-wrap-distance-right:9.1pt;mso-wrap-distance-bottom:0.0pt;flip:y;visibility:visible;" from="213.6pt,33.8pt" to="281.0pt,40.2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0769" behindDoc="0" locked="0" layoutInCell="1" allowOverlap="1">
                <wp:simplePos x="0" y="0"/>
                <wp:positionH relativeFrom="column">
                  <wp:posOffset>1692904</wp:posOffset>
                </wp:positionH>
                <wp:positionV relativeFrom="paragraph">
                  <wp:posOffset>413876</wp:posOffset>
                </wp:positionV>
                <wp:extent cx="878086" cy="119062"/>
                <wp:effectExtent l="4762" t="4762" r="4762" b="4762"/>
                <wp:wrapNone/>
                <wp:docPr id="4" name=""/>
                <wp:cNvGraphicFramePr/>
                <a:graphic xmlns:a="http://schemas.openxmlformats.org/drawingml/2006/main">
                  <a:graphicData uri="http://schemas.microsoft.com/office/word/2010/wordprocessingShape">
                    <wps:wsp>
                      <wps:cNvPr id="0" name=""/>
                      <wps:cNvSpPr/>
                      <wps:spPr bwMode="auto">
                        <a:xfrm flipH="0" flipV="1">
                          <a:off x="0" y="0"/>
                          <a:ext cx="878085" cy="119062"/>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3" o:spid="_x0000_s3" style="position:absolute;left:0;text-align:left;z-index:251680769;mso-wrap-distance-left:9.1pt;mso-wrap-distance-top:0.0pt;mso-wrap-distance-right:9.1pt;mso-wrap-distance-bottom:0.0pt;flip:y;visibility:visible;" from="133.3pt,32.6pt" to="202.4pt,42.0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9745" behindDoc="0" locked="0" layoutInCell="1" allowOverlap="1">
                <wp:simplePos x="0" y="0"/>
                <wp:positionH relativeFrom="column">
                  <wp:posOffset>673431</wp:posOffset>
                </wp:positionH>
                <wp:positionV relativeFrom="paragraph">
                  <wp:posOffset>428759</wp:posOffset>
                </wp:positionV>
                <wp:extent cx="833437" cy="104180"/>
                <wp:effectExtent l="4762" t="4762" r="4762" b="4762"/>
                <wp:wrapNone/>
                <wp:docPr id="5" name=""/>
                <wp:cNvGraphicFramePr/>
                <a:graphic xmlns:a="http://schemas.openxmlformats.org/drawingml/2006/main">
                  <a:graphicData uri="http://schemas.microsoft.com/office/word/2010/wordprocessingShape">
                    <wps:wsp>
                      <wps:cNvPr id="0" name=""/>
                      <wps:cNvSpPr/>
                      <wps:spPr bwMode="auto">
                        <a:xfrm flipH="0" flipV="1">
                          <a:off x="0" y="0"/>
                          <a:ext cx="833437" cy="10417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4" o:spid="_x0000_s4" style="position:absolute;left:0;text-align:left;z-index:251679745;mso-wrap-distance-left:9.1pt;mso-wrap-distance-top:0.0pt;mso-wrap-distance-right:9.1pt;mso-wrap-distance-bottom:0.0pt;flip:y;visibility:visible;" from="53.0pt,33.8pt" to="118.7pt,42.0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2577" behindDoc="0" locked="0" layoutInCell="1" allowOverlap="1">
                <wp:simplePos x="0" y="0"/>
                <wp:positionH relativeFrom="column">
                  <wp:posOffset>4081596</wp:posOffset>
                </wp:positionH>
                <wp:positionV relativeFrom="paragraph">
                  <wp:posOffset>145985</wp:posOffset>
                </wp:positionV>
                <wp:extent cx="900410" cy="89297"/>
                <wp:effectExtent l="4762" t="4762" r="4762" b="4762"/>
                <wp:wrapNone/>
                <wp:docPr id="6" name=""/>
                <wp:cNvGraphicFramePr/>
                <a:graphic xmlns:a="http://schemas.openxmlformats.org/drawingml/2006/main">
                  <a:graphicData uri="http://schemas.microsoft.com/office/word/2010/wordprocessingShape">
                    <wps:wsp>
                      <wps:cNvPr id="0" name=""/>
                      <wps:cNvSpPr/>
                      <wps:spPr bwMode="auto">
                        <a:xfrm flipH="0" flipV="1">
                          <a:off x="0" y="0"/>
                          <a:ext cx="900410" cy="89295"/>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5" o:spid="_x0000_s5" style="position:absolute;left:0;text-align:left;z-index:251672577;mso-wrap-distance-left:9.1pt;mso-wrap-distance-top:0.0pt;mso-wrap-distance-right:9.1pt;mso-wrap-distance-bottom:0.0pt;flip:y;visibility:visible;" from="321.4pt,11.5pt" to="392.3pt,18.5pt" filled="f" strokecolor="#233B59" strokeweight="0.75pt"/>
            </w:pict>
          </mc:Fallback>
        </mc:AlternateContent>
      </w:r>
      <w:r>
        <w:rPr>
          <w:rFonts w:hint="eastAsia" w:ascii="宋体" w:hAnsi="宋体" w:eastAsia="宋体" w:cs="宋体"/>
          <w:color w:val="000000"/>
          <w:sz w:val="21"/>
          <w:szCs w:val="21"/>
          <w:highlight w:val="none"/>
        </w:rPr>
        <w:t xml:space="preserve">1.</w:t>
      </w:r>
      <w:r>
        <w:rPr>
          <w:rFonts w:hint="eastAsia" w:ascii="宋体" w:hAnsi="宋体" w:eastAsia="宋体" w:cs="宋体"/>
          <w:i/>
          <w:color w:val="000000"/>
          <w:sz w:val="21"/>
          <w:szCs w:val="21"/>
          <w:highlight w:val="none"/>
          <w:u w:val="single"/>
        </w:rPr>
        <w:t xml:space="preserve">（产品名称1）</w:t>
      </w:r>
      <w:r>
        <w:rPr>
          <w:rFonts w:hint="eastAsia" w:ascii="宋体" w:hAnsi="宋体" w:eastAsia="宋体" w:cs="宋体"/>
          <w:i/>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，生产厂为</w:t>
      </w:r>
      <w:r>
        <w:rPr>
          <w:rFonts w:hint="eastAsia" w:ascii="宋体" w:hAnsi="宋体" w:eastAsia="宋体" w:cs="宋体"/>
          <w:i/>
          <w:color w:val="000000"/>
          <w:sz w:val="21"/>
          <w:szCs w:val="21"/>
          <w:highlight w:val="none"/>
          <w:u w:val="single"/>
        </w:rPr>
        <w:t xml:space="preserve">（厂名）</w:t>
      </w:r>
      <w:r>
        <w:rPr>
          <w:rFonts w:hint="eastAsia" w:ascii="宋体" w:hAnsi="宋体" w:eastAsia="宋体" w:cs="宋体"/>
          <w:i/>
          <w:color w:val="000000"/>
          <w:sz w:val="21"/>
          <w:szCs w:val="21"/>
          <w:highlight w:val="none"/>
          <w:vertAlign w:val="superscript"/>
        </w:rPr>
        <w:t xml:space="preserve">2</w:t>
      </w:r>
      <w:r>
        <w:rPr>
          <w:rFonts w:hint="eastAsia" w:ascii="宋体" w:hAnsi="宋体" w:eastAsia="宋体" w:cs="宋体"/>
          <w:color w:val="000000"/>
          <w:sz w:val="21"/>
          <w:szCs w:val="21"/>
          <w:highlight w:val="none"/>
        </w:rPr>
        <w:t xml:space="preserve">，厂址为</w:t>
      </w:r>
      <w:r>
        <w:rPr>
          <w:rFonts w:hint="eastAsia" w:ascii="宋体" w:hAnsi="宋体" w:eastAsia="宋体" w:cs="宋体"/>
          <w:i/>
          <w:color w:val="000000"/>
          <w:sz w:val="21"/>
          <w:szCs w:val="21"/>
          <w:highlight w:val="none"/>
          <w:u w:val="single"/>
        </w:rPr>
        <w:t xml:space="preserve">（生产厂址）</w:t>
      </w:r>
      <w:r>
        <w:rPr>
          <w:rFonts w:hint="eastAsia" w:ascii="宋体" w:hAnsi="宋体" w:eastAsia="宋体" w:cs="宋体"/>
          <w:color w:val="000000"/>
          <w:sz w:val="21"/>
          <w:szCs w:val="21"/>
          <w:highlight w:val="none"/>
        </w:rPr>
        <w:t xml:space="preserve">。</w:t>
      </w:r>
      <w:r>
        <w:rPr>
          <w:rFonts w:hint="eastAsia" w:ascii="宋体" w:hAnsi="宋体" w:eastAsia="宋体" w:cs="宋体"/>
          <w:i/>
          <w:color w:val="000000"/>
          <w:sz w:val="21"/>
          <w:szCs w:val="21"/>
          <w:highlight w:val="none"/>
          <w:u w:val="single"/>
        </w:rPr>
        <w:t xml:space="preserve">（产品名称1）</w:t>
      </w:r>
      <w:r>
        <w:rPr>
          <w:rFonts w:hint="eastAsia" w:ascii="宋体" w:hAnsi="宋体" w:eastAsia="宋体" w:cs="宋体"/>
          <w:color w:val="000000"/>
          <w:sz w:val="21"/>
          <w:szCs w:val="21"/>
          <w:highlight w:val="none"/>
        </w:rPr>
        <w:t xml:space="preserve">的中国境内生产的组件成本占比≥</w:t>
      </w:r>
      <w:r>
        <w:rPr>
          <w:rFonts w:hint="eastAsia" w:ascii="宋体" w:hAnsi="宋体" w:eastAsia="宋体" w:cs="宋体"/>
          <w:i/>
          <w:color w:val="000000"/>
          <w:sz w:val="21"/>
          <w:szCs w:val="21"/>
          <w:highlight w:val="none"/>
          <w:u w:val="single"/>
        </w:rPr>
        <w:t xml:space="preserve">（规定比例）</w:t>
      </w:r>
      <w:r>
        <w:rPr>
          <w:rFonts w:hint="eastAsia" w:ascii="宋体" w:hAnsi="宋体" w:eastAsia="宋体" w:cs="宋体"/>
          <w:i/>
          <w:color w:val="000000"/>
          <w:sz w:val="21"/>
          <w:szCs w:val="21"/>
          <w:highlight w:val="none"/>
          <w:vertAlign w:val="superscript"/>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i/>
          <w:color w:val="000000"/>
          <w:sz w:val="21"/>
          <w:szCs w:val="21"/>
          <w:highlight w:val="none"/>
          <w:u w:val="single"/>
        </w:rPr>
        <w:t xml:space="preserve">（产品名称1）</w:t>
      </w:r>
      <w:r>
        <w:rPr>
          <w:rFonts w:hint="eastAsia" w:ascii="宋体" w:hAnsi="宋体" w:eastAsia="宋体" w:cs="宋体"/>
          <w:color w:val="000000"/>
          <w:sz w:val="21"/>
          <w:szCs w:val="21"/>
          <w:highlight w:val="none"/>
        </w:rPr>
        <w:t xml:space="preserve">的</w:t>
      </w:r>
      <w:r>
        <w:rPr>
          <w:rFonts w:hint="eastAsia" w:ascii="宋体" w:hAnsi="宋体" w:eastAsia="宋体" w:cs="宋体"/>
          <w:i/>
          <w:color w:val="000000"/>
          <w:sz w:val="21"/>
          <w:szCs w:val="21"/>
          <w:highlight w:val="none"/>
          <w:u w:val="single"/>
        </w:rPr>
        <w:t xml:space="preserve">（关键组件）</w:t>
      </w:r>
      <w:r>
        <w:rPr>
          <w:rFonts w:hint="eastAsia" w:ascii="宋体" w:hAnsi="宋体" w:eastAsia="宋体" w:cs="宋体"/>
          <w:i/>
          <w:color w:val="000000"/>
          <w:sz w:val="21"/>
          <w:szCs w:val="21"/>
          <w:highlight w:val="none"/>
          <w:vertAlign w:val="superscript"/>
        </w:rPr>
        <w:t xml:space="preserve">4</w:t>
      </w:r>
      <w:r>
        <w:rPr>
          <w:rFonts w:hint="eastAsia" w:ascii="宋体" w:hAnsi="宋体" w:eastAsia="宋体" w:cs="宋体"/>
          <w:color w:val="000000"/>
          <w:sz w:val="21"/>
          <w:szCs w:val="21"/>
          <w:highlight w:val="none"/>
        </w:rPr>
        <w:t xml:space="preserve">在中国境内生产。</w:t>
      </w:r>
      <w:r>
        <w:rPr>
          <w:rFonts w:hint="eastAsia" w:ascii="宋体" w:hAnsi="宋体" w:eastAsia="宋体" w:cs="宋体"/>
          <w:i/>
          <w:color w:val="000000"/>
          <w:sz w:val="21"/>
          <w:szCs w:val="21"/>
          <w:highlight w:val="none"/>
          <w:u w:val="single"/>
        </w:rPr>
        <w:t xml:space="preserve">（产品名称1）</w:t>
      </w:r>
      <w:r>
        <w:rPr>
          <w:rFonts w:hint="eastAsia" w:ascii="宋体" w:hAnsi="宋体" w:eastAsia="宋体" w:cs="宋体"/>
          <w:color w:val="000000"/>
          <w:sz w:val="21"/>
          <w:szCs w:val="21"/>
          <w:highlight w:val="none"/>
        </w:rPr>
        <w:t xml:space="preserve">的</w:t>
      </w:r>
      <w:r>
        <w:rPr>
          <w:rFonts w:hint="eastAsia" w:ascii="宋体" w:hAnsi="宋体" w:eastAsia="宋体" w:cs="宋体"/>
          <w:i/>
          <w:color w:val="000000"/>
          <w:sz w:val="21"/>
          <w:szCs w:val="21"/>
          <w:highlight w:val="none"/>
          <w:u w:val="single"/>
        </w:rPr>
        <w:t xml:space="preserve">（关键工序）</w:t>
      </w:r>
      <w:r>
        <w:rPr>
          <w:rFonts w:hint="eastAsia" w:ascii="宋体" w:hAnsi="宋体" w:eastAsia="宋体" w:cs="宋体"/>
          <w:i/>
          <w:color w:val="000000"/>
          <w:sz w:val="21"/>
          <w:szCs w:val="21"/>
          <w:highlight w:val="none"/>
          <w:vertAlign w:val="superscript"/>
        </w:rPr>
        <w:t xml:space="preserve">5</w:t>
      </w:r>
      <w:r>
        <w:rPr>
          <w:rFonts w:hint="eastAsia" w:ascii="宋体" w:hAnsi="宋体" w:eastAsia="宋体" w:cs="宋体"/>
          <w:color w:val="000000"/>
          <w:sz w:val="21"/>
          <w:szCs w:val="21"/>
          <w:highlight w:val="none"/>
        </w:rPr>
        <w:t xml:space="preserve">在中国境内完成。</w:t>
      </w:r>
      <w:r>
        <w:rPr>
          <w:rFonts w:ascii="宋体" w:hAnsi="宋体" w:cs="宋体"/>
        </w:rPr>
      </w:r>
      <w:r/>
    </w:p>
    <w:p>
      <w:pPr>
        <w:pStyle w:val="863"/>
        <w:ind w:left="15" w:right="15" w:firstLine="480"/>
        <w:jc w:val="both"/>
        <w:keepLines w:val="0"/>
        <w:keepNext w:val="0"/>
        <w:pageBreakBefore w:val="0"/>
        <w:spacing w:before="0" w:after="0" w:line="440" w:lineRule="exact"/>
        <w:shd w:val="clear" w:color="auto" w:fill="ffffff"/>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mc:AlternateContent>
          <mc:Choice Requires="wpg">
            <w:drawing>
              <wp:anchor xmlns:wp="http://schemas.openxmlformats.org/drawingml/2006/wordprocessingDrawing" xmlns:wp14="http://schemas.microsoft.com/office/word/2010/wordprocessingDrawing" distT="0" distB="0" distL="115200" distR="115200" simplePos="0" relativeHeight="251689985" behindDoc="0" locked="0" layoutInCell="1" allowOverlap="1">
                <wp:simplePos x="0" y="0"/>
                <wp:positionH relativeFrom="column">
                  <wp:posOffset>5755912</wp:posOffset>
                </wp:positionH>
                <wp:positionV relativeFrom="paragraph">
                  <wp:posOffset>423996</wp:posOffset>
                </wp:positionV>
                <wp:extent cx="550664" cy="96738"/>
                <wp:effectExtent l="4762" t="4762" r="4762" b="4762"/>
                <wp:wrapNone/>
                <wp:docPr id="7" name=""/>
                <wp:cNvGraphicFramePr/>
                <a:graphic xmlns:a="http://schemas.openxmlformats.org/drawingml/2006/main">
                  <a:graphicData uri="http://schemas.microsoft.com/office/word/2010/wordprocessingShape">
                    <wps:wsp>
                      <wps:cNvPr id="0" name=""/>
                      <wps:cNvSpPr/>
                      <wps:spPr bwMode="auto">
                        <a:xfrm flipH="0" flipV="1">
                          <a:off x="0" y="0"/>
                          <a:ext cx="550663" cy="9673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6" o:spid="_x0000_s6" style="position:absolute;left:0;text-align:left;z-index:251689985;mso-wrap-distance-left:9.1pt;mso-wrap-distance-top:0.0pt;mso-wrap-distance-right:9.1pt;mso-wrap-distance-bottom:0.0pt;flip:y;visibility:visible;" from="453.2pt,33.4pt" to="496.6pt,41.0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8961" behindDoc="0" locked="0" layoutInCell="1" allowOverlap="1">
                <wp:simplePos x="0" y="0"/>
                <wp:positionH relativeFrom="column">
                  <wp:posOffset>4676908</wp:posOffset>
                </wp:positionH>
                <wp:positionV relativeFrom="paragraph">
                  <wp:posOffset>409113</wp:posOffset>
                </wp:positionV>
                <wp:extent cx="870645" cy="104180"/>
                <wp:effectExtent l="4762" t="4762" r="4762" b="4762"/>
                <wp:wrapNone/>
                <wp:docPr id="8" name=""/>
                <wp:cNvGraphicFramePr/>
                <a:graphic xmlns:a="http://schemas.openxmlformats.org/drawingml/2006/main">
                  <a:graphicData uri="http://schemas.microsoft.com/office/word/2010/wordprocessingShape">
                    <wps:wsp>
                      <wps:cNvPr id="0" name=""/>
                      <wps:cNvSpPr/>
                      <wps:spPr bwMode="auto">
                        <a:xfrm flipH="0" flipV="1">
                          <a:off x="0" y="0"/>
                          <a:ext cx="870644" cy="10417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7" o:spid="_x0000_s7" style="position:absolute;left:0;text-align:left;z-index:251688961;mso-wrap-distance-left:9.1pt;mso-wrap-distance-top:0.0pt;mso-wrap-distance-right:9.1pt;mso-wrap-distance-bottom:0.0pt;flip:y;visibility:visible;" from="368.3pt,32.2pt" to="436.8pt,40.4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7937" behindDoc="0" locked="0" layoutInCell="1" allowOverlap="1">
                <wp:simplePos x="0" y="0"/>
                <wp:positionH relativeFrom="column">
                  <wp:posOffset>2749584</wp:posOffset>
                </wp:positionH>
                <wp:positionV relativeFrom="paragraph">
                  <wp:posOffset>446320</wp:posOffset>
                </wp:positionV>
                <wp:extent cx="825996" cy="81855"/>
                <wp:effectExtent l="4762" t="4762" r="4762" b="4762"/>
                <wp:wrapNone/>
                <wp:docPr id="9" name=""/>
                <wp:cNvGraphicFramePr/>
                <a:graphic xmlns:a="http://schemas.openxmlformats.org/drawingml/2006/main">
                  <a:graphicData uri="http://schemas.microsoft.com/office/word/2010/wordprocessingShape">
                    <wps:wsp>
                      <wps:cNvPr id="0" name=""/>
                      <wps:cNvSpPr/>
                      <wps:spPr bwMode="auto">
                        <a:xfrm flipH="0" flipV="1">
                          <a:off x="0" y="0"/>
                          <a:ext cx="825995" cy="81855"/>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8" o:spid="_x0000_s8" style="position:absolute;left:0;text-align:left;z-index:251687937;mso-wrap-distance-left:9.1pt;mso-wrap-distance-top:0.0pt;mso-wrap-distance-right:9.1pt;mso-wrap-distance-bottom:0.0pt;flip:y;visibility:visible;" from="216.5pt,35.1pt" to="281.5pt,41.6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6913" behindDoc="0" locked="0" layoutInCell="1" allowOverlap="1">
                <wp:simplePos x="0" y="0"/>
                <wp:positionH relativeFrom="column">
                  <wp:posOffset>1715228</wp:posOffset>
                </wp:positionH>
                <wp:positionV relativeFrom="paragraph">
                  <wp:posOffset>416555</wp:posOffset>
                </wp:positionV>
                <wp:extent cx="863203" cy="89297"/>
                <wp:effectExtent l="4762" t="4762" r="4762" b="4762"/>
                <wp:wrapNone/>
                <wp:docPr id="10" name=""/>
                <wp:cNvGraphicFramePr/>
                <a:graphic xmlns:a="http://schemas.openxmlformats.org/drawingml/2006/main">
                  <a:graphicData uri="http://schemas.microsoft.com/office/word/2010/wordprocessingShape">
                    <wps:wsp>
                      <wps:cNvPr id="0" name=""/>
                      <wps:cNvSpPr/>
                      <wps:spPr bwMode="auto">
                        <a:xfrm flipH="0" flipV="1">
                          <a:off x="0" y="0"/>
                          <a:ext cx="863202" cy="89295"/>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9" o:spid="_x0000_s9" style="position:absolute;left:0;text-align:left;z-index:251686913;mso-wrap-distance-left:9.1pt;mso-wrap-distance-top:0.0pt;mso-wrap-distance-right:9.1pt;mso-wrap-distance-bottom:0.0pt;flip:y;visibility:visible;" from="135.1pt,32.8pt" to="203.0pt,39.8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5889" behindDoc="0" locked="0" layoutInCell="1" allowOverlap="1">
                <wp:simplePos x="0" y="0"/>
                <wp:positionH relativeFrom="column">
                  <wp:posOffset>710639</wp:posOffset>
                </wp:positionH>
                <wp:positionV relativeFrom="paragraph">
                  <wp:posOffset>423996</wp:posOffset>
                </wp:positionV>
                <wp:extent cx="788789" cy="104180"/>
                <wp:effectExtent l="4762" t="4762" r="4762" b="4762"/>
                <wp:wrapNone/>
                <wp:docPr id="11" name=""/>
                <wp:cNvGraphicFramePr/>
                <a:graphic xmlns:a="http://schemas.openxmlformats.org/drawingml/2006/main">
                  <a:graphicData uri="http://schemas.microsoft.com/office/word/2010/wordprocessingShape">
                    <wps:wsp>
                      <wps:cNvPr id="0" name=""/>
                      <wps:cNvSpPr/>
                      <wps:spPr bwMode="auto">
                        <a:xfrm flipH="0" flipV="1">
                          <a:off x="0" y="0"/>
                          <a:ext cx="788788" cy="10417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0" o:spid="_x0000_s10" style="position:absolute;left:0;text-align:left;z-index:251685889;mso-wrap-distance-left:9.1pt;mso-wrap-distance-top:0.0pt;mso-wrap-distance-right:9.1pt;mso-wrap-distance-bottom:0.0pt;flip:y;visibility:visible;" from="56.0pt,33.4pt" to="118.1pt,41.6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4865" behindDoc="0" locked="0" layoutInCell="1" allowOverlap="1">
                <wp:simplePos x="0" y="0"/>
                <wp:positionH relativeFrom="column">
                  <wp:posOffset>4014623</wp:posOffset>
                </wp:positionH>
                <wp:positionV relativeFrom="paragraph">
                  <wp:posOffset>148664</wp:posOffset>
                </wp:positionV>
                <wp:extent cx="878086" cy="104180"/>
                <wp:effectExtent l="4762" t="4762" r="4762" b="4762"/>
                <wp:wrapNone/>
                <wp:docPr id="12" name=""/>
                <wp:cNvGraphicFramePr/>
                <a:graphic xmlns:a="http://schemas.openxmlformats.org/drawingml/2006/main">
                  <a:graphicData uri="http://schemas.microsoft.com/office/word/2010/wordprocessingShape">
                    <wps:wsp>
                      <wps:cNvPr id="0" name=""/>
                      <wps:cNvSpPr/>
                      <wps:spPr bwMode="auto">
                        <a:xfrm flipH="0" flipV="1">
                          <a:off x="0" y="0"/>
                          <a:ext cx="878085" cy="10417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1" o:spid="_x0000_s11" style="position:absolute;left:0;text-align:left;z-index:251684865;mso-wrap-distance-left:9.1pt;mso-wrap-distance-top:0.0pt;mso-wrap-distance-right:9.1pt;mso-wrap-distance-bottom:0.0pt;flip:y;visibility:visible;" from="316.1pt,11.7pt" to="385.3pt,19.9pt" filled="f" strokecolor="#233B59" strokeweight="0.75pt"/>
            </w:pict>
          </mc:Fallback>
        </mc:AlternateContent>
      </w:r>
      <w:r>
        <w:rPr>
          <w:rFonts w:hint="eastAsia" w:ascii="宋体" w:hAnsi="宋体" w:eastAsia="宋体" w:cs="宋体"/>
          <w:color w:val="000000"/>
          <w:sz w:val="21"/>
          <w:szCs w:val="21"/>
          <w:highlight w:val="none"/>
        </w:rPr>
        <w:t xml:space="preserve">2.</w:t>
      </w:r>
      <w:r>
        <w:rPr>
          <w:rFonts w:hint="eastAsia" w:ascii="宋体" w:hAnsi="宋体" w:eastAsia="宋体" w:cs="宋体"/>
          <w:i/>
          <w:color w:val="000000"/>
          <w:sz w:val="21"/>
          <w:szCs w:val="21"/>
          <w:highlight w:val="none"/>
          <w:u w:val="single"/>
        </w:rPr>
        <w:t xml:space="preserve">（产品名称2）</w:t>
      </w:r>
      <w:r>
        <w:rPr>
          <w:rFonts w:hint="eastAsia" w:ascii="宋体" w:hAnsi="宋体" w:eastAsia="宋体" w:cs="宋体"/>
          <w:color w:val="000000"/>
          <w:sz w:val="21"/>
          <w:szCs w:val="21"/>
          <w:highlight w:val="none"/>
        </w:rPr>
        <w:t xml:space="preserve">，生产厂为</w:t>
      </w:r>
      <w:r>
        <w:rPr>
          <w:rFonts w:hint="eastAsia" w:ascii="宋体" w:hAnsi="宋体" w:eastAsia="宋体" w:cs="宋体"/>
          <w:i/>
          <w:color w:val="000000"/>
          <w:sz w:val="21"/>
          <w:szCs w:val="21"/>
          <w:highlight w:val="none"/>
          <w:u w:val="single"/>
        </w:rPr>
        <w:t xml:space="preserve">（厂名）</w:t>
      </w:r>
      <w:r>
        <w:rPr>
          <w:rFonts w:hint="eastAsia" w:ascii="宋体" w:hAnsi="宋体" w:eastAsia="宋体" w:cs="宋体"/>
          <w:color w:val="000000"/>
          <w:sz w:val="21"/>
          <w:szCs w:val="21"/>
          <w:highlight w:val="none"/>
        </w:rPr>
        <w:t xml:space="preserve">，厂址为</w:t>
      </w:r>
      <w:r>
        <w:rPr>
          <w:rFonts w:hint="eastAsia" w:ascii="宋体" w:hAnsi="宋体" w:eastAsia="宋体" w:cs="宋体"/>
          <w:i/>
          <w:color w:val="000000"/>
          <w:sz w:val="21"/>
          <w:szCs w:val="21"/>
          <w:highlight w:val="none"/>
          <w:u w:val="single"/>
        </w:rPr>
        <w:t xml:space="preserve">（生产厂址）</w:t>
      </w:r>
      <w:r>
        <w:rPr>
          <w:rFonts w:hint="eastAsia" w:ascii="宋体" w:hAnsi="宋体" w:eastAsia="宋体" w:cs="宋体"/>
          <w:color w:val="000000"/>
          <w:sz w:val="21"/>
          <w:szCs w:val="21"/>
          <w:highlight w:val="none"/>
        </w:rPr>
        <w:t xml:space="preserve">。</w:t>
      </w:r>
      <w:r>
        <w:rPr>
          <w:rFonts w:hint="eastAsia" w:ascii="宋体" w:hAnsi="宋体" w:eastAsia="宋体" w:cs="宋体"/>
          <w:i/>
          <w:color w:val="000000"/>
          <w:sz w:val="21"/>
          <w:szCs w:val="21"/>
          <w:highlight w:val="none"/>
          <w:u w:val="single"/>
        </w:rPr>
        <w:t xml:space="preserve">（产品名称1）</w:t>
      </w:r>
      <w:r>
        <w:rPr>
          <w:rFonts w:hint="eastAsia" w:ascii="宋体" w:hAnsi="宋体" w:eastAsia="宋体" w:cs="宋体"/>
          <w:color w:val="000000"/>
          <w:sz w:val="21"/>
          <w:szCs w:val="21"/>
          <w:highlight w:val="none"/>
        </w:rPr>
        <w:t xml:space="preserve">的中国境内生产的组件成本占比≥</w:t>
      </w:r>
      <w:r>
        <w:rPr>
          <w:rFonts w:hint="eastAsia" w:ascii="宋体" w:hAnsi="宋体" w:eastAsia="宋体" w:cs="宋体"/>
          <w:i/>
          <w:color w:val="000000"/>
          <w:sz w:val="21"/>
          <w:szCs w:val="21"/>
          <w:highlight w:val="none"/>
          <w:u w:val="single"/>
        </w:rPr>
        <w:t xml:space="preserve">（规定比例）</w:t>
      </w:r>
      <w:r>
        <w:rPr>
          <w:rFonts w:hint="eastAsia" w:ascii="宋体" w:hAnsi="宋体" w:eastAsia="宋体" w:cs="宋体"/>
          <w:i/>
          <w:color w:val="000000"/>
          <w:sz w:val="21"/>
          <w:szCs w:val="21"/>
          <w:highlight w:val="none"/>
          <w:vertAlign w:val="superscript"/>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i/>
          <w:color w:val="000000"/>
          <w:sz w:val="21"/>
          <w:szCs w:val="21"/>
          <w:highlight w:val="none"/>
          <w:u w:val="single"/>
        </w:rPr>
        <w:t xml:space="preserve">（产品名称1）</w:t>
      </w:r>
      <w:r>
        <w:rPr>
          <w:rFonts w:hint="eastAsia" w:ascii="宋体" w:hAnsi="宋体" w:eastAsia="宋体" w:cs="宋体"/>
          <w:color w:val="000000"/>
          <w:sz w:val="21"/>
          <w:szCs w:val="21"/>
          <w:highlight w:val="none"/>
        </w:rPr>
        <w:t xml:space="preserve">的</w:t>
      </w:r>
      <w:r>
        <w:rPr>
          <w:rFonts w:hint="eastAsia" w:ascii="宋体" w:hAnsi="宋体" w:eastAsia="宋体" w:cs="宋体"/>
          <w:i/>
          <w:color w:val="000000"/>
          <w:sz w:val="21"/>
          <w:szCs w:val="21"/>
          <w:highlight w:val="none"/>
          <w:u w:val="single"/>
        </w:rPr>
        <w:t xml:space="preserve">（关键组件）</w:t>
      </w:r>
      <w:r>
        <w:rPr>
          <w:rFonts w:hint="eastAsia" w:ascii="宋体" w:hAnsi="宋体" w:eastAsia="宋体" w:cs="宋体"/>
          <w:i/>
          <w:color w:val="000000"/>
          <w:sz w:val="21"/>
          <w:szCs w:val="21"/>
          <w:highlight w:val="none"/>
          <w:vertAlign w:val="superscript"/>
        </w:rPr>
        <w:t xml:space="preserve">4</w:t>
      </w:r>
      <w:r>
        <w:rPr>
          <w:rFonts w:hint="eastAsia" w:ascii="宋体" w:hAnsi="宋体" w:eastAsia="宋体" w:cs="宋体"/>
          <w:color w:val="000000"/>
          <w:sz w:val="21"/>
          <w:szCs w:val="21"/>
          <w:highlight w:val="none"/>
        </w:rPr>
        <w:t xml:space="preserve">在中国境内生产。</w:t>
      </w:r>
      <w:r>
        <w:rPr>
          <w:rFonts w:hint="eastAsia" w:ascii="宋体" w:hAnsi="宋体" w:eastAsia="宋体" w:cs="宋体"/>
          <w:i/>
          <w:color w:val="000000"/>
          <w:sz w:val="21"/>
          <w:szCs w:val="21"/>
          <w:highlight w:val="none"/>
          <w:u w:val="single"/>
        </w:rPr>
        <w:t xml:space="preserve">（产品名称1）</w:t>
      </w:r>
      <w:r>
        <w:rPr>
          <w:rFonts w:hint="eastAsia" w:ascii="宋体" w:hAnsi="宋体" w:eastAsia="宋体" w:cs="宋体"/>
          <w:color w:val="000000"/>
          <w:sz w:val="21"/>
          <w:szCs w:val="21"/>
          <w:highlight w:val="none"/>
        </w:rPr>
        <w:t xml:space="preserve">的</w:t>
      </w:r>
      <w:r>
        <w:rPr>
          <w:rFonts w:hint="eastAsia" w:ascii="宋体" w:hAnsi="宋体" w:eastAsia="宋体" w:cs="宋体"/>
          <w:i/>
          <w:color w:val="000000"/>
          <w:sz w:val="21"/>
          <w:szCs w:val="21"/>
          <w:highlight w:val="none"/>
          <w:u w:val="single"/>
        </w:rPr>
        <w:t xml:space="preserve">（关键工序）</w:t>
      </w:r>
      <w:r>
        <w:rPr>
          <w:rFonts w:hint="eastAsia" w:ascii="宋体" w:hAnsi="宋体" w:eastAsia="宋体" w:cs="宋体"/>
          <w:i/>
          <w:color w:val="000000"/>
          <w:sz w:val="21"/>
          <w:szCs w:val="21"/>
          <w:highlight w:val="none"/>
          <w:vertAlign w:val="superscript"/>
        </w:rPr>
        <w:t xml:space="preserve">5</w:t>
      </w:r>
      <w:r>
        <w:rPr>
          <w:rFonts w:hint="eastAsia" w:ascii="宋体" w:hAnsi="宋体" w:eastAsia="宋体" w:cs="宋体"/>
          <w:color w:val="000000"/>
          <w:sz w:val="21"/>
          <w:szCs w:val="21"/>
          <w:highlight w:val="none"/>
        </w:rPr>
        <w:t xml:space="preserve">在中国境内完成。</w:t>
      </w:r>
      <w:r>
        <w:rPr>
          <w:rFonts w:ascii="宋体" w:hAnsi="宋体" w:cs="宋体"/>
        </w:rPr>
      </w:r>
      <w:r/>
    </w:p>
    <w:p>
      <w:pPr>
        <w:pStyle w:val="863"/>
        <w:ind w:left="15" w:right="15" w:firstLine="480"/>
        <w:jc w:val="both"/>
        <w:keepLines w:val="0"/>
        <w:keepNext w:val="0"/>
        <w:pageBreakBefore w:val="0"/>
        <w:spacing w:before="30" w:after="30" w:line="440" w:lineRule="exact"/>
        <w:shd w:val="clear" w:color="auto" w:fill="ffffff"/>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ascii="宋体" w:hAnsi="宋体" w:cs="宋体"/>
        </w:rPr>
      </w:r>
      <w:r/>
    </w:p>
    <w:p>
      <w:pPr>
        <w:pStyle w:val="863"/>
        <w:ind w:left="15" w:right="15" w:firstLine="480"/>
        <w:jc w:val="both"/>
        <w:keepLines w:val="0"/>
        <w:keepNext w:val="0"/>
        <w:pageBreakBefore w:val="0"/>
        <w:spacing w:before="30" w:after="30" w:line="440" w:lineRule="exact"/>
        <w:shd w:val="clear" w:color="auto" w:fill="ffffff"/>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本公司（单位）对上述声明内容的真实性负责。如有虚假，愿承担相应法律责任。</w:t>
      </w:r>
      <w:r>
        <w:rPr>
          <w:rFonts w:ascii="宋体" w:hAnsi="宋体" w:cs="宋体"/>
        </w:rPr>
      </w:r>
      <w:r/>
    </w:p>
    <w:p>
      <w:pPr>
        <w:pStyle w:val="863"/>
        <w:ind w:left="15" w:right="15" w:firstLine="4608"/>
        <w:jc w:val="both"/>
        <w:keepLines w:val="0"/>
        <w:keepNext w:val="0"/>
        <w:pageBreakBefore w:val="0"/>
        <w:spacing w:before="30" w:after="30" w:line="440" w:lineRule="exact"/>
        <w:shd w:val="clear" w:color="auto" w:fill="ffffff"/>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p>
      <w:pPr>
        <w:pStyle w:val="863"/>
        <w:ind w:left="15" w:right="815" w:firstLine="4608"/>
        <w:jc w:val="center"/>
        <w:keepLines w:val="0"/>
        <w:keepNext w:val="0"/>
        <w:pageBreakBefore w:val="0"/>
        <w:spacing w:before="30" w:after="30" w:line="440" w:lineRule="exact"/>
        <w:shd w:val="clear" w:color="auto" w:fill="ffffff"/>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公司（单位）名称（盖章）：</w:t>
      </w:r>
      <w:r>
        <w:rPr>
          <w:rFonts w:ascii="宋体" w:hAnsi="宋体" w:cs="宋体"/>
        </w:rPr>
      </w:r>
      <w:r/>
    </w:p>
    <w:p>
      <w:pPr>
        <w:pStyle w:val="863"/>
        <w:ind w:right="815"/>
        <w:jc w:val="right"/>
        <w:keepLines w:val="0"/>
        <w:keepNext w:val="0"/>
        <w:pageBreakBefore w:val="0"/>
        <w:spacing w:before="0" w:after="0" w:line="440" w:lineRule="exact"/>
        <w:shd w:val="clear" w:color="auto" w:fill="ffffff"/>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63"/>
        <w:ind w:left="15" w:right="15" w:firstLine="4608"/>
        <w:jc w:val="right"/>
        <w:keepLines w:val="0"/>
        <w:keepNext w:val="0"/>
        <w:pageBreakBefore w:val="0"/>
        <w:spacing w:before="0" w:after="0" w:line="312" w:lineRule="auto"/>
        <w:shd w:val="clear" w:color="auto" w:fill="ffffff"/>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p>
      <w:pPr>
        <w:pStyle w:val="863"/>
        <w:ind w:left="15" w:right="15" w:firstLine="4608"/>
        <w:jc w:val="right"/>
        <w:keepLines w:val="0"/>
        <w:keepNext w:val="0"/>
        <w:pageBreakBefore w:val="0"/>
        <w:spacing w:before="0" w:after="0" w:line="312" w:lineRule="auto"/>
        <w:shd w:val="clear" w:color="auto" w:fill="ffffff"/>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p>
      <w:pPr>
        <w:pStyle w:val="863"/>
        <w:ind w:left="15" w:right="15" w:firstLine="4608"/>
        <w:jc w:val="right"/>
        <w:keepLines w:val="0"/>
        <w:keepNext w:val="0"/>
        <w:pageBreakBefore w:val="0"/>
        <w:spacing w:before="0" w:after="0" w:line="312" w:lineRule="auto"/>
        <w:shd w:val="clear" w:color="auto" w:fill="ffffff"/>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p>
      <w:pPr>
        <w:pStyle w:val="863"/>
        <w:ind w:left="0" w:right="15" w:firstLine="0"/>
        <w:jc w:val="both"/>
        <w:keepLines w:val="0"/>
        <w:keepNext w:val="0"/>
        <w:pageBreakBefore w:val="0"/>
        <w:spacing w:before="30" w:after="30" w:line="312" w:lineRule="auto"/>
        <w:shd w:val="clear" w:color="auto" w:fill="ffffff"/>
        <w:widowControl/>
        <w:rPr>
          <w:rFonts w:hint="eastAsia" w:ascii="宋体" w:hAnsi="宋体" w:cs="宋体"/>
          <w:color w:val="000000"/>
          <w:sz w:val="21"/>
          <w:szCs w:val="21"/>
          <w:highlight w:val="none"/>
        </w:rPr>
        <w:pBdr>
          <w:bottom w:val="single" w:color="000000" w:sz="4" w:space="0"/>
        </w:pBdr>
        <w:outlineLvl w:val="9"/>
      </w:pPr>
      <w:r>
        <w:rPr>
          <w:rFonts w:hint="eastAsia" w:ascii="宋体" w:hAnsi="宋体" w:eastAsia="宋体" w:cs="宋体"/>
          <w:color w:val="000000"/>
          <w:sz w:val="21"/>
          <w:szCs w:val="21"/>
          <w:highlight w:val="none"/>
        </w:rPr>
      </w:r>
      <w:r>
        <w:rPr>
          <w:rFonts w:ascii="宋体" w:hAnsi="宋体" w:cs="宋体"/>
        </w:rPr>
      </w:r>
      <w:r/>
    </w:p>
    <w:p>
      <w:pPr>
        <w:pStyle w:val="863"/>
        <w:ind w:left="15" w:right="15" w:firstLine="480"/>
        <w:jc w:val="both"/>
        <w:keepLines w:val="0"/>
        <w:keepNext w:val="0"/>
        <w:pageBreakBefore w:val="0"/>
        <w:spacing w:before="0" w:after="0" w:line="312" w:lineRule="auto"/>
        <w:shd w:val="clear" w:color="auto" w:fill="ffffff"/>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1.产品如有型号，请在“产品名称”栏一并填写。</w:t>
      </w:r>
      <w:r>
        <w:rPr>
          <w:rFonts w:ascii="宋体" w:hAnsi="宋体" w:cs="宋体"/>
        </w:rPr>
      </w:r>
      <w:r/>
    </w:p>
    <w:p>
      <w:pPr>
        <w:pStyle w:val="863"/>
        <w:ind w:left="15" w:right="15" w:firstLine="480"/>
        <w:jc w:val="both"/>
        <w:keepLines w:val="0"/>
        <w:keepNext w:val="0"/>
        <w:pageBreakBefore w:val="0"/>
        <w:spacing w:before="0" w:after="0" w:line="312" w:lineRule="auto"/>
        <w:shd w:val="clear" w:color="auto" w:fill="ffffff"/>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2.生产厂名与厂址应与生产厂营业执照载明的相关信息保持一致。</w:t>
      </w:r>
      <w:r>
        <w:rPr>
          <w:rFonts w:ascii="宋体" w:hAnsi="宋体" w:cs="宋体"/>
        </w:rPr>
      </w:r>
      <w:r/>
    </w:p>
    <w:p>
      <w:pPr>
        <w:pStyle w:val="863"/>
        <w:ind w:left="15" w:right="15" w:firstLine="480"/>
        <w:jc w:val="both"/>
        <w:keepLines w:val="0"/>
        <w:keepNext w:val="0"/>
        <w:pageBreakBefore w:val="0"/>
        <w:spacing w:before="0" w:after="0" w:line="312" w:lineRule="auto"/>
        <w:shd w:val="clear" w:color="auto" w:fill="ffffff"/>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3.该产品的中国境内生产的组件成本占比相关要求实施前，“规定比例”栏可不填，下同。</w:t>
      </w:r>
      <w:r>
        <w:rPr>
          <w:rFonts w:ascii="宋体" w:hAnsi="宋体" w:cs="宋体"/>
        </w:rPr>
      </w:r>
      <w:r/>
    </w:p>
    <w:p>
      <w:pPr>
        <w:pStyle w:val="863"/>
        <w:ind w:left="15" w:right="15" w:firstLine="480"/>
        <w:jc w:val="both"/>
        <w:keepLines w:val="0"/>
        <w:keepNext w:val="0"/>
        <w:pageBreakBefore w:val="0"/>
        <w:spacing w:before="0" w:after="0" w:line="312" w:lineRule="auto"/>
        <w:shd w:val="clear" w:color="auto" w:fill="ffffff"/>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4.该产品的关键组件要求实施前，“关键组件”栏可不填，下同。</w:t>
      </w:r>
      <w:r>
        <w:rPr>
          <w:rFonts w:ascii="宋体" w:hAnsi="宋体" w:cs="宋体"/>
        </w:rPr>
      </w:r>
      <w:r/>
    </w:p>
    <w:p>
      <w:pPr>
        <w:pStyle w:val="863"/>
        <w:ind w:left="15" w:right="15" w:firstLine="480"/>
        <w:jc w:val="both"/>
        <w:keepLines w:val="0"/>
        <w:keepNext w:val="0"/>
        <w:pageBreakBefore w:val="0"/>
        <w:spacing w:before="0" w:after="0" w:line="312" w:lineRule="auto"/>
        <w:shd w:val="clear" w:color="auto" w:fill="ffffff"/>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5.该产品的关键工序要求实施前，“关键工序”栏可不填，下同。</w:t>
      </w:r>
      <w:r>
        <w:rPr>
          <w:rFonts w:ascii="宋体" w:hAnsi="宋体" w:cs="宋体"/>
        </w:rPr>
      </w:r>
      <w:r/>
    </w:p>
    <w:p>
      <w:pPr>
        <w:pStyle w:val="863"/>
        <w:ind w:left="15" w:right="15" w:firstLine="480"/>
        <w:jc w:val="both"/>
        <w:keepLines w:val="0"/>
        <w:keepNext w:val="0"/>
        <w:pageBreakBefore w:val="0"/>
        <w:spacing w:before="0" w:after="0" w:line="312" w:lineRule="auto"/>
        <w:shd w:val="clear" w:color="auto" w:fill="ffffff"/>
        <w:widowControl/>
        <w:rPr>
          <w:rFonts w:hint="eastAsia" w:ascii="宋体" w:hAnsi="宋体" w:cs="宋体"/>
          <w:b/>
          <w:color w:val="000000"/>
          <w:sz w:val="21"/>
          <w:szCs w:val="21"/>
          <w:highlight w:val="none"/>
        </w:rPr>
        <w:outlineLvl w:val="9"/>
      </w:pPr>
      <w:r>
        <w:rPr>
          <w:rFonts w:hint="eastAsia" w:ascii="宋体" w:hAnsi="宋体" w:eastAsia="宋体" w:cs="宋体"/>
          <w:color w:val="000000"/>
          <w:sz w:val="21"/>
          <w:szCs w:val="21"/>
          <w:highlight w:val="none"/>
        </w:rPr>
        <w:t xml:space="preserve">6.</w:t>
      </w:r>
      <w:r>
        <w:rPr>
          <w:rFonts w:hint="eastAsia" w:ascii="宋体" w:hAnsi="宋体" w:eastAsia="宋体" w:cs="宋体"/>
          <w:b/>
          <w:color w:val="000000"/>
          <w:sz w:val="21"/>
          <w:szCs w:val="21"/>
          <w:highlight w:val="none"/>
        </w:rPr>
        <w:t xml:space="preserve">用斜线划除的地方无需填写。</w:t>
      </w:r>
      <w:r>
        <w:rPr>
          <w:rFonts w:ascii="宋体" w:hAnsi="宋体" w:cs="宋体"/>
        </w:rPr>
      </w:r>
      <w:r/>
    </w:p>
    <w:p>
      <w:pPr>
        <w:pStyle w:val="863"/>
        <w:pageBreakBefore/>
        <w:spacing w:line="360" w:lineRule="auto"/>
        <w:widowControl/>
        <w:rPr>
          <w:rFonts w:hint="eastAsia" w:ascii="宋体" w:hAnsi="宋体" w:cs="宋体"/>
          <w:color w:val="000000"/>
          <w:sz w:val="21"/>
          <w:szCs w:val="21"/>
          <w:highlight w:val="none"/>
        </w:rPr>
      </w:pPr>
      <w:r>
        <w:rPr>
          <w:rFonts w:hint="eastAsia" w:ascii="宋体" w:hAnsi="宋体" w:eastAsia="宋体" w:cs="宋体"/>
          <w:b/>
          <w:color w:val="000000"/>
          <w:sz w:val="21"/>
          <w:szCs w:val="21"/>
          <w:highlight w:val="none"/>
          <w:lang w:val="en-US" w:eastAsia="zh-CN"/>
        </w:rPr>
        <w:t xml:space="preserve">7</w:t>
      </w:r>
      <w:r>
        <w:rPr>
          <w:rFonts w:hint="eastAsia" w:ascii="宋体" w:hAnsi="宋体" w:eastAsia="宋体" w:cs="宋体"/>
          <w:b/>
          <w:color w:val="000000"/>
          <w:sz w:val="21"/>
          <w:szCs w:val="21"/>
          <w:highlight w:val="none"/>
        </w:rPr>
        <w:t xml:space="preserve">.</w:t>
      </w:r>
      <w:r>
        <w:rPr>
          <w:rFonts w:hint="eastAsia" w:ascii="宋体" w:hAnsi="宋体" w:eastAsia="宋体" w:cs="宋体"/>
          <w:b/>
          <w:bCs/>
          <w:color w:val="000000"/>
          <w:sz w:val="21"/>
          <w:szCs w:val="21"/>
          <w:highlight w:val="none"/>
        </w:rPr>
        <w:t xml:space="preserve">投标（响应）保证承诺书</w:t>
      </w:r>
      <w:r>
        <w:rPr>
          <w:rFonts w:ascii="宋体" w:hAnsi="宋体" w:cs="宋体"/>
        </w:rPr>
      </w:r>
      <w:r/>
    </w:p>
    <w:p>
      <w:pPr>
        <w:pStyle w:val="900"/>
        <w:jc w:val="center"/>
        <w:spacing w:line="440" w:lineRule="exact"/>
        <w:tabs>
          <w:tab w:val="left" w:pos="525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投标（响应）保证承诺书</w:t>
      </w:r>
      <w:r>
        <w:rPr>
          <w:rFonts w:ascii="宋体" w:hAnsi="宋体" w:cs="宋体"/>
        </w:rPr>
      </w:r>
      <w:r/>
    </w:p>
    <w:p>
      <w:pPr>
        <w:pStyle w:val="863"/>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863"/>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采购代理机构名称） </w:t>
      </w:r>
      <w:r>
        <w:rPr>
          <w:rFonts w:ascii="宋体" w:hAnsi="宋体" w:cs="宋体"/>
        </w:rPr>
      </w:r>
      <w:r/>
    </w:p>
    <w:p>
      <w:pPr>
        <w:pStyle w:val="863"/>
        <w:ind w:firstLine="420"/>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我（单位/本人，以下统称我单位）自愿参加</w:t>
      </w:r>
      <w:r>
        <w:rPr>
          <w:rFonts w:hint="eastAsia" w:ascii="宋体" w:hAnsi="宋体" w:eastAsia="宋体" w:cs="宋体"/>
          <w:color w:val="000000"/>
          <w:sz w:val="21"/>
          <w:szCs w:val="21"/>
          <w:highlight w:val="none"/>
          <w:u w:val="single"/>
        </w:rPr>
        <w:t xml:space="preserve"> （项目名称和采购编号） </w:t>
      </w:r>
      <w:r>
        <w:rPr>
          <w:rFonts w:hint="eastAsia" w:ascii="宋体" w:hAnsi="宋体" w:eastAsia="宋体" w:cs="宋体"/>
          <w:color w:val="000000"/>
          <w:sz w:val="21"/>
          <w:szCs w:val="21"/>
          <w:highlight w:val="none"/>
        </w:rPr>
        <w:t xml:space="preserve">的投标（响应），并做出如下承诺：</w:t>
      </w:r>
      <w:r>
        <w:rPr>
          <w:rFonts w:ascii="宋体" w:hAnsi="宋体" w:cs="宋体"/>
        </w:rPr>
      </w:r>
      <w:r/>
    </w:p>
    <w:p>
      <w:pPr>
        <w:pStyle w:val="863"/>
        <w:ind w:firstLine="420"/>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一、除不可抗力外，我单位如果发生以下行为，将在行为发生的10个工作日内，向贵方</w:t>
      </w:r>
      <w:r>
        <w:rPr>
          <w:rFonts w:hint="eastAsia" w:ascii="宋体" w:hAnsi="宋体" w:eastAsia="宋体" w:cs="宋体"/>
          <w:color w:val="000000"/>
          <w:sz w:val="21"/>
          <w:szCs w:val="21"/>
          <w:highlight w:val="none"/>
          <w:u w:val="single"/>
        </w:rPr>
        <w:t xml:space="preserve">（或采购人）</w:t>
      </w:r>
      <w:r>
        <w:rPr>
          <w:rFonts w:hint="eastAsia" w:ascii="宋体" w:hAnsi="宋体" w:eastAsia="宋体" w:cs="宋体"/>
          <w:color w:val="000000"/>
          <w:sz w:val="21"/>
          <w:szCs w:val="21"/>
          <w:highlight w:val="none"/>
        </w:rPr>
        <w:t xml:space="preserve">支付本采购文件公布的预算金额（或最高限价）的2%作为违约赔偿金（数量不确定的单价采购须约定具体金额）。</w:t>
      </w:r>
      <w:r>
        <w:rPr>
          <w:rFonts w:ascii="宋体" w:hAnsi="宋体" w:cs="宋体"/>
        </w:rPr>
      </w:r>
      <w:r/>
    </w:p>
    <w:p>
      <w:pPr>
        <w:pStyle w:val="863"/>
        <w:ind w:firstLine="420"/>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1.自投标（响应）截止时间至本项目发布中标（成交）公告为止，撤销投标（响应）；</w:t>
      </w:r>
      <w:r>
        <w:rPr>
          <w:rFonts w:ascii="宋体" w:hAnsi="宋体" w:cs="宋体"/>
        </w:rPr>
      </w:r>
      <w:r/>
    </w:p>
    <w:p>
      <w:pPr>
        <w:pStyle w:val="863"/>
        <w:ind w:firstLine="420"/>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2.中标（成交）后不依法与采购人签订合同；</w:t>
      </w:r>
      <w:r>
        <w:rPr>
          <w:rFonts w:ascii="宋体" w:hAnsi="宋体" w:cs="宋体"/>
        </w:rPr>
      </w:r>
      <w:r/>
    </w:p>
    <w:p>
      <w:pPr>
        <w:pStyle w:val="863"/>
        <w:ind w:firstLine="420"/>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3.中标（成交）后不按本采购文件规定向采购人提交履约保证金（如有）；</w:t>
      </w:r>
      <w:r>
        <w:rPr>
          <w:rFonts w:ascii="宋体" w:hAnsi="宋体" w:cs="宋体"/>
        </w:rPr>
      </w:r>
      <w:r/>
    </w:p>
    <w:p>
      <w:pPr>
        <w:pStyle w:val="863"/>
        <w:ind w:firstLine="420"/>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4.中标（成交）后不按本采购文件规定向贵方缴纳采购代理费。</w:t>
      </w:r>
      <w:r>
        <w:rPr>
          <w:rFonts w:ascii="宋体" w:hAnsi="宋体" w:cs="宋体"/>
        </w:rPr>
      </w:r>
      <w:r/>
    </w:p>
    <w:p>
      <w:pPr>
        <w:pStyle w:val="863"/>
        <w:ind w:firstLine="420"/>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二、我单位知晓上述行为的法律后果，承认本承诺书作为贵方</w:t>
      </w:r>
      <w:r>
        <w:rPr>
          <w:rFonts w:hint="eastAsia" w:ascii="宋体" w:hAnsi="宋体" w:eastAsia="宋体" w:cs="宋体"/>
          <w:color w:val="000000"/>
          <w:sz w:val="21"/>
          <w:szCs w:val="21"/>
          <w:highlight w:val="none"/>
          <w:u w:val="single"/>
        </w:rPr>
        <w:t xml:space="preserve">（或采购人）</w:t>
      </w:r>
      <w:r>
        <w:rPr>
          <w:rFonts w:hint="eastAsia" w:ascii="宋体" w:hAnsi="宋体" w:eastAsia="宋体" w:cs="宋体"/>
          <w:color w:val="000000"/>
          <w:sz w:val="21"/>
          <w:szCs w:val="21"/>
          <w:highlight w:val="none"/>
        </w:rPr>
        <w:t xml:space="preserve">要求我单位履行违约赔偿义务的依据作用。</w:t>
      </w:r>
      <w:r>
        <w:rPr>
          <w:rFonts w:ascii="宋体" w:hAnsi="宋体" w:cs="宋体"/>
        </w:rPr>
      </w:r>
      <w:r/>
    </w:p>
    <w:p>
      <w:pPr>
        <w:pStyle w:val="863"/>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cs="宋体"/>
        </w:rPr>
      </w:r>
      <w:r/>
    </w:p>
    <w:p>
      <w:pPr>
        <w:pStyle w:val="863"/>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投标（响应）人（盖公章）：</w:t>
      </w:r>
      <w:r>
        <w:rPr>
          <w:rFonts w:hint="eastAsia" w:ascii="宋体" w:hAnsi="宋体" w:eastAsia="宋体" w:cs="宋体"/>
          <w:color w:val="000000"/>
          <w:sz w:val="21"/>
          <w:szCs w:val="21"/>
          <w:highlight w:val="none"/>
          <w:u w:val="single"/>
        </w:rPr>
        <w:t xml:space="preserve">                     </w:t>
      </w:r>
      <w:r>
        <w:rPr>
          <w:rFonts w:ascii="宋体" w:hAnsi="宋体" w:cs="宋体"/>
        </w:rPr>
      </w:r>
      <w:r/>
    </w:p>
    <w:p>
      <w:pPr>
        <w:pStyle w:val="863"/>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rPr>
        <w:t xml:space="preserve">                                         </w:t>
      </w:r>
      <w:r>
        <w:rPr>
          <w:rFonts w:ascii="宋体" w:hAnsi="宋体" w:cs="宋体"/>
        </w:rPr>
      </w:r>
      <w:r/>
    </w:p>
    <w:p>
      <w:pPr>
        <w:pStyle w:val="863"/>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ascii="宋体" w:hAnsi="宋体" w:cs="宋体"/>
        </w:rPr>
      </w:r>
      <w:r/>
    </w:p>
    <w:p>
      <w:pPr>
        <w:pStyle w:val="863"/>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传真：</w:t>
      </w:r>
      <w:r>
        <w:rPr>
          <w:rFonts w:hint="eastAsia" w:ascii="宋体" w:hAnsi="宋体" w:eastAsia="宋体" w:cs="宋体"/>
          <w:color w:val="000000"/>
          <w:sz w:val="21"/>
          <w:szCs w:val="21"/>
          <w:highlight w:val="none"/>
          <w:u w:val="single"/>
        </w:rPr>
        <w:t xml:space="preserve">                                         </w:t>
      </w:r>
      <w:r>
        <w:rPr>
          <w:rFonts w:ascii="宋体" w:hAnsi="宋体" w:cs="宋体"/>
        </w:rPr>
      </w:r>
      <w:r/>
    </w:p>
    <w:p>
      <w:pPr>
        <w:pStyle w:val="863"/>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电子邮件：</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ascii="宋体" w:hAnsi="宋体" w:cs="宋体"/>
        </w:rPr>
      </w:r>
      <w:r/>
    </w:p>
    <w:p>
      <w:pPr>
        <w:pStyle w:val="863"/>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u w:val="single"/>
        </w:rPr>
        <w:t xml:space="preserve">                                         </w:t>
      </w:r>
      <w:r>
        <w:rPr>
          <w:rFonts w:ascii="宋体" w:hAnsi="宋体" w:cs="宋体"/>
        </w:rPr>
      </w:r>
      <w:r/>
    </w:p>
    <w:p>
      <w:pPr>
        <w:pStyle w:val="863"/>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法定代表人或委托代理人（签字或盖章）：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ascii="宋体" w:hAnsi="宋体" w:cs="宋体"/>
        </w:rPr>
      </w:r>
      <w:r/>
    </w:p>
    <w:p>
      <w:pPr>
        <w:pStyle w:val="863"/>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rPr>
        <w:t xml:space="preserve">                                         </w:t>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keepLines w:val="0"/>
        <w:keepNext w:val="0"/>
        <w:pageBreakBefore/>
        <w:spacing w:line="440" w:lineRule="exact"/>
        <w:widowControl w:val="off"/>
        <w:rPr>
          <w:rFonts w:ascii="宋体" w:hAnsi="宋体" w:cs="宋体"/>
          <w:b/>
          <w:color w:val="000000"/>
          <w:sz w:val="21"/>
          <w:szCs w:val="20"/>
          <w:highlight w:val="none"/>
        </w:rPr>
        <w:outlineLvl w:val="1"/>
      </w:pPr>
      <w:r>
        <w:rPr>
          <w:rFonts w:hint="eastAsia" w:ascii="宋体" w:hAnsi="宋体" w:eastAsia="宋体" w:cs="宋体"/>
          <w:b/>
          <w:bCs/>
          <w:color w:val="000000"/>
          <w:sz w:val="21"/>
          <w:szCs w:val="21"/>
          <w:highlight w:val="none"/>
          <w:lang w:val="zh-CN"/>
        </w:rPr>
        <w:t xml:space="preserve">附件</w:t>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color w:val="000000"/>
          <w:sz w:val="21"/>
          <w:szCs w:val="21"/>
          <w:highlight w:val="none"/>
        </w:rPr>
        <w:t xml:space="preserve">政府采购合同信用融资政策告知函（该项为通知内容，不需要作为</w:t>
      </w:r>
      <w:r>
        <w:rPr>
          <w:rFonts w:hint="eastAsia" w:ascii="宋体" w:hAnsi="宋体" w:eastAsia="宋体" w:cs="宋体"/>
          <w:b/>
          <w:color w:val="000000"/>
          <w:sz w:val="21"/>
          <w:szCs w:val="21"/>
          <w:highlight w:val="none"/>
          <w:lang w:eastAsia="zh-CN"/>
        </w:rPr>
        <w:t xml:space="preserve">投标</w:t>
      </w:r>
      <w:r>
        <w:rPr>
          <w:rFonts w:hint="eastAsia" w:ascii="宋体" w:hAnsi="宋体" w:eastAsia="宋体" w:cs="宋体"/>
          <w:b/>
          <w:color w:val="000000"/>
          <w:sz w:val="21"/>
          <w:szCs w:val="21"/>
          <w:highlight w:val="none"/>
        </w:rPr>
        <w:t xml:space="preserve">文件组成）</w:t>
      </w:r>
      <w:r>
        <w:rPr>
          <w:rFonts w:ascii="宋体" w:hAnsi="宋体" w:cs="宋体"/>
        </w:rPr>
      </w:r>
      <w:r/>
    </w:p>
    <w:p>
      <w:pPr>
        <w:pStyle w:val="863"/>
        <w:jc w:val="center"/>
        <w:keepLines w:val="0"/>
        <w:keepNext w:val="0"/>
        <w:spacing w:line="440" w:lineRule="exact"/>
        <w:widowControl w:val="off"/>
        <w:rPr>
          <w:rFonts w:ascii="宋体" w:hAnsi="宋体" w:cs="宋体"/>
          <w:b/>
          <w:color w:val="000000"/>
          <w:sz w:val="28"/>
          <w:szCs w:val="28"/>
          <w:highlight w:val="none"/>
        </w:rPr>
      </w:pPr>
      <w:r>
        <w:rPr>
          <w:rFonts w:ascii="宋体" w:hAnsi="宋体" w:eastAsia="宋体" w:cs="宋体"/>
          <w:b/>
          <w:color w:val="000000"/>
          <w:sz w:val="28"/>
          <w:szCs w:val="28"/>
          <w:highlight w:val="none"/>
        </w:rPr>
      </w:r>
      <w:r>
        <w:rPr>
          <w:rFonts w:ascii="宋体" w:hAnsi="宋体" w:cs="宋体"/>
        </w:rPr>
      </w:r>
      <w:r/>
    </w:p>
    <w:p>
      <w:pPr>
        <w:pStyle w:val="863"/>
        <w:jc w:val="center"/>
        <w:keepLines w:val="0"/>
        <w:keepNext w:val="0"/>
        <w:spacing w:line="440" w:lineRule="exact"/>
        <w:widowControl w:val="off"/>
        <w:rPr>
          <w:rFonts w:ascii="宋体" w:hAnsi="宋体" w:cs="宋体"/>
          <w:b/>
          <w:color w:val="000000"/>
          <w:sz w:val="28"/>
          <w:szCs w:val="28"/>
          <w:highlight w:val="none"/>
        </w:rPr>
      </w:pPr>
      <w:r>
        <w:rPr>
          <w:rFonts w:hint="eastAsia" w:ascii="宋体" w:hAnsi="宋体" w:eastAsia="宋体" w:cs="宋体"/>
          <w:b/>
          <w:color w:val="000000"/>
          <w:sz w:val="28"/>
          <w:szCs w:val="28"/>
          <w:highlight w:val="none"/>
        </w:rPr>
        <w:t xml:space="preserve">政府采购合同信用融资政策告知函</w:t>
      </w:r>
      <w:r>
        <w:rPr>
          <w:rFonts w:ascii="宋体" w:hAnsi="宋体" w:cs="宋体"/>
        </w:rPr>
      </w:r>
      <w:r/>
    </w:p>
    <w:p>
      <w:pPr>
        <w:pStyle w:val="863"/>
        <w:keepLines w:val="0"/>
        <w:keepNext w:val="0"/>
        <w:spacing w:line="440" w:lineRule="exact"/>
        <w:widowControl w:val="off"/>
        <w:rPr>
          <w:rFonts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各政府采购供应商：</w:t>
      </w:r>
      <w:r>
        <w:rPr>
          <w:rFonts w:ascii="宋体" w:hAnsi="宋体" w:cs="宋体"/>
        </w:rPr>
      </w:r>
      <w:r/>
    </w:p>
    <w:p>
      <w:pPr>
        <w:pStyle w:val="863"/>
        <w:ind w:firstLine="420"/>
        <w:keepLines w:val="0"/>
        <w:keepNext w:val="0"/>
        <w:spacing w:line="440" w:lineRule="exact"/>
        <w:widowControl w:val="o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欢迎贵公司参加苏州市政府采购活动！</w:t>
      </w:r>
      <w:r>
        <w:rPr>
          <w:rFonts w:ascii="宋体" w:hAnsi="宋体" w:cs="宋体"/>
        </w:rPr>
      </w:r>
      <w:r/>
    </w:p>
    <w:p>
      <w:pPr>
        <w:pStyle w:val="863"/>
        <w:ind w:firstLine="420"/>
        <w:jc w:val="left"/>
        <w:keepLines w:val="0"/>
        <w:keepNext w:val="0"/>
        <w:spacing w:line="440" w:lineRule="exact"/>
        <w:widowControl w:val="off"/>
        <w:rPr>
          <w:rFonts w:ascii="宋体" w:hAnsi="宋体" w:cs="宋体"/>
          <w:b/>
          <w:bCs/>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53"/>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63"/>
        <w:ind w:firstLine="2759"/>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105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3"/>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105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3"/>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105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3"/>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105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3"/>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105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3"/>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105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3"/>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105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3"/>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105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3"/>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105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3"/>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105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3"/>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63"/>
        <w:ind w:firstLine="2759"/>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4"/>
        <w:ind w:left="431" w:right="-28" w:hanging="431"/>
        <w:jc w:val="center"/>
        <w:spacing w:before="166" w:after="0" w:line="360" w:lineRule="auto"/>
        <w:tabs>
          <w:tab w:val="left" w:pos="432" w:leader="none"/>
        </w:tabs>
        <w:rPr>
          <w:rFonts w:hint="eastAsia" w:ascii="宋体" w:hAnsi="宋体" w:cs="宋体"/>
          <w:color w:val="000000"/>
          <w:highlight w:val="none"/>
        </w:rPr>
      </w:pPr>
      <w:r>
        <w:rPr>
          <w:rFonts w:ascii="宋体" w:hAnsi="宋体" w:cs="宋体"/>
        </w:rPr>
      </w:r>
      <w:bookmarkStart w:id="45" w:name="_Toc10802"/>
      <w:r>
        <w:rPr>
          <w:rFonts w:hint="eastAsia" w:ascii="宋体" w:hAnsi="宋体" w:eastAsia="宋体" w:cs="宋体"/>
          <w:color w:val="000000"/>
          <w:highlight w:val="none"/>
        </w:rPr>
        <w:t xml:space="preserve">第四章  招标书</w:t>
      </w:r>
      <w:bookmarkEnd w:id="45"/>
      <w:r>
        <w:rPr>
          <w:rFonts w:ascii="宋体" w:hAnsi="宋体" w:cs="宋体"/>
        </w:rPr>
      </w:r>
      <w:r/>
    </w:p>
    <w:p>
      <w:pPr>
        <w:pStyle w:val="924"/>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受</w:t>
      </w:r>
      <w:r>
        <w:rPr>
          <w:rFonts w:hint="eastAsia" w:ascii="宋体" w:hAnsi="宋体" w:eastAsia="宋体" w:cs="宋体"/>
          <w:color w:val="000000"/>
          <w:sz w:val="21"/>
          <w:szCs w:val="21"/>
          <w:highlight w:val="none"/>
          <w:lang w:eastAsia="zh-CN"/>
        </w:rPr>
        <w:t xml:space="preserve">苏州市吴江区市场监督管理局</w:t>
      </w:r>
      <w:r>
        <w:rPr>
          <w:rFonts w:hint="eastAsia" w:ascii="宋体" w:hAnsi="宋体" w:eastAsia="宋体" w:cs="宋体"/>
          <w:color w:val="000000"/>
          <w:sz w:val="21"/>
          <w:szCs w:val="21"/>
          <w:highlight w:val="none"/>
        </w:rPr>
        <w:t xml:space="preserve">的委托，苏州欣禾诚工程咨询服务有限公司作为招标机构，对该单位采购的</w:t>
      </w:r>
      <w:r>
        <w:rPr>
          <w:rFonts w:hint="eastAsia" w:ascii="宋体" w:hAnsi="宋体" w:eastAsia="宋体" w:cs="宋体"/>
          <w:color w:val="000000"/>
          <w:sz w:val="21"/>
          <w:szCs w:val="21"/>
          <w:highlight w:val="none"/>
          <w:lang w:eastAsia="zh-CN"/>
        </w:rPr>
        <w:t xml:space="preserve">2026年-2027年度食品安全AI可视化监管服务项目</w:t>
      </w:r>
      <w:r>
        <w:rPr>
          <w:rFonts w:hint="eastAsia" w:ascii="宋体" w:hAnsi="宋体" w:eastAsia="宋体" w:cs="宋体"/>
          <w:color w:val="000000"/>
          <w:sz w:val="21"/>
          <w:szCs w:val="21"/>
          <w:highlight w:val="none"/>
        </w:rPr>
        <w:t xml:space="preserve">进行公开招标。</w:t>
      </w:r>
      <w:r>
        <w:rPr>
          <w:rFonts w:ascii="宋体" w:hAnsi="宋体" w:cs="宋体"/>
        </w:rPr>
      </w:r>
      <w:r/>
    </w:p>
    <w:p>
      <w:pPr>
        <w:pStyle w:val="863"/>
        <w:numPr>
          <w:ilvl w:val="0"/>
          <w:numId w:val="5"/>
        </w:numPr>
        <w:keepLines w:val="0"/>
        <w:keepNext w:val="0"/>
        <w:pageBreakBefore w:val="0"/>
        <w:spacing w:line="440" w:lineRule="exact"/>
        <w:widowControl w:val="off"/>
        <w:tabs>
          <w:tab w:val="left" w:pos="360" w:leader="none"/>
          <w:tab w:val="left" w:pos="540" w:leader="none"/>
        </w:tabs>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招标编号：</w:t>
      </w:r>
      <w:r>
        <w:rPr>
          <w:rFonts w:hint="eastAsia" w:ascii="宋体" w:hAnsi="宋体" w:eastAsia="宋体" w:cs="宋体"/>
          <w:color w:val="000000"/>
          <w:sz w:val="21"/>
          <w:szCs w:val="21"/>
          <w:highlight w:val="none"/>
          <w:lang w:eastAsia="zh-CN"/>
        </w:rPr>
        <w:t xml:space="preserve">JSZC-320509-SXHC-G2026-0018</w:t>
      </w:r>
      <w:r>
        <w:rPr>
          <w:rFonts w:ascii="宋体" w:hAnsi="宋体" w:cs="宋体"/>
        </w:rPr>
      </w:r>
      <w:r/>
    </w:p>
    <w:p>
      <w:pPr>
        <w:pStyle w:val="863"/>
        <w:numPr>
          <w:ilvl w:val="0"/>
          <w:numId w:val="5"/>
        </w:numPr>
        <w:keepLines w:val="0"/>
        <w:keepNext w:val="0"/>
        <w:pageBreakBefore w:val="0"/>
        <w:spacing w:line="440" w:lineRule="exact"/>
        <w:widowControl w:val="off"/>
        <w:tabs>
          <w:tab w:val="left" w:pos="360" w:leader="none"/>
          <w:tab w:val="left" w:pos="540" w:leader="none"/>
        </w:tabs>
        <w:rPr>
          <w:rFonts w:hint="eastAsia" w:ascii="宋体" w:hAnsi="宋体" w:cs="宋体"/>
          <w:color w:val="000000"/>
          <w:sz w:val="21"/>
          <w:szCs w:val="21"/>
          <w:highlight w:val="none"/>
        </w:rPr>
        <w:outlineLvl w:val="9"/>
      </w:pPr>
      <w:r>
        <w:rPr>
          <w:rFonts w:hint="eastAsia" w:ascii="宋体" w:hAnsi="宋体" w:eastAsia="宋体" w:cs="宋体"/>
          <w:b/>
          <w:color w:val="000000"/>
          <w:sz w:val="21"/>
          <w:szCs w:val="21"/>
          <w:highlight w:val="none"/>
        </w:rPr>
        <w:t xml:space="preserve">招标项目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2026年-2027年度食品安全AI可视化监管服务</w:t>
      </w:r>
      <w:r>
        <w:rPr>
          <w:rFonts w:ascii="宋体" w:hAnsi="宋体" w:cs="宋体"/>
        </w:rPr>
      </w:r>
      <w:r/>
    </w:p>
    <w:p>
      <w:pPr>
        <w:pStyle w:val="863"/>
        <w:numPr>
          <w:ilvl w:val="0"/>
          <w:numId w:val="5"/>
        </w:numPr>
        <w:keepLines w:val="0"/>
        <w:keepNext w:val="0"/>
        <w:pageBreakBefore w:val="0"/>
        <w:spacing w:line="440" w:lineRule="exact"/>
        <w:widowControl w:val="off"/>
        <w:tabs>
          <w:tab w:val="left" w:pos="360" w:leader="none"/>
          <w:tab w:val="left" w:pos="540" w:leader="none"/>
        </w:tabs>
        <w:rPr>
          <w:rFonts w:hint="eastAsia" w:ascii="宋体" w:hAnsi="宋体" w:cs="宋体"/>
          <w:color w:val="000000"/>
          <w:sz w:val="21"/>
          <w:szCs w:val="21"/>
          <w:highlight w:val="none"/>
        </w:rPr>
        <w:outlineLvl w:val="9"/>
      </w:pPr>
      <w:r>
        <w:rPr>
          <w:rFonts w:hint="eastAsia" w:ascii="宋体" w:hAnsi="宋体" w:eastAsia="宋体" w:cs="宋体"/>
          <w:b/>
          <w:color w:val="000000"/>
          <w:sz w:val="21"/>
          <w:szCs w:val="21"/>
          <w:highlight w:val="none"/>
        </w:rPr>
        <w:t xml:space="preserve">预算</w:t>
      </w:r>
      <w:r>
        <w:rPr>
          <w:rFonts w:hint="eastAsia" w:ascii="宋体" w:hAnsi="宋体" w:eastAsia="宋体" w:cs="宋体"/>
          <w:b/>
          <w:color w:val="000000"/>
          <w:sz w:val="21"/>
          <w:szCs w:val="21"/>
          <w:highlight w:val="none"/>
          <w:lang w:eastAsia="zh-CN"/>
        </w:rPr>
        <w:t xml:space="preserve">金额</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人民币</w:t>
      </w:r>
      <w:r>
        <w:rPr>
          <w:rFonts w:hint="eastAsia" w:ascii="宋体" w:hAnsi="宋体" w:eastAsia="宋体" w:cs="宋体"/>
          <w:color w:val="000000"/>
          <w:sz w:val="21"/>
          <w:szCs w:val="21"/>
          <w:highlight w:val="none"/>
          <w:lang w:eastAsia="zh-CN"/>
        </w:rPr>
        <w:t xml:space="preserve">伍佰万元整（¥5000000.00）</w:t>
      </w:r>
      <w:r>
        <w:rPr>
          <w:rFonts w:ascii="宋体" w:hAnsi="宋体" w:cs="宋体"/>
        </w:rPr>
      </w:r>
      <w:r/>
    </w:p>
    <w:p>
      <w:pPr>
        <w:pStyle w:val="863"/>
        <w:numPr>
          <w:ilvl w:val="0"/>
          <w:numId w:val="5"/>
        </w:numPr>
        <w:keepLines w:val="0"/>
        <w:keepNext w:val="0"/>
        <w:pageBreakBefore w:val="0"/>
        <w:spacing w:line="440" w:lineRule="exact"/>
        <w:widowControl w:val="off"/>
        <w:tabs>
          <w:tab w:val="left" w:pos="360" w:leader="none"/>
          <w:tab w:val="left" w:pos="540" w:leader="none"/>
        </w:tabs>
        <w:rPr>
          <w:rFonts w:hint="eastAsia" w:ascii="宋体" w:hAnsi="宋体" w:cs="宋体"/>
          <w:color w:val="000000"/>
          <w:sz w:val="21"/>
          <w:szCs w:val="21"/>
          <w:highlight w:val="none"/>
        </w:rPr>
        <w:outlineLvl w:val="9"/>
      </w:pPr>
      <w:r>
        <w:rPr>
          <w:rFonts w:hint="eastAsia" w:ascii="宋体" w:hAnsi="宋体" w:eastAsia="宋体" w:cs="宋体"/>
          <w:b/>
          <w:bCs/>
          <w:color w:val="000000"/>
          <w:sz w:val="21"/>
          <w:szCs w:val="21"/>
          <w:highlight w:val="none"/>
          <w:lang w:eastAsia="zh-CN"/>
        </w:rPr>
        <w:t xml:space="preserve">最高限价：</w:t>
      </w:r>
      <w:r>
        <w:rPr>
          <w:rFonts w:hint="eastAsia" w:ascii="宋体" w:hAnsi="宋体" w:eastAsia="宋体" w:cs="宋体"/>
          <w:color w:val="000000"/>
          <w:sz w:val="21"/>
          <w:szCs w:val="21"/>
          <w:highlight w:val="none"/>
          <w:lang w:eastAsia="zh-CN"/>
        </w:rPr>
        <w:t xml:space="preserve">同预算金额</w:t>
      </w:r>
      <w:r>
        <w:rPr>
          <w:rFonts w:ascii="宋体" w:hAnsi="宋体" w:cs="宋体"/>
        </w:rPr>
      </w:r>
      <w:r/>
    </w:p>
    <w:p>
      <w:pPr>
        <w:pStyle w:val="863"/>
        <w:numPr>
          <w:ilvl w:val="0"/>
          <w:numId w:val="5"/>
        </w:numPr>
        <w:keepLines w:val="0"/>
        <w:keepNext w:val="0"/>
        <w:pageBreakBefore w:val="0"/>
        <w:spacing w:line="440" w:lineRule="exact"/>
        <w:widowControl w:val="off"/>
        <w:tabs>
          <w:tab w:val="left" w:pos="360" w:leader="none"/>
          <w:tab w:val="left" w:pos="540" w:leader="none"/>
        </w:tabs>
        <w:rPr>
          <w:rFonts w:hint="eastAsia" w:ascii="宋体" w:hAnsi="宋体" w:cs="宋体"/>
          <w:color w:val="000000"/>
          <w:sz w:val="21"/>
          <w:szCs w:val="21"/>
          <w:highlight w:val="none"/>
        </w:rPr>
        <w:outlineLvl w:val="9"/>
      </w:pPr>
      <w:r>
        <w:rPr>
          <w:rFonts w:hint="eastAsia" w:ascii="宋体" w:hAnsi="宋体" w:eastAsia="宋体" w:cs="宋体"/>
          <w:b/>
          <w:bCs/>
          <w:color w:val="000000"/>
          <w:sz w:val="21"/>
          <w:szCs w:val="21"/>
          <w:highlight w:val="none"/>
          <w:lang w:eastAsia="zh-CN"/>
        </w:rPr>
        <w:t xml:space="preserve">服务期限：</w:t>
      </w:r>
      <w:r>
        <w:rPr>
          <w:rFonts w:hint="eastAsia" w:ascii="宋体" w:hAnsi="宋体" w:eastAsia="宋体" w:cs="宋体"/>
          <w:color w:val="000000"/>
          <w:sz w:val="21"/>
          <w:szCs w:val="21"/>
          <w:highlight w:val="none"/>
        </w:rPr>
        <w:t xml:space="preserve">自合同签订之日起</w:t>
      </w:r>
      <w:r>
        <w:rPr>
          <w:rFonts w:hint="eastAsia" w:ascii="宋体" w:hAnsi="宋体" w:eastAsia="宋体" w:cs="宋体"/>
          <w:color w:val="000000"/>
          <w:sz w:val="21"/>
          <w:szCs w:val="21"/>
          <w:highlight w:val="none"/>
          <w:lang w:eastAsia="zh-CN"/>
        </w:rPr>
        <w:t xml:space="preserve">两</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bidi="ar"/>
        </w:rPr>
        <w:t xml:space="preserve">（具体实施时间节点以采购单位要求为准）。</w:t>
      </w:r>
      <w:r>
        <w:rPr>
          <w:rFonts w:ascii="宋体" w:hAnsi="宋体" w:cs="宋体"/>
        </w:rPr>
      </w:r>
      <w:r/>
    </w:p>
    <w:p>
      <w:pPr>
        <w:pStyle w:val="863"/>
        <w:numPr>
          <w:ilvl w:val="0"/>
          <w:numId w:val="5"/>
        </w:numPr>
        <w:keepLines w:val="0"/>
        <w:keepNext w:val="0"/>
        <w:pageBreakBefore w:val="0"/>
        <w:spacing w:line="440" w:lineRule="exact"/>
        <w:widowControl w:val="off"/>
        <w:tabs>
          <w:tab w:val="left" w:pos="360" w:leader="none"/>
          <w:tab w:val="left" w:pos="540" w:leader="none"/>
        </w:tabs>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采购需求清单及维护要求：</w:t>
      </w:r>
      <w:r>
        <w:rPr>
          <w:rFonts w:ascii="宋体" w:hAnsi="宋体" w:cs="宋体"/>
        </w:rPr>
      </w:r>
      <w:r/>
    </w:p>
    <w:p>
      <w:pPr>
        <w:pStyle w:val="906"/>
        <w:ind w:firstLine="422"/>
        <w:keepLines w:val="0"/>
        <w:keepNext w:val="0"/>
        <w:pageBreakBefore w:val="0"/>
        <w:spacing w:line="440" w:lineRule="exact"/>
        <w:widowControl w:val="off"/>
        <w:tabs>
          <w:tab w:val="left" w:pos="630" w:leader="none"/>
        </w:tabs>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lang w:eastAsia="zh-CN"/>
        </w:rPr>
        <w:t xml:space="preserve">（一）项目背景</w:t>
      </w:r>
      <w:r>
        <w:rPr>
          <w:rFonts w:ascii="宋体" w:hAnsi="宋体" w:cs="宋体"/>
        </w:rPr>
      </w:r>
      <w:r/>
    </w:p>
    <w:p>
      <w:pPr>
        <w:pStyle w:val="863"/>
        <w:ind w:firstLine="420"/>
        <w:keepLines w:val="0"/>
        <w:keepNext w:val="0"/>
        <w:pageBreakBefore w:val="0"/>
        <w:spacing w:after="0" w:line="440" w:lineRule="exact"/>
        <w:widowControl/>
        <w:tabs>
          <w:tab w:val="left" w:pos="5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食品安全是重大民生工程，当前餐饮服务经营单位数量多、分布散、更新快，一线监管力量不足的矛盾突出；近年多地曝出餐饮食品安全负面事件，社会公众对餐饮加工过程透明化、可视化的诉求持续提升；餐饮经营主体也需通过规范化、精细化管理提升市场竞争力。</w:t>
      </w:r>
      <w:r>
        <w:rPr>
          <w:rFonts w:ascii="宋体" w:hAnsi="宋体" w:cs="宋体"/>
        </w:rPr>
      </w:r>
      <w:r/>
    </w:p>
    <w:p>
      <w:pPr>
        <w:pStyle w:val="863"/>
        <w:ind w:firstLine="420"/>
        <w:keepLines w:val="0"/>
        <w:keepNext w:val="0"/>
        <w:pageBreakBefore w:val="0"/>
        <w:spacing w:after="0" w:line="440" w:lineRule="exact"/>
        <w:widowControl/>
        <w:tabs>
          <w:tab w:val="left" w:pos="5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国家市场监督管理总局《餐饮服务明厨亮灶工作指导意见》明确提出，鼓励餐饮服务提供者实施明厨亮灶，保障消费者知情权，实现监控无死角、设备常维护；《中华人民共和国食品安全法》倡导餐饮服务者公开加工过程，公示食品原料及其来源信息；教育部、国家市场监督管理总局等多部门联合印发《学校食品安全与营养健康管理规定》，重点强化校园食堂食品安全管控。市场监管总局后续文件进一步要求加快推进食品生产经营监督检查信息化建设，配备智能终端设备，实现检查数据实时上传、食品安全风险主动分析研判。</w:t>
      </w:r>
      <w:r>
        <w:rPr>
          <w:rFonts w:ascii="宋体" w:hAnsi="宋体" w:cs="宋体"/>
        </w:rPr>
      </w:r>
      <w:r/>
    </w:p>
    <w:p>
      <w:pPr>
        <w:pStyle w:val="863"/>
        <w:ind w:firstLine="420"/>
        <w:keepLines w:val="0"/>
        <w:keepNext w:val="0"/>
        <w:pageBreakBefore w:val="0"/>
        <w:spacing w:after="0" w:line="440" w:lineRule="exact"/>
        <w:widowControl/>
        <w:tabs>
          <w:tab w:val="left" w:pos="5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为落实各级监管要求，破解传统“铁脚板”监管模式效率低、覆盖难的痛点，依托AI视频分析技术打造非现场智慧监管模式</w:t>
      </w:r>
      <w:r>
        <w:rPr>
          <w:rFonts w:hint="eastAsia" w:ascii="宋体" w:hAnsi="宋体" w:eastAsia="宋体" w:cs="宋体"/>
          <w:color w:val="000000"/>
          <w:sz w:val="21"/>
          <w:szCs w:val="21"/>
          <w:highlight w:val="none"/>
          <w:lang w:val="en-US" w:eastAsia="zh-CN" w:bidi="ar"/>
        </w:rPr>
        <w:t xml:space="preserve">，帮助食品生产经营单位落实主体责任，需采购专业化的食品安全AI可视化监管服务，以保证为食品生产经营单位持续稳定提供落实主体责任的公共服务、保证AI算法精度持续优化、前端设备完好可用</w:t>
      </w:r>
      <w:r>
        <w:rPr>
          <w:rFonts w:hint="eastAsia" w:ascii="宋体" w:hAnsi="宋体" w:eastAsia="宋体" w:cs="宋体"/>
          <w:color w:val="000000"/>
          <w:sz w:val="21"/>
          <w:szCs w:val="21"/>
          <w:highlight w:val="none"/>
          <w:lang w:val="en-US" w:eastAsia="zh-CN" w:bidi="ar"/>
        </w:rPr>
        <w:t xml:space="preserve">，充分释放智慧监管效能。</w:t>
      </w:r>
      <w:r>
        <w:rPr>
          <w:rFonts w:ascii="宋体" w:hAnsi="宋体" w:cs="宋体"/>
        </w:rPr>
      </w:r>
      <w:r/>
    </w:p>
    <w:p>
      <w:pPr>
        <w:pStyle w:val="906"/>
        <w:ind w:firstLine="422"/>
        <w:keepLines w:val="0"/>
        <w:keepNext w:val="0"/>
        <w:pageBreakBefore w:val="0"/>
        <w:spacing w:line="440" w:lineRule="exact"/>
        <w:widowControl w:val="off"/>
        <w:tabs>
          <w:tab w:val="left" w:pos="630" w:leader="none"/>
        </w:tabs>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lang w:eastAsia="zh-CN"/>
        </w:rPr>
        <w:t xml:space="preserve">（二）服务内容及要求</w:t>
      </w:r>
      <w:r>
        <w:rPr>
          <w:rFonts w:ascii="宋体" w:hAnsi="宋体" w:cs="宋体"/>
        </w:rPr>
      </w:r>
      <w:r/>
    </w:p>
    <w:p>
      <w:pPr>
        <w:pStyle w:val="906"/>
        <w:ind w:firstLine="420"/>
        <w:keepLines w:val="0"/>
        <w:keepNext w:val="0"/>
        <w:pageBreakBefore w:val="0"/>
        <w:spacing w:line="440" w:lineRule="exact"/>
        <w:widowControl w:val="off"/>
        <w:tabs>
          <w:tab w:val="left" w:pos="63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本项目围绕</w:t>
      </w:r>
      <w:r>
        <w:rPr>
          <w:rFonts w:hint="eastAsia" w:ascii="宋体" w:hAnsi="宋体" w:eastAsia="宋体" w:cs="宋体"/>
          <w:color w:val="000000"/>
          <w:sz w:val="21"/>
          <w:szCs w:val="21"/>
          <w:highlight w:val="none"/>
          <w:lang w:val="en-US" w:eastAsia="zh-CN" w:bidi="ar"/>
        </w:rPr>
        <w:t xml:space="preserve">食品生产经营单位落实主体责任公共服务</w:t>
      </w:r>
      <w:r>
        <w:rPr>
          <w:rFonts w:hint="eastAsia" w:ascii="宋体" w:hAnsi="宋体" w:eastAsia="宋体" w:cs="宋体"/>
          <w:color w:val="000000"/>
          <w:sz w:val="21"/>
          <w:szCs w:val="21"/>
          <w:highlight w:val="none"/>
          <w:lang w:val="en-US" w:eastAsia="zh-CN"/>
        </w:rPr>
        <w:t xml:space="preserve">稳定运行、AI算法优化、设备完好保障、监管效能提升展开，涵盖用户端设备覆盖、AI算法运营、用户端设备运维</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val="en-US" w:eastAsia="zh-CN"/>
        </w:rPr>
        <w:t xml:space="preserve">大核心模块。</w:t>
      </w:r>
      <w:r>
        <w:rPr>
          <w:rFonts w:ascii="宋体" w:hAnsi="宋体" w:cs="宋体"/>
        </w:rPr>
      </w:r>
      <w:r/>
    </w:p>
    <w:p>
      <w:pPr>
        <w:pStyle w:val="906"/>
        <w:ind w:firstLine="420"/>
        <w:keepLines w:val="0"/>
        <w:keepNext w:val="0"/>
        <w:pageBreakBefore w:val="0"/>
        <w:spacing w:line="440" w:lineRule="exact"/>
        <w:widowControl w:val="off"/>
        <w:tabs>
          <w:tab w:val="left" w:pos="63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1.前端点位部署与平台接入服务</w:t>
      </w:r>
      <w:r>
        <w:rPr>
          <w:rFonts w:ascii="宋体" w:hAnsi="宋体" w:cs="宋体"/>
        </w:rPr>
      </w:r>
      <w:r/>
    </w:p>
    <w:p>
      <w:pPr>
        <w:pStyle w:val="906"/>
        <w:ind w:firstLine="420"/>
        <w:keepLines w:val="0"/>
        <w:keepNext w:val="0"/>
        <w:pageBreakBefore w:val="0"/>
        <w:spacing w:line="440" w:lineRule="exact"/>
        <w:widowControl w:val="off"/>
        <w:tabs>
          <w:tab w:val="left" w:pos="63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针对本项目范围内前端用户端（以采购单位提供清单为准），提供明厨亮灶摄像头从勘察设计到平台接入的全流程落地服务。</w:t>
      </w:r>
      <w:r>
        <w:rPr>
          <w:rFonts w:ascii="宋体" w:hAnsi="宋体" w:cs="宋体"/>
        </w:rPr>
      </w:r>
      <w:r/>
    </w:p>
    <w:p>
      <w:pPr>
        <w:pStyle w:val="906"/>
        <w:ind w:firstLine="420"/>
        <w:keepLines w:val="0"/>
        <w:keepNext w:val="0"/>
        <w:pageBreakBefore w:val="0"/>
        <w:spacing w:line="440" w:lineRule="exact"/>
        <w:widowControl w:val="off"/>
        <w:tabs>
          <w:tab w:val="left" w:pos="63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点位勘察与方案设计：对新增覆盖单位开展现场实地勘察，结合后厨功能分区布局与明厨亮灶建设标准，制定摄像头点位部署方案，重点覆盖烹饪间、切配间、消洗间、配餐间等关键作业区域，确保监控无死角、覆盖合规。</w:t>
      </w:r>
      <w:r>
        <w:rPr>
          <w:rFonts w:ascii="宋体" w:hAnsi="宋体" w:cs="宋体"/>
        </w:rPr>
      </w:r>
      <w:r/>
    </w:p>
    <w:p>
      <w:pPr>
        <w:pStyle w:val="906"/>
        <w:ind w:firstLine="420"/>
        <w:keepLines w:val="0"/>
        <w:keepNext w:val="0"/>
        <w:pageBreakBefore w:val="0"/>
        <w:spacing w:line="440" w:lineRule="exact"/>
        <w:widowControl w:val="off"/>
        <w:tabs>
          <w:tab w:val="left" w:pos="63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（2）设备部署与合规管理：完成高清监控摄像头及配套传输设备现场部署、调校与画质优化，保障设备运行稳定、画面清晰符合监管要求。</w:t>
      </w:r>
      <w:r>
        <w:rPr>
          <w:rFonts w:ascii="宋体" w:hAnsi="宋体" w:cs="宋体"/>
        </w:rPr>
      </w:r>
      <w:r/>
    </w:p>
    <w:p>
      <w:pPr>
        <w:pStyle w:val="906"/>
        <w:ind w:firstLine="420"/>
        <w:keepLines w:val="0"/>
        <w:keepNext w:val="0"/>
        <w:pageBreakBefore w:val="0"/>
        <w:spacing w:line="440" w:lineRule="exact"/>
        <w:widowControl w:val="off"/>
        <w:tabs>
          <w:tab w:val="left" w:pos="630" w:leader="none"/>
        </w:tabs>
        <w:rPr>
          <w:rFonts w:hint="eastAsia" w:ascii="宋体" w:hAnsi="宋体" w:cs="宋体"/>
          <w:b/>
          <w:bCs/>
          <w:color w:val="000000"/>
          <w:sz w:val="21"/>
          <w:szCs w:val="21"/>
          <w:highlight w:val="none"/>
        </w:rPr>
        <w:outlineLvl w:val="9"/>
      </w:pPr>
      <w:r>
        <w:rPr>
          <w:rFonts w:hint="eastAsia" w:ascii="宋体" w:hAnsi="宋体" w:eastAsia="宋体" w:cs="宋体"/>
          <w:color w:val="000000"/>
          <w:sz w:val="21"/>
          <w:szCs w:val="21"/>
          <w:highlight w:val="none"/>
          <w:lang w:val="en-US" w:eastAsia="zh-CN" w:bidi="ar"/>
        </w:rPr>
        <w:t xml:space="preserve">（3）平台接入与功能联调：投标人须承诺，中标后</w:t>
      </w:r>
      <w:r>
        <w:rPr>
          <w:rFonts w:hint="eastAsia" w:ascii="宋体" w:hAnsi="宋体" w:eastAsia="宋体" w:cs="宋体"/>
          <w:b/>
          <w:bCs/>
          <w:color w:val="000000"/>
          <w:sz w:val="21"/>
          <w:szCs w:val="21"/>
          <w:highlight w:val="none"/>
          <w:lang w:val="en-US" w:eastAsia="zh-CN" w:bidi="ar"/>
        </w:rPr>
        <w:t xml:space="preserve">完成现有</w:t>
      </w:r>
      <w:r>
        <w:rPr>
          <w:rFonts w:hint="eastAsia" w:ascii="宋体" w:hAnsi="宋体" w:eastAsia="宋体" w:cs="宋体"/>
          <w:b/>
          <w:bCs/>
          <w:color w:val="000000"/>
          <w:sz w:val="21"/>
          <w:szCs w:val="21"/>
          <w:highlight w:val="none"/>
          <w:lang w:val="en-US" w:eastAsia="zh-CN" w:bidi="ar"/>
        </w:rPr>
        <w:t xml:space="preserve">服务平台</w:t>
      </w:r>
      <w:r>
        <w:rPr>
          <w:rFonts w:hint="eastAsia" w:ascii="宋体" w:hAnsi="宋体" w:eastAsia="宋体" w:cs="宋体"/>
          <w:b/>
          <w:bCs/>
          <w:color w:val="000000"/>
          <w:sz w:val="21"/>
          <w:szCs w:val="21"/>
          <w:highlight w:val="none"/>
          <w:lang w:val="en-US" w:eastAsia="zh-CN" w:bidi="ar"/>
        </w:rPr>
        <w:t xml:space="preserve">接入</w:t>
      </w:r>
      <w:r>
        <w:rPr>
          <w:rFonts w:hint="eastAsia" w:ascii="宋体" w:hAnsi="宋体" w:eastAsia="宋体" w:cs="宋体"/>
          <w:color w:val="000000"/>
          <w:sz w:val="21"/>
          <w:szCs w:val="21"/>
          <w:highlight w:val="none"/>
          <w:lang w:val="en-US" w:eastAsia="zh-CN" w:bidi="ar"/>
        </w:rPr>
        <w:t xml:space="preserve">，完成新增摄像头视频流稳定接入，同步配置对应AI识别算法、检测区域与告警规则，实现视频实时预览、AI智能分析、违规告警推送、设备统一管控等全功能上线。</w:t>
      </w:r>
      <w:r>
        <w:rPr>
          <w:rFonts w:ascii="宋体" w:hAnsi="宋体" w:cs="宋体"/>
        </w:rPr>
      </w:r>
      <w:r/>
    </w:p>
    <w:p>
      <w:pPr>
        <w:pStyle w:val="906"/>
        <w:ind w:firstLine="422"/>
        <w:keepLines w:val="0"/>
        <w:keepNext w:val="0"/>
        <w:pageBreakBefore w:val="0"/>
        <w:spacing w:line="440" w:lineRule="exact"/>
        <w:widowControl w:val="off"/>
        <w:tabs>
          <w:tab w:val="left" w:pos="63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
        </w:rPr>
        <w:t xml:space="preserve">注：服务期内，本项目所使用的摄像头及配套传输设备所有权归中标单位所有，采购人享有本项目项下服务对应的视频及AI监管服务使用权。服务期内，中标单位负责自有设备的巡检、维保、维修、更换，相关全部费用包含在投标总价中，采购人无需另行支付设备购置、更换、维修等费用；因设备故障、损坏、丢失等产生的一切责任，由中标单位承担。</w:t>
      </w:r>
      <w:r>
        <w:rPr>
          <w:rFonts w:ascii="宋体" w:hAnsi="宋体" w:cs="宋体"/>
        </w:rPr>
      </w:r>
      <w:r/>
    </w:p>
    <w:p>
      <w:pPr>
        <w:pStyle w:val="906"/>
        <w:ind w:firstLine="420"/>
        <w:keepLines w:val="0"/>
        <w:keepNext w:val="0"/>
        <w:pageBreakBefore w:val="0"/>
        <w:spacing w:line="440" w:lineRule="exact"/>
        <w:widowControl w:val="off"/>
        <w:tabs>
          <w:tab w:val="left" w:pos="63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.AI算法运营服务</w:t>
      </w:r>
      <w:r>
        <w:rPr>
          <w:rFonts w:ascii="宋体" w:hAnsi="宋体" w:cs="宋体"/>
        </w:rPr>
      </w:r>
      <w:r/>
    </w:p>
    <w:p>
      <w:pPr>
        <w:pStyle w:val="906"/>
        <w:ind w:firstLine="420"/>
        <w:keepLines w:val="0"/>
        <w:keepNext w:val="0"/>
        <w:pageBreakBefore w:val="0"/>
        <w:spacing w:line="440" w:lineRule="exact"/>
        <w:widowControl w:val="off"/>
        <w:tabs>
          <w:tab w:val="left" w:pos="63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（1）算法效果持续优化</w:t>
      </w:r>
      <w:r>
        <w:rPr>
          <w:rFonts w:ascii="宋体" w:hAnsi="宋体" w:cs="宋体"/>
        </w:rPr>
      </w:r>
      <w:r/>
    </w:p>
    <w:p>
      <w:pPr>
        <w:pStyle w:val="906"/>
        <w:ind w:firstLine="420"/>
        <w:keepLines w:val="0"/>
        <w:keepNext w:val="0"/>
        <w:pageBreakBefore w:val="0"/>
        <w:spacing w:line="440" w:lineRule="exact"/>
        <w:widowControl w:val="off"/>
        <w:tabs>
          <w:tab w:val="left" w:pos="63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①误报治理与精度提升：持续采集后厨场景误报样本与新增场景素材，通过深度学习训练迭代算法模型，每月对核心算法（口罩检测、厨师帽检测、厨师服检测、吸烟检测、垃圾桶未盖检测、老鼠检测、超员检测）进行效果调优，逐步降低误报率，提升识别准确率。</w:t>
      </w:r>
      <w:r>
        <w:rPr>
          <w:rFonts w:ascii="宋体" w:hAnsi="宋体" w:cs="宋体"/>
        </w:rPr>
      </w:r>
      <w:r/>
    </w:p>
    <w:p>
      <w:pPr>
        <w:pStyle w:val="906"/>
        <w:ind w:firstLine="420"/>
        <w:keepLines w:val="0"/>
        <w:keepNext w:val="0"/>
        <w:pageBreakBefore w:val="0"/>
        <w:spacing w:line="440" w:lineRule="exact"/>
        <w:widowControl w:val="off"/>
        <w:tabs>
          <w:tab w:val="left" w:pos="63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②场景化参数配置：针对不同餐饮业态（学校食堂、社会餐饮、养老机构食堂等）、不同后厨区域（烹饪间、切配间、消洗间、配餐间等），针对性配置ROI检测区域、算法阈值、检测周期、布控时间等参数，实现“一场景一配置”，兼顾检测精度与运行效率。</w:t>
      </w:r>
      <w:r>
        <w:rPr>
          <w:rFonts w:ascii="宋体" w:hAnsi="宋体" w:cs="宋体"/>
        </w:rPr>
      </w:r>
      <w:r/>
    </w:p>
    <w:p>
      <w:pPr>
        <w:pStyle w:val="906"/>
        <w:ind w:firstLine="420"/>
        <w:keepLines w:val="0"/>
        <w:keepNext w:val="0"/>
        <w:pageBreakBefore w:val="0"/>
        <w:spacing w:line="440" w:lineRule="exact"/>
        <w:widowControl w:val="off"/>
        <w:tabs>
          <w:tab w:val="left" w:pos="63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（2）算法管理与迭代</w:t>
      </w:r>
      <w:r>
        <w:rPr>
          <w:rFonts w:ascii="宋体" w:hAnsi="宋体" w:cs="宋体"/>
        </w:rPr>
      </w:r>
      <w:r/>
    </w:p>
    <w:p>
      <w:pPr>
        <w:pStyle w:val="906"/>
        <w:ind w:firstLine="420"/>
        <w:keepLines w:val="0"/>
        <w:keepNext w:val="0"/>
        <w:pageBreakBefore w:val="0"/>
        <w:spacing w:line="440" w:lineRule="exact"/>
        <w:widowControl w:val="off"/>
        <w:tabs>
          <w:tab w:val="left" w:pos="63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①算法配置管理：支持按需为新增接入的监控相机配置对应算法，支持同一路相机叠加多种算法，可根据业务规则自动或手动控制算法启停。</w:t>
      </w:r>
      <w:r>
        <w:rPr>
          <w:rFonts w:ascii="宋体" w:hAnsi="宋体" w:cs="宋体"/>
        </w:rPr>
      </w:r>
      <w:r/>
    </w:p>
    <w:p>
      <w:pPr>
        <w:pStyle w:val="906"/>
        <w:ind w:firstLine="420"/>
        <w:keepLines w:val="0"/>
        <w:keepNext w:val="0"/>
        <w:pageBreakBefore w:val="0"/>
        <w:spacing w:line="440" w:lineRule="exact"/>
        <w:widowControl w:val="off"/>
        <w:tabs>
          <w:tab w:val="left" w:pos="63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②算法迭代升级：每季度结合监管新需求与行业技术发展，拓展算法识别品类，优化算法运行性能；每年完成至少1次重大算法版本升级，持续丰富AI监管能力。</w:t>
      </w:r>
      <w:r>
        <w:rPr>
          <w:rFonts w:ascii="宋体" w:hAnsi="宋体" w:cs="宋体"/>
        </w:rPr>
      </w:r>
      <w:r/>
    </w:p>
    <w:p>
      <w:pPr>
        <w:pStyle w:val="906"/>
        <w:ind w:firstLine="420"/>
        <w:keepLines w:val="0"/>
        <w:keepNext w:val="0"/>
        <w:pageBreakBefore w:val="0"/>
        <w:spacing w:line="440" w:lineRule="exact"/>
        <w:widowControl w:val="off"/>
        <w:tabs>
          <w:tab w:val="left" w:pos="63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.前端设备运维服务</w:t>
      </w:r>
      <w:r>
        <w:rPr>
          <w:rFonts w:ascii="宋体" w:hAnsi="宋体" w:cs="宋体"/>
        </w:rPr>
      </w:r>
      <w:r/>
    </w:p>
    <w:p>
      <w:pPr>
        <w:pStyle w:val="906"/>
        <w:ind w:firstLine="420"/>
        <w:keepLines w:val="0"/>
        <w:keepNext w:val="0"/>
        <w:pageBreakBefore w:val="0"/>
        <w:spacing w:line="440" w:lineRule="exact"/>
        <w:widowControl w:val="off"/>
        <w:tabs>
          <w:tab w:val="left" w:pos="63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定期巡检与维护</w:t>
      </w:r>
      <w:r>
        <w:rPr>
          <w:rFonts w:ascii="宋体" w:hAnsi="宋体" w:cs="宋体"/>
        </w:rPr>
      </w:r>
      <w:r/>
    </w:p>
    <w:p>
      <w:pPr>
        <w:pStyle w:val="906"/>
        <w:ind w:firstLine="420"/>
        <w:keepLines w:val="0"/>
        <w:keepNext w:val="0"/>
        <w:pageBreakBefore w:val="0"/>
        <w:spacing w:line="440" w:lineRule="exact"/>
        <w:widowControl w:val="off"/>
        <w:tabs>
          <w:tab w:val="left" w:pos="63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①月度设备巡检：每月对明厨亮灶前端终端设备（高清摄像头、AI分析终端、网络传输设备等）开展现场巡检，检查设备外观（是否破损、松动）、连接状态（电源、网络接线是否牢固）、功能有效性（画面清晰度、夜视效果、网络连通性、告警触发正常性），填写《设备巡检记录表》；对巡检中发现的轻微故障（如摄像头角度偏移、镜头污损、网络接头松动）当场调试修复。</w:t>
      </w:r>
      <w:r>
        <w:rPr>
          <w:rFonts w:ascii="宋体" w:hAnsi="宋体" w:cs="宋体"/>
        </w:rPr>
      </w:r>
      <w:r/>
    </w:p>
    <w:p>
      <w:pPr>
        <w:pStyle w:val="906"/>
        <w:ind w:firstLine="420"/>
        <w:keepLines w:val="0"/>
        <w:keepNext w:val="0"/>
        <w:pageBreakBefore w:val="0"/>
        <w:spacing w:line="440" w:lineRule="exact"/>
        <w:widowControl w:val="off"/>
        <w:tabs>
          <w:tab w:val="left" w:pos="63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②季度深度维护：每季度对前端设备进行硬件性能检测（如摄像头分辨率校准、网络带宽测试、存储设备健康检测）、固件升级，同时清理设备灰尘、检查防水防潮情况，延长设备使用寿命，</w:t>
      </w:r>
      <w:r>
        <w:rPr>
          <w:rFonts w:hint="eastAsia" w:ascii="宋体" w:hAnsi="宋体" w:eastAsia="宋体" w:cs="宋体"/>
          <w:b/>
          <w:bCs/>
          <w:color w:val="000000"/>
          <w:sz w:val="21"/>
          <w:szCs w:val="21"/>
          <w:highlight w:val="none"/>
          <w:lang w:val="en-US" w:eastAsia="zh-CN"/>
        </w:rPr>
        <w:t xml:space="preserve">保障设备</w:t>
      </w:r>
      <w:r>
        <w:rPr>
          <w:rFonts w:hint="eastAsia" w:ascii="宋体" w:hAnsi="宋体" w:eastAsia="宋体" w:cs="宋体"/>
          <w:b/>
          <w:bCs/>
          <w:color w:val="000000"/>
          <w:sz w:val="21"/>
          <w:szCs w:val="21"/>
          <w:highlight w:val="none"/>
          <w:lang w:val="en-US" w:eastAsia="zh-CN"/>
        </w:rPr>
        <w:t xml:space="preserve">在线率95%以上（因服务对象原因造成的离线将不被计入）</w:t>
      </w:r>
      <w:r>
        <w:rPr>
          <w:rFonts w:hint="eastAsia" w:ascii="宋体" w:hAnsi="宋体" w:eastAsia="宋体" w:cs="宋体"/>
          <w:color w:val="000000"/>
          <w:sz w:val="21"/>
          <w:szCs w:val="21"/>
          <w:highlight w:val="none"/>
          <w:lang w:val="en-US" w:eastAsia="zh-CN"/>
        </w:rPr>
        <w:t xml:space="preserve">。</w:t>
      </w:r>
      <w:r>
        <w:rPr>
          <w:rFonts w:ascii="宋体" w:hAnsi="宋体" w:cs="宋体"/>
        </w:rPr>
      </w:r>
      <w:r/>
    </w:p>
    <w:p>
      <w:pPr>
        <w:pStyle w:val="906"/>
        <w:ind w:firstLine="420"/>
        <w:keepLines w:val="0"/>
        <w:keepNext w:val="0"/>
        <w:pageBreakBefore w:val="0"/>
        <w:spacing w:line="440" w:lineRule="exact"/>
        <w:widowControl w:val="off"/>
        <w:tabs>
          <w:tab w:val="left" w:pos="63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（2）故障维修与备件保障</w:t>
      </w:r>
      <w:r>
        <w:rPr>
          <w:rFonts w:ascii="宋体" w:hAnsi="宋体" w:cs="宋体"/>
        </w:rPr>
      </w:r>
      <w:r/>
    </w:p>
    <w:p>
      <w:pPr>
        <w:pStyle w:val="906"/>
        <w:ind w:firstLine="420"/>
        <w:keepLines w:val="0"/>
        <w:keepNext w:val="0"/>
        <w:pageBreakBefore w:val="0"/>
        <w:spacing w:line="440" w:lineRule="exact"/>
        <w:widowControl w:val="off"/>
        <w:tabs>
          <w:tab w:val="left" w:pos="63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①服务响应度要求：接到设备故障报修（电话、系统工单）后，2小时内完成故障初步诊断，明确维修方案；市区范围内4小时内到场维修，郊区8小时内到场；维修过程中对影响核心监控的设备提供临时备用设备，减少监管盲区时长。</w:t>
      </w:r>
      <w:r>
        <w:rPr>
          <w:rFonts w:ascii="宋体" w:hAnsi="宋体" w:cs="宋体"/>
        </w:rPr>
      </w:r>
      <w:r/>
    </w:p>
    <w:p>
      <w:pPr>
        <w:pStyle w:val="906"/>
        <w:ind w:firstLine="420"/>
        <w:keepLines w:val="0"/>
        <w:keepNext w:val="0"/>
        <w:pageBreakBefore w:val="0"/>
        <w:spacing w:line="440" w:lineRule="exact"/>
        <w:widowControl w:val="off"/>
        <w:tabs>
          <w:tab w:val="left" w:pos="63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②备件库存管理：建立常用备件（摄像头、电源适配器、传输设备、存储设备）库存库，备件储备量满足30台设备同时更换需求；备件更换后，对故障设备进行维修翻新，形成循环利用，降低运维成本；每季度盘点备件库存，及时补充短缺型号，确保维修需求不中断。</w:t>
      </w:r>
      <w:r>
        <w:rPr>
          <w:rFonts w:ascii="宋体" w:hAnsi="宋体" w:cs="宋体"/>
        </w:rPr>
      </w:r>
      <w:r/>
    </w:p>
    <w:p>
      <w:pPr>
        <w:pStyle w:val="906"/>
        <w:ind w:firstLine="420"/>
        <w:keepLines w:val="0"/>
        <w:keepNext w:val="0"/>
        <w:pageBreakBefore w:val="0"/>
        <w:spacing w:line="440" w:lineRule="exact"/>
        <w:widowControl w:val="off"/>
        <w:tabs>
          <w:tab w:val="left" w:pos="63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.产出物说明</w:t>
      </w:r>
      <w:r>
        <w:rPr>
          <w:rFonts w:ascii="宋体" w:hAnsi="宋体" w:cs="宋体"/>
        </w:rPr>
      </w:r>
      <w:r/>
    </w:p>
    <w:p>
      <w:pPr>
        <w:pStyle w:val="906"/>
        <w:ind w:firstLine="420"/>
        <w:keepLines w:val="0"/>
        <w:keepNext w:val="0"/>
        <w:pageBreakBefore w:val="0"/>
        <w:spacing w:line="440" w:lineRule="exact"/>
        <w:widowControl w:val="off"/>
        <w:tabs>
          <w:tab w:val="left" w:pos="630" w:leader="none"/>
        </w:tabs>
        <w:rPr>
          <w:rFonts w:hint="eastAsia" w:ascii="宋体" w:hAnsi="宋体" w:cs="宋体"/>
          <w:b/>
          <w:bCs/>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前端设备部署和</w:t>
      </w:r>
      <w:r>
        <w:rPr>
          <w:rFonts w:hint="eastAsia" w:ascii="宋体" w:hAnsi="宋体" w:eastAsia="宋体" w:cs="宋体"/>
          <w:color w:val="000000"/>
          <w:sz w:val="21"/>
          <w:szCs w:val="21"/>
          <w:highlight w:val="none"/>
          <w:lang w:val="en-US" w:eastAsia="zh-CN"/>
        </w:rPr>
        <w:t xml:space="preserve">运维记录文档：详细记录</w:t>
      </w:r>
      <w:r>
        <w:rPr>
          <w:rFonts w:hint="eastAsia" w:ascii="宋体" w:hAnsi="宋体" w:eastAsia="宋体" w:cs="宋体"/>
          <w:color w:val="000000"/>
          <w:sz w:val="21"/>
          <w:szCs w:val="21"/>
          <w:highlight w:val="none"/>
          <w:lang w:val="en-US" w:eastAsia="zh-CN"/>
        </w:rPr>
        <w:t xml:space="preserve">前端设备部署</w:t>
      </w:r>
      <w:r>
        <w:rPr>
          <w:rFonts w:hint="eastAsia" w:ascii="宋体" w:hAnsi="宋体" w:eastAsia="宋体" w:cs="宋体"/>
          <w:color w:val="000000"/>
          <w:sz w:val="21"/>
          <w:szCs w:val="21"/>
          <w:highlight w:val="none"/>
          <w:lang w:val="en-US" w:eastAsia="zh-CN"/>
        </w:rPr>
        <w:t xml:space="preserve">、设备巡检维护记录、故障处理过程</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算法迭代版本等，形成完整</w:t>
      </w:r>
      <w:r>
        <w:rPr>
          <w:rFonts w:hint="eastAsia" w:ascii="宋体" w:hAnsi="宋体" w:eastAsia="宋体" w:cs="宋体"/>
          <w:color w:val="000000"/>
          <w:sz w:val="21"/>
          <w:szCs w:val="21"/>
          <w:highlight w:val="none"/>
          <w:lang w:val="en-US" w:eastAsia="zh-CN"/>
        </w:rPr>
        <w:t xml:space="preserve">项目实施和运维</w:t>
      </w:r>
      <w:r>
        <w:rPr>
          <w:rFonts w:hint="eastAsia" w:ascii="宋体" w:hAnsi="宋体" w:eastAsia="宋体" w:cs="宋体"/>
          <w:color w:val="000000"/>
          <w:sz w:val="21"/>
          <w:szCs w:val="21"/>
          <w:highlight w:val="none"/>
          <w:lang w:val="en-US" w:eastAsia="zh-CN"/>
        </w:rPr>
        <w:t xml:space="preserve">台账，便于追溯和管理，为后续优化提供参考依据。</w:t>
      </w:r>
      <w:r>
        <w:rPr>
          <w:rFonts w:ascii="宋体" w:hAnsi="宋体" w:cs="宋体"/>
        </w:rPr>
      </w:r>
      <w:r/>
    </w:p>
    <w:p>
      <w:pPr>
        <w:pStyle w:val="906"/>
        <w:ind w:firstLine="420"/>
        <w:keepLines w:val="0"/>
        <w:keepNext w:val="0"/>
        <w:pageBreakBefore w:val="0"/>
        <w:spacing w:line="440" w:lineRule="exact"/>
        <w:widowControl w:val="off"/>
        <w:tabs>
          <w:tab w:val="left" w:pos="63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AI算法</w:t>
      </w:r>
      <w:r>
        <w:rPr>
          <w:rFonts w:hint="eastAsia" w:ascii="宋体" w:hAnsi="宋体" w:eastAsia="宋体" w:cs="宋体"/>
          <w:color w:val="000000"/>
          <w:sz w:val="21"/>
          <w:szCs w:val="21"/>
          <w:highlight w:val="none"/>
          <w:lang w:val="en-US" w:eastAsia="zh-CN"/>
        </w:rPr>
        <w:t xml:space="preserve">成果：</w:t>
      </w:r>
      <w:r>
        <w:rPr>
          <w:rFonts w:hint="eastAsia" w:ascii="宋体" w:hAnsi="宋体" w:eastAsia="宋体" w:cs="宋体"/>
          <w:color w:val="000000"/>
          <w:sz w:val="21"/>
          <w:szCs w:val="21"/>
          <w:highlight w:val="none"/>
          <w:lang w:val="en-US" w:eastAsia="zh-CN"/>
        </w:rPr>
        <w:t xml:space="preserve">确保前端设备部署完成，同时</w:t>
      </w:r>
      <w:r>
        <w:rPr>
          <w:rFonts w:hint="eastAsia" w:ascii="宋体" w:hAnsi="宋体" w:eastAsia="宋体" w:cs="宋体"/>
          <w:color w:val="000000"/>
          <w:sz w:val="21"/>
          <w:szCs w:val="21"/>
          <w:highlight w:val="none"/>
          <w:lang w:val="en-US" w:eastAsia="zh-CN"/>
        </w:rPr>
        <w:t xml:space="preserve">通过持续的算法优化和升级，确保明厨亮灶平台硬件设备稳定运行，</w:t>
      </w:r>
      <w:r>
        <w:rPr>
          <w:rFonts w:hint="eastAsia" w:ascii="宋体" w:hAnsi="宋体" w:eastAsia="宋体" w:cs="宋体"/>
          <w:color w:val="000000"/>
          <w:sz w:val="21"/>
          <w:szCs w:val="21"/>
          <w:highlight w:val="none"/>
          <w:lang w:val="en-US" w:eastAsia="zh-CN"/>
        </w:rPr>
        <w:t xml:space="preserve">算法</w:t>
      </w:r>
      <w:r>
        <w:rPr>
          <w:rFonts w:hint="eastAsia" w:ascii="宋体" w:hAnsi="宋体" w:eastAsia="宋体" w:cs="宋体"/>
          <w:color w:val="000000"/>
          <w:sz w:val="21"/>
          <w:szCs w:val="21"/>
          <w:highlight w:val="none"/>
          <w:lang w:val="en-US" w:eastAsia="zh-CN"/>
        </w:rPr>
        <w:t xml:space="preserve">功能不断完善，AI识别精度持续提升，实现对餐饮后厨更高效的智能监控、精准预警和闭环管理。</w:t>
      </w:r>
      <w:r>
        <w:rPr>
          <w:rFonts w:ascii="宋体" w:hAnsi="宋体" w:cs="宋体"/>
        </w:rPr>
      </w:r>
      <w:r/>
    </w:p>
    <w:p>
      <w:pPr>
        <w:pStyle w:val="906"/>
        <w:ind w:firstLine="422"/>
        <w:keepLines w:val="0"/>
        <w:keepNext w:val="0"/>
        <w:pageBreakBefore w:val="0"/>
        <w:spacing w:line="440" w:lineRule="exact"/>
        <w:widowControl w:val="off"/>
        <w:tabs>
          <w:tab w:val="left" w:pos="630" w:leader="none"/>
        </w:tabs>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lang w:eastAsia="zh-CN"/>
        </w:rPr>
        <w:t xml:space="preserve">（三）其他要求</w:t>
      </w:r>
      <w:r>
        <w:rPr>
          <w:rFonts w:ascii="宋体" w:hAnsi="宋体" w:cs="宋体"/>
        </w:rPr>
      </w:r>
      <w:r/>
    </w:p>
    <w:p>
      <w:pPr>
        <w:pStyle w:val="906"/>
        <w:ind w:firstLine="420"/>
        <w:keepLines w:val="0"/>
        <w:keepNext w:val="0"/>
        <w:pageBreakBefore w:val="0"/>
        <w:spacing w:line="440" w:lineRule="exact"/>
        <w:widowControl w:val="off"/>
        <w:tabs>
          <w:tab w:val="left" w:pos="63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1.针对本项目，需成立专业的运维服务组，由项目经理、项目</w:t>
      </w:r>
      <w:r>
        <w:rPr>
          <w:rFonts w:hint="eastAsia" w:ascii="宋体" w:hAnsi="宋体" w:eastAsia="宋体" w:cs="宋体"/>
          <w:color w:val="000000"/>
          <w:sz w:val="21"/>
          <w:szCs w:val="21"/>
          <w:highlight w:val="none"/>
          <w:lang w:val="en-US" w:eastAsia="zh-CN"/>
        </w:rPr>
        <w:t xml:space="preserve">技术</w:t>
      </w:r>
      <w:r>
        <w:rPr>
          <w:rFonts w:hint="eastAsia" w:ascii="宋体" w:hAnsi="宋体" w:eastAsia="宋体" w:cs="宋体"/>
          <w:color w:val="000000"/>
          <w:sz w:val="21"/>
          <w:szCs w:val="21"/>
          <w:highlight w:val="none"/>
          <w:lang w:val="en-US" w:eastAsia="zh-CN"/>
        </w:rPr>
        <w:t xml:space="preserve">负责人、系统运维工程师、AI算法工程师、设备运维工程师等具备相关资质能力人员组成，负责提供快速、高效、优质的服务支持。</w:t>
      </w:r>
      <w:r>
        <w:rPr>
          <w:rFonts w:ascii="宋体" w:hAnsi="宋体" w:cs="宋体"/>
        </w:rPr>
      </w:r>
      <w:r/>
    </w:p>
    <w:p>
      <w:pPr>
        <w:pStyle w:val="906"/>
        <w:ind w:firstLine="420"/>
        <w:keepLines w:val="0"/>
        <w:keepNext w:val="0"/>
        <w:pageBreakBefore w:val="0"/>
        <w:spacing w:line="440" w:lineRule="exact"/>
        <w:widowControl w:val="off"/>
        <w:tabs>
          <w:tab w:val="left" w:pos="63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未经采购单位允许，中标单位不得随意更换项目团队中的项目负责人及核心成员；如需更换须提前10个工作日通知采购单位，并附上相应资料供采购单位认可后方能更换。中标单位项目技术人员的更换不得影响该项目的运营维护（包括进度、质量、费用等）。如因中标单位更换技术人员而导致运营维护延期、质量下降或费用增加的，采购单位有权要求中标单位及时采取措施弥补或消除此影响并赔偿相关损失。</w:t>
      </w:r>
      <w:r>
        <w:rPr>
          <w:rFonts w:ascii="宋体" w:hAnsi="宋体" w:cs="宋体"/>
        </w:rPr>
      </w:r>
      <w:r/>
    </w:p>
    <w:p>
      <w:pPr>
        <w:pStyle w:val="906"/>
        <w:ind w:firstLine="420"/>
        <w:keepLines w:val="0"/>
        <w:keepNext w:val="0"/>
        <w:pageBreakBefore w:val="0"/>
        <w:spacing w:line="440" w:lineRule="exact"/>
        <w:widowControl w:val="off"/>
        <w:tabs>
          <w:tab w:val="left" w:pos="63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3.采购单位有权检查监督中标单位服务实施质量，如中标单位工作人员存在技术不达标或服务质量未达到采购单位要求的，采购单位有权要求更换相关人员，中标单位应无条件更换相关人员，直至人选合格为止。</w:t>
      </w:r>
      <w:r>
        <w:rPr>
          <w:rFonts w:ascii="宋体" w:hAnsi="宋体" w:cs="宋体"/>
        </w:rPr>
      </w:r>
      <w:r/>
    </w:p>
    <w:p>
      <w:pPr>
        <w:pStyle w:val="906"/>
        <w:ind w:firstLine="420"/>
        <w:keepLines w:val="0"/>
        <w:keepNext w:val="0"/>
        <w:pageBreakBefore w:val="0"/>
        <w:spacing w:line="440" w:lineRule="exact"/>
        <w:widowControl w:val="off"/>
        <w:tabs>
          <w:tab w:val="left" w:pos="630" w:leader="none"/>
        </w:tabs>
        <w:rPr>
          <w:rFonts w:ascii="宋体" w:hAnsi="宋体" w:cs="宋体"/>
          <w:b/>
          <w:bCs/>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售后服务：维护期内，接到设备故障或系统故障报修（电话、系统工单）后，除人为损坏和不可抗力因素外，中标单位需2小时内完成故障初步诊断，明确维修方案；市区范围内4小时内到场维修，郊区8小时内到场。应急故障处理：当平台运行环境出现故障或遭遇意外情况导致系统无法正常运行、核心监管功能失效时，中标单位需提供7×24小时不间断响应服务，启动应急预案保障核心业务快速恢复。</w:t>
      </w:r>
      <w:r>
        <w:rPr>
          <w:rFonts w:hint="eastAsia" w:ascii="宋体" w:hAnsi="宋体" w:eastAsia="宋体" w:cs="宋体"/>
          <w:b/>
          <w:bCs/>
          <w:color w:val="000000"/>
          <w:sz w:val="21"/>
          <w:szCs w:val="21"/>
          <w:highlight w:val="none"/>
          <w:lang w:val="en-US" w:eastAsia="zh-CN"/>
        </w:rPr>
        <w:t xml:space="preserve">每季在线率应保持在95%以上（不包含因服务对象主观或客观因素造成）。</w:t>
      </w:r>
      <w:r>
        <w:rPr>
          <w:rFonts w:ascii="宋体" w:hAnsi="宋体" w:cs="宋体"/>
        </w:rPr>
      </w:r>
      <w:r/>
    </w:p>
    <w:p>
      <w:pPr>
        <w:pStyle w:val="906"/>
        <w:ind w:firstLine="422"/>
        <w:keepLines w:val="0"/>
        <w:keepNext w:val="0"/>
        <w:pageBreakBefore w:val="0"/>
        <w:spacing w:line="440" w:lineRule="exact"/>
        <w:widowControl w:val="off"/>
        <w:tabs>
          <w:tab w:val="left" w:pos="630" w:leader="none"/>
        </w:tabs>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lang w:eastAsia="zh-CN"/>
        </w:rPr>
        <w:t xml:space="preserve">（四）保密要求</w:t>
      </w:r>
      <w:r>
        <w:rPr>
          <w:rFonts w:ascii="宋体" w:hAnsi="宋体" w:cs="宋体"/>
        </w:rPr>
      </w:r>
      <w:r/>
    </w:p>
    <w:p>
      <w:pPr>
        <w:pStyle w:val="906"/>
        <w:ind w:firstLine="420"/>
        <w:keepLines w:val="0"/>
        <w:keepNext w:val="0"/>
        <w:pageBreakBefore w:val="0"/>
        <w:spacing w:line="440" w:lineRule="exact"/>
        <w:widowControl w:val="off"/>
        <w:tabs>
          <w:tab w:val="left" w:pos="63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1.中标单位应严格遵守项目保密规定，对因自身原因导致的信息泄露承担全部法律责任和经济赔偿责任。</w:t>
      </w:r>
      <w:r>
        <w:rPr>
          <w:rFonts w:ascii="宋体" w:hAnsi="宋体" w:cs="宋体"/>
        </w:rPr>
      </w:r>
      <w:r/>
    </w:p>
    <w:p>
      <w:pPr>
        <w:pStyle w:val="906"/>
        <w:ind w:firstLine="420"/>
        <w:keepLines w:val="0"/>
        <w:keepNext w:val="0"/>
        <w:pageBreakBefore w:val="0"/>
        <w:spacing w:line="440" w:lineRule="exact"/>
        <w:widowControl w:val="off"/>
        <w:tabs>
          <w:tab w:val="left" w:pos="630" w:leader="none"/>
        </w:tabs>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2.本项目保密信息包括但不限于项目运维方案、采购单位商业秘密及项目实施过程中涉及的其他未公开信息。</w:t>
      </w:r>
      <w:r>
        <w:rPr>
          <w:rFonts w:ascii="宋体" w:hAnsi="宋体" w:cs="宋体"/>
        </w:rPr>
      </w:r>
      <w:r/>
    </w:p>
    <w:p>
      <w:pPr>
        <w:pStyle w:val="906"/>
        <w:ind w:firstLine="420"/>
        <w:keepLines w:val="0"/>
        <w:keepNext w:val="0"/>
        <w:pageBreakBefore w:val="0"/>
        <w:spacing w:line="440" w:lineRule="exact"/>
        <w:widowControl w:val="off"/>
        <w:tabs>
          <w:tab w:val="left" w:pos="63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3.传输保密信息须采用加密渠道，禁止通过非加密网络、普通邮件或社交软件传输。未经授权，不得复制、摘抄、传播保密信息。</w:t>
      </w:r>
      <w:r>
        <w:rPr>
          <w:rFonts w:ascii="宋体" w:hAnsi="宋体" w:cs="宋体"/>
        </w:rPr>
      </w:r>
      <w:r/>
    </w:p>
    <w:p>
      <w:pPr>
        <w:pStyle w:val="863"/>
        <w:numPr>
          <w:ilvl w:val="0"/>
          <w:numId w:val="5"/>
        </w:numPr>
        <w:keepLines w:val="0"/>
        <w:keepNext w:val="0"/>
        <w:pageBreakBefore w:val="0"/>
        <w:spacing w:line="440" w:lineRule="exact"/>
        <w:tabs>
          <w:tab w:val="left" w:pos="360" w:leader="none"/>
          <w:tab w:val="left" w:pos="540" w:leader="none"/>
        </w:tabs>
        <w:rPr>
          <w:rFonts w:hint="eastAsia" w:ascii="宋体" w:hAnsi="宋体" w:cs="宋体"/>
          <w:b/>
          <w:color w:val="000000"/>
          <w:sz w:val="21"/>
          <w:szCs w:val="21"/>
          <w:highlight w:val="none"/>
        </w:rPr>
        <w:outlineLvl w:val="9"/>
      </w:pPr>
      <w:r>
        <w:rPr>
          <w:rFonts w:ascii="宋体" w:hAnsi="宋体" w:cs="宋体"/>
        </w:rPr>
      </w:r>
      <w:bookmarkStart w:id="46" w:name="_Toc414602016"/>
      <w:r>
        <w:rPr>
          <w:rFonts w:hint="eastAsia" w:ascii="宋体" w:hAnsi="宋体" w:eastAsia="宋体" w:cs="宋体"/>
          <w:b/>
          <w:color w:val="000000"/>
          <w:sz w:val="21"/>
          <w:szCs w:val="21"/>
          <w:highlight w:val="none"/>
        </w:rPr>
        <w:t xml:space="preserve">综合说明及</w:t>
      </w:r>
      <w:r>
        <w:rPr>
          <w:rFonts w:hint="eastAsia" w:ascii="宋体" w:hAnsi="宋体" w:eastAsia="宋体" w:cs="宋体"/>
          <w:b/>
          <w:color w:val="000000"/>
          <w:sz w:val="21"/>
          <w:szCs w:val="21"/>
          <w:highlight w:val="none"/>
          <w:lang w:eastAsia="zh-CN"/>
        </w:rPr>
        <w:t xml:space="preserve">其他</w:t>
      </w:r>
      <w:r>
        <w:rPr>
          <w:rFonts w:hint="eastAsia" w:ascii="宋体" w:hAnsi="宋体" w:eastAsia="宋体" w:cs="宋体"/>
          <w:b/>
          <w:color w:val="000000"/>
          <w:sz w:val="21"/>
          <w:szCs w:val="21"/>
          <w:highlight w:val="none"/>
        </w:rPr>
        <w:t xml:space="preserve">要求</w:t>
      </w:r>
      <w:r>
        <w:rPr>
          <w:rFonts w:ascii="宋体" w:hAnsi="宋体" w:cs="宋体"/>
        </w:rPr>
      </w:r>
      <w:r/>
    </w:p>
    <w:p>
      <w:pPr>
        <w:pStyle w:val="924"/>
        <w:ind w:firstLine="420"/>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投标人对招标文件中提出的全部服务内容与要求，如果其中某些条款不响应时，应在文件中逐条列出，未列出的视同响应。</w:t>
      </w:r>
      <w:r>
        <w:rPr>
          <w:rFonts w:ascii="宋体" w:hAnsi="宋体" w:cs="宋体"/>
        </w:rPr>
      </w:r>
      <w:r/>
    </w:p>
    <w:p>
      <w:pPr>
        <w:pStyle w:val="924"/>
        <w:ind w:firstLine="420"/>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投标报价一次报定，应包含前端点位勘察部署、平台接入，明厨亮灶智慧监管平台系统运维、AI算法运营迭代优化、前端监控设备运维巡检（保养、故障维修、零部件更换）、数据运营分析、技术培训、技术支持服务等人工与技术服务费，以及材料、管理、利润、税金、政策性文件规定及合同包含的所有风险、责任等一切费用。</w:t>
      </w:r>
      <w:r>
        <w:rPr>
          <w:rFonts w:ascii="宋体" w:hAnsi="宋体" w:cs="宋体"/>
        </w:rPr>
      </w:r>
      <w:r/>
    </w:p>
    <w:p>
      <w:pPr>
        <w:pStyle w:val="924"/>
        <w:ind w:firstLine="420"/>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投标文件须如实进行响应，量化指标必须列明具体数值。投标单位在其投标文件中对于招标文件要求提供的货物或服务情况均须进行完整的阐述和说明。</w:t>
      </w:r>
      <w:r>
        <w:rPr>
          <w:rFonts w:ascii="宋体" w:hAnsi="宋体" w:cs="宋体"/>
        </w:rPr>
      </w:r>
      <w:r/>
    </w:p>
    <w:p>
      <w:pPr>
        <w:pStyle w:val="924"/>
        <w:ind w:firstLine="420"/>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投标单位须在投标报价中对所要采购的全部内容进行报价，只投其中部分内容者，其投标文件将被拒绝，采购人除支付本次采购项目的中标金额外不再承担其他任何费用。</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服务</w:t>
      </w:r>
      <w:r>
        <w:rPr>
          <w:rFonts w:hint="eastAsia" w:ascii="宋体" w:hAnsi="宋体" w:eastAsia="宋体" w:cs="宋体"/>
          <w:color w:val="000000"/>
          <w:sz w:val="21"/>
          <w:szCs w:val="21"/>
          <w:highlight w:val="none"/>
        </w:rPr>
        <w:t xml:space="preserve">期限：自合同签订之日起</w:t>
      </w:r>
      <w:r>
        <w:rPr>
          <w:rFonts w:hint="eastAsia" w:ascii="宋体" w:hAnsi="宋体" w:eastAsia="宋体" w:cs="宋体"/>
          <w:color w:val="000000"/>
          <w:sz w:val="21"/>
          <w:szCs w:val="21"/>
          <w:highlight w:val="none"/>
          <w:lang w:eastAsia="zh-CN"/>
        </w:rPr>
        <w:t xml:space="preserve">两</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bidi="ar"/>
        </w:rPr>
        <w:t xml:space="preserve">（具体实施时间节点以采购单位要求为准）。</w:t>
      </w:r>
      <w:r>
        <w:rPr>
          <w:rFonts w:ascii="宋体" w:hAnsi="宋体" w:cs="宋体"/>
        </w:rPr>
      </w:r>
      <w:r/>
    </w:p>
    <w:p>
      <w:pPr>
        <w:pStyle w:val="924"/>
        <w:ind w:firstLine="420"/>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项目地点：采购人指定地点。</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7.付款步骤：详见合同主要条款。</w:t>
      </w:r>
      <w:r>
        <w:rPr>
          <w:rFonts w:ascii="宋体" w:hAnsi="宋体" w:cs="宋体"/>
        </w:rPr>
      </w:r>
      <w:r/>
    </w:p>
    <w:p>
      <w:pPr>
        <w:pStyle w:val="924"/>
        <w:ind w:firstLine="420"/>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验收标准：本项目履约验收以《江苏省政府采购履约验收管理办法》（苏财规〔2024〕7号）、项目招标文件、中标人投标文件及双方签订的采购合同为依据，由采购人统一组织开展验收工作。</w:t>
      </w:r>
      <w:r>
        <w:rPr>
          <w:rFonts w:ascii="宋体" w:hAnsi="宋体" w:cs="宋体"/>
        </w:rPr>
      </w:r>
      <w:r/>
    </w:p>
    <w:p>
      <w:pPr>
        <w:pStyle w:val="924"/>
        <w:ind w:firstLine="420"/>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知识产权：供方应保证需方免除且供方承担由于需方在其本国使用该产品或该产品任何一部分时而引起第三方提出的侵犯专利权、商标权或工业设计权的起诉、行动、行政程序索赔、请求等以及需方为此而产生的损失和损害、费用和支出（包括律师费）。</w:t>
      </w:r>
      <w:r>
        <w:rPr>
          <w:rFonts w:ascii="宋体" w:hAnsi="宋体" w:cs="宋体"/>
        </w:rPr>
      </w:r>
      <w:r/>
    </w:p>
    <w:p>
      <w:pPr>
        <w:pStyle w:val="924"/>
        <w:ind w:firstLine="420"/>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投标单位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rPr>
          <w:rFonts w:ascii="宋体" w:hAnsi="宋体" w:cs="宋体"/>
        </w:rPr>
      </w:r>
      <w:r/>
    </w:p>
    <w:p>
      <w:pPr>
        <w:pStyle w:val="924"/>
        <w:ind w:firstLine="420"/>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凡涉及招标文件的补充说明和修改，均以</w:t>
      </w:r>
      <w:r>
        <w:rPr>
          <w:rFonts w:hint="eastAsia" w:ascii="宋体" w:hAnsi="宋体" w:eastAsia="宋体" w:cs="宋体"/>
          <w:color w:val="000000"/>
          <w:sz w:val="21"/>
          <w:szCs w:val="21"/>
          <w:highlight w:val="none"/>
          <w:lang w:eastAsia="zh-CN"/>
        </w:rPr>
        <w:t xml:space="preserve">中国政府采购网、</w:t>
      </w:r>
      <w:r>
        <w:rPr>
          <w:rFonts w:hint="eastAsia" w:ascii="宋体" w:hAnsi="宋体" w:eastAsia="宋体" w:cs="宋体"/>
          <w:color w:val="000000"/>
          <w:sz w:val="21"/>
          <w:szCs w:val="21"/>
          <w:highlight w:val="none"/>
        </w:rPr>
        <w:t xml:space="preserve">江苏政府采购网、苏州政府采购网发布的通知为准。</w:t>
      </w:r>
      <w:r>
        <w:rPr>
          <w:rFonts w:ascii="宋体" w:hAnsi="宋体" w:cs="宋体"/>
        </w:rPr>
      </w:r>
      <w:r/>
    </w:p>
    <w:p>
      <w:pPr>
        <w:pStyle w:val="863"/>
        <w:numPr>
          <w:ilvl w:val="0"/>
          <w:numId w:val="5"/>
        </w:numPr>
        <w:keepLines w:val="0"/>
        <w:keepNext w:val="0"/>
        <w:pageBreakBefore w:val="0"/>
        <w:spacing w:line="440" w:lineRule="exact"/>
        <w:tabs>
          <w:tab w:val="left" w:pos="360" w:leader="none"/>
          <w:tab w:val="left" w:pos="540" w:leader="none"/>
        </w:tabs>
        <w:rPr>
          <w:rFonts w:hint="eastAsia"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政府采购政策</w:t>
      </w:r>
      <w:r>
        <w:rPr>
          <w:rFonts w:ascii="宋体" w:hAnsi="宋体" w:cs="宋体"/>
        </w:rPr>
      </w:r>
      <w:r/>
    </w:p>
    <w:p>
      <w:pPr>
        <w:pStyle w:val="863"/>
        <w:ind w:firstLine="420"/>
        <w:keepLines w:val="0"/>
        <w:keepNext w:val="0"/>
        <w:pageBreakBefore w:val="0"/>
        <w:spacing w:line="44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1.小、微企业</w:t>
      </w:r>
      <w:r>
        <w:rPr>
          <w:rFonts w:hint="eastAsia" w:ascii="宋体" w:hAnsi="宋体" w:eastAsia="宋体" w:cs="宋体"/>
          <w:b/>
          <w:color w:val="000000"/>
          <w:sz w:val="21"/>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ascii="宋体" w:hAnsi="宋体" w:cs="宋体"/>
        </w:rPr>
      </w:r>
      <w:r/>
    </w:p>
    <w:p>
      <w:pPr>
        <w:pStyle w:val="863"/>
        <w:ind w:firstLine="420"/>
        <w:keepLines w:val="0"/>
        <w:keepNext w:val="0"/>
        <w:pageBreakBefore w:val="0"/>
        <w:spacing w:beforeAutospacing="0" w:after="0" w:afterAutospacing="0" w:line="440" w:lineRule="exact"/>
        <w:widowControl w:val="off"/>
        <w:tabs>
          <w:tab w:val="left" w:pos="567" w:leader="none"/>
        </w:tabs>
        <w:rPr>
          <w:rFonts w:hint="eastAsia" w:ascii="宋体" w:hAnsi="宋体" w:cs="宋体"/>
          <w:b/>
          <w:color w:val="000000"/>
          <w:sz w:val="21"/>
          <w:szCs w:val="21"/>
          <w:highlight w:val="none"/>
        </w:rPr>
      </w:pPr>
      <w:r>
        <w:rPr>
          <w:rFonts w:hint="eastAsia" w:ascii="宋体" w:hAnsi="宋体" w:eastAsia="宋体" w:cs="宋体"/>
          <w:color w:val="000000"/>
          <w:sz w:val="21"/>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rPr>
      </w:r>
      <w:r/>
    </w:p>
    <w:p>
      <w:pPr>
        <w:pStyle w:val="863"/>
        <w:ind w:firstLine="420"/>
        <w:keepLines w:val="0"/>
        <w:keepNext w:val="0"/>
        <w:pageBreakBefore w:val="0"/>
        <w:spacing w:beforeAutospacing="0" w:after="0" w:afterAutospacing="0" w:line="440" w:lineRule="exact"/>
        <w:widowControl w:val="off"/>
        <w:tabs>
          <w:tab w:val="left" w:pos="567"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在政府采购活动中，供应商提供的服务符合下列情形的，享受《政府采购促进中小企业发展管理办法》规定的中小企业扶持政策，其投标报价扣除20%后参与评审。在服务采购项目中，服务由中小企业承接，即提供服务的人员为中小企业依照《中华人民共和国劳动合同法》订立劳动合同的从业人员。</w:t>
      </w:r>
      <w:r>
        <w:rPr>
          <w:rFonts w:ascii="宋体" w:hAnsi="宋体" w:cs="宋体"/>
        </w:rPr>
      </w:r>
      <w:r/>
    </w:p>
    <w:p>
      <w:pPr>
        <w:pStyle w:val="863"/>
        <w:ind w:firstLine="420"/>
        <w:keepLines w:val="0"/>
        <w:keepNext w:val="0"/>
        <w:pageBreakBefore w:val="0"/>
        <w:spacing w:beforeAutospacing="0" w:after="0" w:afterAutospacing="0" w:line="440" w:lineRule="exact"/>
        <w:widowControl w:val="off"/>
        <w:tabs>
          <w:tab w:val="left" w:pos="420" w:leader="none"/>
          <w:tab w:val="left" w:pos="1260" w:leader="none"/>
          <w:tab w:val="left" w:pos="1440" w:leader="none"/>
        </w:tabs>
        <w:rPr>
          <w:rFonts w:hint="eastAsia" w:ascii="宋体" w:hAnsi="宋体" w:cs="宋体"/>
          <w:b/>
          <w:color w:val="000000"/>
          <w:sz w:val="21"/>
          <w:szCs w:val="21"/>
          <w:highlight w:val="none"/>
        </w:rPr>
      </w:pPr>
      <w:r>
        <w:rPr>
          <w:rFonts w:hint="eastAsia" w:ascii="宋体" w:hAnsi="宋体" w:eastAsia="宋体" w:cs="宋体"/>
          <w:color w:val="000000"/>
          <w:sz w:val="21"/>
          <w:szCs w:val="21"/>
          <w:highlight w:val="none"/>
        </w:rPr>
        <w:t xml:space="preserve">根据《政府采购促进中小企业发展管理办法》（财库〔2020〕46号）及《中小企业划型标准规定》（工信部联企业〔2011〕300号），</w:t>
      </w:r>
      <w:r>
        <w:rPr>
          <w:rFonts w:hint="eastAsia" w:ascii="宋体" w:hAnsi="宋体" w:eastAsia="宋体" w:cs="宋体"/>
          <w:b/>
          <w:color w:val="000000"/>
          <w:sz w:val="21"/>
          <w:szCs w:val="21"/>
          <w:highlight w:val="none"/>
        </w:rPr>
        <w:t xml:space="preserve">本采购标的对应的中小企业划分标准所属行业为：</w:t>
      </w:r>
      <w:r>
        <w:rPr>
          <w:rFonts w:hint="eastAsia" w:ascii="宋体" w:hAnsi="宋体" w:eastAsia="宋体" w:cs="宋体"/>
          <w:b/>
          <w:bCs/>
          <w:color w:val="000000"/>
          <w:sz w:val="21"/>
          <w:szCs w:val="21"/>
          <w:highlight w:val="none"/>
          <w:lang w:eastAsia="zh-CN"/>
        </w:rPr>
        <w:t xml:space="preserve">其他未列明行业</w:t>
      </w:r>
      <w:r>
        <w:rPr>
          <w:rFonts w:hint="eastAsia" w:ascii="宋体" w:hAnsi="宋体" w:eastAsia="宋体" w:cs="宋体"/>
          <w:b/>
          <w:bCs/>
          <w:color w:val="000000"/>
          <w:sz w:val="21"/>
          <w:szCs w:val="21"/>
          <w:highlight w:val="none"/>
        </w:rPr>
        <w:t xml:space="preserve">。</w:t>
      </w:r>
      <w:r>
        <w:rPr>
          <w:rFonts w:ascii="宋体" w:hAnsi="宋体" w:cs="宋体"/>
        </w:rPr>
      </w:r>
      <w:r/>
    </w:p>
    <w:p>
      <w:pPr>
        <w:pStyle w:val="863"/>
        <w:ind w:firstLine="420"/>
        <w:keepLines w:val="0"/>
        <w:keepNext w:val="0"/>
        <w:pageBreakBefore w:val="0"/>
        <w:spacing w:line="44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2.残疾人福利性单位</w:t>
      </w:r>
      <w:r>
        <w:rPr>
          <w:rFonts w:hint="eastAsia" w:ascii="宋体" w:hAnsi="宋体" w:eastAsia="宋体" w:cs="宋体"/>
          <w:b/>
          <w:color w:val="000000"/>
          <w:sz w:val="21"/>
          <w:szCs w:val="21"/>
          <w:highlight w:val="none"/>
        </w:rPr>
        <w:t xml:space="preserve">（若为专门面向中小企业采购的项目或者采购包，不再执行价格评审优惠的扶持政策）</w:t>
      </w:r>
      <w:r>
        <w:rPr>
          <w:rFonts w:ascii="宋体" w:hAnsi="宋体" w:cs="宋体"/>
        </w:rPr>
      </w:r>
      <w:r/>
    </w:p>
    <w:p>
      <w:pPr>
        <w:pStyle w:val="863"/>
        <w:ind w:firstLine="420"/>
        <w:keepLines w:val="0"/>
        <w:keepNext w:val="0"/>
        <w:pageBreakBefore w:val="0"/>
        <w:spacing w:line="44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rPr>
      </w:r>
      <w:r/>
    </w:p>
    <w:p>
      <w:pPr>
        <w:pStyle w:val="863"/>
        <w:ind w:firstLine="420"/>
        <w:keepLines w:val="0"/>
        <w:keepNext w:val="0"/>
        <w:pageBreakBefore w:val="0"/>
        <w:spacing w:line="44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3.监狱企业</w:t>
      </w:r>
      <w:r>
        <w:rPr>
          <w:rFonts w:hint="eastAsia" w:ascii="宋体" w:hAnsi="宋体" w:eastAsia="宋体" w:cs="宋体"/>
          <w:b/>
          <w:color w:val="000000"/>
          <w:sz w:val="21"/>
          <w:szCs w:val="21"/>
          <w:highlight w:val="none"/>
        </w:rPr>
        <w:t xml:space="preserve">（若为专门面向中小企业采购的项目或者采购包，不再执行价格评审优惠的扶持政策）</w:t>
      </w:r>
      <w:r>
        <w:rPr>
          <w:rFonts w:ascii="宋体" w:hAnsi="宋体" w:cs="宋体"/>
        </w:rPr>
      </w:r>
      <w:r/>
    </w:p>
    <w:p>
      <w:pPr>
        <w:pStyle w:val="863"/>
        <w:ind w:firstLine="420"/>
        <w:keepLines w:val="0"/>
        <w:keepNext w:val="0"/>
        <w:pageBreakBefore w:val="0"/>
        <w:spacing w:line="44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cs="宋体"/>
        </w:rPr>
      </w:r>
      <w:r/>
    </w:p>
    <w:p>
      <w:pPr>
        <w:pStyle w:val="863"/>
        <w:ind w:firstLine="420"/>
        <w:keepLines w:val="0"/>
        <w:keepNext w:val="0"/>
        <w:pageBreakBefore w:val="0"/>
        <w:spacing w:line="44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ascii="宋体" w:hAnsi="宋体" w:cs="宋体"/>
        </w:rPr>
      </w:r>
      <w:r/>
    </w:p>
    <w:p>
      <w:pPr>
        <w:pStyle w:val="863"/>
        <w:ind w:firstLine="420"/>
        <w:keepLines w:val="0"/>
        <w:keepNext w:val="0"/>
        <w:pageBreakBefore w:val="0"/>
        <w:spacing w:line="44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对本国产品的支持政策</w:t>
      </w:r>
      <w:r>
        <w:rPr>
          <w:rFonts w:hint="eastAsia" w:ascii="宋体" w:hAnsi="宋体" w:eastAsia="宋体" w:cs="宋体"/>
          <w:color w:val="000000"/>
          <w:sz w:val="21"/>
          <w:szCs w:val="21"/>
          <w:highlight w:val="none"/>
          <w:lang w:eastAsia="zh-CN"/>
        </w:rPr>
        <w:t xml:space="preserve">（本项目不涉及）</w:t>
      </w:r>
      <w:r>
        <w:rPr>
          <w:rFonts w:ascii="宋体" w:hAnsi="宋体" w:cs="宋体"/>
        </w:rPr>
      </w:r>
      <w:r/>
    </w:p>
    <w:p>
      <w:pPr>
        <w:pStyle w:val="863"/>
        <w:ind w:firstLine="420"/>
        <w:keepLines w:val="0"/>
        <w:keepNext w:val="0"/>
        <w:pageBreakBefore w:val="0"/>
        <w:spacing w:line="44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根据《国务院办公厅关于在</w:t>
      </w:r>
      <w:r>
        <w:rPr>
          <w:rFonts w:hint="eastAsia" w:ascii="宋体" w:hAnsi="宋体" w:eastAsia="宋体" w:cs="宋体"/>
          <w:color w:val="000000"/>
          <w:sz w:val="21"/>
          <w:szCs w:val="21"/>
          <w:highlight w:val="none"/>
          <w:lang w:eastAsia="zh-CN"/>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cs="宋体"/>
        </w:rPr>
      </w:r>
      <w:r/>
    </w:p>
    <w:p>
      <w:pPr>
        <w:pStyle w:val="863"/>
        <w:ind w:firstLine="422"/>
        <w:keepLines w:val="0"/>
        <w:keepNext w:val="0"/>
        <w:pageBreakBefore w:val="0"/>
        <w:spacing w:line="440" w:lineRule="exact"/>
        <w:widowControl w:val="off"/>
        <w:tabs>
          <w:tab w:val="left" w:pos="567"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rPr>
      </w:r>
      <w:r/>
    </w:p>
    <w:p>
      <w:pPr>
        <w:pStyle w:val="863"/>
        <w:ind w:firstLine="420"/>
        <w:keepLines w:val="0"/>
        <w:keepNext w:val="0"/>
        <w:pageBreakBefore w:val="0"/>
        <w:spacing w:line="44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rPr>
      </w:r>
      <w:r/>
    </w:p>
    <w:p>
      <w:pPr>
        <w:pStyle w:val="863"/>
        <w:ind w:firstLine="420"/>
        <w:keepLines w:val="0"/>
        <w:keepNext w:val="0"/>
        <w:pageBreakBefore w:val="0"/>
        <w:spacing w:line="44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rPr>
          <w:rFonts w:ascii="宋体" w:hAnsi="宋体" w:cs="宋体"/>
        </w:rPr>
      </w:r>
      <w:r/>
    </w:p>
    <w:p>
      <w:pPr>
        <w:pStyle w:val="863"/>
        <w:ind w:firstLine="420"/>
        <w:keepLines w:val="0"/>
        <w:keepNext w:val="0"/>
        <w:pageBreakBefore w:val="0"/>
        <w:spacing w:line="44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绿色采购</w:t>
      </w:r>
      <w:r>
        <w:rPr>
          <w:rFonts w:hint="eastAsia" w:ascii="宋体" w:hAnsi="宋体" w:eastAsia="宋体" w:cs="宋体"/>
          <w:color w:val="000000"/>
          <w:sz w:val="21"/>
          <w:szCs w:val="21"/>
          <w:highlight w:val="none"/>
          <w:lang w:eastAsia="zh-CN"/>
        </w:rPr>
        <w:t xml:space="preserve">（本项目不涉及）</w:t>
      </w:r>
      <w:r>
        <w:rPr>
          <w:rFonts w:ascii="宋体" w:hAnsi="宋体" w:cs="宋体"/>
        </w:rPr>
      </w:r>
      <w:r/>
    </w:p>
    <w:p>
      <w:pPr>
        <w:pStyle w:val="863"/>
        <w:ind w:firstLine="420"/>
        <w:keepLines w:val="0"/>
        <w:keepNext w:val="0"/>
        <w:pageBreakBefore w:val="0"/>
        <w:spacing w:line="44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bCs/>
          <w:color w:val="000000"/>
          <w:sz w:val="21"/>
          <w:szCs w:val="21"/>
          <w:highlight w:val="none"/>
        </w:rPr>
        <w:t xml:space="preserve">（1）根</w:t>
      </w:r>
      <w:r>
        <w:rPr>
          <w:rFonts w:hint="eastAsia" w:ascii="宋体" w:hAnsi="宋体" w:eastAsia="宋体" w:cs="宋体"/>
          <w:color w:val="000000"/>
          <w:sz w:val="21"/>
          <w:szCs w:val="21"/>
          <w:highlight w:val="none"/>
        </w:rPr>
        <w:t xml:space="preserve">据《关于调整优化节能产品、环境标志产品政府采购执行机制的通知》（财库〔2019〕9号）等相关文件的规定，</w:t>
      </w:r>
      <w:r>
        <w:rPr>
          <w:rFonts w:hint="eastAsia" w:ascii="宋体" w:hAnsi="宋体" w:eastAsia="宋体" w:cs="宋体"/>
          <w:b/>
          <w:color w:val="000000"/>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并在投标文件中提供由国家确定的认证机构出具的、处于有效期之内的节能产品认证证书复印件，否则视为未实质性响应。</w:t>
      </w:r>
      <w:r>
        <w:rPr>
          <w:rFonts w:ascii="宋体" w:hAnsi="宋体" w:cs="宋体"/>
        </w:rPr>
      </w:r>
      <w:r/>
    </w:p>
    <w:p>
      <w:pPr>
        <w:pStyle w:val="863"/>
        <w:ind w:firstLine="420"/>
        <w:keepLines w:val="0"/>
        <w:keepNext w:val="0"/>
        <w:pageBreakBefore w:val="0"/>
        <w:spacing w:line="44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rPr>
      </w:r>
      <w:r/>
    </w:p>
    <w:p>
      <w:pPr>
        <w:pStyle w:val="863"/>
        <w:ind w:firstLine="420"/>
        <w:keepLines w:val="0"/>
        <w:keepNext w:val="0"/>
        <w:pageBreakBefore w:val="0"/>
        <w:spacing w:line="44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cs="宋体"/>
        </w:rPr>
      </w:r>
      <w:r/>
    </w:p>
    <w:p>
      <w:pPr>
        <w:pStyle w:val="863"/>
        <w:ind w:firstLine="420"/>
        <w:keepLines w:val="0"/>
        <w:keepNext w:val="0"/>
        <w:pageBreakBefore w:val="0"/>
        <w:spacing w:line="44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p>
      <w:pPr>
        <w:pStyle w:val="924"/>
        <w:ind w:firstLine="0"/>
        <w:jc w:val="center"/>
        <w:spacing w:before="166" w:after="166" w:line="440" w:lineRule="exact"/>
        <w:rPr>
          <w:rFonts w:ascii="宋体" w:hAnsi="宋体" w:cs="宋体"/>
          <w:b/>
          <w:bCs/>
          <w:color w:val="000000"/>
          <w:sz w:val="21"/>
          <w:szCs w:val="21"/>
          <w:highlight w:val="none"/>
        </w:rPr>
        <w:outlineLvl w:val="0"/>
      </w:pPr>
      <w:r>
        <w:rPr>
          <w:rFonts w:ascii="宋体" w:hAnsi="宋体" w:cs="宋体"/>
          <w:color w:val="000000"/>
          <w:sz w:val="21"/>
          <w:szCs w:val="21"/>
          <w:highlight w:val="none"/>
        </w:rPr>
        <w:br w:type="page" w:clear="all"/>
      </w:r>
      <w:bookmarkStart w:id="47" w:name="_Toc4087"/>
      <w:r>
        <w:rPr>
          <w:rFonts w:ascii="宋体" w:hAnsi="宋体" w:eastAsia="宋体" w:cs="宋体"/>
          <w:b/>
          <w:bCs/>
          <w:color w:val="000000"/>
          <w:sz w:val="44"/>
          <w:szCs w:val="44"/>
          <w:highlight w:val="none"/>
        </w:rPr>
        <w:t xml:space="preserve">第五章 合同主要条款</w:t>
      </w:r>
      <w:bookmarkEnd w:id="46"/>
      <w:r>
        <w:rPr>
          <w:rFonts w:ascii="宋体" w:hAnsi="宋体" w:cs="宋体"/>
        </w:rPr>
      </w:r>
      <w:bookmarkEnd w:id="47"/>
      <w:r>
        <w:rPr>
          <w:rFonts w:ascii="宋体" w:hAnsi="宋体" w:cs="宋体"/>
          <w:color w:val="000000"/>
          <w:sz w:val="21"/>
          <w:szCs w:val="21"/>
          <w:highlight w:val="none"/>
          <w:lang w:val="zh-CN"/>
        </w:rPr>
        <w:t xml:space="preserve">            </w:t>
      </w:r>
      <w:r>
        <w:rPr>
          <w:rFonts w:ascii="宋体" w:hAnsi="宋体" w:cs="宋体"/>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46"/>
        <w:gridCol w:w="4196"/>
      </w:tblGrid>
      <w:tr>
        <w:trPr>
          <w:trHeight w:val="340"/>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63"/>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甲方（采购人）：</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196" w:type="dxa"/>
            <w:vAlign w:val="center"/>
            <w:textDirection w:val="lrTb"/>
            <w:noWrap w:val="false"/>
          </w:tcPr>
          <w:p>
            <w:pPr>
              <w:pStyle w:val="863"/>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单位地址：</w:t>
            </w:r>
            <w:r>
              <w:rPr>
                <w:rFonts w:ascii="宋体" w:hAnsi="宋体" w:cs="宋体"/>
              </w:rPr>
            </w:r>
            <w:r/>
          </w:p>
        </w:tc>
      </w:tr>
      <w:tr>
        <w:trPr>
          <w:trHeight w:val="340"/>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63"/>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乙方（供应商）：</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196" w:type="dxa"/>
            <w:vAlign w:val="center"/>
            <w:textDirection w:val="lrTb"/>
            <w:noWrap w:val="false"/>
          </w:tcPr>
          <w:p>
            <w:pPr>
              <w:pStyle w:val="863"/>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单位地址：</w:t>
            </w:r>
            <w:r>
              <w:rPr>
                <w:rFonts w:ascii="宋体" w:hAnsi="宋体" w:cs="宋体"/>
              </w:rPr>
            </w:r>
            <w:r/>
          </w:p>
        </w:tc>
      </w:tr>
      <w:tr>
        <w:trPr>
          <w:trHeight w:val="340"/>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63"/>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签订日期：</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196" w:type="dxa"/>
            <w:vAlign w:val="center"/>
            <w:textDirection w:val="lrTb"/>
            <w:noWrap w:val="false"/>
          </w:tcPr>
          <w:p>
            <w:pPr>
              <w:pStyle w:val="863"/>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签订地点：</w:t>
            </w:r>
            <w:r>
              <w:rPr>
                <w:rFonts w:ascii="宋体" w:hAnsi="宋体" w:cs="宋体"/>
              </w:rPr>
            </w:r>
            <w:r/>
          </w:p>
        </w:tc>
      </w:tr>
    </w:tbl>
    <w:p>
      <w:pPr>
        <w:pStyle w:val="863"/>
        <w:ind w:firstLine="420"/>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依据甲方委托</w:t>
      </w:r>
      <w:r>
        <w:rPr>
          <w:rFonts w:hint="eastAsia" w:ascii="宋体" w:hAnsi="宋体" w:eastAsia="宋体" w:cs="宋体"/>
          <w:color w:val="000000"/>
          <w:sz w:val="21"/>
          <w:szCs w:val="21"/>
          <w:highlight w:val="none"/>
          <w:u w:val="single"/>
        </w:rPr>
        <w:t xml:space="preserve">苏州欣禾诚工程咨询服务有限公司</w:t>
      </w:r>
      <w:r>
        <w:rPr>
          <w:rFonts w:hint="eastAsia" w:ascii="宋体" w:hAnsi="宋体" w:eastAsia="宋体" w:cs="宋体"/>
          <w:color w:val="000000"/>
          <w:sz w:val="21"/>
          <w:szCs w:val="21"/>
          <w:highlight w:val="none"/>
        </w:rPr>
        <w:t xml:space="preserve">进行本项目</w:t>
      </w:r>
      <w:r>
        <w:rPr>
          <w:rFonts w:hint="eastAsia" w:ascii="宋体" w:hAnsi="宋体" w:eastAsia="宋体" w:cs="宋体"/>
          <w:color w:val="000000"/>
          <w:sz w:val="21"/>
          <w:szCs w:val="21"/>
          <w:highlight w:val="none"/>
          <w:lang w:eastAsia="zh-CN"/>
        </w:rPr>
        <w:t xml:space="preserve">即</w:t>
      </w:r>
      <w:r>
        <w:rPr>
          <w:rFonts w:hint="eastAsia" w:ascii="宋体" w:hAnsi="宋体" w:eastAsia="宋体" w:cs="宋体"/>
          <w:color w:val="000000"/>
          <w:sz w:val="21"/>
          <w:szCs w:val="21"/>
          <w:highlight w:val="none"/>
          <w:u w:val="single"/>
          <w:lang w:eastAsia="zh-CN"/>
        </w:rPr>
        <w:t xml:space="preserve">2026年-2027年度食品安全AI可视化监管服务</w:t>
      </w:r>
      <w:r>
        <w:rPr>
          <w:rFonts w:hint="eastAsia" w:ascii="宋体" w:hAnsi="宋体" w:eastAsia="宋体" w:cs="宋体"/>
          <w:bCs/>
          <w:color w:val="000000"/>
          <w:sz w:val="21"/>
          <w:szCs w:val="21"/>
          <w:highlight w:val="none"/>
          <w:u w:val="single"/>
        </w:rPr>
        <w:t xml:space="preserve">（</w:t>
      </w:r>
      <w:r>
        <w:rPr>
          <w:rFonts w:hint="eastAsia" w:ascii="宋体" w:hAnsi="宋体" w:eastAsia="宋体" w:cs="宋体"/>
          <w:bCs/>
          <w:color w:val="000000"/>
          <w:sz w:val="21"/>
          <w:szCs w:val="21"/>
          <w:highlight w:val="none"/>
          <w:u w:val="single"/>
          <w:lang w:eastAsia="zh-CN"/>
        </w:rPr>
        <w:t xml:space="preserve">招标</w:t>
      </w:r>
      <w:r>
        <w:rPr>
          <w:rFonts w:hint="eastAsia" w:ascii="宋体" w:hAnsi="宋体" w:eastAsia="宋体" w:cs="宋体"/>
          <w:bCs/>
          <w:color w:val="000000"/>
          <w:sz w:val="21"/>
          <w:szCs w:val="21"/>
          <w:highlight w:val="none"/>
          <w:u w:val="single"/>
        </w:rPr>
        <w:t xml:space="preserve">编号：</w:t>
      </w:r>
      <w:r>
        <w:rPr>
          <w:rFonts w:hint="eastAsia" w:ascii="宋体" w:hAnsi="宋体" w:eastAsia="宋体" w:cs="宋体"/>
          <w:color w:val="000000"/>
          <w:sz w:val="21"/>
          <w:szCs w:val="21"/>
          <w:highlight w:val="none"/>
          <w:u w:val="single"/>
          <w:lang w:eastAsia="zh-CN"/>
        </w:rPr>
        <w:t xml:space="preserve">JSZC-320509-SXHC-G2026-0018</w:t>
      </w:r>
      <w:r>
        <w:rPr>
          <w:rFonts w:hint="eastAsia" w:ascii="宋体" w:hAnsi="宋体" w:eastAsia="宋体" w:cs="宋体"/>
          <w:bCs/>
          <w:color w:val="000000"/>
          <w:sz w:val="21"/>
          <w:szCs w:val="21"/>
          <w:highlight w:val="none"/>
          <w:u w:val="single"/>
        </w:rPr>
        <w:t xml:space="preserve">）</w:t>
      </w:r>
      <w:r>
        <w:rPr>
          <w:rFonts w:hint="eastAsia" w:ascii="宋体" w:hAnsi="宋体" w:eastAsia="宋体" w:cs="宋体"/>
          <w:color w:val="000000"/>
          <w:sz w:val="21"/>
          <w:szCs w:val="21"/>
          <w:highlight w:val="none"/>
        </w:rPr>
        <w:t xml:space="preserve">政府采购的招标结果，确定乙方为本次中标供应商，现依照招标文件、乙方的投标文件及相关文件的内容，签订本合同书。</w:t>
      </w:r>
      <w:r>
        <w:rPr>
          <w:rFonts w:ascii="宋体" w:hAnsi="宋体" w:cs="宋体"/>
        </w:rPr>
      </w:r>
      <w:r/>
    </w:p>
    <w:p>
      <w:pPr>
        <w:pStyle w:val="863"/>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一、合同所涉及的服务基本情况及范围</w:t>
      </w:r>
      <w:r>
        <w:rPr>
          <w:rFonts w:ascii="宋体" w:hAnsi="宋体" w:cs="宋体"/>
        </w:rPr>
      </w:r>
      <w:r/>
    </w:p>
    <w:p>
      <w:pPr>
        <w:pStyle w:val="875"/>
        <w:ind w:left="0" w:firstLine="420"/>
        <w:jc w:val="both"/>
        <w:keepLines w:val="0"/>
        <w:keepNext w:val="0"/>
        <w:pageBreakBefore w:val="0"/>
        <w:spacing w:after="0" w:line="440" w:lineRule="exact"/>
        <w:widowControl w:val="off"/>
        <w:rPr>
          <w:rFonts w:hint="eastAsia" w:ascii="宋体" w:hAnsi="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1.乙方负责</w:t>
      </w:r>
      <w:r>
        <w:rPr>
          <w:rFonts w:hint="eastAsia" w:ascii="宋体" w:hAnsi="宋体" w:eastAsia="宋体" w:cs="宋体"/>
          <w:b w:val="0"/>
          <w:bCs w:val="0"/>
          <w:color w:val="000000"/>
          <w:sz w:val="21"/>
          <w:szCs w:val="21"/>
          <w:highlight w:val="none"/>
          <w:u w:val="single"/>
          <w:lang w:val="en-US" w:eastAsia="zh-CN"/>
        </w:rPr>
        <w:t xml:space="preserve">2026年-2027年度食品安全AI可视化监管服务</w:t>
      </w:r>
      <w:r>
        <w:rPr>
          <w:rFonts w:hint="eastAsia" w:ascii="宋体" w:hAnsi="宋体" w:eastAsia="宋体" w:cs="宋体"/>
          <w:b w:val="0"/>
          <w:bCs w:val="0"/>
          <w:color w:val="000000"/>
          <w:sz w:val="21"/>
          <w:szCs w:val="21"/>
          <w:highlight w:val="none"/>
          <w:u w:val="none"/>
          <w:lang w:val="en-US" w:eastAsia="zh-CN"/>
        </w:rPr>
        <w:t xml:space="preserve">项目</w:t>
      </w:r>
      <w:r>
        <w:rPr>
          <w:rFonts w:hint="eastAsia" w:ascii="宋体" w:hAnsi="宋体" w:eastAsia="宋体" w:cs="宋体"/>
          <w:b w:val="0"/>
          <w:bCs w:val="0"/>
          <w:color w:val="000000"/>
          <w:sz w:val="21"/>
          <w:szCs w:val="21"/>
          <w:highlight w:val="none"/>
          <w:lang w:val="en-US" w:eastAsia="zh-CN"/>
        </w:rPr>
        <w:t xml:space="preserve">的全流程实施。合同有效期内，任何一方不得擅自变更、中止、解除合同；未经双方书面同意单方违约的，由违约方承担全部违约责任。乙方未按本合同、招标文件履约的，甲方有权要求限期整改、暂缓支付费用或单方解除合同。</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下列文件为本合同不可分割部分，与本合同具有同等法律效力：</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中标通知书；</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CN"/>
        </w:rPr>
        <w:t xml:space="preserve">乙方的投标文件；</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招标文件及其附件；</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乙方在招投标过程中所作的其他承诺、声明、书面澄清等；</w:t>
      </w:r>
      <w:r>
        <w:rPr>
          <w:rFonts w:ascii="宋体" w:hAnsi="宋体" w:cs="宋体"/>
        </w:rPr>
      </w:r>
      <w:r/>
    </w:p>
    <w:p>
      <w:pPr>
        <w:pStyle w:val="863"/>
        <w:ind w:firstLine="420"/>
        <w:keepLines w:val="0"/>
        <w:keepNext w:val="0"/>
        <w:pageBreakBefore w:val="0"/>
        <w:spacing w:line="440" w:lineRule="exact"/>
        <w:widowControl/>
        <w:rPr>
          <w:rFonts w:hint="eastAsia" w:ascii="宋体" w:hAnsi="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zh-CN" w:eastAsia="zh-CN"/>
        </w:rPr>
        <w:t xml:space="preserve">合同附件。</w:t>
      </w:r>
      <w:r>
        <w:rPr>
          <w:rFonts w:ascii="宋体" w:hAnsi="宋体" w:cs="宋体"/>
        </w:rPr>
      </w:r>
      <w:r/>
    </w:p>
    <w:p>
      <w:pPr>
        <w:pStyle w:val="863"/>
        <w:ind w:firstLine="420"/>
        <w:keepLines w:val="0"/>
        <w:keepNext w:val="0"/>
        <w:pageBreakBefore w:val="0"/>
        <w:spacing w:line="440" w:lineRule="exact"/>
        <w:widowControl/>
        <w:rPr>
          <w:rFonts w:hint="eastAsia" w:ascii="宋体" w:hAnsi="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上述内容有冲突的，以有利于甲方、标准高的为准。</w:t>
      </w:r>
      <w:r>
        <w:rPr>
          <w:rFonts w:ascii="宋体" w:hAnsi="宋体" w:cs="宋体"/>
        </w:rPr>
      </w:r>
      <w:r/>
    </w:p>
    <w:p>
      <w:pPr>
        <w:pStyle w:val="863"/>
        <w:ind w:firstLine="420"/>
        <w:keepLines w:val="0"/>
        <w:keepNext w:val="0"/>
        <w:pageBreakBefore w:val="0"/>
        <w:spacing w:line="440" w:lineRule="exact"/>
        <w:widowControl/>
        <w:rPr>
          <w:rFonts w:hint="eastAsia" w:ascii="宋体" w:hAnsi="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3.合同内容：具体包括但不限于前端点位部署与平台接入服务、AI算法运营服务、前端设备运维服务，具体详见招标文件、乙方投标文件及服务内容等。</w:t>
      </w:r>
      <w:r>
        <w:rPr>
          <w:rFonts w:ascii="宋体" w:hAnsi="宋体" w:cs="宋体"/>
        </w:rPr>
      </w:r>
      <w:r/>
    </w:p>
    <w:p>
      <w:pPr>
        <w:pStyle w:val="863"/>
        <w:ind w:firstLine="420"/>
        <w:jc w:val="both"/>
        <w:keepLines w:val="0"/>
        <w:keepNext w:val="0"/>
        <w:pageBreakBefore w:val="0"/>
        <w:spacing w:line="440" w:lineRule="exact"/>
        <w:widowControl w:val="off"/>
        <w:tabs>
          <w:tab w:val="left" w:pos="630" w:leader="none"/>
        </w:tabs>
        <w:rPr>
          <w:rFonts w:hint="eastAsia" w:ascii="宋体" w:hAnsi="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bidi="ar"/>
        </w:rPr>
        <w:t xml:space="preserve">注：服务期内，本项目所使用的摄像头及配套传输设备所有权归乙方所有，甲方享有本项目项下服务对应的视频及AI监管服务使用权。服务期内，乙方负责自有设备的巡检、维保、维修、更换，相关全部费用包含在合同总价中，甲方无需另行支付设备购置、更换、维修等费用；因设备故障、损坏、丢失等产生的一切责任，由乙方承担。</w:t>
      </w:r>
      <w:r>
        <w:rPr>
          <w:rFonts w:ascii="宋体" w:hAnsi="宋体" w:cs="宋体"/>
        </w:rPr>
      </w:r>
      <w:r/>
    </w:p>
    <w:p>
      <w:pPr>
        <w:pStyle w:val="863"/>
        <w:ind w:firstLine="420"/>
        <w:jc w:val="both"/>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服务</w:t>
      </w:r>
      <w:r>
        <w:rPr>
          <w:rFonts w:hint="eastAsia" w:ascii="宋体" w:hAnsi="宋体" w:eastAsia="宋体" w:cs="宋体"/>
          <w:color w:val="000000"/>
          <w:sz w:val="21"/>
          <w:szCs w:val="21"/>
          <w:highlight w:val="none"/>
        </w:rPr>
        <w:t xml:space="preserve">期限：自合同签订之日起</w:t>
      </w:r>
      <w:r>
        <w:rPr>
          <w:rFonts w:hint="eastAsia" w:ascii="宋体" w:hAnsi="宋体" w:eastAsia="宋体" w:cs="宋体"/>
          <w:color w:val="000000"/>
          <w:sz w:val="21"/>
          <w:szCs w:val="21"/>
          <w:highlight w:val="none"/>
          <w:lang w:eastAsia="zh-CN"/>
        </w:rPr>
        <w:t xml:space="preserve">两</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bidi="ar"/>
        </w:rPr>
        <w:t xml:space="preserve">（具体实施时间节点以甲方要求为准）。</w:t>
      </w:r>
      <w:r>
        <w:rPr>
          <w:rFonts w:ascii="宋体" w:hAnsi="宋体" w:cs="宋体"/>
        </w:rPr>
      </w:r>
      <w:r/>
    </w:p>
    <w:p>
      <w:pPr>
        <w:pStyle w:val="863"/>
        <w:ind w:firstLine="420"/>
        <w:jc w:val="both"/>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5.服务地点：甲方指定地点。</w:t>
      </w:r>
      <w:r>
        <w:rPr>
          <w:rFonts w:ascii="宋体" w:hAnsi="宋体" w:cs="宋体"/>
        </w:rPr>
      </w:r>
      <w:r/>
    </w:p>
    <w:p>
      <w:pPr>
        <w:pStyle w:val="863"/>
        <w:keepLines w:val="0"/>
        <w:keepNext w:val="0"/>
        <w:pageBreakBefore w:val="0"/>
        <w:spacing w:line="44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二、</w:t>
      </w:r>
      <w:r>
        <w:rPr>
          <w:rFonts w:hint="eastAsia" w:ascii="宋体" w:hAnsi="宋体" w:eastAsia="宋体" w:cs="宋体"/>
          <w:b/>
          <w:color w:val="000000"/>
          <w:sz w:val="21"/>
          <w:szCs w:val="21"/>
          <w:highlight w:val="none"/>
          <w:lang w:eastAsia="zh-CN"/>
        </w:rPr>
        <w:t xml:space="preserve">合同</w:t>
      </w:r>
      <w:r>
        <w:rPr>
          <w:rFonts w:hint="eastAsia" w:ascii="宋体" w:hAnsi="宋体" w:eastAsia="宋体" w:cs="宋体"/>
          <w:b/>
          <w:color w:val="000000"/>
          <w:sz w:val="21"/>
          <w:szCs w:val="21"/>
          <w:highlight w:val="none"/>
        </w:rPr>
        <w:t xml:space="preserve">价格与支付</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bidi="ar"/>
        </w:rPr>
        <w:t xml:space="preserve">本合同总价款为（大写）人民币</w:t>
      </w:r>
      <w:r>
        <w:rPr>
          <w:rFonts w:hint="eastAsia" w:ascii="宋体" w:hAnsi="宋体" w:eastAsia="宋体" w:cs="宋体"/>
          <w:color w:val="000000"/>
          <w:sz w:val="21"/>
          <w:szCs w:val="21"/>
          <w:highlight w:val="none"/>
          <w:u w:val="single"/>
          <w:lang w:bidi="ar"/>
        </w:rPr>
        <w:t xml:space="preserve">              </w:t>
      </w:r>
      <w:r>
        <w:rPr>
          <w:rFonts w:hint="eastAsia" w:ascii="宋体" w:hAnsi="宋体" w:eastAsia="宋体" w:cs="宋体"/>
          <w:color w:val="000000"/>
          <w:sz w:val="21"/>
          <w:szCs w:val="21"/>
          <w:highlight w:val="none"/>
          <w:lang w:bidi="ar"/>
        </w:rPr>
        <w:t xml:space="preserve">（小写）¥</w:t>
      </w:r>
      <w:r>
        <w:rPr>
          <w:rFonts w:hint="eastAsia" w:ascii="宋体" w:hAnsi="宋体" w:eastAsia="宋体" w:cs="宋体"/>
          <w:color w:val="000000"/>
          <w:sz w:val="21"/>
          <w:szCs w:val="21"/>
          <w:highlight w:val="none"/>
          <w:u w:val="single"/>
          <w:lang w:bidi="ar"/>
        </w:rPr>
        <w:t xml:space="preserve">           </w:t>
      </w:r>
      <w:r>
        <w:rPr>
          <w:rFonts w:hint="eastAsia" w:ascii="宋体" w:hAnsi="宋体" w:eastAsia="宋体" w:cs="宋体"/>
          <w:color w:val="000000"/>
          <w:sz w:val="21"/>
          <w:szCs w:val="21"/>
          <w:highlight w:val="none"/>
          <w:lang w:bidi="ar"/>
        </w:rPr>
        <w:t xml:space="preserve">元。合同总价款</w:t>
      </w:r>
      <w:r>
        <w:rPr>
          <w:rFonts w:hint="eastAsia" w:ascii="宋体" w:hAnsi="宋体" w:eastAsia="宋体" w:cs="宋体"/>
          <w:color w:val="000000"/>
          <w:sz w:val="21"/>
          <w:szCs w:val="21"/>
          <w:highlight w:val="none"/>
          <w:lang w:val="en-US" w:eastAsia="zh-CN"/>
        </w:rPr>
        <w:t xml:space="preserve">应包含前端点位勘察部署、平台接入，明厨亮灶智慧监管平台系统运维、AI算法运营迭代优化、前端监控设备运维巡检（保养、故障维修、零部件更换）、数据运营分析、技术培训、技术支持服务等人工与技术服务费，以及材料、管理、利润、税金、政策性文件规定及合同包含的所有风险、责任等一切费用。</w:t>
      </w:r>
      <w:r>
        <w:rPr>
          <w:rFonts w:hint="eastAsia" w:ascii="宋体" w:hAnsi="宋体" w:eastAsia="宋体" w:cs="宋体"/>
          <w:color w:val="000000"/>
          <w:sz w:val="21"/>
          <w:szCs w:val="21"/>
          <w:highlight w:val="none"/>
        </w:rPr>
        <w:t xml:space="preserve">同时，除非合同条款中另有规定，否则，乙方所报</w:t>
      </w:r>
      <w:r>
        <w:rPr>
          <w:rFonts w:hint="eastAsia" w:ascii="宋体" w:hAnsi="宋体" w:eastAsia="宋体" w:cs="宋体"/>
          <w:color w:val="000000"/>
          <w:sz w:val="21"/>
          <w:szCs w:val="21"/>
          <w:highlight w:val="none"/>
          <w:lang w:eastAsia="zh-CN"/>
        </w:rPr>
        <w:t xml:space="preserve">价格</w:t>
      </w:r>
      <w:r>
        <w:rPr>
          <w:rFonts w:hint="eastAsia" w:ascii="宋体" w:hAnsi="宋体" w:eastAsia="宋体" w:cs="宋体"/>
          <w:color w:val="000000"/>
          <w:sz w:val="21"/>
          <w:szCs w:val="21"/>
          <w:highlight w:val="none"/>
        </w:rPr>
        <w:t xml:space="preserve">在合同实施期间不因市场变化因素而变动。</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根据现行税法对甲方征收的与本合同有关的一切税费均由甲方承担；根据现行税法对乙方征收的与本合同有关的一切税费均由乙方承担。</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付款步骤及方式：</w:t>
      </w:r>
      <w:r>
        <w:rPr>
          <w:rFonts w:ascii="宋体" w:hAnsi="宋体" w:cs="宋体"/>
        </w:rPr>
      </w:r>
      <w:r/>
    </w:p>
    <w:p>
      <w:pPr>
        <w:pStyle w:val="863"/>
        <w:ind w:firstLine="420"/>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）付款步骤：</w:t>
      </w:r>
      <w:bookmarkStart w:id="48" w:name="OLE_LINK7"/>
      <w:r>
        <w:rPr>
          <w:rFonts w:hint="eastAsia" w:ascii="宋体" w:hAnsi="宋体" w:eastAsia="宋体" w:cs="宋体"/>
          <w:color w:val="000000"/>
          <w:sz w:val="21"/>
          <w:szCs w:val="21"/>
          <w:highlight w:val="none"/>
          <w:lang w:val="zh-CN" w:eastAsia="zh-CN"/>
        </w:rPr>
        <w:t xml:space="preserve">合同签订生效后，甲方向乙方支付合同总金额的</w:t>
      </w:r>
      <w:r>
        <w:rPr>
          <w:rFonts w:hint="eastAsia" w:ascii="宋体" w:hAnsi="宋体" w:eastAsia="宋体" w:cs="宋体"/>
          <w:color w:val="000000"/>
          <w:sz w:val="21"/>
          <w:szCs w:val="21"/>
          <w:highlight w:val="none"/>
          <w:lang w:val="en-US" w:eastAsia="zh-CN"/>
        </w:rPr>
        <w:t xml:space="preserve">65</w:t>
      </w:r>
      <w:r>
        <w:rPr>
          <w:rFonts w:hint="eastAsia" w:ascii="宋体" w:hAnsi="宋体" w:eastAsia="宋体" w:cs="宋体"/>
          <w:color w:val="000000"/>
          <w:sz w:val="21"/>
          <w:szCs w:val="21"/>
          <w:highlight w:val="none"/>
          <w:lang w:val="zh-CN" w:eastAsia="zh-CN"/>
        </w:rPr>
        <w:t xml:space="preserve">%作为项目预付款。本项目服务周期为两年，费用</w:t>
      </w:r>
      <w:r>
        <w:rPr>
          <w:rFonts w:hint="eastAsia" w:ascii="宋体" w:hAnsi="宋体" w:eastAsia="宋体" w:cs="宋体"/>
          <w:color w:val="000000"/>
          <w:sz w:val="21"/>
          <w:szCs w:val="21"/>
          <w:highlight w:val="none"/>
          <w:lang w:val="en-US" w:eastAsia="zh-CN"/>
        </w:rPr>
        <w:t xml:space="preserve">分三次结算</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第一年度服务</w:t>
      </w:r>
      <w:r>
        <w:rPr>
          <w:rFonts w:hint="eastAsia" w:ascii="宋体" w:hAnsi="宋体" w:eastAsia="宋体" w:cs="宋体"/>
          <w:color w:val="000000"/>
          <w:sz w:val="21"/>
          <w:szCs w:val="21"/>
          <w:highlight w:val="none"/>
          <w:lang w:val="zh-CN" w:eastAsia="zh-CN"/>
        </w:rPr>
        <w:t xml:space="preserve">周期届满，乙方完成该年度全部服务工作，并提交运维台账、巡检记录、算法迭代记录等全套成果资料；甲方收到乙方提交的成果资料后予以核查，确认乙方服务内容、设备在线率、算法运行效果等均符合招标文件及合同约定标准的，</w:t>
      </w:r>
      <w:r>
        <w:rPr>
          <w:rFonts w:hint="eastAsia" w:ascii="宋体" w:hAnsi="宋体" w:eastAsia="宋体" w:cs="宋体"/>
          <w:color w:val="000000"/>
          <w:sz w:val="21"/>
          <w:szCs w:val="21"/>
          <w:highlight w:val="none"/>
          <w:lang w:val="zh-CN" w:eastAsia="zh-CN"/>
        </w:rPr>
        <w:t xml:space="preserve">根据考评等级</w:t>
      </w:r>
      <w:r>
        <w:rPr>
          <w:rFonts w:hint="eastAsia" w:ascii="宋体" w:hAnsi="宋体" w:eastAsia="宋体" w:cs="宋体"/>
          <w:color w:val="000000"/>
          <w:sz w:val="21"/>
          <w:szCs w:val="21"/>
          <w:highlight w:val="none"/>
          <w:lang w:val="en-US" w:eastAsia="zh-CN"/>
        </w:rPr>
        <w:t xml:space="preserve">按实际接入量</w:t>
      </w:r>
      <w:r>
        <w:rPr>
          <w:rFonts w:hint="eastAsia" w:ascii="宋体" w:hAnsi="宋体" w:eastAsia="宋体" w:cs="宋体"/>
          <w:color w:val="000000"/>
          <w:sz w:val="21"/>
          <w:szCs w:val="21"/>
          <w:highlight w:val="none"/>
          <w:lang w:val="zh-CN" w:eastAsia="zh-CN"/>
        </w:rPr>
        <w:t xml:space="preserve">向乙方支付</w:t>
      </w:r>
      <w:r>
        <w:rPr>
          <w:rFonts w:hint="eastAsia" w:ascii="宋体" w:hAnsi="宋体" w:eastAsia="宋体" w:cs="宋体"/>
          <w:color w:val="000000"/>
          <w:sz w:val="21"/>
          <w:szCs w:val="21"/>
          <w:highlight w:val="none"/>
          <w:lang w:val="en-US" w:eastAsia="zh-CN"/>
        </w:rPr>
        <w:t xml:space="preserve">费用（最多不超过</w:t>
      </w:r>
      <w:r>
        <w:rPr>
          <w:rFonts w:hint="eastAsia" w:ascii="宋体" w:hAnsi="宋体" w:eastAsia="宋体" w:cs="宋体"/>
          <w:color w:val="000000"/>
          <w:sz w:val="21"/>
          <w:szCs w:val="21"/>
          <w:highlight w:val="none"/>
          <w:lang w:val="zh-CN" w:eastAsia="zh-CN"/>
        </w:rPr>
        <w:t xml:space="preserve">合同总金额的</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第二年度服务</w:t>
      </w:r>
      <w:r>
        <w:rPr>
          <w:rFonts w:hint="eastAsia" w:ascii="宋体" w:hAnsi="宋体" w:eastAsia="宋体" w:cs="宋体"/>
          <w:color w:val="000000"/>
          <w:sz w:val="21"/>
          <w:szCs w:val="21"/>
          <w:highlight w:val="none"/>
          <w:lang w:val="zh-CN" w:eastAsia="zh-CN"/>
        </w:rPr>
        <w:t xml:space="preserve">周期届满</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甲方按上述要求核评后，按实支付余款。最终总付款不超过总价款。</w:t>
      </w:r>
      <w:r>
        <w:rPr>
          <w:rFonts w:ascii="宋体" w:hAnsi="宋体" w:cs="宋体"/>
        </w:rPr>
      </w:r>
      <w:r/>
    </w:p>
    <w:p>
      <w:pPr>
        <w:pStyle w:val="863"/>
        <w:ind w:firstLine="420"/>
        <w:keepLines w:val="0"/>
        <w:keepNext w:val="0"/>
        <w:pageBreakBefore w:val="0"/>
        <w:spacing w:line="440" w:lineRule="exact"/>
        <w:widowControl/>
        <w:tabs>
          <w:tab w:val="center" w:pos="5131" w:leader="none"/>
        </w:tabs>
        <w:rPr>
          <w:rFonts w:hint="eastAsia" w:ascii="宋体" w:hAnsi="宋体" w:cs="宋体"/>
          <w:color w:val="000000"/>
          <w:sz w:val="21"/>
          <w:szCs w:val="21"/>
          <w:highlight w:val="none"/>
        </w:rPr>
        <w:outlineLvl w:val="9"/>
      </w:pPr>
      <w:r>
        <w:rPr>
          <w:rFonts w:ascii="宋体" w:hAnsi="宋体" w:cs="宋体"/>
        </w:rPr>
      </w:r>
      <w:bookmarkEnd w:id="48"/>
      <w:r>
        <w:rPr>
          <w:rFonts w:hint="eastAsia" w:ascii="宋体" w:hAnsi="宋体" w:eastAsia="宋体" w:cs="宋体"/>
          <w:color w:val="000000"/>
          <w:sz w:val="21"/>
          <w:szCs w:val="21"/>
          <w:highlight w:val="none"/>
          <w:lang w:val="zh-CN"/>
        </w:rPr>
        <w:t xml:space="preserve">（2）付款方式：银行转账。</w:t>
      </w:r>
      <w:r>
        <w:rPr>
          <w:rFonts w:hint="eastAsia" w:ascii="宋体" w:hAnsi="宋体" w:eastAsia="宋体" w:cs="宋体"/>
          <w:color w:val="000000"/>
          <w:sz w:val="21"/>
          <w:szCs w:val="21"/>
          <w:highlight w:val="none"/>
        </w:rPr>
        <w:t xml:space="preserve">甲方付款前，乙方需向甲方出具合法有效的发票，否则甲方有权拒绝付款，且不就此承担逾期付款的违约责任。​</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t xml:space="preserve">甲方除支付本合同约定费用外，不再承担其他任何费用。</w:t>
      </w:r>
      <w:r>
        <w:rPr>
          <w:rFonts w:ascii="宋体" w:hAnsi="宋体" w:cs="宋体"/>
        </w:rPr>
      </w:r>
      <w:r/>
    </w:p>
    <w:p>
      <w:pPr>
        <w:pStyle w:val="863"/>
        <w:keepLines w:val="0"/>
        <w:keepNext w:val="0"/>
        <w:pageBreakBefore w:val="0"/>
        <w:spacing w:line="440" w:lineRule="exact"/>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三、</w:t>
      </w:r>
      <w:r>
        <w:rPr>
          <w:rFonts w:hint="eastAsia" w:ascii="宋体" w:hAnsi="宋体" w:eastAsia="宋体" w:cs="宋体"/>
          <w:b/>
          <w:color w:val="000000"/>
          <w:sz w:val="21"/>
          <w:szCs w:val="21"/>
          <w:highlight w:val="none"/>
          <w:lang w:eastAsia="zh-CN"/>
        </w:rPr>
        <w:t xml:space="preserve">验收标准</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以招标文件、投标文件、最终签订的合同以及乙方承诺的其他指标为依据，对乙方提供的各项服务内容的完成质量与效果进行全面核查，确保数据完整性≥90%、</w:t>
      </w:r>
      <w:r>
        <w:rPr>
          <w:rFonts w:hint="eastAsia" w:ascii="宋体" w:hAnsi="宋体" w:eastAsia="宋体" w:cs="宋体"/>
          <w:color w:val="000000"/>
          <w:sz w:val="21"/>
          <w:szCs w:val="21"/>
          <w:highlight w:val="none"/>
          <w:lang w:eastAsia="zh-CN"/>
        </w:rPr>
        <w:t xml:space="preserve">算法</w:t>
      </w:r>
      <w:r>
        <w:rPr>
          <w:rFonts w:hint="eastAsia" w:ascii="宋体" w:hAnsi="宋体" w:eastAsia="宋体" w:cs="宋体"/>
          <w:color w:val="000000"/>
          <w:sz w:val="21"/>
          <w:szCs w:val="21"/>
          <w:highlight w:val="none"/>
        </w:rPr>
        <w:t xml:space="preserve">准确性≥90%，各项指标符合上述文件及标准中明确的各项要求。</w:t>
      </w:r>
      <w:r>
        <w:rPr>
          <w:rFonts w:ascii="宋体" w:hAnsi="宋体" w:cs="宋体"/>
        </w:rPr>
      </w:r>
      <w:r/>
    </w:p>
    <w:p>
      <w:pPr>
        <w:pStyle w:val="863"/>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eastAsia="zh-CN"/>
        </w:rPr>
        <w:t xml:space="preserve">四</w:t>
      </w:r>
      <w:r>
        <w:rPr>
          <w:rFonts w:hint="eastAsia" w:ascii="宋体" w:hAnsi="宋体" w:eastAsia="宋体" w:cs="宋体"/>
          <w:b/>
          <w:bCs w:val="0"/>
          <w:color w:val="000000"/>
          <w:sz w:val="21"/>
          <w:szCs w:val="21"/>
          <w:highlight w:val="none"/>
        </w:rPr>
        <w:t xml:space="preserve">、甲方权利和义务  </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甲方有权依据本合同约定及服务标准，对乙方提供的服务、设备运行状态、平台功能性能及合同履约情况开展监管、核查与验收工作，并按季度实施考评，考评办法详见附件1；甲方可根据实际情况对考评办法予以调整。</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2.向乙方提供必要的工作支持，包括提供待部署单位清单，协调辖区内相关单位配合前端点位勘察、设备部署实施工作。</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3.因重大监管活动、专项检查需要，甲方有权要求乙方提供现场技术保障服务，乙方应予以配合。</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4.若乙方存在将项目转包、擅自降低服务标准等情形，甲方有权解除合同。</w:t>
      </w:r>
      <w:r>
        <w:rPr>
          <w:rFonts w:ascii="宋体" w:hAnsi="宋体" w:cs="宋体"/>
        </w:rPr>
      </w:r>
      <w:r/>
    </w:p>
    <w:p>
      <w:pPr>
        <w:pStyle w:val="863"/>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eastAsia="zh-CN"/>
        </w:rPr>
        <w:t xml:space="preserve">五</w:t>
      </w:r>
      <w:r>
        <w:rPr>
          <w:rFonts w:hint="eastAsia" w:ascii="宋体" w:hAnsi="宋体" w:eastAsia="宋体" w:cs="宋体"/>
          <w:b/>
          <w:bCs w:val="0"/>
          <w:color w:val="000000"/>
          <w:sz w:val="21"/>
          <w:szCs w:val="21"/>
          <w:highlight w:val="none"/>
        </w:rPr>
        <w:t xml:space="preserve">、乙方权利和义务</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按照合同约定及服务清单，完成新增点位勘察设计、设备部署调试及平台接入；保障明厨亮灶智慧监管平台稳定运行，投入项目负责人、项目经理、系统运维工程师、AI算法工程师、设备运维工程师等项目团队人员，未经甲方书面许可，不得擅自更换项目负责人及核心团队成员。</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2.落实7×24小时系统监控、故障预警处置，按招标文件要求完成系统更新补丁、功能优化迭代、分层用户培训、7×12小时热线及工单技术支持。</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3.开展AI算法运营服务，持续开展误报治理、算法调优迭代，按不同业态、区域完成算法场景化参数配置，按季度完成算法升级优化。</w:t>
      </w:r>
      <w:r>
        <w:rPr>
          <w:rFonts w:ascii="宋体" w:hAnsi="宋体" w:cs="宋体"/>
        </w:rPr>
      </w:r>
      <w:r/>
    </w:p>
    <w:p>
      <w:pPr>
        <w:pStyle w:val="863"/>
        <w:ind w:firstLine="420"/>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4.按要求开展前端设备月度巡检、季度深度维护；接到故障报修后2小时内完成故障初步诊断，市区范围内4小时内到场维修，郊区8小时内到场；落实备件库存保障，做好故障处置全流程记录。</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5.开展数据全生命周期管理，完成数据采集清洗、存储备份；按月开展多维度数据分析，完整输出周报、月报、季报，建立完整运维台账文档。</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6.接受甲方及行业管理部门的检查，对核查发现的问题及时完成整改；配合甲方完成重大监管活动、专项检查的技术保障工作。</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7.乙方须严格执行本项目保密要求，建立完善的数据加密机制及数据定期备份机制，确保数据安全性与可用性。乙方不得泄露项目运维方案、业务数据、监控相关敏感信息；未经甲方书面同意，不得将本项目采集、生成的所有数据用于本合同约定范围外的任何用途，若违反上述约定，须承担相应违约责任。</w:t>
      </w:r>
      <w:r>
        <w:rPr>
          <w:rFonts w:ascii="宋体" w:hAnsi="宋体" w:cs="宋体"/>
        </w:rPr>
      </w:r>
      <w:r/>
    </w:p>
    <w:p>
      <w:pPr>
        <w:pStyle w:val="863"/>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eastAsia="zh-CN"/>
        </w:rPr>
        <w:t xml:space="preserve">六、安全责任</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1.乙方对项目实施、平台运维、现场设备安装巡检维修作业安全负全部责任，制定安全管理制度，对运维人员进行安全培训，配备劳动保护用品，确保作业安全。</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2.乙方在现场施工、巡检、运维过程中发生的人员伤亡、设备损坏或造成第三者人身、财产损失的，由乙方承担全部责任及费用。</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3.因乙方施工不当、设备维护不到位、系统配置错误导致事故的，乙方需承担事故处理费用，并赔偿甲方及第三方损失。</w:t>
      </w:r>
      <w:r>
        <w:rPr>
          <w:rFonts w:ascii="宋体" w:hAnsi="宋体" w:cs="宋体"/>
        </w:rPr>
      </w:r>
      <w:r/>
    </w:p>
    <w:p>
      <w:pPr>
        <w:pStyle w:val="863"/>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val="zh-CN" w:eastAsia="zh-CN"/>
        </w:rPr>
        <w:t xml:space="preserve">七、违约责任</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1.乙方</w:t>
      </w:r>
      <w:r>
        <w:rPr>
          <w:rFonts w:hint="eastAsia" w:ascii="宋体" w:hAnsi="宋体" w:eastAsia="宋体" w:cs="宋体"/>
          <w:color w:val="000000"/>
          <w:sz w:val="21"/>
          <w:szCs w:val="21"/>
          <w:highlight w:val="none"/>
          <w:lang w:val="en-US" w:eastAsia="zh-CN"/>
        </w:rPr>
        <w:t xml:space="preserve">未经甲方同意</w:t>
      </w:r>
      <w:r>
        <w:rPr>
          <w:rFonts w:hint="eastAsia" w:ascii="宋体" w:hAnsi="宋体" w:eastAsia="宋体" w:cs="宋体"/>
          <w:color w:val="000000"/>
          <w:sz w:val="21"/>
          <w:szCs w:val="21"/>
          <w:highlight w:val="none"/>
          <w:lang w:val="en-US" w:eastAsia="zh-CN"/>
        </w:rPr>
        <w:t xml:space="preserve">将项目转包或违法分包的，甲方有权立即终止合同，乙方需退还已支付费用并支付合同总价款10% 的违约金。</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2.乙方服务未达到合同约定指标（数据质量、故障响应时效</w:t>
      </w:r>
      <w:r>
        <w:rPr>
          <w:rFonts w:hint="eastAsia" w:ascii="宋体" w:hAnsi="宋体" w:eastAsia="宋体" w:cs="宋体"/>
          <w:color w:val="000000"/>
          <w:sz w:val="21"/>
          <w:szCs w:val="21"/>
          <w:highlight w:val="none"/>
          <w:lang w:val="en-US" w:eastAsia="zh-CN"/>
        </w:rPr>
        <w:t xml:space="preserve">、在线率</w:t>
      </w:r>
      <w:r>
        <w:rPr>
          <w:rFonts w:hint="eastAsia" w:ascii="宋体" w:hAnsi="宋体" w:eastAsia="宋体" w:cs="宋体"/>
          <w:color w:val="000000"/>
          <w:sz w:val="21"/>
          <w:szCs w:val="21"/>
          <w:highlight w:val="none"/>
          <w:lang w:val="en-US" w:eastAsia="zh-CN"/>
        </w:rPr>
        <w:t xml:space="preserve">等），甲方有权扣减相应费用；情节严重的，可解除合同。</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3.乙方系统或前端设备故障未按合同约定时限处置，造成平台核心监管服务中断的，每逾期一天按当年度服务费的0.5%支付违约金。</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4.乙方泄露甲方项目相关保密数据信息的，需支付合同总价款20%的违约金，并赔偿甲方全部实际损失。</w:t>
      </w:r>
      <w:r>
        <w:rPr>
          <w:rFonts w:ascii="宋体" w:hAnsi="宋体" w:cs="宋体"/>
        </w:rPr>
      </w:r>
      <w:r/>
    </w:p>
    <w:p>
      <w:pPr>
        <w:pStyle w:val="863"/>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val="zh-CN" w:eastAsia="zh-CN"/>
        </w:rPr>
        <w:t xml:space="preserve">八、不可抗力</w:t>
      </w:r>
      <w:r>
        <w:rPr>
          <w:rFonts w:ascii="宋体" w:hAnsi="宋体" w:cs="宋体"/>
        </w:rPr>
      </w:r>
      <w:r/>
    </w:p>
    <w:p>
      <w:pPr>
        <w:pStyle w:val="863"/>
        <w:ind w:firstLine="420"/>
        <w:jc w:val="left"/>
        <w:keepLines w:val="0"/>
        <w:keepNext w:val="0"/>
        <w:pageBreakBefore w:val="0"/>
        <w:spacing w:line="440"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因不可抗力（或甲、乙双方不能控制的原因）不能履行合同的，根据不可抗力的影响，部分或者全部免除责任。但合同一方迟延履行后发生不可抗力的，不能免除责任。</w:t>
      </w:r>
      <w:r>
        <w:rPr>
          <w:rFonts w:ascii="宋体" w:hAnsi="宋体" w:cs="宋体"/>
        </w:rPr>
      </w:r>
      <w:r/>
    </w:p>
    <w:p>
      <w:pPr>
        <w:pStyle w:val="863"/>
        <w:ind w:firstLine="420"/>
        <w:jc w:val="left"/>
        <w:keepLines w:val="0"/>
        <w:keepNext w:val="0"/>
        <w:pageBreakBefore w:val="0"/>
        <w:spacing w:line="440" w:lineRule="exact"/>
        <w:widowControl/>
        <w:rPr>
          <w:rFonts w:hint="eastAsia" w:ascii="宋体" w:hAnsi="宋体" w:cs="宋体"/>
          <w:b/>
          <w:bCs w:val="0"/>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合同一方因不可抗力不能履行合同的，应当及时通知对方，以减轻可能给对方造成的损失，并应当在合理期限内提供证明。</w:t>
      </w:r>
      <w:r>
        <w:rPr>
          <w:rFonts w:ascii="宋体" w:hAnsi="宋体" w:cs="宋体"/>
        </w:rPr>
      </w:r>
      <w:r/>
    </w:p>
    <w:p>
      <w:pPr>
        <w:pStyle w:val="863"/>
        <w:keepLines w:val="0"/>
        <w:keepNext w:val="0"/>
        <w:pageBreakBefore w:val="0"/>
        <w:spacing w:line="440" w:lineRule="exact"/>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eastAsia="zh-CN"/>
        </w:rPr>
        <w:t xml:space="preserve">九</w:t>
      </w:r>
      <w:r>
        <w:rPr>
          <w:rFonts w:hint="eastAsia" w:ascii="宋体" w:hAnsi="宋体" w:eastAsia="宋体" w:cs="宋体"/>
          <w:b/>
          <w:color w:val="000000"/>
          <w:sz w:val="21"/>
          <w:szCs w:val="21"/>
          <w:highlight w:val="none"/>
        </w:rPr>
        <w:t xml:space="preserve">、合同转让和修改</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政府采购合同的部分和全部都不得转让。</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甲方和乙方都不得擅自变更本合同，但合同继续履行将损害国家和社会公共利益的除外。如必须对合同条款进行改动时，当事人双方须共同签署书面文件，做为合同的补充。</w:t>
      </w:r>
      <w:r>
        <w:rPr>
          <w:rFonts w:ascii="宋体" w:hAnsi="宋体" w:cs="宋体"/>
        </w:rPr>
      </w:r>
      <w:r/>
    </w:p>
    <w:p>
      <w:pPr>
        <w:pStyle w:val="863"/>
        <w:keepLines w:val="0"/>
        <w:keepNext w:val="0"/>
        <w:pageBreakBefore w:val="0"/>
        <w:spacing w:line="440" w:lineRule="exact"/>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eastAsia="zh-CN"/>
        </w:rPr>
        <w:t xml:space="preserve">十</w:t>
      </w:r>
      <w:r>
        <w:rPr>
          <w:rFonts w:hint="eastAsia" w:ascii="宋体" w:hAnsi="宋体" w:eastAsia="宋体" w:cs="宋体"/>
          <w:b/>
          <w:color w:val="000000"/>
          <w:sz w:val="21"/>
          <w:szCs w:val="21"/>
          <w:highlight w:val="none"/>
        </w:rPr>
        <w:t xml:space="preserve">、合同的解除</w:t>
      </w:r>
      <w:r>
        <w:rPr>
          <w:rFonts w:ascii="宋体" w:hAnsi="宋体" w:cs="宋体"/>
        </w:rPr>
      </w:r>
      <w:r/>
    </w:p>
    <w:p>
      <w:pPr>
        <w:pStyle w:val="863"/>
        <w:ind w:firstLine="420"/>
        <w:keepLines w:val="0"/>
        <w:keepNext w:val="0"/>
        <w:pageBreakBefore w:val="0"/>
        <w:spacing w:line="440" w:lineRule="exact"/>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zh-CN"/>
        </w:rPr>
        <w:t xml:space="preserve">1</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zh-CN"/>
        </w:rPr>
        <w:t xml:space="preserve">有下列情形之一，合同一方可以解除合同：</w:t>
      </w:r>
      <w:r>
        <w:rPr>
          <w:rFonts w:ascii="宋体" w:hAnsi="宋体" w:cs="宋体"/>
        </w:rPr>
      </w:r>
      <w:r/>
    </w:p>
    <w:p>
      <w:pPr>
        <w:pStyle w:val="863"/>
        <w:ind w:firstLine="420"/>
        <w:keepLines w:val="0"/>
        <w:keepNext w:val="0"/>
        <w:pageBreakBefore w:val="0"/>
        <w:spacing w:line="440" w:lineRule="exact"/>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zh-CN"/>
        </w:rPr>
        <w:t xml:space="preserve">（1）因不可抗力致使不能实现合同目的，未受不可抗力影响的一方有权解除合同；</w:t>
      </w:r>
      <w:r>
        <w:rPr>
          <w:rFonts w:ascii="宋体" w:hAnsi="宋体" w:cs="宋体"/>
        </w:rPr>
      </w:r>
      <w:r/>
    </w:p>
    <w:p>
      <w:pPr>
        <w:pStyle w:val="863"/>
        <w:ind w:firstLine="420"/>
        <w:keepLines w:val="0"/>
        <w:keepNext w:val="0"/>
        <w:pageBreakBefore w:val="0"/>
        <w:spacing w:line="440" w:lineRule="exact"/>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zh-CN"/>
        </w:rPr>
        <w:t xml:space="preserve">（2）因合同一方违约导致合同不能履行，另一方有权解除合同；</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
        </w:rPr>
        <w:t xml:space="preserve">双方一致同意以本协议所列地址及其他常用通讯地址为双方沟通函件、法律文书的送达地址，信件交邮后若因非发件人过错原因造成的无法送达，则以文书退回之日视为送达之日。</w:t>
      </w:r>
      <w:r>
        <w:rPr>
          <w:rFonts w:ascii="宋体" w:hAnsi="宋体" w:cs="宋体"/>
        </w:rPr>
      </w:r>
      <w:r/>
    </w:p>
    <w:p>
      <w:pPr>
        <w:pStyle w:val="863"/>
        <w:ind w:left="0" w:right="0"/>
        <w:jc w:val="both"/>
        <w:keepLines w:val="0"/>
        <w:keepNext w:val="0"/>
        <w:pageBreakBefore w:val="0"/>
        <w:spacing w:before="0" w:beforeAutospacing="0" w:after="0" w:afterAutospacing="0" w:line="440" w:lineRule="exact"/>
        <w:widowControl w:val="off"/>
        <w:rPr>
          <w:rFonts w:hint="eastAsia" w:ascii="宋体" w:hAnsi="宋体" w:cs="宋体"/>
          <w:b/>
          <w:bCs w:val="0"/>
          <w:color w:val="000000"/>
          <w:sz w:val="21"/>
          <w:szCs w:val="21"/>
          <w:highlight w:val="none"/>
        </w:rPr>
        <w:outlineLvl w:val="9"/>
        <w:suppressLineNumbers w:val="0"/>
      </w:pPr>
      <w:r>
        <w:rPr>
          <w:rFonts w:hint="eastAsia" w:ascii="宋体" w:hAnsi="宋体" w:eastAsia="宋体" w:cs="宋体"/>
          <w:b/>
          <w:bCs w:val="0"/>
          <w:color w:val="000000"/>
          <w:sz w:val="21"/>
          <w:szCs w:val="21"/>
          <w:highlight w:val="none"/>
          <w:lang w:val="en-US" w:eastAsia="zh-CN" w:bidi="ar"/>
        </w:rPr>
        <w:t xml:space="preserve">十一、争议解决办法</w:t>
      </w:r>
      <w:r>
        <w:rPr>
          <w:rFonts w:ascii="宋体" w:hAnsi="宋体" w:cs="宋体"/>
        </w:rPr>
      </w:r>
      <w:r/>
    </w:p>
    <w:p>
      <w:pPr>
        <w:pStyle w:val="863"/>
        <w:ind w:left="0" w:right="0" w:firstLine="420"/>
        <w:jc w:val="both"/>
        <w:keepLines w:val="0"/>
        <w:keepNext w:val="0"/>
        <w:pageBreakBefore w:val="0"/>
        <w:spacing w:before="0" w:beforeAutospacing="0" w:after="0" w:afterAutospacing="0" w:line="440" w:lineRule="exact"/>
        <w:widowControl w:val="off"/>
        <w:tabs>
          <w:tab w:val="left" w:pos="360" w:leader="none"/>
        </w:tabs>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因本合同或与本合同有关的一切事项发生争议，由双方友好协商解决。协商不成的，任何一方均可向甲方所在地的人民法院起诉。因乙方违约或乙方追究甲方违约但不成立，导致甲方为处理此纠纷产生的费用由乙方承担，该费用包括但不限于诉讼费、保全费、鉴定费、执行费、律师费、差旅费等。</w:t>
      </w:r>
      <w:r>
        <w:rPr>
          <w:rFonts w:ascii="宋体" w:hAnsi="宋体" w:cs="宋体"/>
        </w:rPr>
      </w:r>
      <w:r/>
    </w:p>
    <w:p>
      <w:pPr>
        <w:pStyle w:val="863"/>
        <w:keepLines w:val="0"/>
        <w:keepNext w:val="0"/>
        <w:pageBreakBefore w:val="0"/>
        <w:spacing w:line="440" w:lineRule="exact"/>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eastAsia="zh-CN"/>
        </w:rPr>
        <w:t xml:space="preserve">十二</w:t>
      </w:r>
      <w:r>
        <w:rPr>
          <w:rFonts w:hint="eastAsia" w:ascii="宋体" w:hAnsi="宋体" w:eastAsia="宋体" w:cs="宋体"/>
          <w:b/>
          <w:color w:val="000000"/>
          <w:sz w:val="21"/>
          <w:szCs w:val="21"/>
          <w:highlight w:val="none"/>
        </w:rPr>
        <w:t xml:space="preserve">、合同生效及其他</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合同经招标代理机构加盖骑缝章，甲</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乙双方法定代表人或其委托代理人签字并加盖公章（或合同章</w:t>
      </w:r>
      <w:r>
        <w:rPr>
          <w:rFonts w:hint="eastAsia" w:ascii="宋体" w:hAnsi="宋体" w:eastAsia="宋体" w:cs="宋体"/>
          <w:color w:val="000000"/>
          <w:sz w:val="21"/>
          <w:szCs w:val="21"/>
          <w:highlight w:val="none"/>
          <w:lang w:eastAsia="zh-CN"/>
        </w:rPr>
        <w:t xml:space="preserve">）、骑缝章</w:t>
      </w:r>
      <w:r>
        <w:rPr>
          <w:rFonts w:hint="eastAsia" w:ascii="宋体" w:hAnsi="宋体" w:eastAsia="宋体" w:cs="宋体"/>
          <w:color w:val="000000"/>
          <w:sz w:val="21"/>
          <w:szCs w:val="21"/>
          <w:highlight w:val="none"/>
        </w:rPr>
        <w:t xml:space="preserve">后生效，生效合同签订之日起2个工作日内进行网上系统</w:t>
      </w:r>
      <w:r>
        <w:rPr>
          <w:rFonts w:hint="eastAsia" w:ascii="宋体" w:hAnsi="宋体" w:eastAsia="宋体" w:cs="宋体"/>
          <w:color w:val="000000"/>
          <w:sz w:val="21"/>
          <w:szCs w:val="21"/>
          <w:highlight w:val="none"/>
          <w:lang w:eastAsia="zh-CN"/>
        </w:rPr>
        <w:t xml:space="preserve">公示</w:t>
      </w:r>
      <w:r>
        <w:rPr>
          <w:rFonts w:hint="eastAsia" w:ascii="宋体" w:hAnsi="宋体" w:eastAsia="宋体" w:cs="宋体"/>
          <w:color w:val="000000"/>
          <w:sz w:val="21"/>
          <w:szCs w:val="21"/>
          <w:highlight w:val="none"/>
        </w:rPr>
        <w:t xml:space="preserve">。</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本合同文件使用中文书写、解释和说明。</w:t>
      </w:r>
      <w:r>
        <w:rPr>
          <w:rFonts w:hint="eastAsia" w:ascii="宋体" w:hAnsi="宋体" w:eastAsia="宋体" w:cs="宋体"/>
          <w:color w:val="000000"/>
          <w:sz w:val="21"/>
          <w:szCs w:val="21"/>
          <w:highlight w:val="none"/>
          <w:lang w:val="en-US" w:eastAsia="zh-CN"/>
        </w:rPr>
        <w:t xml:space="preserve">         </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合同在执行过程中出现的未尽事宜，双方在不违背本合同和</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文件的原则下协商解决，协商结果以书面形式盖章记录在案，作为本合同的附件，与本合同具有同等效力；</w:t>
      </w:r>
      <w:r>
        <w:rPr>
          <w:rFonts w:hint="eastAsia" w:ascii="宋体" w:hAnsi="宋体" w:eastAsia="宋体" w:cs="宋体"/>
          <w:color w:val="000000"/>
          <w:sz w:val="21"/>
          <w:szCs w:val="21"/>
          <w:highlight w:val="none"/>
          <w:lang w:val="zh-CN"/>
        </w:rPr>
        <w:t xml:space="preserve">经双方签字并加盖公章后生效；补充协议之间如存在冲突的，应以最新签订的为准。</w:t>
      </w:r>
      <w:r>
        <w:rPr>
          <w:rFonts w:ascii="宋体" w:hAnsi="宋体" w:cs="宋体"/>
        </w:rPr>
      </w:r>
      <w:r/>
    </w:p>
    <w:p>
      <w:pPr>
        <w:pStyle w:val="863"/>
        <w:keepLines w:val="0"/>
        <w:keepNext w:val="0"/>
        <w:pageBreakBefore w:val="0"/>
        <w:spacing w:line="440" w:lineRule="exact"/>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eastAsia="zh-CN"/>
        </w:rPr>
        <w:t xml:space="preserve">十三</w:t>
      </w:r>
      <w:r>
        <w:rPr>
          <w:rFonts w:hint="eastAsia" w:ascii="宋体" w:hAnsi="宋体" w:eastAsia="宋体" w:cs="宋体"/>
          <w:b/>
          <w:color w:val="000000"/>
          <w:sz w:val="21"/>
          <w:szCs w:val="21"/>
          <w:highlight w:val="none"/>
        </w:rPr>
        <w:t xml:space="preserve">、未尽事宜</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未尽事宜应按照《中华人民共和国民法典》、《中华人民共和国政府采购法》等相关法律法规之规定解释。</w:t>
      </w:r>
      <w:r>
        <w:rPr>
          <w:rFonts w:ascii="宋体" w:hAnsi="宋体" w:cs="宋体"/>
        </w:rPr>
      </w:r>
      <w:r/>
    </w:p>
    <w:p>
      <w:pPr>
        <w:pStyle w:val="863"/>
        <w:keepLines w:val="0"/>
        <w:keepNext w:val="0"/>
        <w:pageBreakBefore w:val="0"/>
        <w:spacing w:line="440" w:lineRule="exact"/>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十</w:t>
      </w:r>
      <w:r>
        <w:rPr>
          <w:rFonts w:hint="eastAsia" w:ascii="宋体" w:hAnsi="宋体" w:eastAsia="宋体" w:cs="宋体"/>
          <w:b/>
          <w:color w:val="000000"/>
          <w:sz w:val="21"/>
          <w:szCs w:val="21"/>
          <w:highlight w:val="none"/>
          <w:lang w:eastAsia="zh-CN"/>
        </w:rPr>
        <w:t xml:space="preserve">四</w:t>
      </w:r>
      <w:r>
        <w:rPr>
          <w:rFonts w:hint="eastAsia" w:ascii="宋体" w:hAnsi="宋体" w:eastAsia="宋体" w:cs="宋体"/>
          <w:b/>
          <w:color w:val="000000"/>
          <w:sz w:val="21"/>
          <w:szCs w:val="21"/>
          <w:highlight w:val="none"/>
        </w:rPr>
        <w:t xml:space="preserve">、附则</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本合同一式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份，甲方执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份，乙方执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份，采购代理机构</w:t>
      </w:r>
      <w:r>
        <w:rPr>
          <w:rFonts w:hint="eastAsia" w:ascii="宋体" w:hAnsi="宋体" w:eastAsia="宋体" w:cs="宋体"/>
          <w:color w:val="000000"/>
          <w:sz w:val="21"/>
          <w:szCs w:val="21"/>
          <w:highlight w:val="none"/>
          <w:lang w:eastAsia="zh-CN"/>
        </w:rPr>
        <w:t xml:space="preserve">二</w:t>
      </w:r>
      <w:r>
        <w:rPr>
          <w:rFonts w:hint="eastAsia" w:ascii="宋体" w:hAnsi="宋体" w:eastAsia="宋体" w:cs="宋体"/>
          <w:color w:val="000000"/>
          <w:sz w:val="21"/>
          <w:szCs w:val="21"/>
          <w:highlight w:val="none"/>
        </w:rPr>
        <w:t xml:space="preserve">份。</w:t>
      </w:r>
      <w:r>
        <w:rPr>
          <w:rFonts w:ascii="宋体" w:hAnsi="宋体" w:cs="宋体"/>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402"/>
        <w:gridCol w:w="4402"/>
      </w:tblGrid>
      <w:tr>
        <w:trPr>
          <w:trHeight w:val="442"/>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ascii="宋体" w:hAnsi="宋体" w:cs="宋体"/>
              </w:rPr>
            </w:r>
            <w:r/>
          </w:p>
        </w:tc>
      </w:tr>
      <w:tr>
        <w:trPr>
          <w:trHeight w:val="459"/>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授权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代表人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授权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代表人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ascii="宋体" w:hAnsi="宋体" w:cs="宋体"/>
              </w:rPr>
            </w:r>
            <w:r/>
          </w:p>
        </w:tc>
      </w:tr>
      <w:tr>
        <w:trPr>
          <w:trHeight w:val="442"/>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电话：</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电话：</w:t>
            </w:r>
            <w:r>
              <w:rPr>
                <w:rFonts w:ascii="宋体" w:hAnsi="宋体" w:cs="宋体"/>
              </w:rPr>
            </w:r>
            <w:r/>
          </w:p>
        </w:tc>
      </w:tr>
      <w:tr>
        <w:trPr>
          <w:trHeight w:val="459"/>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开户银行：</w:t>
            </w:r>
            <w:r>
              <w:rPr>
                <w:rFonts w:ascii="宋体" w:hAnsi="宋体" w:cs="宋体"/>
              </w:rPr>
            </w:r>
            <w:r/>
          </w:p>
        </w:tc>
      </w:tr>
      <w:tr>
        <w:trPr>
          <w:trHeight w:val="234"/>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帐号：</w:t>
            </w:r>
            <w:r>
              <w:rPr>
                <w:rFonts w:ascii="宋体" w:hAnsi="宋体" w:cs="宋体"/>
              </w:rPr>
            </w:r>
            <w:r/>
          </w:p>
        </w:tc>
      </w:tr>
      <w:tr>
        <w:trPr>
          <w:trHeight w:val="234"/>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w:t>
            </w:r>
            <w:r>
              <w:rPr>
                <w:rFonts w:ascii="宋体" w:hAnsi="宋体" w:cs="宋体"/>
              </w:rPr>
            </w:r>
            <w:r/>
          </w:p>
        </w:tc>
      </w:tr>
    </w:tbl>
    <w:p>
      <w:pPr>
        <w:pStyle w:val="863"/>
        <w:rPr>
          <w:rFonts w:ascii="宋体" w:hAnsi="宋体" w:cs="宋体"/>
          <w:color w:val="000000"/>
          <w:highlight w:val="none"/>
        </w:rPr>
      </w:pPr>
      <w:r>
        <w:rPr>
          <w:rFonts w:ascii="宋体" w:hAnsi="宋体" w:cs="宋体"/>
        </w:rPr>
      </w:r>
      <w:bookmarkStart w:id="49" w:name="_Toc4720"/>
      <w:r>
        <w:rPr>
          <w:rFonts w:ascii="宋体" w:hAnsi="宋体" w:cs="宋体"/>
        </w:rPr>
      </w:r>
      <w:bookmarkStart w:id="50" w:name="_Toc414602017"/>
      <w:r>
        <w:rPr>
          <w:rFonts w:ascii="宋体" w:hAnsi="宋体" w:cs="宋体"/>
        </w:rPr>
      </w:r>
      <w:r/>
    </w:p>
    <w:p>
      <w:pPr>
        <w:pStyle w:val="876"/>
        <w:rPr>
          <w:rFonts w:ascii="宋体" w:hAnsi="宋体" w:cs="宋体"/>
          <w:color w:val="000000"/>
          <w:highlight w:val="none"/>
        </w:rPr>
      </w:pPr>
      <w:r>
        <w:rPr>
          <w:rFonts w:ascii="宋体" w:hAnsi="宋体" w:cs="宋体"/>
          <w:color w:val="000000"/>
          <w:highlight w:val="none"/>
          <w:lang w:val="en-US" w:eastAsia="zh-CN"/>
        </w:rPr>
      </w:r>
      <w:r>
        <w:rPr>
          <w:rFonts w:ascii="宋体" w:hAnsi="宋体" w:cs="宋体"/>
        </w:rPr>
      </w:r>
      <w:r/>
    </w:p>
    <w:p>
      <w:pPr>
        <w:pStyle w:val="875"/>
        <w:rPr>
          <w:rFonts w:ascii="宋体" w:hAnsi="宋体" w:cs="宋体"/>
          <w:color w:val="000000"/>
          <w:highlight w:val="none"/>
        </w:rPr>
      </w:pPr>
      <w:r>
        <w:rPr>
          <w:rFonts w:ascii="宋体" w:hAnsi="宋体" w:cs="宋体"/>
          <w:color w:val="000000"/>
          <w:highlight w:val="none"/>
          <w:lang w:val="en-US" w:eastAsia="zh-CN"/>
        </w:rPr>
      </w:r>
      <w:r>
        <w:rPr>
          <w:rFonts w:ascii="宋体" w:hAnsi="宋体" w:cs="宋体"/>
        </w:rPr>
      </w:r>
      <w:r/>
    </w:p>
    <w:p>
      <w:pPr>
        <w:pStyle w:val="921"/>
        <w:rPr>
          <w:rFonts w:ascii="宋体" w:hAnsi="宋体" w:cs="宋体"/>
          <w:color w:val="000000"/>
          <w:highlight w:val="none"/>
        </w:rPr>
      </w:pPr>
      <w:r>
        <w:rPr>
          <w:rFonts w:ascii="宋体" w:hAnsi="宋体" w:cs="宋体"/>
          <w:color w:val="000000"/>
          <w:highlight w:val="none"/>
          <w:lang w:val="en-US" w:eastAsia="zh-CN"/>
        </w:rPr>
      </w:r>
      <w:r>
        <w:rPr>
          <w:rFonts w:ascii="宋体" w:hAnsi="宋体" w:cs="宋体"/>
        </w:rPr>
      </w:r>
      <w:r/>
    </w:p>
    <w:p>
      <w:pPr>
        <w:pStyle w:val="863"/>
        <w:rPr>
          <w:rFonts w:ascii="宋体" w:hAnsi="宋体" w:cs="宋体"/>
          <w:color w:val="000000"/>
          <w:highlight w:val="none"/>
        </w:rPr>
      </w:pPr>
      <w:r>
        <w:rPr>
          <w:rFonts w:ascii="宋体" w:hAnsi="宋体" w:cs="宋体"/>
          <w:color w:val="000000"/>
          <w:highlight w:val="none"/>
          <w:lang w:val="en-US" w:eastAsia="zh-CN"/>
        </w:rPr>
      </w:r>
      <w:r>
        <w:rPr>
          <w:rFonts w:ascii="宋体" w:hAnsi="宋体" w:cs="宋体"/>
        </w:rPr>
      </w:r>
      <w:r/>
    </w:p>
    <w:p>
      <w:pPr>
        <w:pStyle w:val="876"/>
        <w:rPr>
          <w:rFonts w:ascii="宋体" w:hAnsi="宋体" w:cs="宋体"/>
          <w:color w:val="000000"/>
          <w:highlight w:val="none"/>
        </w:rPr>
      </w:pPr>
      <w:r>
        <w:rPr>
          <w:rFonts w:ascii="宋体" w:hAnsi="宋体" w:cs="宋体"/>
          <w:color w:val="000000"/>
          <w:highlight w:val="none"/>
          <w:lang w:val="en-US" w:eastAsia="zh-CN"/>
        </w:rPr>
      </w:r>
      <w:r>
        <w:rPr>
          <w:rFonts w:ascii="宋体" w:hAnsi="宋体" w:cs="宋体"/>
        </w:rPr>
      </w:r>
      <w:r/>
    </w:p>
    <w:p>
      <w:pPr>
        <w:pStyle w:val="863"/>
        <w:rPr>
          <w:rFonts w:ascii="宋体" w:hAnsi="宋体" w:cs="宋体"/>
          <w:color w:val="000000"/>
          <w:highlight w:val="none"/>
        </w:rPr>
      </w:pPr>
      <w:r>
        <w:rPr>
          <w:rFonts w:ascii="宋体" w:hAnsi="宋体" w:cs="宋体"/>
          <w:color w:val="000000"/>
          <w:highlight w:val="none"/>
          <w:lang w:val="en-US" w:eastAsia="zh-CN"/>
        </w:rPr>
      </w:r>
      <w:r>
        <w:rPr>
          <w:rFonts w:ascii="宋体" w:hAnsi="宋体" w:cs="宋体"/>
        </w:rPr>
      </w:r>
      <w:r/>
    </w:p>
    <w:p>
      <w:pPr>
        <w:pStyle w:val="876"/>
        <w:rPr>
          <w:rFonts w:ascii="宋体" w:hAnsi="宋体" w:cs="宋体"/>
          <w:color w:val="000000"/>
          <w:highlight w:val="none"/>
        </w:rPr>
      </w:pPr>
      <w:r>
        <w:rPr>
          <w:rFonts w:ascii="宋体" w:hAnsi="宋体" w:cs="宋体"/>
          <w:color w:val="000000"/>
          <w:highlight w:val="none"/>
          <w:lang w:val="en-US" w:eastAsia="zh-CN"/>
        </w:rPr>
      </w:r>
      <w:r>
        <w:rPr>
          <w:rFonts w:ascii="宋体" w:hAnsi="宋体" w:cs="宋体"/>
        </w:rPr>
      </w:r>
      <w:r/>
    </w:p>
    <w:p>
      <w:pPr>
        <w:pStyle w:val="863"/>
        <w:rPr>
          <w:rFonts w:ascii="宋体" w:hAnsi="宋体" w:cs="宋体"/>
          <w:color w:val="000000"/>
          <w:highlight w:val="none"/>
        </w:rPr>
      </w:pPr>
      <w:r>
        <w:rPr>
          <w:rFonts w:ascii="宋体" w:hAnsi="宋体" w:cs="宋体"/>
          <w:color w:val="000000"/>
          <w:highlight w:val="none"/>
          <w:lang w:val="en-US" w:eastAsia="zh-CN"/>
        </w:rPr>
      </w:r>
      <w:r>
        <w:rPr>
          <w:rFonts w:ascii="宋体" w:hAnsi="宋体" w:cs="宋体"/>
        </w:rPr>
      </w:r>
      <w:r/>
    </w:p>
    <w:p>
      <w:pPr>
        <w:pStyle w:val="876"/>
        <w:rPr>
          <w:rFonts w:ascii="宋体" w:hAnsi="宋体" w:cs="宋体"/>
          <w:color w:val="000000"/>
          <w:highlight w:val="none"/>
        </w:rPr>
      </w:pPr>
      <w:r>
        <w:rPr>
          <w:rFonts w:ascii="宋体" w:hAnsi="宋体" w:cs="宋体"/>
          <w:color w:val="000000"/>
          <w:highlight w:val="none"/>
          <w:lang w:val="en-US" w:eastAsia="zh-CN"/>
        </w:rPr>
      </w:r>
      <w:r>
        <w:rPr>
          <w:rFonts w:ascii="宋体" w:hAnsi="宋体" w:cs="宋体"/>
        </w:rPr>
      </w:r>
      <w:r/>
    </w:p>
    <w:p>
      <w:pPr>
        <w:pStyle w:val="876"/>
        <w:rPr>
          <w:rFonts w:ascii="宋体" w:hAnsi="宋体" w:cs="宋体"/>
          <w:color w:val="000000"/>
          <w:highlight w:val="none"/>
        </w:rPr>
      </w:pPr>
      <w:r>
        <w:rPr>
          <w:rFonts w:ascii="宋体" w:hAnsi="宋体" w:cs="宋体"/>
          <w:color w:val="000000"/>
          <w:highlight w:val="none"/>
          <w:lang w:val="en-US" w:eastAsia="zh-CN"/>
        </w:rPr>
      </w:r>
      <w:r>
        <w:rPr>
          <w:rFonts w:ascii="宋体" w:hAnsi="宋体" w:cs="宋体"/>
        </w:rPr>
      </w:r>
      <w:r/>
    </w:p>
    <w:p>
      <w:pPr>
        <w:pStyle w:val="863"/>
        <w:rPr>
          <w:rFonts w:ascii="宋体" w:hAnsi="宋体" w:cs="宋体"/>
          <w:color w:val="000000"/>
          <w:highlight w:val="none"/>
        </w:rPr>
      </w:pPr>
      <w:r>
        <w:rPr>
          <w:rFonts w:ascii="宋体" w:hAnsi="宋体" w:cs="宋体"/>
          <w:color w:val="000000"/>
          <w:highlight w:val="none"/>
          <w:lang w:val="en-US" w:eastAsia="zh-CN"/>
        </w:rPr>
      </w:r>
      <w:r>
        <w:rPr>
          <w:rFonts w:ascii="宋体" w:hAnsi="宋体" w:cs="宋体"/>
        </w:rPr>
      </w:r>
      <w:r/>
    </w:p>
    <w:p>
      <w:pPr>
        <w:pStyle w:val="863"/>
        <w:jc w:val="both"/>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eastAsia="zh-CN"/>
        </w:rPr>
        <w:t xml:space="preserve">合同附件</w:t>
      </w:r>
      <w:r>
        <w:rPr>
          <w:rFonts w:hint="eastAsia" w:ascii="宋体" w:hAnsi="宋体" w:eastAsia="宋体" w:cs="宋体"/>
          <w:b/>
          <w:color w:val="000000"/>
          <w:sz w:val="21"/>
          <w:szCs w:val="21"/>
          <w:highlight w:val="none"/>
          <w:lang w:val="en-US" w:eastAsia="zh-CN"/>
        </w:rPr>
        <w:t xml:space="preserve">1：</w:t>
      </w:r>
      <w:r>
        <w:rPr>
          <w:rFonts w:ascii="宋体" w:hAnsi="宋体" w:cs="宋体"/>
        </w:rPr>
      </w:r>
      <w:r/>
    </w:p>
    <w:p>
      <w:pPr>
        <w:pStyle w:val="875"/>
        <w:ind w:left="0" w:firstLine="0"/>
        <w:jc w:val="center"/>
        <w:keepLines w:val="0"/>
        <w:keepNext w:val="0"/>
        <w:pageBreakBefore w:val="0"/>
        <w:spacing w:after="0"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rPr>
        <w:t xml:space="preserve">食品安全AI可视化监管服务考</w:t>
      </w:r>
      <w:r>
        <w:rPr>
          <w:rFonts w:hint="eastAsia" w:ascii="宋体" w:hAnsi="宋体" w:eastAsia="宋体" w:cs="宋体"/>
          <w:b/>
          <w:color w:val="000000"/>
          <w:sz w:val="21"/>
          <w:szCs w:val="21"/>
          <w:highlight w:val="none"/>
          <w:lang w:val="en-US" w:eastAsia="zh-CN"/>
        </w:rPr>
        <w:t xml:space="preserve">评</w:t>
      </w:r>
      <w:r>
        <w:rPr>
          <w:rFonts w:hint="eastAsia" w:ascii="宋体" w:hAnsi="宋体" w:eastAsia="宋体" w:cs="宋体"/>
          <w:b/>
          <w:color w:val="000000"/>
          <w:sz w:val="21"/>
          <w:szCs w:val="21"/>
          <w:highlight w:val="none"/>
          <w:lang w:val="en-US" w:eastAsia="zh-CN"/>
        </w:rPr>
        <w:t xml:space="preserve">办法</w:t>
      </w:r>
      <w:r>
        <w:rPr>
          <w:rFonts w:ascii="宋体" w:hAnsi="宋体" w:cs="宋体"/>
        </w:rPr>
      </w:r>
      <w:r/>
    </w:p>
    <w:p>
      <w:pPr>
        <w:pStyle w:val="875"/>
        <w:ind w:left="0" w:firstLine="0"/>
        <w:jc w:val="both"/>
        <w:keepLines w:val="0"/>
        <w:keepNext w:val="0"/>
        <w:pageBreakBefore w:val="0"/>
        <w:spacing w:after="0"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rPr>
        <w:t xml:space="preserve">一、考</w:t>
      </w:r>
      <w:r>
        <w:rPr>
          <w:rFonts w:hint="eastAsia" w:ascii="宋体" w:hAnsi="宋体" w:eastAsia="宋体" w:cs="宋体"/>
          <w:b/>
          <w:color w:val="000000"/>
          <w:sz w:val="21"/>
          <w:szCs w:val="21"/>
          <w:highlight w:val="none"/>
          <w:lang w:val="en-US" w:eastAsia="zh-CN"/>
        </w:rPr>
        <w:t xml:space="preserve">评</w:t>
      </w:r>
      <w:r>
        <w:rPr>
          <w:rFonts w:hint="eastAsia" w:ascii="宋体" w:hAnsi="宋体" w:eastAsia="宋体" w:cs="宋体"/>
          <w:b/>
          <w:color w:val="000000"/>
          <w:sz w:val="21"/>
          <w:szCs w:val="21"/>
          <w:highlight w:val="none"/>
          <w:lang w:val="en-US" w:eastAsia="zh-CN"/>
        </w:rPr>
        <w:t xml:space="preserve">主体</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本项目</w:t>
      </w:r>
      <w:r>
        <w:rPr>
          <w:rFonts w:hint="eastAsia" w:ascii="宋体" w:hAnsi="宋体" w:eastAsia="宋体" w:cs="宋体"/>
          <w:color w:val="000000"/>
          <w:sz w:val="21"/>
          <w:szCs w:val="21"/>
          <w:highlight w:val="none"/>
          <w:lang w:val="en-US" w:eastAsia="zh-CN"/>
        </w:rPr>
        <w:t xml:space="preserve">考评</w:t>
      </w:r>
      <w:r>
        <w:rPr>
          <w:rFonts w:hint="eastAsia" w:ascii="宋体" w:hAnsi="宋体" w:eastAsia="宋体" w:cs="宋体"/>
          <w:color w:val="000000"/>
          <w:sz w:val="21"/>
          <w:szCs w:val="21"/>
          <w:highlight w:val="none"/>
          <w:lang w:val="en-US" w:eastAsia="zh-CN"/>
        </w:rPr>
        <w:t xml:space="preserve">主体为苏州市吴江区</w:t>
      </w:r>
      <w:r>
        <w:rPr>
          <w:rFonts w:hint="eastAsia" w:ascii="宋体" w:hAnsi="宋体" w:eastAsia="宋体" w:cs="宋体"/>
          <w:color w:val="000000"/>
          <w:sz w:val="21"/>
          <w:szCs w:val="21"/>
          <w:highlight w:val="none"/>
          <w:lang w:val="en-US" w:eastAsia="zh-CN"/>
        </w:rPr>
        <w:t xml:space="preserve">市场监督管理局食品安全监管科</w:t>
      </w:r>
      <w:r>
        <w:rPr>
          <w:rFonts w:hint="eastAsia" w:ascii="宋体" w:hAnsi="宋体" w:eastAsia="宋体" w:cs="宋体"/>
          <w:color w:val="000000"/>
          <w:sz w:val="21"/>
          <w:szCs w:val="21"/>
          <w:highlight w:val="none"/>
          <w:lang w:val="en-US" w:eastAsia="zh-CN"/>
        </w:rPr>
        <w:t xml:space="preserve">（以下简称“</w:t>
      </w:r>
      <w:r>
        <w:rPr>
          <w:rFonts w:hint="eastAsia" w:ascii="宋体" w:hAnsi="宋体" w:eastAsia="宋体" w:cs="宋体"/>
          <w:color w:val="000000"/>
          <w:sz w:val="21"/>
          <w:szCs w:val="21"/>
          <w:highlight w:val="none"/>
          <w:lang w:val="en-US" w:eastAsia="zh-CN"/>
        </w:rPr>
        <w:t xml:space="preserve">考评</w:t>
      </w:r>
      <w:r>
        <w:rPr>
          <w:rFonts w:hint="eastAsia" w:ascii="宋体" w:hAnsi="宋体" w:eastAsia="宋体" w:cs="宋体"/>
          <w:color w:val="000000"/>
          <w:sz w:val="21"/>
          <w:szCs w:val="21"/>
          <w:highlight w:val="none"/>
          <w:lang w:val="en-US" w:eastAsia="zh-CN"/>
        </w:rPr>
        <w:t xml:space="preserve">单位”），负责组织实施季度考</w:t>
      </w:r>
      <w:r>
        <w:rPr>
          <w:rFonts w:hint="eastAsia" w:ascii="宋体" w:hAnsi="宋体" w:eastAsia="宋体" w:cs="宋体"/>
          <w:color w:val="000000"/>
          <w:sz w:val="21"/>
          <w:szCs w:val="21"/>
          <w:highlight w:val="none"/>
          <w:lang w:val="en-US" w:eastAsia="zh-CN"/>
        </w:rPr>
        <w:t xml:space="preserve">评</w:t>
      </w:r>
      <w:r>
        <w:rPr>
          <w:rFonts w:hint="eastAsia" w:ascii="宋体" w:hAnsi="宋体" w:eastAsia="宋体" w:cs="宋体"/>
          <w:color w:val="000000"/>
          <w:sz w:val="21"/>
          <w:szCs w:val="21"/>
          <w:highlight w:val="none"/>
          <w:lang w:val="en-US" w:eastAsia="zh-CN"/>
        </w:rPr>
        <w:t xml:space="preserve">工作，出具考</w:t>
      </w:r>
      <w:r>
        <w:rPr>
          <w:rFonts w:hint="eastAsia" w:ascii="宋体" w:hAnsi="宋体" w:eastAsia="宋体" w:cs="宋体"/>
          <w:color w:val="000000"/>
          <w:sz w:val="21"/>
          <w:szCs w:val="21"/>
          <w:highlight w:val="none"/>
          <w:lang w:val="en-US" w:eastAsia="zh-CN"/>
        </w:rPr>
        <w:t xml:space="preserve">评</w:t>
      </w:r>
      <w:r>
        <w:rPr>
          <w:rFonts w:hint="eastAsia" w:ascii="宋体" w:hAnsi="宋体" w:eastAsia="宋体" w:cs="宋体"/>
          <w:color w:val="000000"/>
          <w:sz w:val="21"/>
          <w:szCs w:val="21"/>
          <w:highlight w:val="none"/>
          <w:lang w:val="en-US" w:eastAsia="zh-CN"/>
        </w:rPr>
        <w:t xml:space="preserve">结果并监督结果运用。</w:t>
      </w:r>
      <w:r>
        <w:rPr>
          <w:rFonts w:ascii="宋体" w:hAnsi="宋体" w:cs="宋体"/>
        </w:rPr>
      </w:r>
      <w:r/>
    </w:p>
    <w:p>
      <w:pPr>
        <w:pStyle w:val="875"/>
        <w:ind w:left="0" w:firstLine="0"/>
        <w:jc w:val="both"/>
        <w:keepLines w:val="0"/>
        <w:keepNext w:val="0"/>
        <w:pageBreakBefore w:val="0"/>
        <w:spacing w:after="0"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rPr>
        <w:t xml:space="preserve">二、</w:t>
      </w:r>
      <w:r>
        <w:rPr>
          <w:rFonts w:hint="eastAsia" w:ascii="宋体" w:hAnsi="宋体" w:eastAsia="宋体" w:cs="宋体"/>
          <w:b/>
          <w:color w:val="000000"/>
          <w:sz w:val="21"/>
          <w:szCs w:val="21"/>
          <w:highlight w:val="none"/>
          <w:lang w:val="en-US" w:eastAsia="zh-CN"/>
        </w:rPr>
        <w:t xml:space="preserve">考评</w:t>
      </w:r>
      <w:r>
        <w:rPr>
          <w:rFonts w:hint="eastAsia" w:ascii="宋体" w:hAnsi="宋体" w:eastAsia="宋体" w:cs="宋体"/>
          <w:b/>
          <w:color w:val="000000"/>
          <w:sz w:val="21"/>
          <w:szCs w:val="21"/>
          <w:highlight w:val="none"/>
          <w:lang w:val="en-US" w:eastAsia="zh-CN"/>
        </w:rPr>
        <w:t xml:space="preserve">周期与对象</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考评</w:t>
      </w:r>
      <w:r>
        <w:rPr>
          <w:rFonts w:hint="eastAsia" w:ascii="宋体" w:hAnsi="宋体" w:eastAsia="宋体" w:cs="宋体"/>
          <w:color w:val="000000"/>
          <w:sz w:val="21"/>
          <w:szCs w:val="21"/>
          <w:highlight w:val="none"/>
          <w:lang w:val="en-US" w:eastAsia="zh-CN"/>
        </w:rPr>
        <w:t xml:space="preserve">周期：每3个月为一个</w:t>
      </w:r>
      <w:r>
        <w:rPr>
          <w:rFonts w:hint="eastAsia" w:ascii="宋体" w:hAnsi="宋体" w:eastAsia="宋体" w:cs="宋体"/>
          <w:color w:val="000000"/>
          <w:sz w:val="21"/>
          <w:szCs w:val="21"/>
          <w:highlight w:val="none"/>
          <w:lang w:val="en-US" w:eastAsia="zh-CN"/>
        </w:rPr>
        <w:t xml:space="preserve">考评</w:t>
      </w:r>
      <w:r>
        <w:rPr>
          <w:rFonts w:hint="eastAsia" w:ascii="宋体" w:hAnsi="宋体" w:eastAsia="宋体" w:cs="宋体"/>
          <w:color w:val="000000"/>
          <w:sz w:val="21"/>
          <w:szCs w:val="21"/>
          <w:highlight w:val="none"/>
          <w:lang w:val="en-US" w:eastAsia="zh-CN"/>
        </w:rPr>
        <w:t xml:space="preserve">周期（即“季度”）。</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考评</w:t>
      </w:r>
      <w:r>
        <w:rPr>
          <w:rFonts w:hint="eastAsia" w:ascii="宋体" w:hAnsi="宋体" w:eastAsia="宋体" w:cs="宋体"/>
          <w:color w:val="000000"/>
          <w:sz w:val="21"/>
          <w:szCs w:val="21"/>
          <w:highlight w:val="none"/>
          <w:lang w:val="en-US" w:eastAsia="zh-CN"/>
        </w:rPr>
        <w:t xml:space="preserve">对象：食品安全AI可视化监管服务项目中标供应商（以下简称 “乙方”）。</w:t>
      </w:r>
      <w:r>
        <w:rPr>
          <w:rFonts w:ascii="宋体" w:hAnsi="宋体" w:cs="宋体"/>
        </w:rPr>
      </w:r>
      <w:r/>
    </w:p>
    <w:p>
      <w:pPr>
        <w:pStyle w:val="863"/>
        <w:ind w:left="0" w:firstLine="0"/>
        <w:jc w:val="both"/>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bidi="ar-SA"/>
        </w:rPr>
        <w:t xml:space="preserve">三、考评结果运用</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按季考评，结算时以季度考评平均分支付依据：</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1）考评</w:t>
      </w:r>
      <w:r>
        <w:rPr>
          <w:rFonts w:hint="eastAsia" w:ascii="宋体" w:hAnsi="宋体" w:eastAsia="宋体" w:cs="宋体"/>
          <w:color w:val="000000"/>
          <w:sz w:val="21"/>
          <w:szCs w:val="21"/>
          <w:highlight w:val="none"/>
          <w:lang w:val="zh-CN" w:eastAsia="zh-CN"/>
        </w:rPr>
        <w:t xml:space="preserve">优秀（≥90分）：全额支付应付费用；​</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）考评良好（80-89分）：扣除应付费用的10%；​</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）考评合格（60-79分）：扣除应付费用的20%；​</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eastAsia="zh-CN"/>
        </w:rPr>
        <w:t xml:space="preserve">）考评不合格（＜60分）：扣除应付费用的</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0%；</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eastAsia="zh-CN"/>
        </w:rPr>
        <w:t xml:space="preserve">）年度考评指标不涉及季度考评，默认不扣分；</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highlight w:val="none"/>
        </w:rPr>
        <w:outlineLvl w:val="9"/>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6）连续两个季度考评不合格（考评等级＜60分），甲方有权根据通知书内容单方面终止合同。</w:t>
      </w:r>
      <w:r>
        <w:rPr>
          <w:rFonts w:ascii="宋体" w:hAnsi="宋体" w:cs="宋体"/>
        </w:rPr>
      </w:r>
      <w:r/>
    </w:p>
    <w:p>
      <w:pPr>
        <w:pStyle w:val="875"/>
        <w:ind w:left="0" w:firstLine="0"/>
        <w:jc w:val="both"/>
        <w:keepLines w:val="0"/>
        <w:keepNext w:val="0"/>
        <w:pageBreakBefore w:val="0"/>
        <w:spacing w:after="0"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rPr>
        <w:t xml:space="preserve">四、</w:t>
      </w:r>
      <w:r>
        <w:rPr>
          <w:rFonts w:hint="eastAsia" w:ascii="宋体" w:hAnsi="宋体" w:eastAsia="宋体" w:cs="宋体"/>
          <w:b/>
          <w:color w:val="000000"/>
          <w:sz w:val="21"/>
          <w:szCs w:val="21"/>
          <w:highlight w:val="none"/>
          <w:lang w:val="en-US" w:eastAsia="zh-CN"/>
        </w:rPr>
        <w:t xml:space="preserve">考评</w:t>
      </w:r>
      <w:r>
        <w:rPr>
          <w:rFonts w:hint="eastAsia" w:ascii="宋体" w:hAnsi="宋体" w:eastAsia="宋体" w:cs="宋体"/>
          <w:b/>
          <w:color w:val="000000"/>
          <w:sz w:val="21"/>
          <w:szCs w:val="21"/>
          <w:highlight w:val="none"/>
          <w:lang w:val="en-US" w:eastAsia="zh-CN"/>
        </w:rPr>
        <w:t xml:space="preserve">指标与评分标准</w:t>
      </w:r>
      <w:r>
        <w:rPr>
          <w:rFonts w:ascii="宋体" w:hAnsi="宋体" w:cs="宋体"/>
        </w:rPr>
      </w:r>
      <w:r/>
    </w:p>
    <w:p>
      <w:pPr>
        <w:pStyle w:val="875"/>
        <w:ind w:left="0" w:firstLine="0"/>
        <w:jc w:val="center"/>
        <w:keepLines w:val="0"/>
        <w:keepNext w:val="0"/>
        <w:pageBreakBefore w:val="0"/>
        <w:spacing w:after="0"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rPr>
        <w:t xml:space="preserve">食品安全AI可视化监管服务</w:t>
      </w:r>
      <w:r>
        <w:rPr>
          <w:rFonts w:hint="eastAsia" w:ascii="宋体" w:hAnsi="宋体" w:eastAsia="宋体" w:cs="宋体"/>
          <w:b/>
          <w:color w:val="000000"/>
          <w:sz w:val="21"/>
          <w:szCs w:val="21"/>
          <w:highlight w:val="none"/>
          <w:lang w:val="en-US" w:eastAsia="zh-CN"/>
        </w:rPr>
        <w:t xml:space="preserve">考评</w:t>
      </w:r>
      <w:r>
        <w:rPr>
          <w:rFonts w:hint="eastAsia" w:ascii="宋体" w:hAnsi="宋体" w:eastAsia="宋体" w:cs="宋体"/>
          <w:b/>
          <w:color w:val="000000"/>
          <w:sz w:val="21"/>
          <w:szCs w:val="21"/>
          <w:highlight w:val="none"/>
          <w:lang w:val="en-US" w:eastAsia="zh-CN"/>
        </w:rPr>
        <w:t xml:space="preserve">评分表</w:t>
      </w:r>
      <w:r>
        <w:rPr>
          <w:rFonts w:ascii="宋体" w:hAnsi="宋体" w:cs="宋体"/>
        </w:rPr>
      </w:r>
      <w:r/>
    </w:p>
    <w:p>
      <w:pPr>
        <w:pStyle w:val="875"/>
        <w:ind w:left="0" w:firstLine="0"/>
        <w:jc w:val="both"/>
        <w:keepLines w:val="0"/>
        <w:keepNext w:val="0"/>
        <w:pageBreakBefore w:val="0"/>
        <w:spacing w:after="0" w:line="44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rPr>
        <w:t xml:space="preserve">被</w:t>
      </w:r>
      <w:r>
        <w:rPr>
          <w:rFonts w:hint="eastAsia" w:ascii="宋体" w:hAnsi="宋体" w:eastAsia="宋体" w:cs="宋体"/>
          <w:b/>
          <w:bCs/>
          <w:color w:val="000000"/>
          <w:sz w:val="21"/>
          <w:szCs w:val="21"/>
          <w:highlight w:val="none"/>
          <w:lang w:val="en-US" w:eastAsia="zh-CN"/>
        </w:rPr>
        <w:t xml:space="preserve">考评</w:t>
      </w:r>
      <w:r>
        <w:rPr>
          <w:rFonts w:hint="eastAsia" w:ascii="宋体" w:hAnsi="宋体" w:eastAsia="宋体" w:cs="宋体"/>
          <w:b/>
          <w:bCs/>
          <w:color w:val="000000"/>
          <w:sz w:val="21"/>
          <w:szCs w:val="21"/>
          <w:highlight w:val="none"/>
          <w:lang w:val="en-US" w:eastAsia="zh-CN"/>
        </w:rPr>
        <w:t xml:space="preserve">单位：                        </w:t>
      </w:r>
      <w:r>
        <w:rPr>
          <w:rFonts w:hint="eastAsia" w:ascii="宋体" w:hAnsi="宋体" w:eastAsia="宋体" w:cs="宋体"/>
          <w:b/>
          <w:bCs/>
          <w:color w:val="000000"/>
          <w:sz w:val="21"/>
          <w:szCs w:val="21"/>
          <w:highlight w:val="none"/>
          <w:lang w:val="en-US" w:eastAsia="zh-CN"/>
        </w:rPr>
        <w:t xml:space="preserve">考评</w:t>
      </w:r>
      <w:r>
        <w:rPr>
          <w:rFonts w:hint="eastAsia" w:ascii="宋体" w:hAnsi="宋体" w:eastAsia="宋体" w:cs="宋体"/>
          <w:b/>
          <w:bCs/>
          <w:color w:val="000000"/>
          <w:sz w:val="21"/>
          <w:szCs w:val="21"/>
          <w:highlight w:val="none"/>
          <w:lang w:val="en-US" w:eastAsia="zh-CN"/>
        </w:rPr>
        <w:t xml:space="preserve">时间：    年   月   日至    年   月   日</w:t>
      </w:r>
      <w:r>
        <w:rPr>
          <w:rFonts w:ascii="宋体" w:hAnsi="宋体" w:cs="宋体"/>
        </w:rPr>
      </w:r>
      <w:r/>
    </w:p>
    <w:tbl>
      <w:tblPr>
        <w:tblStyle w:val="93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2"/>
        <w:gridCol w:w="2094"/>
        <w:gridCol w:w="27"/>
        <w:gridCol w:w="2121"/>
        <w:gridCol w:w="1772"/>
        <w:gridCol w:w="349"/>
        <w:gridCol w:w="475"/>
        <w:gridCol w:w="824"/>
        <w:gridCol w:w="824"/>
      </w:tblGrid>
      <w:tr>
        <w:trPr>
          <w:trHeight w:val="397"/>
        </w:trPr>
        <w:tc>
          <w:tcPr>
            <w:tcW w:w="1632" w:type="dxa"/>
            <w:vAlign w:val="center"/>
            <w:textDirection w:val="lrTb"/>
            <w:noWrap w:val="false"/>
          </w:tcPr>
          <w:p>
            <w:pPr>
              <w:pStyle w:val="863"/>
              <w:jc w:val="center"/>
              <w:keepLines w:val="0"/>
              <w:keepNext w:val="0"/>
              <w:pageBreakBefore w:val="0"/>
              <w:spacing w:line="440" w:lineRule="exact"/>
              <w:rPr>
                <w:rFonts w:hint="eastAsia" w:ascii="宋体" w:hAnsi="宋体" w:cs="宋体"/>
                <w:b/>
                <w:bCs/>
                <w:color w:val="000000"/>
                <w:sz w:val="21"/>
                <w:szCs w:val="21"/>
                <w:highlight w:val="none"/>
                <w:vertAlign w:val="baseline"/>
              </w:rPr>
              <w:outlineLvl w:val="9"/>
            </w:pPr>
            <w:r>
              <w:rPr>
                <w:rFonts w:hint="eastAsia" w:ascii="宋体" w:hAnsi="宋体" w:eastAsia="宋体" w:cs="宋体"/>
                <w:b/>
                <w:bCs/>
                <w:color w:val="000000"/>
                <w:sz w:val="21"/>
                <w:szCs w:val="21"/>
                <w:highlight w:val="none"/>
                <w:vertAlign w:val="baseline"/>
                <w:lang w:val="en-US" w:eastAsia="zh-CN" w:bidi="ar-SA"/>
              </w:rPr>
              <w:t xml:space="preserve">考评</w:t>
            </w:r>
            <w:r>
              <w:rPr>
                <w:rFonts w:hint="eastAsia" w:ascii="宋体" w:hAnsi="宋体" w:eastAsia="宋体" w:cs="宋体"/>
                <w:b/>
                <w:bCs/>
                <w:color w:val="000000"/>
                <w:sz w:val="21"/>
                <w:szCs w:val="21"/>
                <w:highlight w:val="none"/>
                <w:vertAlign w:val="baseline"/>
                <w:lang w:val="en-US" w:eastAsia="zh-CN" w:bidi="ar-SA"/>
              </w:rPr>
              <w:t xml:space="preserve">指标</w:t>
            </w:r>
            <w:r>
              <w:rPr>
                <w:rFonts w:ascii="宋体" w:hAnsi="宋体" w:cs="宋体"/>
              </w:rPr>
            </w:r>
            <w:r/>
          </w:p>
        </w:tc>
        <w:tc>
          <w:tcPr>
            <w:tcW w:w="2094" w:type="dxa"/>
            <w:vAlign w:val="center"/>
            <w:textDirection w:val="lrTb"/>
            <w:noWrap w:val="false"/>
          </w:tcPr>
          <w:p>
            <w:pPr>
              <w:pStyle w:val="863"/>
              <w:jc w:val="center"/>
              <w:keepLines w:val="0"/>
              <w:keepNext w:val="0"/>
              <w:pageBreakBefore w:val="0"/>
              <w:spacing w:line="440" w:lineRule="exact"/>
              <w:rPr>
                <w:rFonts w:hint="eastAsia" w:ascii="宋体" w:hAnsi="宋体" w:cs="宋体"/>
                <w:b/>
                <w:bCs/>
                <w:i w:val="0"/>
                <w:iCs w:val="0"/>
                <w:caps w:val="0"/>
                <w:color w:val="000000"/>
                <w:spacing w:val="0"/>
                <w:sz w:val="21"/>
                <w:szCs w:val="21"/>
                <w:highlight w:val="none"/>
                <w:shd w:val="clear" w:color="auto" w:fill="ffffff"/>
              </w:rPr>
              <w:outlineLvl w:val="9"/>
            </w:pPr>
            <w:r>
              <w:rPr>
                <w:rFonts w:hint="eastAsia" w:ascii="宋体" w:hAnsi="宋体" w:eastAsia="宋体" w:cs="宋体"/>
                <w:b/>
                <w:bCs/>
                <w:i w:val="0"/>
                <w:iCs w:val="0"/>
                <w:caps w:val="0"/>
                <w:color w:val="000000"/>
                <w:spacing w:val="0"/>
                <w:sz w:val="21"/>
                <w:szCs w:val="21"/>
                <w:highlight w:val="none"/>
                <w:shd w:val="clear" w:color="auto" w:fill="ffffff"/>
                <w:lang w:eastAsia="zh-CN"/>
              </w:rPr>
              <w:t xml:space="preserve">考评</w:t>
            </w:r>
            <w:r>
              <w:rPr>
                <w:rFonts w:hint="eastAsia" w:ascii="宋体" w:hAnsi="宋体" w:eastAsia="宋体" w:cs="宋体"/>
                <w:b/>
                <w:bCs/>
                <w:i w:val="0"/>
                <w:iCs w:val="0"/>
                <w:caps w:val="0"/>
                <w:color w:val="000000"/>
                <w:spacing w:val="0"/>
                <w:sz w:val="21"/>
                <w:szCs w:val="21"/>
                <w:highlight w:val="none"/>
                <w:shd w:val="clear" w:color="auto" w:fill="ffffff"/>
              </w:rPr>
              <w:t xml:space="preserve">项目</w:t>
            </w:r>
            <w:r>
              <w:rPr>
                <w:rFonts w:ascii="宋体" w:hAnsi="宋体" w:cs="宋体"/>
              </w:rPr>
            </w:r>
            <w:r/>
          </w:p>
        </w:tc>
        <w:tc>
          <w:tcPr>
            <w:gridSpan w:val="3"/>
            <w:tcW w:w="3920" w:type="dxa"/>
            <w:vAlign w:val="center"/>
            <w:textDirection w:val="lrTb"/>
            <w:noWrap w:val="false"/>
          </w:tcPr>
          <w:p>
            <w:pPr>
              <w:pStyle w:val="863"/>
              <w:jc w:val="center"/>
              <w:keepLines w:val="0"/>
              <w:keepNext w:val="0"/>
              <w:pageBreakBefore w:val="0"/>
              <w:spacing w:line="440" w:lineRule="exact"/>
              <w:rPr>
                <w:rFonts w:hint="eastAsia" w:ascii="宋体" w:hAnsi="宋体" w:cs="宋体"/>
                <w:b/>
                <w:bCs/>
                <w:color w:val="000000"/>
                <w:sz w:val="21"/>
                <w:szCs w:val="21"/>
                <w:highlight w:val="none"/>
                <w:vertAlign w:val="baseline"/>
              </w:rPr>
              <w:outlineLvl w:val="9"/>
            </w:pPr>
            <w:r>
              <w:rPr>
                <w:rFonts w:hint="eastAsia" w:ascii="宋体" w:hAnsi="宋体" w:eastAsia="宋体" w:cs="宋体"/>
                <w:b/>
                <w:bCs/>
                <w:i w:val="0"/>
                <w:iCs w:val="0"/>
                <w:caps w:val="0"/>
                <w:color w:val="000000"/>
                <w:spacing w:val="0"/>
                <w:sz w:val="21"/>
                <w:szCs w:val="21"/>
                <w:highlight w:val="none"/>
                <w:shd w:val="clear" w:color="auto" w:fill="ffffff"/>
                <w:lang w:eastAsia="zh-CN"/>
              </w:rPr>
              <w:t xml:space="preserve">考评</w:t>
            </w:r>
            <w:r>
              <w:rPr>
                <w:rFonts w:hint="eastAsia" w:ascii="宋体" w:hAnsi="宋体" w:eastAsia="宋体" w:cs="宋体"/>
                <w:b/>
                <w:bCs/>
                <w:i w:val="0"/>
                <w:iCs w:val="0"/>
                <w:caps w:val="0"/>
                <w:color w:val="000000"/>
                <w:spacing w:val="0"/>
                <w:sz w:val="21"/>
                <w:szCs w:val="21"/>
                <w:highlight w:val="none"/>
                <w:shd w:val="clear" w:color="auto" w:fill="ffffff"/>
              </w:rPr>
              <w:t xml:space="preserve">内容</w:t>
            </w:r>
            <w:r>
              <w:rPr>
                <w:rFonts w:ascii="宋体" w:hAnsi="宋体" w:cs="宋体"/>
              </w:rPr>
            </w:r>
            <w:r/>
          </w:p>
        </w:tc>
        <w:tc>
          <w:tcPr>
            <w:gridSpan w:val="2"/>
            <w:tcW w:w="824" w:type="dxa"/>
            <w:vAlign w:val="center"/>
            <w:textDirection w:val="lrTb"/>
            <w:noWrap w:val="false"/>
          </w:tcPr>
          <w:p>
            <w:pPr>
              <w:pStyle w:val="863"/>
              <w:jc w:val="center"/>
              <w:keepLines w:val="0"/>
              <w:keepNext w:val="0"/>
              <w:pageBreakBefore w:val="0"/>
              <w:spacing w:line="440" w:lineRule="exact"/>
              <w:rPr>
                <w:rFonts w:hint="eastAsia" w:ascii="宋体" w:hAnsi="宋体" w:cs="宋体"/>
                <w:b/>
                <w:bCs/>
                <w:color w:val="000000"/>
                <w:sz w:val="21"/>
                <w:szCs w:val="21"/>
                <w:highlight w:val="none"/>
                <w:vertAlign w:val="baseline"/>
              </w:rPr>
              <w:outlineLvl w:val="9"/>
            </w:pPr>
            <w:r>
              <w:rPr>
                <w:rFonts w:hint="eastAsia" w:ascii="宋体" w:hAnsi="宋体" w:eastAsia="宋体" w:cs="宋体"/>
                <w:b/>
                <w:bCs/>
                <w:i w:val="0"/>
                <w:iCs w:val="0"/>
                <w:caps w:val="0"/>
                <w:color w:val="000000"/>
                <w:spacing w:val="0"/>
                <w:sz w:val="21"/>
                <w:szCs w:val="21"/>
                <w:highlight w:val="none"/>
                <w:shd w:val="clear" w:color="auto" w:fill="ffffff"/>
              </w:rPr>
              <w:t xml:space="preserve">分值</w:t>
            </w:r>
            <w:r>
              <w:rPr>
                <w:rFonts w:ascii="宋体" w:hAnsi="宋体" w:cs="宋体"/>
              </w:rPr>
            </w:r>
            <w:r/>
          </w:p>
        </w:tc>
        <w:tc>
          <w:tcPr>
            <w:tcW w:w="824" w:type="dxa"/>
            <w:vAlign w:val="center"/>
            <w:textDirection w:val="lrTb"/>
            <w:noWrap w:val="false"/>
          </w:tcPr>
          <w:p>
            <w:pPr>
              <w:pStyle w:val="863"/>
              <w:jc w:val="center"/>
              <w:keepLines w:val="0"/>
              <w:keepNext w:val="0"/>
              <w:pageBreakBefore w:val="0"/>
              <w:spacing w:line="440" w:lineRule="exact"/>
              <w:rPr>
                <w:rFonts w:hint="eastAsia" w:ascii="宋体" w:hAnsi="宋体" w:cs="宋体"/>
                <w:b/>
                <w:bCs/>
                <w:color w:val="000000"/>
                <w:sz w:val="21"/>
                <w:szCs w:val="21"/>
                <w:highlight w:val="none"/>
                <w:vertAlign w:val="baseline"/>
              </w:rPr>
              <w:outlineLvl w:val="9"/>
            </w:pPr>
            <w:r>
              <w:rPr>
                <w:rFonts w:hint="eastAsia" w:ascii="宋体" w:hAnsi="宋体" w:eastAsia="宋体" w:cs="宋体"/>
                <w:b/>
                <w:bCs/>
                <w:color w:val="000000"/>
                <w:sz w:val="21"/>
                <w:szCs w:val="21"/>
                <w:highlight w:val="none"/>
                <w:vertAlign w:val="baseline"/>
                <w:lang w:val="en-US" w:eastAsia="zh-CN"/>
              </w:rPr>
              <w:t xml:space="preserve">得分</w:t>
            </w:r>
            <w:r>
              <w:rPr>
                <w:rFonts w:ascii="宋体" w:hAnsi="宋体" w:cs="宋体"/>
              </w:rPr>
            </w:r>
            <w:r/>
          </w:p>
        </w:tc>
        <w:tc>
          <w:tcPr>
            <w:tcW w:w="824" w:type="dxa"/>
            <w:vAlign w:val="center"/>
            <w:textDirection w:val="lrTb"/>
            <w:noWrap w:val="false"/>
          </w:tcPr>
          <w:p>
            <w:pPr>
              <w:pStyle w:val="863"/>
              <w:jc w:val="center"/>
              <w:keepLines w:val="0"/>
              <w:keepNext w:val="0"/>
              <w:pageBreakBefore w:val="0"/>
              <w:spacing w:line="440" w:lineRule="exact"/>
              <w:rPr>
                <w:rFonts w:hint="eastAsia" w:ascii="宋体" w:hAnsi="宋体" w:cs="宋体"/>
                <w:b/>
                <w:bCs/>
                <w:color w:val="000000"/>
                <w:sz w:val="21"/>
                <w:szCs w:val="21"/>
                <w:highlight w:val="none"/>
                <w:vertAlign w:val="baseline"/>
              </w:rPr>
              <w:outlineLvl w:val="9"/>
            </w:pPr>
            <w:r>
              <w:rPr>
                <w:rFonts w:hint="eastAsia" w:ascii="宋体" w:hAnsi="宋体" w:eastAsia="宋体" w:cs="宋体"/>
                <w:b/>
                <w:bCs/>
                <w:color w:val="000000"/>
                <w:sz w:val="21"/>
                <w:szCs w:val="21"/>
                <w:highlight w:val="none"/>
                <w:vertAlign w:val="baseline"/>
                <w:lang w:val="en-US" w:eastAsia="zh-CN"/>
              </w:rPr>
              <w:t xml:space="preserve">备注</w:t>
            </w:r>
            <w:r>
              <w:rPr>
                <w:rFonts w:ascii="宋体" w:hAnsi="宋体" w:cs="宋体"/>
              </w:rPr>
            </w:r>
            <w:r/>
          </w:p>
        </w:tc>
      </w:tr>
      <w:tr>
        <w:trPr>
          <w:trHeight w:val="397"/>
        </w:trPr>
        <w:tc>
          <w:tcPr>
            <w:tcW w:w="1632" w:type="dxa"/>
            <w:vAlign w:val="center"/>
            <w:vMerge w:val="restart"/>
            <w:textDirection w:val="lrTb"/>
            <w:noWrap w:val="false"/>
          </w:tcPr>
          <w:p>
            <w:pPr>
              <w:pStyle w:val="863"/>
              <w:ind w:left="0" w:firstLine="0"/>
              <w:jc w:val="center"/>
              <w:keepLines w:val="0"/>
              <w:keepNext w:val="0"/>
              <w:pageBreakBefore w:val="0"/>
              <w:spacing w:before="0" w:beforeAutospacing="0" w:afterAutospacing="0" w:line="440" w:lineRule="exact"/>
              <w:shd w:val="clear" w:color="auto" w:fill="ffffff"/>
              <w:widowControl/>
              <w:rPr>
                <w:rFonts w:hint="eastAsia" w:ascii="宋体" w:hAnsi="宋体" w:cs="宋体"/>
                <w:b w:val="0"/>
                <w:bCs w:val="0"/>
                <w:color w:val="000000"/>
                <w:sz w:val="21"/>
                <w:szCs w:val="21"/>
                <w:highlight w:val="none"/>
                <w:vertAlign w:val="baseline"/>
              </w:rPr>
              <w:outlineLvl w:val="9"/>
              <w:suppressLineNumbers w:val="0"/>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t xml:space="preserve">基础服务</w:t>
            </w: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br w:type="textWrapping" w:clear="all"/>
            </w: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t xml:space="preserve">执行情况</w:t>
            </w: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br w:type="textWrapping" w:clear="all"/>
            </w: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t xml:space="preserve">（</w:t>
            </w: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t xml:space="preserve">45</w:t>
            </w: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t xml:space="preserve">分）</w:t>
            </w:r>
            <w:r>
              <w:rPr>
                <w:rFonts w:ascii="宋体" w:hAnsi="宋体" w:cs="宋体"/>
              </w:rPr>
            </w:r>
            <w:r/>
          </w:p>
        </w:tc>
        <w:tc>
          <w:tcPr>
            <w:tcW w:w="209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color w:val="000000"/>
                <w:sz w:val="21"/>
                <w:szCs w:val="21"/>
                <w:highlight w:val="none"/>
                <w:vertAlign w:val="baseline"/>
              </w:rPr>
              <w:outlineLvl w:val="9"/>
            </w:pPr>
            <w:r>
              <w:rPr>
                <w:rFonts w:hint="eastAsia" w:ascii="宋体" w:hAnsi="宋体" w:eastAsia="宋体" w:cs="宋体"/>
                <w:color w:val="000000"/>
                <w:sz w:val="21"/>
                <w:szCs w:val="21"/>
                <w:highlight w:val="none"/>
                <w:lang w:val="en-US" w:eastAsia="zh-CN"/>
              </w:rPr>
              <w:t xml:space="preserve">在线率</w:t>
            </w:r>
            <w:r>
              <w:rPr>
                <w:rFonts w:ascii="宋体" w:hAnsi="宋体" w:cs="宋体"/>
              </w:rPr>
            </w:r>
            <w:r/>
          </w:p>
        </w:tc>
        <w:tc>
          <w:tcPr>
            <w:gridSpan w:val="3"/>
            <w:tcW w:w="3920" w:type="dxa"/>
            <w:vAlign w:val="center"/>
            <w:textDirection w:val="lrTb"/>
            <w:noWrap w:val="false"/>
          </w:tcPr>
          <w:p>
            <w:pPr>
              <w:pStyle w:val="863"/>
              <w:jc w:val="both"/>
              <w:keepLines w:val="0"/>
              <w:keepNext w:val="0"/>
              <w:pageBreakBefore w:val="0"/>
              <w:spacing w:beforeAutospacing="0" w:afterAutospacing="0" w:line="440" w:lineRule="exact"/>
              <w:rPr>
                <w:rFonts w:hint="eastAsia" w:ascii="宋体" w:hAnsi="宋体" w:cs="宋体"/>
                <w:b w:val="0"/>
                <w:bCs w:val="0"/>
                <w:color w:val="000000"/>
                <w:sz w:val="21"/>
                <w:szCs w:val="21"/>
                <w:highlight w:val="none"/>
                <w:vertAlign w:val="baseline"/>
              </w:rPr>
              <w:outlineLvl w:val="9"/>
            </w:pPr>
            <w:r>
              <w:rPr>
                <w:rFonts w:hint="eastAsia" w:ascii="宋体" w:hAnsi="宋体" w:eastAsia="宋体" w:cs="宋体"/>
                <w:color w:val="000000"/>
                <w:sz w:val="21"/>
                <w:szCs w:val="21"/>
                <w:highlight w:val="none"/>
                <w:lang w:val="en-US" w:eastAsia="zh-CN"/>
              </w:rPr>
              <w:t xml:space="preserve">≥95%</w:t>
            </w:r>
            <w:r>
              <w:rPr>
                <w:rFonts w:ascii="宋体" w:hAnsi="宋体" w:cs="宋体"/>
              </w:rPr>
            </w:r>
            <w:r/>
          </w:p>
        </w:tc>
        <w:tc>
          <w:tcPr>
            <w:gridSpan w:val="2"/>
            <w:tcW w:w="82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color w:val="000000"/>
                <w:sz w:val="21"/>
                <w:szCs w:val="21"/>
                <w:highlight w:val="none"/>
                <w:vertAlign w:val="baseline"/>
              </w:rPr>
              <w:outlineLvl w:val="9"/>
            </w:pPr>
            <w:r>
              <w:rPr>
                <w:rFonts w:hint="eastAsia" w:ascii="宋体" w:hAnsi="宋体" w:eastAsia="宋体" w:cs="宋体"/>
                <w:b w:val="0"/>
                <w:bCs w:val="0"/>
                <w:color w:val="000000"/>
                <w:sz w:val="21"/>
                <w:szCs w:val="21"/>
                <w:highlight w:val="none"/>
                <w:vertAlign w:val="baseline"/>
                <w:lang w:val="en-US" w:eastAsia="zh-CN"/>
              </w:rPr>
              <w:t xml:space="preserve">5</w:t>
            </w:r>
            <w:r>
              <w:rPr>
                <w:rFonts w:ascii="宋体" w:hAnsi="宋体" w:cs="宋体"/>
              </w:rPr>
            </w:r>
            <w:r/>
          </w:p>
        </w:tc>
        <w:tc>
          <w:tcPr>
            <w:tcW w:w="82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color w:val="000000"/>
                <w:sz w:val="21"/>
                <w:szCs w:val="21"/>
                <w:highlight w:val="none"/>
                <w:vertAlign w:val="baseline"/>
              </w:rPr>
              <w:outlineLvl w:val="9"/>
            </w:pPr>
            <w:r>
              <w:rPr>
                <w:rFonts w:hint="eastAsia" w:ascii="宋体" w:hAnsi="宋体" w:eastAsia="宋体" w:cs="宋体"/>
                <w:b w:val="0"/>
                <w:bCs w:val="0"/>
                <w:color w:val="000000"/>
                <w:sz w:val="21"/>
                <w:szCs w:val="21"/>
                <w:highlight w:val="none"/>
                <w:vertAlign w:val="baseline"/>
              </w:rPr>
            </w:r>
            <w:r>
              <w:rPr>
                <w:rFonts w:ascii="宋体" w:hAnsi="宋体" w:cs="宋体"/>
              </w:rPr>
            </w:r>
            <w:r/>
          </w:p>
        </w:tc>
        <w:tc>
          <w:tcPr>
            <w:tcW w:w="82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color w:val="000000"/>
                <w:sz w:val="21"/>
                <w:szCs w:val="21"/>
                <w:highlight w:val="none"/>
                <w:vertAlign w:val="baseline"/>
              </w:rPr>
              <w:outlineLvl w:val="9"/>
            </w:pPr>
            <w:r>
              <w:rPr>
                <w:rFonts w:hint="eastAsia" w:ascii="宋体" w:hAnsi="宋体" w:eastAsia="宋体" w:cs="宋体"/>
                <w:b w:val="0"/>
                <w:bCs w:val="0"/>
                <w:color w:val="000000"/>
                <w:sz w:val="21"/>
                <w:szCs w:val="21"/>
                <w:highlight w:val="none"/>
                <w:vertAlign w:val="baseline"/>
              </w:rPr>
            </w:r>
            <w:r>
              <w:rPr>
                <w:rFonts w:ascii="宋体" w:hAnsi="宋体" w:cs="宋体"/>
              </w:rPr>
            </w:r>
            <w:r/>
          </w:p>
        </w:tc>
      </w:tr>
      <w:tr>
        <w:trPr>
          <w:trHeight w:val="397"/>
        </w:trPr>
        <w:tc>
          <w:tcPr>
            <w:tcW w:w="1632" w:type="dxa"/>
            <w:vAlign w:val="center"/>
            <w:vMerge w:val="continue"/>
            <w:textDirection w:val="lrTb"/>
            <w:noWrap w:val="false"/>
          </w:tcPr>
          <w:p>
            <w:pPr>
              <w:pStyle w:val="863"/>
              <w:jc w:val="center"/>
              <w:keepLines w:val="0"/>
              <w:keepNext w:val="0"/>
              <w:pageBreakBefore w:val="0"/>
              <w:spacing w:beforeAutospacing="0" w:afterAutospacing="0" w:line="440" w:lineRule="exact"/>
              <w:rPr>
                <w:rFonts w:hint="eastAsia" w:ascii="宋体" w:hAnsi="宋体" w:eastAsia="宋体" w:cs="宋体"/>
                <w:b w:val="0"/>
                <w:bCs w:val="0"/>
                <w:color w:val="000000"/>
                <w:sz w:val="21"/>
                <w:szCs w:val="21"/>
                <w:highlight w:val="none"/>
                <w:vertAlign w:val="baseline"/>
              </w:rPr>
              <w:outlineLvl w:val="9"/>
            </w:pPr>
            <w:r>
              <w:rPr>
                <w:rFonts w:hint="eastAsia" w:ascii="宋体" w:hAnsi="宋体" w:eastAsia="宋体" w:cs="宋体"/>
                <w:b w:val="0"/>
                <w:bCs w:val="0"/>
                <w:color w:val="000000"/>
                <w:sz w:val="21"/>
                <w:szCs w:val="21"/>
                <w:highlight w:val="none"/>
                <w:vertAlign w:val="baseline"/>
              </w:rPr>
            </w:r>
            <w:r/>
          </w:p>
        </w:tc>
        <w:tc>
          <w:tcPr>
            <w:tcW w:w="209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color w:val="000000"/>
                <w:sz w:val="21"/>
                <w:szCs w:val="21"/>
                <w:highlight w:val="none"/>
                <w:vertAlign w:val="baseline"/>
              </w:rPr>
              <w:outlineLvl w:val="9"/>
            </w:pPr>
            <w:r>
              <w:rPr>
                <w:rFonts w:hint="eastAsia" w:ascii="宋体" w:hAnsi="宋体" w:eastAsia="宋体" w:cs="宋体"/>
                <w:b w:val="0"/>
                <w:bCs w:val="0"/>
                <w:i w:val="0"/>
                <w:iCs w:val="0"/>
                <w:caps w:val="0"/>
                <w:color w:val="000000"/>
                <w:spacing w:val="0"/>
                <w:sz w:val="21"/>
                <w:szCs w:val="21"/>
                <w:highlight w:val="none"/>
                <w:shd w:val="clear" w:color="auto" w:fill="ffffff"/>
              </w:rPr>
              <w:t xml:space="preserve">数据回传完整性</w:t>
            </w:r>
            <w:r>
              <w:rPr>
                <w:rFonts w:ascii="宋体" w:hAnsi="宋体" w:cs="宋体"/>
              </w:rPr>
            </w:r>
            <w:r/>
          </w:p>
        </w:tc>
        <w:tc>
          <w:tcPr>
            <w:gridSpan w:val="3"/>
            <w:tcW w:w="3920" w:type="dxa"/>
            <w:vAlign w:val="center"/>
            <w:textDirection w:val="lrTb"/>
            <w:noWrap w:val="false"/>
          </w:tcPr>
          <w:p>
            <w:pPr>
              <w:pStyle w:val="863"/>
              <w:jc w:val="both"/>
              <w:keepLines w:val="0"/>
              <w:keepNext w:val="0"/>
              <w:pageBreakBefore w:val="0"/>
              <w:spacing w:beforeAutospacing="0" w:afterAutospacing="0" w:line="440" w:lineRule="exact"/>
              <w:rPr>
                <w:rFonts w:hint="eastAsia" w:ascii="宋体" w:hAnsi="宋体" w:cs="宋体"/>
                <w:b w:val="0"/>
                <w:bCs w:val="0"/>
                <w:color w:val="000000"/>
                <w:sz w:val="21"/>
                <w:szCs w:val="21"/>
                <w:highlight w:val="none"/>
                <w:vertAlign w:val="baseline"/>
              </w:rPr>
              <w:outlineLvl w:val="9"/>
            </w:pPr>
            <w:r>
              <w:rPr>
                <w:rFonts w:hint="eastAsia" w:ascii="宋体" w:hAnsi="宋体" w:eastAsia="宋体" w:cs="宋体"/>
                <w:b w:val="0"/>
                <w:bCs w:val="0"/>
                <w:i w:val="0"/>
                <w:iCs w:val="0"/>
                <w:caps w:val="0"/>
                <w:color w:val="000000"/>
                <w:spacing w:val="0"/>
                <w:sz w:val="21"/>
                <w:szCs w:val="21"/>
                <w:highlight w:val="none"/>
                <w:shd w:val="clear" w:color="auto" w:fill="ffffff"/>
              </w:rPr>
              <w:t xml:space="preserve">视频、影像、模型等数据是否完整回传</w:t>
            </w:r>
            <w:r>
              <w:rPr>
                <w:rFonts w:ascii="宋体" w:hAnsi="宋体" w:cs="宋体"/>
              </w:rPr>
            </w:r>
            <w:r/>
          </w:p>
        </w:tc>
        <w:tc>
          <w:tcPr>
            <w:gridSpan w:val="2"/>
            <w:tcW w:w="82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color w:val="000000"/>
                <w:sz w:val="21"/>
                <w:szCs w:val="21"/>
                <w:highlight w:val="none"/>
                <w:vertAlign w:val="baseline"/>
              </w:rPr>
              <w:outlineLvl w:val="9"/>
            </w:pPr>
            <w:r>
              <w:rPr>
                <w:rFonts w:hint="eastAsia" w:ascii="宋体" w:hAnsi="宋体" w:eastAsia="宋体" w:cs="宋体"/>
                <w:b w:val="0"/>
                <w:bCs w:val="0"/>
                <w:color w:val="000000"/>
                <w:sz w:val="21"/>
                <w:szCs w:val="21"/>
                <w:highlight w:val="none"/>
                <w:vertAlign w:val="baseline"/>
                <w:lang w:val="en-US" w:eastAsia="zh-CN"/>
              </w:rPr>
              <w:t xml:space="preserve">5</w:t>
            </w:r>
            <w:r>
              <w:rPr>
                <w:rFonts w:ascii="宋体" w:hAnsi="宋体" w:cs="宋体"/>
              </w:rPr>
            </w:r>
            <w:r/>
          </w:p>
        </w:tc>
        <w:tc>
          <w:tcPr>
            <w:tcW w:w="82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color w:val="000000"/>
                <w:sz w:val="21"/>
                <w:szCs w:val="21"/>
                <w:highlight w:val="none"/>
                <w:vertAlign w:val="baseline"/>
              </w:rPr>
              <w:outlineLvl w:val="9"/>
            </w:pPr>
            <w:r>
              <w:rPr>
                <w:rFonts w:hint="eastAsia" w:ascii="宋体" w:hAnsi="宋体" w:eastAsia="宋体" w:cs="宋体"/>
                <w:b w:val="0"/>
                <w:bCs w:val="0"/>
                <w:color w:val="000000"/>
                <w:sz w:val="21"/>
                <w:szCs w:val="21"/>
                <w:highlight w:val="none"/>
                <w:vertAlign w:val="baseline"/>
              </w:rPr>
            </w:r>
            <w:r>
              <w:rPr>
                <w:rFonts w:ascii="宋体" w:hAnsi="宋体" w:cs="宋体"/>
              </w:rPr>
            </w:r>
            <w:r/>
          </w:p>
        </w:tc>
        <w:tc>
          <w:tcPr>
            <w:tcW w:w="82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color w:val="000000"/>
                <w:sz w:val="21"/>
                <w:szCs w:val="21"/>
                <w:highlight w:val="none"/>
                <w:vertAlign w:val="baseline"/>
              </w:rPr>
              <w:outlineLvl w:val="9"/>
            </w:pPr>
            <w:r>
              <w:rPr>
                <w:rFonts w:hint="eastAsia" w:ascii="宋体" w:hAnsi="宋体" w:eastAsia="宋体" w:cs="宋体"/>
                <w:b w:val="0"/>
                <w:bCs w:val="0"/>
                <w:color w:val="000000"/>
                <w:sz w:val="21"/>
                <w:szCs w:val="21"/>
                <w:highlight w:val="none"/>
                <w:vertAlign w:val="baseline"/>
              </w:rPr>
            </w:r>
            <w:r>
              <w:rPr>
                <w:rFonts w:ascii="宋体" w:hAnsi="宋体" w:cs="宋体"/>
              </w:rPr>
            </w:r>
            <w:r/>
          </w:p>
        </w:tc>
      </w:tr>
      <w:tr>
        <w:trPr>
          <w:trHeight w:val="397"/>
        </w:trPr>
        <w:tc>
          <w:tcPr>
            <w:tcW w:w="1632" w:type="dxa"/>
            <w:vAlign w:val="center"/>
            <w:vMerge w:val="continue"/>
            <w:textDirection w:val="lrTb"/>
            <w:noWrap w:val="false"/>
          </w:tcPr>
          <w:p>
            <w:pPr>
              <w:pStyle w:val="863"/>
              <w:jc w:val="center"/>
              <w:keepLines w:val="0"/>
              <w:keepNext w:val="0"/>
              <w:pageBreakBefore w:val="0"/>
              <w:spacing w:beforeAutospacing="0" w:afterAutospacing="0" w:line="440" w:lineRule="exact"/>
              <w:rPr>
                <w:rFonts w:hint="eastAsia" w:ascii="宋体" w:hAnsi="宋体" w:eastAsia="宋体" w:cs="宋体"/>
                <w:b w:val="0"/>
                <w:bCs w:val="0"/>
                <w:color w:val="000000"/>
                <w:sz w:val="21"/>
                <w:szCs w:val="21"/>
                <w:highlight w:val="none"/>
                <w:vertAlign w:val="baseline"/>
              </w:rPr>
              <w:outlineLvl w:val="9"/>
            </w:pPr>
            <w:r>
              <w:rPr>
                <w:rFonts w:hint="eastAsia" w:ascii="宋体" w:hAnsi="宋体" w:eastAsia="宋体" w:cs="宋体"/>
                <w:b w:val="0"/>
                <w:bCs w:val="0"/>
                <w:color w:val="000000"/>
                <w:sz w:val="21"/>
                <w:szCs w:val="21"/>
                <w:highlight w:val="none"/>
                <w:vertAlign w:val="baseline"/>
              </w:rPr>
            </w:r>
            <w:r/>
          </w:p>
        </w:tc>
        <w:tc>
          <w:tcPr>
            <w:tcW w:w="209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color w:val="000000"/>
                <w:sz w:val="21"/>
                <w:szCs w:val="21"/>
                <w:highlight w:val="none"/>
                <w:vertAlign w:val="baseline"/>
              </w:rPr>
              <w:outlineLvl w:val="9"/>
            </w:pPr>
            <w:r>
              <w:rPr>
                <w:rFonts w:hint="eastAsia" w:ascii="宋体" w:hAnsi="宋体" w:eastAsia="宋体" w:cs="宋体"/>
                <w:color w:val="000000"/>
                <w:sz w:val="21"/>
                <w:szCs w:val="21"/>
                <w:highlight w:val="none"/>
                <w:lang w:val="en-US" w:eastAsia="zh-CN"/>
              </w:rPr>
              <w:t xml:space="preserve">热线技术支持</w:t>
            </w:r>
            <w:r>
              <w:rPr>
                <w:rFonts w:ascii="宋体" w:hAnsi="宋体" w:cs="宋体"/>
              </w:rPr>
            </w:r>
            <w:r/>
          </w:p>
        </w:tc>
        <w:tc>
          <w:tcPr>
            <w:gridSpan w:val="3"/>
            <w:tcW w:w="3920" w:type="dxa"/>
            <w:vAlign w:val="center"/>
            <w:textDirection w:val="lrTb"/>
            <w:noWrap w:val="false"/>
          </w:tcPr>
          <w:p>
            <w:pPr>
              <w:pStyle w:val="863"/>
              <w:jc w:val="both"/>
              <w:keepLines w:val="0"/>
              <w:keepNext w:val="0"/>
              <w:pageBreakBefore w:val="0"/>
              <w:spacing w:beforeAutospacing="0" w:afterAutospacing="0" w:line="440" w:lineRule="exact"/>
              <w:rPr>
                <w:rFonts w:hint="eastAsia" w:ascii="宋体" w:hAnsi="宋体" w:cs="宋体"/>
                <w:b w:val="0"/>
                <w:bCs w:val="0"/>
                <w:color w:val="000000"/>
                <w:sz w:val="21"/>
                <w:szCs w:val="21"/>
                <w:highlight w:val="none"/>
                <w:vertAlign w:val="baseline"/>
              </w:rPr>
              <w:outlineLvl w:val="9"/>
            </w:pPr>
            <w:r>
              <w:rPr>
                <w:rFonts w:hint="eastAsia" w:ascii="宋体" w:hAnsi="宋体" w:eastAsia="宋体" w:cs="宋体"/>
                <w:color w:val="000000"/>
                <w:sz w:val="21"/>
                <w:szCs w:val="21"/>
                <w:highlight w:val="none"/>
                <w:lang w:val="en-US" w:eastAsia="zh-CN"/>
              </w:rPr>
              <w:t xml:space="preserve">满足7×12小时</w:t>
            </w:r>
            <w:r>
              <w:rPr>
                <w:rFonts w:ascii="宋体" w:hAnsi="宋体" w:cs="宋体"/>
              </w:rPr>
            </w:r>
            <w:r/>
          </w:p>
        </w:tc>
        <w:tc>
          <w:tcPr>
            <w:gridSpan w:val="2"/>
            <w:tcW w:w="82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color w:val="000000"/>
                <w:sz w:val="21"/>
                <w:szCs w:val="21"/>
                <w:highlight w:val="none"/>
                <w:vertAlign w:val="baseline"/>
              </w:rPr>
              <w:outlineLvl w:val="9"/>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rPr>
              <w:t xml:space="preserve">5</w:t>
            </w:r>
            <w:r>
              <w:rPr>
                <w:rFonts w:ascii="宋体" w:hAnsi="宋体" w:cs="宋体"/>
              </w:rPr>
            </w:r>
            <w:r/>
          </w:p>
        </w:tc>
        <w:tc>
          <w:tcPr>
            <w:tcW w:w="82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color w:val="000000"/>
                <w:sz w:val="21"/>
                <w:szCs w:val="21"/>
                <w:highlight w:val="none"/>
                <w:vertAlign w:val="baseline"/>
              </w:rPr>
              <w:outlineLvl w:val="9"/>
            </w:pPr>
            <w:r>
              <w:rPr>
                <w:rFonts w:hint="eastAsia" w:ascii="宋体" w:hAnsi="宋体" w:eastAsia="宋体" w:cs="宋体"/>
                <w:b w:val="0"/>
                <w:bCs w:val="0"/>
                <w:color w:val="000000"/>
                <w:sz w:val="21"/>
                <w:szCs w:val="21"/>
                <w:highlight w:val="none"/>
                <w:vertAlign w:val="baseline"/>
              </w:rPr>
            </w:r>
            <w:r>
              <w:rPr>
                <w:rFonts w:ascii="宋体" w:hAnsi="宋体" w:cs="宋体"/>
              </w:rPr>
            </w:r>
            <w:r/>
          </w:p>
        </w:tc>
        <w:tc>
          <w:tcPr>
            <w:tcW w:w="82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color w:val="000000"/>
                <w:sz w:val="21"/>
                <w:szCs w:val="21"/>
                <w:highlight w:val="none"/>
                <w:vertAlign w:val="baseline"/>
              </w:rPr>
              <w:outlineLvl w:val="9"/>
            </w:pPr>
            <w:r>
              <w:rPr>
                <w:rFonts w:hint="eastAsia" w:ascii="宋体" w:hAnsi="宋体" w:eastAsia="宋体" w:cs="宋体"/>
                <w:b w:val="0"/>
                <w:bCs w:val="0"/>
                <w:color w:val="000000"/>
                <w:sz w:val="21"/>
                <w:szCs w:val="21"/>
                <w:highlight w:val="none"/>
                <w:vertAlign w:val="baseline"/>
              </w:rPr>
            </w:r>
            <w:r>
              <w:rPr>
                <w:rFonts w:ascii="宋体" w:hAnsi="宋体" w:cs="宋体"/>
              </w:rPr>
            </w:r>
            <w:r/>
          </w:p>
        </w:tc>
      </w:tr>
      <w:tr>
        <w:trPr>
          <w:trHeight w:val="397"/>
        </w:trPr>
        <w:tc>
          <w:tcPr>
            <w:tcW w:w="1632" w:type="dxa"/>
            <w:vAlign w:val="center"/>
            <w:vMerge w:val="continue"/>
            <w:textDirection w:val="lrTb"/>
            <w:noWrap w:val="false"/>
          </w:tcPr>
          <w:p>
            <w:pPr>
              <w:pStyle w:val="863"/>
              <w:jc w:val="center"/>
              <w:keepLines w:val="0"/>
              <w:keepNext w:val="0"/>
              <w:pageBreakBefore w:val="0"/>
              <w:spacing w:beforeAutospacing="0" w:afterAutospacing="0" w:line="440" w:lineRule="exact"/>
              <w:rPr>
                <w:rFonts w:hint="eastAsia" w:ascii="宋体" w:hAnsi="宋体" w:eastAsia="宋体" w:cs="宋体"/>
                <w:b w:val="0"/>
                <w:bCs w:val="0"/>
                <w:color w:val="000000"/>
                <w:sz w:val="21"/>
                <w:szCs w:val="21"/>
                <w:highlight w:val="none"/>
                <w:vertAlign w:val="baseline"/>
              </w:rPr>
              <w:outlineLvl w:val="9"/>
            </w:pPr>
            <w:r>
              <w:rPr>
                <w:rFonts w:hint="eastAsia" w:ascii="宋体" w:hAnsi="宋体" w:eastAsia="宋体" w:cs="宋体"/>
                <w:b w:val="0"/>
                <w:bCs w:val="0"/>
                <w:color w:val="000000"/>
                <w:sz w:val="21"/>
                <w:szCs w:val="21"/>
                <w:highlight w:val="none"/>
                <w:vertAlign w:val="baseline"/>
              </w:rPr>
            </w:r>
            <w:r/>
          </w:p>
        </w:tc>
        <w:tc>
          <w:tcPr>
            <w:tcW w:w="209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i w:val="0"/>
                <w:iCs w:val="0"/>
                <w:caps w:val="0"/>
                <w:color w:val="000000"/>
                <w:spacing w:val="0"/>
                <w:sz w:val="21"/>
                <w:szCs w:val="21"/>
                <w:highlight w:val="none"/>
                <w:shd w:val="clear" w:color="auto" w:fill="ffffff"/>
              </w:rPr>
              <w:outlineLvl w:val="9"/>
            </w:pPr>
            <w:r>
              <w:rPr>
                <w:rFonts w:hint="eastAsia" w:ascii="宋体" w:hAnsi="宋体" w:eastAsia="宋体" w:cs="宋体"/>
                <w:color w:val="000000"/>
                <w:sz w:val="21"/>
                <w:szCs w:val="21"/>
                <w:highlight w:val="none"/>
                <w:lang w:val="en-US" w:eastAsia="zh-CN"/>
              </w:rPr>
              <w:t xml:space="preserve">服务响应度</w:t>
            </w:r>
            <w:r>
              <w:rPr>
                <w:rFonts w:ascii="宋体" w:hAnsi="宋体" w:cs="宋体"/>
              </w:rPr>
            </w:r>
            <w:r/>
          </w:p>
        </w:tc>
        <w:tc>
          <w:tcPr>
            <w:gridSpan w:val="3"/>
            <w:tcW w:w="3920" w:type="dxa"/>
            <w:vAlign w:val="center"/>
            <w:textDirection w:val="lrTb"/>
            <w:noWrap w:val="false"/>
          </w:tcPr>
          <w:p>
            <w:pPr>
              <w:pStyle w:val="863"/>
              <w:jc w:val="both"/>
              <w:keepLines w:val="0"/>
              <w:keepNext w:val="0"/>
              <w:pageBreakBefore w:val="0"/>
              <w:spacing w:beforeAutospacing="0" w:afterAutospacing="0" w:line="440" w:lineRule="exact"/>
              <w:rPr>
                <w:rFonts w:hint="eastAsia" w:ascii="宋体" w:hAnsi="宋体" w:cs="宋体"/>
                <w:b w:val="0"/>
                <w:bCs w:val="0"/>
                <w:i w:val="0"/>
                <w:iCs w:val="0"/>
                <w:caps w:val="0"/>
                <w:color w:val="000000"/>
                <w:spacing w:val="0"/>
                <w:sz w:val="21"/>
                <w:szCs w:val="21"/>
                <w:highlight w:val="none"/>
                <w:shd w:val="clear" w:color="auto" w:fill="ffffff"/>
              </w:rPr>
              <w:outlineLvl w:val="9"/>
            </w:pPr>
            <w:r>
              <w:rPr>
                <w:rFonts w:hint="eastAsia" w:ascii="宋体" w:hAnsi="宋体" w:eastAsia="宋体" w:cs="宋体"/>
                <w:color w:val="000000"/>
                <w:sz w:val="21"/>
                <w:szCs w:val="21"/>
                <w:highlight w:val="none"/>
                <w:lang w:val="en-US" w:eastAsia="zh-CN"/>
              </w:rPr>
              <w:t xml:space="preserve">接到设备故障报修后，2小时内完成故障初步诊断；市区范围内4小时内到场维修，郊区8小时内到场</w:t>
            </w:r>
            <w:r>
              <w:rPr>
                <w:rFonts w:ascii="宋体" w:hAnsi="宋体" w:cs="宋体"/>
              </w:rPr>
            </w:r>
            <w:r/>
          </w:p>
        </w:tc>
        <w:tc>
          <w:tcPr>
            <w:gridSpan w:val="2"/>
            <w:tcW w:w="82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i w:val="0"/>
                <w:iCs w:val="0"/>
                <w:caps w:val="0"/>
                <w:color w:val="000000"/>
                <w:spacing w:val="0"/>
                <w:sz w:val="21"/>
                <w:szCs w:val="21"/>
                <w:highlight w:val="none"/>
                <w:shd w:val="clear" w:color="auto" w:fill="ffffff"/>
              </w:rPr>
              <w:outlineLvl w:val="9"/>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rPr>
              <w:t xml:space="preserve">15</w:t>
            </w:r>
            <w:r>
              <w:rPr>
                <w:rFonts w:ascii="宋体" w:hAnsi="宋体" w:cs="宋体"/>
              </w:rPr>
            </w:r>
            <w:r/>
          </w:p>
        </w:tc>
        <w:tc>
          <w:tcPr>
            <w:tcW w:w="82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color w:val="000000"/>
                <w:sz w:val="21"/>
                <w:szCs w:val="21"/>
                <w:highlight w:val="none"/>
                <w:vertAlign w:val="baseline"/>
              </w:rPr>
              <w:outlineLvl w:val="9"/>
            </w:pPr>
            <w:r>
              <w:rPr>
                <w:rFonts w:hint="eastAsia" w:ascii="宋体" w:hAnsi="宋体" w:eastAsia="宋体" w:cs="宋体"/>
                <w:b w:val="0"/>
                <w:bCs w:val="0"/>
                <w:color w:val="000000"/>
                <w:sz w:val="21"/>
                <w:szCs w:val="21"/>
                <w:highlight w:val="none"/>
                <w:vertAlign w:val="baseline"/>
              </w:rPr>
            </w:r>
            <w:r>
              <w:rPr>
                <w:rFonts w:ascii="宋体" w:hAnsi="宋体" w:cs="宋体"/>
              </w:rPr>
            </w:r>
            <w:r/>
          </w:p>
        </w:tc>
        <w:tc>
          <w:tcPr>
            <w:tcW w:w="82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color w:val="000000"/>
                <w:sz w:val="21"/>
                <w:szCs w:val="21"/>
                <w:highlight w:val="none"/>
                <w:vertAlign w:val="baseline"/>
              </w:rPr>
              <w:outlineLvl w:val="9"/>
            </w:pPr>
            <w:r>
              <w:rPr>
                <w:rFonts w:hint="eastAsia" w:ascii="宋体" w:hAnsi="宋体" w:eastAsia="宋体" w:cs="宋体"/>
                <w:b w:val="0"/>
                <w:bCs w:val="0"/>
                <w:color w:val="000000"/>
                <w:sz w:val="21"/>
                <w:szCs w:val="21"/>
                <w:highlight w:val="none"/>
                <w:vertAlign w:val="baseline"/>
              </w:rPr>
            </w:r>
            <w:r>
              <w:rPr>
                <w:rFonts w:ascii="宋体" w:hAnsi="宋体" w:cs="宋体"/>
              </w:rPr>
            </w:r>
            <w:r/>
          </w:p>
        </w:tc>
      </w:tr>
      <w:tr>
        <w:trPr>
          <w:trHeight w:val="397"/>
        </w:trPr>
        <w:tc>
          <w:tcPr>
            <w:tcW w:w="1632" w:type="dxa"/>
            <w:vAlign w:val="center"/>
            <w:vMerge w:val="continue"/>
            <w:textDirection w:val="lrTb"/>
            <w:noWrap w:val="false"/>
          </w:tcPr>
          <w:p>
            <w:pPr>
              <w:pStyle w:val="863"/>
              <w:jc w:val="center"/>
              <w:keepLines w:val="0"/>
              <w:keepNext w:val="0"/>
              <w:pageBreakBefore w:val="0"/>
              <w:spacing w:beforeAutospacing="0" w:afterAutospacing="0" w:line="440" w:lineRule="exact"/>
              <w:rPr>
                <w:rFonts w:hint="eastAsia" w:ascii="宋体" w:hAnsi="宋体" w:eastAsia="宋体" w:cs="宋体"/>
                <w:b w:val="0"/>
                <w:bCs w:val="0"/>
                <w:color w:val="000000"/>
                <w:sz w:val="21"/>
                <w:szCs w:val="21"/>
                <w:highlight w:val="none"/>
                <w:vertAlign w:val="baseline"/>
              </w:rPr>
              <w:outlineLvl w:val="9"/>
            </w:pPr>
            <w:r>
              <w:rPr>
                <w:rFonts w:hint="eastAsia" w:ascii="宋体" w:hAnsi="宋体" w:eastAsia="宋体" w:cs="宋体"/>
                <w:b w:val="0"/>
                <w:bCs w:val="0"/>
                <w:color w:val="000000"/>
                <w:sz w:val="21"/>
                <w:szCs w:val="21"/>
                <w:highlight w:val="none"/>
                <w:vertAlign w:val="baseline"/>
              </w:rPr>
            </w:r>
            <w:r/>
          </w:p>
        </w:tc>
        <w:tc>
          <w:tcPr>
            <w:tcW w:w="209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i w:val="0"/>
                <w:iCs w:val="0"/>
                <w:caps w:val="0"/>
                <w:color w:val="000000"/>
                <w:spacing w:val="0"/>
                <w:sz w:val="21"/>
                <w:szCs w:val="21"/>
                <w:highlight w:val="none"/>
                <w:shd w:val="clear" w:color="auto" w:fill="ffffff"/>
              </w:rPr>
              <w:outlineLvl w:val="9"/>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rPr>
              <w:t xml:space="preserve">在线设备</w:t>
            </w: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rPr>
              <w:t xml:space="preserve">稳定性</w:t>
            </w:r>
            <w:r>
              <w:rPr>
                <w:rFonts w:ascii="宋体" w:hAnsi="宋体" w:cs="宋体"/>
              </w:rPr>
            </w:r>
            <w:r/>
          </w:p>
        </w:tc>
        <w:tc>
          <w:tcPr>
            <w:gridSpan w:val="3"/>
            <w:tcW w:w="3920" w:type="dxa"/>
            <w:vAlign w:val="center"/>
            <w:textDirection w:val="lrTb"/>
            <w:noWrap w:val="false"/>
          </w:tcPr>
          <w:p>
            <w:pPr>
              <w:pStyle w:val="863"/>
              <w:jc w:val="both"/>
              <w:keepLines w:val="0"/>
              <w:keepNext w:val="0"/>
              <w:pageBreakBefore w:val="0"/>
              <w:spacing w:beforeAutospacing="0" w:afterAutospacing="0" w:line="440" w:lineRule="exact"/>
              <w:rPr>
                <w:rFonts w:hint="eastAsia" w:ascii="宋体" w:hAnsi="宋体" w:cs="宋体"/>
                <w:b w:val="0"/>
                <w:bCs w:val="0"/>
                <w:i w:val="0"/>
                <w:iCs w:val="0"/>
                <w:caps w:val="0"/>
                <w:color w:val="000000"/>
                <w:spacing w:val="0"/>
                <w:sz w:val="21"/>
                <w:szCs w:val="21"/>
                <w:highlight w:val="none"/>
                <w:shd w:val="clear" w:color="auto" w:fill="ffffff"/>
              </w:rPr>
              <w:outlineLvl w:val="9"/>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rPr>
              <w:t xml:space="preserve">保证每天24小时稳定可查看</w:t>
            </w:r>
            <w:r>
              <w:rPr>
                <w:rFonts w:ascii="宋体" w:hAnsi="宋体" w:cs="宋体"/>
              </w:rPr>
            </w:r>
            <w:r/>
          </w:p>
        </w:tc>
        <w:tc>
          <w:tcPr>
            <w:gridSpan w:val="2"/>
            <w:tcW w:w="82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i w:val="0"/>
                <w:iCs w:val="0"/>
                <w:caps w:val="0"/>
                <w:color w:val="000000"/>
                <w:spacing w:val="0"/>
                <w:sz w:val="21"/>
                <w:szCs w:val="21"/>
                <w:highlight w:val="none"/>
                <w:shd w:val="clear" w:color="auto" w:fill="ffffff"/>
              </w:rPr>
              <w:outlineLvl w:val="9"/>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rPr>
              <w:t xml:space="preserve">15</w:t>
            </w:r>
            <w:r>
              <w:rPr>
                <w:rFonts w:ascii="宋体" w:hAnsi="宋体" w:cs="宋体"/>
              </w:rPr>
            </w:r>
            <w:r/>
          </w:p>
        </w:tc>
        <w:tc>
          <w:tcPr>
            <w:tcW w:w="82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color w:val="000000"/>
                <w:sz w:val="21"/>
                <w:szCs w:val="21"/>
                <w:highlight w:val="none"/>
                <w:vertAlign w:val="baseline"/>
              </w:rPr>
              <w:outlineLvl w:val="9"/>
            </w:pPr>
            <w:r>
              <w:rPr>
                <w:rFonts w:hint="eastAsia" w:ascii="宋体" w:hAnsi="宋体" w:eastAsia="宋体" w:cs="宋体"/>
                <w:b w:val="0"/>
                <w:bCs w:val="0"/>
                <w:color w:val="000000"/>
                <w:sz w:val="21"/>
                <w:szCs w:val="21"/>
                <w:highlight w:val="none"/>
                <w:vertAlign w:val="baseline"/>
              </w:rPr>
            </w:r>
            <w:r>
              <w:rPr>
                <w:rFonts w:ascii="宋体" w:hAnsi="宋体" w:cs="宋体"/>
              </w:rPr>
            </w:r>
            <w:r/>
          </w:p>
        </w:tc>
        <w:tc>
          <w:tcPr>
            <w:tcW w:w="82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color w:val="000000"/>
                <w:sz w:val="21"/>
                <w:szCs w:val="21"/>
                <w:highlight w:val="none"/>
                <w:vertAlign w:val="baseline"/>
              </w:rPr>
              <w:outlineLvl w:val="9"/>
            </w:pPr>
            <w:r>
              <w:rPr>
                <w:rFonts w:hint="eastAsia" w:ascii="宋体" w:hAnsi="宋体" w:eastAsia="宋体" w:cs="宋体"/>
                <w:b w:val="0"/>
                <w:bCs w:val="0"/>
                <w:color w:val="000000"/>
                <w:sz w:val="21"/>
                <w:szCs w:val="21"/>
                <w:highlight w:val="none"/>
                <w:vertAlign w:val="baseline"/>
              </w:rPr>
            </w:r>
            <w:r>
              <w:rPr>
                <w:rFonts w:ascii="宋体" w:hAnsi="宋体" w:cs="宋体"/>
              </w:rPr>
            </w:r>
            <w:r/>
          </w:p>
        </w:tc>
      </w:tr>
      <w:tr>
        <w:trPr>
          <w:trHeight w:val="397"/>
        </w:trPr>
        <w:tc>
          <w:tcPr>
            <w:tcW w:w="1632" w:type="dxa"/>
            <w:vAlign w:val="center"/>
            <w:vMerge w:val="restart"/>
            <w:textDirection w:val="lrTb"/>
            <w:noWrap w:val="false"/>
          </w:tcPr>
          <w:p>
            <w:pPr>
              <w:pStyle w:val="863"/>
              <w:ind w:left="0" w:firstLine="0"/>
              <w:jc w:val="center"/>
              <w:keepLines w:val="0"/>
              <w:keepNext w:val="0"/>
              <w:pageBreakBefore w:val="0"/>
              <w:spacing w:before="0" w:beforeAutospacing="0" w:afterAutospacing="0" w:line="440" w:lineRule="exact"/>
              <w:shd w:val="clear" w:color="auto" w:fill="ffffff"/>
              <w:widowControl/>
              <w:rPr>
                <w:rFonts w:hint="eastAsia" w:ascii="宋体" w:hAnsi="宋体" w:cs="宋体"/>
                <w:b w:val="0"/>
                <w:bCs w:val="0"/>
                <w:color w:val="000000"/>
                <w:sz w:val="21"/>
                <w:szCs w:val="21"/>
                <w:highlight w:val="none"/>
                <w:vertAlign w:val="baseline"/>
              </w:rPr>
              <w:outlineLvl w:val="9"/>
              <w:suppressLineNumbers w:val="0"/>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t xml:space="preserve">数据质量</w:t>
            </w: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t xml:space="preserve">与</w:t>
            </w: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br w:type="textWrapping" w:clear="all"/>
            </w:r>
            <w:r>
              <w:rPr>
                <w:rFonts w:hint="eastAsia" w:ascii="宋体" w:hAnsi="宋体" w:eastAsia="宋体" w:cs="宋体"/>
                <w:color w:val="000000"/>
                <w:sz w:val="21"/>
                <w:szCs w:val="21"/>
                <w:highlight w:val="none"/>
                <w:lang w:val="en-US" w:eastAsia="zh-CN"/>
              </w:rPr>
              <w:t xml:space="preserve">核心算法准确度（30分）</w:t>
            </w:r>
            <w:r>
              <w:rPr>
                <w:rFonts w:ascii="宋体" w:hAnsi="宋体" w:cs="宋体"/>
              </w:rPr>
            </w:r>
            <w:r/>
          </w:p>
        </w:tc>
        <w:tc>
          <w:tcPr>
            <w:tcW w:w="209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i w:val="0"/>
                <w:iCs w:val="0"/>
                <w:caps w:val="0"/>
                <w:color w:val="000000"/>
                <w:spacing w:val="0"/>
                <w:sz w:val="21"/>
                <w:szCs w:val="21"/>
                <w:highlight w:val="none"/>
                <w:shd w:val="clear" w:color="auto" w:fill="ffffff"/>
              </w:rPr>
              <w:outlineLvl w:val="9"/>
            </w:pPr>
            <w:r>
              <w:rPr>
                <w:rFonts w:hint="eastAsia" w:ascii="宋体" w:hAnsi="宋体" w:eastAsia="宋体" w:cs="宋体"/>
                <w:b w:val="0"/>
                <w:bCs w:val="0"/>
                <w:i w:val="0"/>
                <w:iCs w:val="0"/>
                <w:caps w:val="0"/>
                <w:color w:val="000000"/>
                <w:spacing w:val="0"/>
                <w:sz w:val="21"/>
                <w:szCs w:val="21"/>
                <w:highlight w:val="none"/>
                <w:shd w:val="clear" w:color="auto" w:fill="ffffff"/>
              </w:rPr>
              <w:t xml:space="preserve">视频</w:t>
            </w:r>
            <w:r>
              <w:rPr>
                <w:rFonts w:hint="eastAsia" w:ascii="宋体" w:hAnsi="宋体" w:eastAsia="宋体" w:cs="宋体"/>
                <w:b w:val="0"/>
                <w:bCs w:val="0"/>
                <w:i w:val="0"/>
                <w:iCs w:val="0"/>
                <w:caps w:val="0"/>
                <w:color w:val="000000"/>
                <w:spacing w:val="0"/>
                <w:sz w:val="21"/>
                <w:szCs w:val="21"/>
                <w:highlight w:val="none"/>
                <w:shd w:val="clear" w:color="auto" w:fill="ffffff"/>
                <w:lang w:eastAsia="zh-CN"/>
              </w:rPr>
              <w:t xml:space="preserve">实时</w:t>
            </w:r>
            <w:r>
              <w:rPr>
                <w:rFonts w:hint="eastAsia" w:ascii="宋体" w:hAnsi="宋体" w:eastAsia="宋体" w:cs="宋体"/>
                <w:b w:val="0"/>
                <w:bCs w:val="0"/>
                <w:i w:val="0"/>
                <w:iCs w:val="0"/>
                <w:caps w:val="0"/>
                <w:color w:val="000000"/>
                <w:spacing w:val="0"/>
                <w:sz w:val="21"/>
                <w:szCs w:val="21"/>
                <w:highlight w:val="none"/>
                <w:shd w:val="clear" w:color="auto" w:fill="ffffff"/>
              </w:rPr>
              <w:t xml:space="preserve">质量</w:t>
            </w:r>
            <w:r>
              <w:rPr>
                <w:rFonts w:ascii="宋体" w:hAnsi="宋体" w:cs="宋体"/>
              </w:rPr>
            </w:r>
            <w:r/>
          </w:p>
        </w:tc>
        <w:tc>
          <w:tcPr>
            <w:gridSpan w:val="3"/>
            <w:tcW w:w="3920" w:type="dxa"/>
            <w:vAlign w:val="center"/>
            <w:textDirection w:val="lrTb"/>
            <w:noWrap w:val="false"/>
          </w:tcPr>
          <w:p>
            <w:pPr>
              <w:pStyle w:val="863"/>
              <w:jc w:val="both"/>
              <w:keepLines w:val="0"/>
              <w:keepNext w:val="0"/>
              <w:pageBreakBefore w:val="0"/>
              <w:spacing w:beforeAutospacing="0" w:afterAutospacing="0" w:line="440" w:lineRule="exact"/>
              <w:rPr>
                <w:rFonts w:hint="eastAsia" w:ascii="宋体" w:hAnsi="宋体" w:cs="宋体"/>
                <w:b w:val="0"/>
                <w:bCs w:val="0"/>
                <w:i w:val="0"/>
                <w:iCs w:val="0"/>
                <w:caps w:val="0"/>
                <w:color w:val="000000"/>
                <w:spacing w:val="0"/>
                <w:sz w:val="21"/>
                <w:szCs w:val="21"/>
                <w:highlight w:val="none"/>
                <w:shd w:val="clear" w:color="auto" w:fill="ffffff"/>
              </w:rPr>
              <w:outlineLvl w:val="9"/>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rPr>
              <w:t xml:space="preserve">画面清晰、稳定、无中断</w:t>
            </w:r>
            <w:r>
              <w:rPr>
                <w:rFonts w:ascii="宋体" w:hAnsi="宋体" w:cs="宋体"/>
              </w:rPr>
            </w:r>
            <w:r/>
          </w:p>
        </w:tc>
        <w:tc>
          <w:tcPr>
            <w:gridSpan w:val="2"/>
            <w:tcW w:w="82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i w:val="0"/>
                <w:iCs w:val="0"/>
                <w:caps w:val="0"/>
                <w:color w:val="000000"/>
                <w:spacing w:val="0"/>
                <w:sz w:val="21"/>
                <w:szCs w:val="21"/>
                <w:highlight w:val="none"/>
                <w:shd w:val="clear" w:color="auto" w:fill="ffffff"/>
              </w:rPr>
              <w:outlineLvl w:val="9"/>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rPr>
              <w:t xml:space="preserve">5</w:t>
            </w:r>
            <w:r>
              <w:rPr>
                <w:rFonts w:ascii="宋体" w:hAnsi="宋体" w:cs="宋体"/>
              </w:rPr>
            </w:r>
            <w:r/>
          </w:p>
        </w:tc>
        <w:tc>
          <w:tcPr>
            <w:tcW w:w="82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color w:val="000000"/>
                <w:sz w:val="21"/>
                <w:szCs w:val="21"/>
                <w:highlight w:val="none"/>
                <w:vertAlign w:val="baseline"/>
              </w:rPr>
              <w:outlineLvl w:val="9"/>
            </w:pPr>
            <w:r>
              <w:rPr>
                <w:rFonts w:hint="eastAsia" w:ascii="宋体" w:hAnsi="宋体" w:eastAsia="宋体" w:cs="宋体"/>
                <w:b w:val="0"/>
                <w:bCs w:val="0"/>
                <w:color w:val="000000"/>
                <w:sz w:val="21"/>
                <w:szCs w:val="21"/>
                <w:highlight w:val="none"/>
                <w:vertAlign w:val="baseline"/>
              </w:rPr>
            </w:r>
            <w:r>
              <w:rPr>
                <w:rFonts w:ascii="宋体" w:hAnsi="宋体" w:cs="宋体"/>
              </w:rPr>
            </w:r>
            <w:r/>
          </w:p>
        </w:tc>
        <w:tc>
          <w:tcPr>
            <w:tcW w:w="82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color w:val="000000"/>
                <w:sz w:val="21"/>
                <w:szCs w:val="21"/>
                <w:highlight w:val="none"/>
                <w:vertAlign w:val="baseline"/>
              </w:rPr>
              <w:outlineLvl w:val="9"/>
            </w:pPr>
            <w:r>
              <w:rPr>
                <w:rFonts w:hint="eastAsia" w:ascii="宋体" w:hAnsi="宋体" w:eastAsia="宋体" w:cs="宋体"/>
                <w:b w:val="0"/>
                <w:bCs w:val="0"/>
                <w:color w:val="000000"/>
                <w:sz w:val="21"/>
                <w:szCs w:val="21"/>
                <w:highlight w:val="none"/>
                <w:vertAlign w:val="baseline"/>
              </w:rPr>
            </w:r>
            <w:r>
              <w:rPr>
                <w:rFonts w:ascii="宋体" w:hAnsi="宋体" w:cs="宋体"/>
              </w:rPr>
            </w:r>
            <w:r/>
          </w:p>
        </w:tc>
      </w:tr>
      <w:tr>
        <w:trPr>
          <w:trHeight w:val="397"/>
        </w:trPr>
        <w:tc>
          <w:tcPr>
            <w:tcW w:w="1632" w:type="dxa"/>
            <w:vAlign w:val="center"/>
            <w:vMerge w:val="continue"/>
            <w:textDirection w:val="lrTb"/>
            <w:noWrap w:val="false"/>
          </w:tcPr>
          <w:p>
            <w:pPr>
              <w:pStyle w:val="863"/>
              <w:jc w:val="center"/>
              <w:keepLines w:val="0"/>
              <w:keepNext w:val="0"/>
              <w:pageBreakBefore w:val="0"/>
              <w:spacing w:beforeAutospacing="0" w:afterAutospacing="0" w:line="440" w:lineRule="exact"/>
              <w:rPr>
                <w:rFonts w:hint="eastAsia" w:ascii="宋体" w:hAnsi="宋体" w:eastAsia="宋体" w:cs="宋体"/>
                <w:b w:val="0"/>
                <w:bCs w:val="0"/>
                <w:color w:val="000000"/>
                <w:sz w:val="21"/>
                <w:szCs w:val="21"/>
                <w:highlight w:val="none"/>
                <w:vertAlign w:val="baseline"/>
              </w:rPr>
              <w:outlineLvl w:val="9"/>
            </w:pPr>
            <w:r>
              <w:rPr>
                <w:rFonts w:hint="eastAsia" w:ascii="宋体" w:hAnsi="宋体" w:eastAsia="宋体" w:cs="宋体"/>
                <w:b w:val="0"/>
                <w:bCs w:val="0"/>
                <w:color w:val="000000"/>
                <w:sz w:val="21"/>
                <w:szCs w:val="21"/>
                <w:highlight w:val="none"/>
                <w:vertAlign w:val="baseline"/>
              </w:rPr>
            </w:r>
            <w:r/>
          </w:p>
        </w:tc>
        <w:tc>
          <w:tcPr>
            <w:tcW w:w="209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i w:val="0"/>
                <w:iCs w:val="0"/>
                <w:caps w:val="0"/>
                <w:color w:val="000000"/>
                <w:spacing w:val="0"/>
                <w:sz w:val="21"/>
                <w:szCs w:val="21"/>
                <w:highlight w:val="none"/>
                <w:shd w:val="clear" w:color="auto" w:fill="ffffff"/>
              </w:rPr>
              <w:outlineLvl w:val="9"/>
            </w:pPr>
            <w:r>
              <w:rPr>
                <w:rFonts w:hint="eastAsia" w:ascii="宋体" w:hAnsi="宋体" w:eastAsia="宋体" w:cs="宋体"/>
                <w:b w:val="0"/>
                <w:bCs w:val="0"/>
                <w:i w:val="0"/>
                <w:iCs w:val="0"/>
                <w:caps w:val="0"/>
                <w:color w:val="000000"/>
                <w:spacing w:val="0"/>
                <w:sz w:val="21"/>
                <w:szCs w:val="21"/>
                <w:highlight w:val="none"/>
                <w:shd w:val="clear" w:color="auto" w:fill="ffffff"/>
                <w:lang w:eastAsia="zh-CN"/>
              </w:rPr>
              <w:t xml:space="preserve">核心算法应用</w:t>
            </w:r>
            <w:r>
              <w:rPr>
                <w:rFonts w:ascii="宋体" w:hAnsi="宋体" w:cs="宋体"/>
              </w:rPr>
            </w:r>
            <w:r/>
          </w:p>
        </w:tc>
        <w:tc>
          <w:tcPr>
            <w:gridSpan w:val="3"/>
            <w:tcW w:w="3920" w:type="dxa"/>
            <w:vAlign w:val="center"/>
            <w:textDirection w:val="lrTb"/>
            <w:noWrap w:val="false"/>
          </w:tcPr>
          <w:p>
            <w:pPr>
              <w:pStyle w:val="863"/>
              <w:jc w:val="both"/>
              <w:keepLines w:val="0"/>
              <w:keepNext w:val="0"/>
              <w:pageBreakBefore w:val="0"/>
              <w:spacing w:beforeAutospacing="0" w:afterAutospacing="0" w:line="440" w:lineRule="exact"/>
              <w:rPr>
                <w:rFonts w:hint="eastAsia" w:ascii="宋体" w:hAnsi="宋体" w:cs="宋体"/>
                <w:b w:val="0"/>
                <w:bCs w:val="0"/>
                <w:i w:val="0"/>
                <w:iCs w:val="0"/>
                <w:caps w:val="0"/>
                <w:color w:val="000000"/>
                <w:spacing w:val="0"/>
                <w:sz w:val="21"/>
                <w:szCs w:val="21"/>
                <w:highlight w:val="none"/>
                <w:shd w:val="clear" w:color="auto" w:fill="ffffff"/>
              </w:rPr>
              <w:outlineLvl w:val="9"/>
            </w:pPr>
            <w:r>
              <w:rPr>
                <w:rFonts w:hint="eastAsia" w:ascii="宋体" w:hAnsi="宋体" w:eastAsia="宋体" w:cs="宋体"/>
                <w:b w:val="0"/>
                <w:bCs w:val="0"/>
                <w:i w:val="0"/>
                <w:iCs w:val="0"/>
                <w:caps w:val="0"/>
                <w:color w:val="000000"/>
                <w:spacing w:val="0"/>
                <w:sz w:val="21"/>
                <w:szCs w:val="21"/>
                <w:highlight w:val="none"/>
                <w:shd w:val="clear" w:color="auto" w:fill="ffffff"/>
                <w:lang w:eastAsia="zh-CN"/>
              </w:rPr>
              <w:t xml:space="preserve">核心算法运行正常，无缺项</w:t>
            </w:r>
            <w:r>
              <w:rPr>
                <w:rFonts w:ascii="宋体" w:hAnsi="宋体" w:cs="宋体"/>
              </w:rPr>
            </w:r>
            <w:r/>
          </w:p>
        </w:tc>
        <w:tc>
          <w:tcPr>
            <w:gridSpan w:val="2"/>
            <w:tcW w:w="824" w:type="dxa"/>
            <w:vAlign w:val="center"/>
            <w:textDirection w:val="lrTb"/>
            <w:noWrap w:val="false"/>
          </w:tcPr>
          <w:p>
            <w:pPr>
              <w:pStyle w:val="863"/>
              <w:jc w:val="center"/>
              <w:keepLines w:val="0"/>
              <w:keepNext w:val="0"/>
              <w:pageBreakBefore w:val="0"/>
              <w:spacing w:beforeAutospacing="0" w:afterAutospacing="0" w:line="440" w:lineRule="exact"/>
              <w:rPr>
                <w:rFonts w:ascii="宋体" w:hAnsi="宋体" w:cs="宋体"/>
                <w:b w:val="0"/>
                <w:bCs w:val="0"/>
                <w:i w:val="0"/>
                <w:iCs w:val="0"/>
                <w:caps w:val="0"/>
                <w:color w:val="000000"/>
                <w:spacing w:val="0"/>
                <w:sz w:val="21"/>
                <w:szCs w:val="21"/>
                <w:highlight w:val="none"/>
                <w:shd w:val="clear" w:color="auto" w:fill="ffffff"/>
              </w:rPr>
              <w:outlineLvl w:val="9"/>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rPr>
              <w:t xml:space="preserve">15</w:t>
            </w:r>
            <w:r>
              <w:rPr>
                <w:rFonts w:ascii="宋体" w:hAnsi="宋体" w:cs="宋体"/>
              </w:rPr>
            </w:r>
            <w:r/>
          </w:p>
        </w:tc>
        <w:tc>
          <w:tcPr>
            <w:tcW w:w="82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color w:val="000000"/>
                <w:sz w:val="21"/>
                <w:szCs w:val="21"/>
                <w:highlight w:val="none"/>
                <w:vertAlign w:val="baseline"/>
              </w:rPr>
              <w:outlineLvl w:val="9"/>
            </w:pPr>
            <w:r>
              <w:rPr>
                <w:rFonts w:hint="eastAsia" w:ascii="宋体" w:hAnsi="宋体" w:eastAsia="宋体" w:cs="宋体"/>
                <w:b w:val="0"/>
                <w:bCs w:val="0"/>
                <w:color w:val="000000"/>
                <w:sz w:val="21"/>
                <w:szCs w:val="21"/>
                <w:highlight w:val="none"/>
                <w:vertAlign w:val="baseline"/>
              </w:rPr>
            </w:r>
            <w:r>
              <w:rPr>
                <w:rFonts w:ascii="宋体" w:hAnsi="宋体" w:cs="宋体"/>
              </w:rPr>
            </w:r>
            <w:r/>
          </w:p>
        </w:tc>
        <w:tc>
          <w:tcPr>
            <w:tcW w:w="82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color w:val="000000"/>
                <w:sz w:val="21"/>
                <w:szCs w:val="21"/>
                <w:highlight w:val="none"/>
                <w:vertAlign w:val="baseline"/>
              </w:rPr>
              <w:outlineLvl w:val="9"/>
            </w:pPr>
            <w:r>
              <w:rPr>
                <w:rFonts w:hint="eastAsia" w:ascii="宋体" w:hAnsi="宋体" w:eastAsia="宋体" w:cs="宋体"/>
                <w:b w:val="0"/>
                <w:bCs w:val="0"/>
                <w:color w:val="000000"/>
                <w:sz w:val="21"/>
                <w:szCs w:val="21"/>
                <w:highlight w:val="none"/>
                <w:vertAlign w:val="baseline"/>
              </w:rPr>
            </w:r>
            <w:r>
              <w:rPr>
                <w:rFonts w:ascii="宋体" w:hAnsi="宋体" w:cs="宋体"/>
              </w:rPr>
            </w:r>
            <w:r/>
          </w:p>
        </w:tc>
      </w:tr>
      <w:tr>
        <w:trPr>
          <w:trHeight w:val="397"/>
        </w:trPr>
        <w:tc>
          <w:tcPr>
            <w:tcW w:w="1632" w:type="dxa"/>
            <w:vAlign w:val="center"/>
            <w:vMerge w:val="continue"/>
            <w:textDirection w:val="lrTb"/>
            <w:noWrap w:val="false"/>
          </w:tcPr>
          <w:p>
            <w:pPr>
              <w:pStyle w:val="863"/>
              <w:jc w:val="center"/>
              <w:keepLines w:val="0"/>
              <w:keepNext w:val="0"/>
              <w:pageBreakBefore w:val="0"/>
              <w:spacing w:beforeAutospacing="0" w:afterAutospacing="0" w:line="440" w:lineRule="exact"/>
              <w:rPr>
                <w:rFonts w:hint="eastAsia" w:ascii="宋体" w:hAnsi="宋体" w:eastAsia="宋体" w:cs="宋体"/>
                <w:b w:val="0"/>
                <w:bCs w:val="0"/>
                <w:color w:val="000000"/>
                <w:sz w:val="21"/>
                <w:szCs w:val="21"/>
                <w:highlight w:val="none"/>
                <w:vertAlign w:val="baseline"/>
              </w:rPr>
              <w:outlineLvl w:val="9"/>
            </w:pPr>
            <w:r>
              <w:rPr>
                <w:rFonts w:hint="eastAsia" w:ascii="宋体" w:hAnsi="宋体" w:eastAsia="宋体" w:cs="宋体"/>
                <w:b w:val="0"/>
                <w:bCs w:val="0"/>
                <w:color w:val="000000"/>
                <w:sz w:val="21"/>
                <w:szCs w:val="21"/>
                <w:highlight w:val="none"/>
                <w:vertAlign w:val="baseline"/>
              </w:rPr>
            </w:r>
            <w:r/>
          </w:p>
        </w:tc>
        <w:tc>
          <w:tcPr>
            <w:tcW w:w="209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i w:val="0"/>
                <w:iCs w:val="0"/>
                <w:caps w:val="0"/>
                <w:color w:val="000000"/>
                <w:spacing w:val="0"/>
                <w:sz w:val="21"/>
                <w:szCs w:val="21"/>
                <w:highlight w:val="none"/>
                <w:shd w:val="clear" w:color="auto" w:fill="ffffff"/>
              </w:rPr>
              <w:outlineLvl w:val="9"/>
            </w:pPr>
            <w:r>
              <w:rPr>
                <w:rFonts w:hint="eastAsia" w:ascii="宋体" w:hAnsi="宋体" w:eastAsia="宋体" w:cs="宋体"/>
                <w:color w:val="000000"/>
                <w:sz w:val="21"/>
                <w:szCs w:val="21"/>
                <w:highlight w:val="none"/>
                <w:lang w:val="en-US" w:eastAsia="zh-CN"/>
              </w:rPr>
              <w:t xml:space="preserve">误报率</w:t>
            </w:r>
            <w:r>
              <w:rPr>
                <w:rFonts w:ascii="宋体" w:hAnsi="宋体" w:cs="宋体"/>
              </w:rPr>
            </w:r>
            <w:r/>
          </w:p>
        </w:tc>
        <w:tc>
          <w:tcPr>
            <w:gridSpan w:val="3"/>
            <w:tcW w:w="3920" w:type="dxa"/>
            <w:vAlign w:val="center"/>
            <w:textDirection w:val="lrTb"/>
            <w:noWrap w:val="false"/>
          </w:tcPr>
          <w:p>
            <w:pPr>
              <w:pStyle w:val="863"/>
              <w:jc w:val="both"/>
              <w:keepLines w:val="0"/>
              <w:keepNext w:val="0"/>
              <w:pageBreakBefore w:val="0"/>
              <w:spacing w:beforeAutospacing="0" w:afterAutospacing="0" w:line="440" w:lineRule="exact"/>
              <w:rPr>
                <w:rFonts w:ascii="宋体" w:hAnsi="宋体" w:cs="宋体"/>
                <w:b w:val="0"/>
                <w:bCs w:val="0"/>
                <w:i w:val="0"/>
                <w:iCs w:val="0"/>
                <w:caps w:val="0"/>
                <w:color w:val="000000"/>
                <w:spacing w:val="0"/>
                <w:sz w:val="21"/>
                <w:szCs w:val="21"/>
                <w:highlight w:val="none"/>
                <w:shd w:val="clear" w:color="auto" w:fill="ffffff"/>
              </w:rPr>
              <w:outlineLvl w:val="9"/>
            </w:pPr>
            <w:r>
              <w:rPr>
                <w:rFonts w:hint="eastAsia" w:ascii="宋体" w:hAnsi="宋体" w:eastAsia="宋体" w:cs="宋体"/>
                <w:color w:val="000000"/>
                <w:sz w:val="21"/>
                <w:szCs w:val="21"/>
                <w:highlight w:val="none"/>
                <w:lang w:val="en-US" w:eastAsia="zh-CN"/>
              </w:rPr>
              <w:t xml:space="preserve">≤10%</w:t>
            </w:r>
            <w:r>
              <w:rPr>
                <w:rFonts w:ascii="宋体" w:hAnsi="宋体" w:cs="宋体"/>
              </w:rPr>
            </w:r>
            <w:r/>
          </w:p>
        </w:tc>
        <w:tc>
          <w:tcPr>
            <w:gridSpan w:val="2"/>
            <w:tcW w:w="824" w:type="dxa"/>
            <w:vAlign w:val="center"/>
            <w:textDirection w:val="lrTb"/>
            <w:noWrap w:val="false"/>
          </w:tcPr>
          <w:p>
            <w:pPr>
              <w:pStyle w:val="863"/>
              <w:jc w:val="center"/>
              <w:keepLines w:val="0"/>
              <w:keepNext w:val="0"/>
              <w:pageBreakBefore w:val="0"/>
              <w:spacing w:beforeAutospacing="0" w:afterAutospacing="0" w:line="440" w:lineRule="exact"/>
              <w:rPr>
                <w:rFonts w:ascii="宋体" w:hAnsi="宋体" w:cs="宋体"/>
                <w:b w:val="0"/>
                <w:bCs w:val="0"/>
                <w:i w:val="0"/>
                <w:iCs w:val="0"/>
                <w:caps w:val="0"/>
                <w:color w:val="000000"/>
                <w:spacing w:val="0"/>
                <w:sz w:val="21"/>
                <w:szCs w:val="21"/>
                <w:highlight w:val="none"/>
                <w:shd w:val="clear" w:color="auto" w:fill="ffffff"/>
              </w:rPr>
              <w:outlineLvl w:val="9"/>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rPr>
              <w:t xml:space="preserve">10</w:t>
            </w:r>
            <w:r>
              <w:rPr>
                <w:rFonts w:ascii="宋体" w:hAnsi="宋体" w:cs="宋体"/>
              </w:rPr>
            </w:r>
            <w:r/>
          </w:p>
        </w:tc>
        <w:tc>
          <w:tcPr>
            <w:tcW w:w="82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color w:val="000000"/>
                <w:sz w:val="21"/>
                <w:szCs w:val="21"/>
                <w:highlight w:val="none"/>
                <w:vertAlign w:val="baseline"/>
              </w:rPr>
              <w:outlineLvl w:val="9"/>
            </w:pPr>
            <w:r>
              <w:rPr>
                <w:rFonts w:hint="eastAsia" w:ascii="宋体" w:hAnsi="宋体" w:eastAsia="宋体" w:cs="宋体"/>
                <w:b w:val="0"/>
                <w:bCs w:val="0"/>
                <w:color w:val="000000"/>
                <w:sz w:val="21"/>
                <w:szCs w:val="21"/>
                <w:highlight w:val="none"/>
                <w:vertAlign w:val="baseline"/>
              </w:rPr>
            </w:r>
            <w:r>
              <w:rPr>
                <w:rFonts w:ascii="宋体" w:hAnsi="宋体" w:cs="宋体"/>
              </w:rPr>
            </w:r>
            <w:r/>
          </w:p>
        </w:tc>
        <w:tc>
          <w:tcPr>
            <w:tcW w:w="82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color w:val="000000"/>
                <w:sz w:val="21"/>
                <w:szCs w:val="21"/>
                <w:highlight w:val="none"/>
                <w:vertAlign w:val="baseline"/>
              </w:rPr>
              <w:outlineLvl w:val="9"/>
            </w:pPr>
            <w:r>
              <w:rPr>
                <w:rFonts w:hint="eastAsia" w:ascii="宋体" w:hAnsi="宋体" w:eastAsia="宋体" w:cs="宋体"/>
                <w:b w:val="0"/>
                <w:bCs w:val="0"/>
                <w:color w:val="000000"/>
                <w:sz w:val="21"/>
                <w:szCs w:val="21"/>
                <w:highlight w:val="none"/>
                <w:vertAlign w:val="baseline"/>
              </w:rPr>
            </w:r>
            <w:r>
              <w:rPr>
                <w:rFonts w:ascii="宋体" w:hAnsi="宋体" w:cs="宋体"/>
              </w:rPr>
            </w:r>
            <w:r/>
          </w:p>
        </w:tc>
      </w:tr>
      <w:tr>
        <w:trPr>
          <w:gridAfter w:val="1"/>
          <w:trHeight w:val="397"/>
        </w:trPr>
        <w:tc>
          <w:tcPr>
            <w:tcW w:w="1632" w:type="dxa"/>
            <w:vAlign w:val="center"/>
            <w:vMerge w:val="restart"/>
            <w:textDirection w:val="lrTb"/>
            <w:noWrap w:val="false"/>
          </w:tcPr>
          <w:p>
            <w:pPr>
              <w:pStyle w:val="863"/>
              <w:ind w:left="0" w:firstLine="0"/>
              <w:jc w:val="center"/>
              <w:keepLines w:val="0"/>
              <w:keepNext w:val="0"/>
              <w:pageBreakBefore w:val="0"/>
              <w:spacing w:before="0" w:beforeAutospacing="0" w:afterAutospacing="0" w:line="440" w:lineRule="exact"/>
              <w:shd w:val="clear" w:color="auto" w:fill="ffffff"/>
              <w:widowControl/>
              <w:rPr>
                <w:rFonts w:hint="eastAsia" w:ascii="宋体" w:hAnsi="宋体" w:cs="宋体"/>
                <w:b w:val="0"/>
                <w:bCs w:val="0"/>
                <w:i w:val="0"/>
                <w:iCs w:val="0"/>
                <w:caps w:val="0"/>
                <w:color w:val="000000"/>
                <w:spacing w:val="0"/>
                <w:sz w:val="21"/>
                <w:szCs w:val="21"/>
                <w:highlight w:val="none"/>
                <w:shd w:val="clear" w:color="auto" w:fill="ffffff"/>
              </w:rPr>
              <w:outlineLvl w:val="9"/>
              <w:suppressLineNumbers w:val="0"/>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t xml:space="preserve">服务管理</w:t>
            </w: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br w:type="textWrapping" w:clear="all"/>
            </w: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t xml:space="preserve">与协作</w:t>
            </w: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br w:type="textWrapping" w:clear="all"/>
            </w: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t xml:space="preserve">（</w:t>
            </w:r>
            <w:r>
              <w:rPr>
                <w:rFonts w:hint="eastAsia" w:ascii="宋体" w:hAnsi="宋体" w:cs="宋体"/>
                <w:b w:val="0"/>
                <w:bCs w:val="0"/>
                <w:i w:val="0"/>
                <w:iCs w:val="0"/>
                <w:caps w:val="0"/>
                <w:color w:val="000000"/>
                <w:spacing w:val="0"/>
                <w:sz w:val="21"/>
                <w:szCs w:val="21"/>
                <w:highlight w:val="none"/>
                <w:shd w:val="clear" w:color="auto" w:fill="ffffff"/>
                <w:lang w:val="en-US" w:eastAsia="zh-CN" w:bidi="ar"/>
              </w:rPr>
              <w:t xml:space="preserve">15</w:t>
            </w: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t xml:space="preserve">分）</w:t>
            </w:r>
            <w:r>
              <w:rPr>
                <w:rFonts w:ascii="宋体" w:hAnsi="宋体" w:cs="宋体"/>
              </w:rPr>
            </w:r>
            <w:r/>
          </w:p>
        </w:tc>
        <w:tc>
          <w:tcPr>
            <w:tcW w:w="209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i w:val="0"/>
                <w:iCs w:val="0"/>
                <w:caps w:val="0"/>
                <w:color w:val="000000"/>
                <w:spacing w:val="0"/>
                <w:sz w:val="21"/>
                <w:szCs w:val="21"/>
                <w:highlight w:val="none"/>
                <w:shd w:val="clear" w:color="auto" w:fill="ffffff"/>
              </w:rPr>
              <w:outlineLvl w:val="9"/>
            </w:pPr>
            <w:r>
              <w:rPr>
                <w:rFonts w:hint="eastAsia" w:ascii="宋体" w:hAnsi="宋体" w:eastAsia="宋体" w:cs="宋体"/>
                <w:b w:val="0"/>
                <w:bCs w:val="0"/>
                <w:i w:val="0"/>
                <w:iCs w:val="0"/>
                <w:caps w:val="0"/>
                <w:color w:val="000000"/>
                <w:spacing w:val="0"/>
                <w:sz w:val="21"/>
                <w:szCs w:val="21"/>
                <w:highlight w:val="none"/>
                <w:shd w:val="clear" w:color="auto" w:fill="ffffff"/>
              </w:rPr>
              <w:t xml:space="preserve">沟通协调</w:t>
            </w:r>
            <w:r>
              <w:rPr>
                <w:rFonts w:ascii="宋体" w:hAnsi="宋体" w:cs="宋体"/>
              </w:rPr>
            </w:r>
            <w:r/>
          </w:p>
        </w:tc>
        <w:tc>
          <w:tcPr>
            <w:gridSpan w:val="3"/>
            <w:tcW w:w="3920" w:type="dxa"/>
            <w:vAlign w:val="center"/>
            <w:textDirection w:val="lrTb"/>
            <w:noWrap w:val="false"/>
          </w:tcPr>
          <w:p>
            <w:pPr>
              <w:pStyle w:val="863"/>
              <w:jc w:val="both"/>
              <w:keepLines w:val="0"/>
              <w:keepNext w:val="0"/>
              <w:pageBreakBefore w:val="0"/>
              <w:spacing w:beforeAutospacing="0" w:afterAutospacing="0" w:line="440" w:lineRule="exact"/>
              <w:rPr>
                <w:rFonts w:hint="eastAsia" w:ascii="宋体" w:hAnsi="宋体" w:cs="宋体"/>
                <w:b w:val="0"/>
                <w:bCs w:val="0"/>
                <w:i w:val="0"/>
                <w:iCs w:val="0"/>
                <w:caps w:val="0"/>
                <w:color w:val="000000"/>
                <w:spacing w:val="0"/>
                <w:sz w:val="21"/>
                <w:szCs w:val="21"/>
                <w:highlight w:val="none"/>
                <w:shd w:val="clear" w:color="auto" w:fill="ffffff"/>
              </w:rPr>
              <w:outlineLvl w:val="9"/>
            </w:pPr>
            <w:r>
              <w:rPr>
                <w:rFonts w:hint="eastAsia" w:ascii="宋体" w:hAnsi="宋体" w:eastAsia="宋体" w:cs="宋体"/>
                <w:b w:val="0"/>
                <w:bCs w:val="0"/>
                <w:i w:val="0"/>
                <w:iCs w:val="0"/>
                <w:caps w:val="0"/>
                <w:color w:val="000000"/>
                <w:spacing w:val="0"/>
                <w:sz w:val="21"/>
                <w:szCs w:val="21"/>
                <w:highlight w:val="none"/>
                <w:shd w:val="clear" w:color="auto" w:fill="ffffff"/>
              </w:rPr>
              <w:t xml:space="preserve">日常沟通是否顺畅、问题响应是否及时</w:t>
            </w:r>
            <w:r>
              <w:rPr>
                <w:rFonts w:ascii="宋体" w:hAnsi="宋体" w:cs="宋体"/>
              </w:rPr>
            </w:r>
            <w:r/>
          </w:p>
        </w:tc>
        <w:tc>
          <w:tcPr>
            <w:gridSpan w:val="2"/>
            <w:tcW w:w="824" w:type="dxa"/>
            <w:vAlign w:val="center"/>
            <w:textDirection w:val="lrTb"/>
            <w:noWrap w:val="false"/>
          </w:tcPr>
          <w:p>
            <w:pPr>
              <w:pStyle w:val="863"/>
              <w:jc w:val="center"/>
              <w:keepLines w:val="0"/>
              <w:keepNext w:val="0"/>
              <w:pageBreakBefore w:val="0"/>
              <w:spacing w:beforeAutospacing="0" w:afterAutospacing="0" w:line="440" w:lineRule="exact"/>
              <w:rPr>
                <w:rFonts w:ascii="宋体" w:hAnsi="宋体" w:cs="宋体"/>
                <w:b w:val="0"/>
                <w:bCs w:val="0"/>
                <w:i w:val="0"/>
                <w:iCs w:val="0"/>
                <w:caps w:val="0"/>
                <w:color w:val="000000"/>
                <w:spacing w:val="0"/>
                <w:sz w:val="21"/>
                <w:szCs w:val="21"/>
                <w:highlight w:val="none"/>
                <w:shd w:val="clear" w:color="auto" w:fill="ffffff"/>
              </w:rPr>
              <w:outlineLvl w:val="9"/>
            </w:pPr>
            <w:r>
              <w:rPr>
                <w:rFonts w:hint="eastAsia" w:ascii="宋体" w:hAnsi="宋体" w:cs="宋体"/>
                <w:b w:val="0"/>
                <w:bCs w:val="0"/>
                <w:i w:val="0"/>
                <w:iCs w:val="0"/>
                <w:caps w:val="0"/>
                <w:color w:val="000000"/>
                <w:spacing w:val="0"/>
                <w:sz w:val="21"/>
                <w:szCs w:val="21"/>
                <w:highlight w:val="none"/>
                <w:shd w:val="clear" w:color="auto" w:fill="ffffff"/>
                <w:lang w:val="en-US" w:eastAsia="zh-CN"/>
              </w:rPr>
              <w:t xml:space="preserve">5</w:t>
            </w:r>
            <w:r>
              <w:rPr>
                <w:rFonts w:ascii="宋体" w:hAnsi="宋体" w:cs="宋体"/>
              </w:rPr>
            </w:r>
            <w:r/>
          </w:p>
        </w:tc>
        <w:tc>
          <w:tcPr>
            <w:tcW w:w="824" w:type="dxa"/>
            <w:vAlign w:val="center"/>
            <w:textDirection w:val="lrTb"/>
            <w:noWrap w:val="false"/>
          </w:tcPr>
          <w:p>
            <w:pPr>
              <w:pStyle w:val="863"/>
              <w:ind w:left="0" w:firstLine="0"/>
              <w:jc w:val="center"/>
              <w:keepLines w:val="0"/>
              <w:keepNext w:val="0"/>
              <w:pageBreakBefore w:val="0"/>
              <w:spacing w:before="0" w:beforeAutospacing="0" w:afterAutospacing="0" w:line="440" w:lineRule="exact"/>
              <w:shd w:val="clear" w:color="auto" w:fill="ffffff"/>
              <w:widowControl/>
              <w:rPr>
                <w:rFonts w:hint="eastAsia" w:ascii="宋体" w:hAnsi="宋体" w:cs="宋体"/>
                <w:b w:val="0"/>
                <w:bCs w:val="0"/>
                <w:i w:val="0"/>
                <w:iCs w:val="0"/>
                <w:caps w:val="0"/>
                <w:color w:val="000000"/>
                <w:spacing w:val="0"/>
                <w:sz w:val="21"/>
                <w:szCs w:val="21"/>
                <w:highlight w:val="none"/>
                <w:shd w:val="clear" w:color="auto" w:fill="ffffff"/>
              </w:rPr>
              <w:outlineLvl w:val="9"/>
              <w:suppressLineNumbers w:val="0"/>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r>
            <w:r>
              <w:rPr>
                <w:rFonts w:ascii="宋体" w:hAnsi="宋体" w:cs="宋体"/>
              </w:rPr>
            </w:r>
            <w:r/>
          </w:p>
        </w:tc>
      </w:tr>
      <w:tr>
        <w:trPr>
          <w:trHeight w:val="397"/>
        </w:trPr>
        <w:tc>
          <w:tcPr>
            <w:tcW w:w="1632" w:type="dxa"/>
            <w:vAlign w:val="center"/>
            <w:vMerge w:val="continue"/>
            <w:textDirection w:val="lrTb"/>
            <w:noWrap w:val="false"/>
          </w:tcPr>
          <w:p>
            <w:pPr>
              <w:pStyle w:val="863"/>
              <w:ind w:left="0" w:firstLine="0"/>
              <w:jc w:val="center"/>
              <w:keepLines w:val="0"/>
              <w:keepNext w:val="0"/>
              <w:pageBreakBefore w:val="0"/>
              <w:spacing w:before="0" w:beforeAutospacing="0" w:afterAutospacing="0" w:line="440" w:lineRule="exact"/>
              <w:shd w:val="clear" w:color="auto" w:fill="ffffff"/>
              <w:widowControl/>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outlineLvl w:val="9"/>
              <w:suppressLineNumbers w:val="0"/>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r>
            <w:r/>
          </w:p>
        </w:tc>
        <w:tc>
          <w:tcPr>
            <w:tcW w:w="209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i w:val="0"/>
                <w:iCs w:val="0"/>
                <w:caps w:val="0"/>
                <w:color w:val="000000"/>
                <w:spacing w:val="0"/>
                <w:sz w:val="21"/>
                <w:szCs w:val="21"/>
                <w:highlight w:val="none"/>
                <w:shd w:val="clear" w:color="auto" w:fill="ffffff"/>
              </w:rPr>
              <w:outlineLvl w:val="9"/>
            </w:pPr>
            <w:r>
              <w:rPr>
                <w:rFonts w:hint="eastAsia" w:ascii="宋体" w:hAnsi="宋体" w:eastAsia="宋体" w:cs="宋体"/>
                <w:color w:val="000000"/>
                <w:sz w:val="21"/>
                <w:szCs w:val="21"/>
                <w:highlight w:val="none"/>
                <w:lang w:val="en-US" w:eastAsia="zh-CN"/>
              </w:rPr>
              <w:t xml:space="preserve">系统功能迭代</w:t>
            </w:r>
            <w:r>
              <w:rPr>
                <w:rFonts w:ascii="宋体" w:hAnsi="宋体" w:cs="宋体"/>
              </w:rPr>
            </w:r>
            <w:r/>
          </w:p>
        </w:tc>
        <w:tc>
          <w:tcPr>
            <w:gridSpan w:val="3"/>
            <w:tcW w:w="3920" w:type="dxa"/>
            <w:vAlign w:val="center"/>
            <w:textDirection w:val="lrTb"/>
            <w:noWrap w:val="false"/>
          </w:tcPr>
          <w:p>
            <w:pPr>
              <w:pStyle w:val="863"/>
              <w:jc w:val="both"/>
              <w:keepLines w:val="0"/>
              <w:keepNext w:val="0"/>
              <w:pageBreakBefore w:val="0"/>
              <w:spacing w:beforeAutospacing="0" w:afterAutospacing="0" w:line="440" w:lineRule="exact"/>
              <w:rPr>
                <w:rFonts w:ascii="宋体" w:hAnsi="宋体" w:cs="宋体"/>
                <w:b w:val="0"/>
                <w:bCs w:val="0"/>
                <w:i w:val="0"/>
                <w:iCs w:val="0"/>
                <w:caps w:val="0"/>
                <w:color w:val="000000"/>
                <w:spacing w:val="0"/>
                <w:sz w:val="21"/>
                <w:szCs w:val="21"/>
                <w:highlight w:val="none"/>
                <w:shd w:val="clear" w:color="auto" w:fill="ffffff"/>
              </w:rPr>
              <w:outlineLvl w:val="9"/>
            </w:pPr>
            <w:r>
              <w:rPr>
                <w:rFonts w:hint="eastAsia" w:ascii="宋体" w:hAnsi="宋体" w:eastAsia="宋体" w:cs="宋体"/>
                <w:b w:val="0"/>
                <w:bCs w:val="0"/>
                <w:i w:val="0"/>
                <w:iCs w:val="0"/>
                <w:caps w:val="0"/>
                <w:color w:val="000000"/>
                <w:spacing w:val="0"/>
                <w:sz w:val="21"/>
                <w:szCs w:val="21"/>
                <w:highlight w:val="none"/>
                <w:shd w:val="clear" w:color="auto" w:fill="ffffff"/>
                <w:lang w:eastAsia="zh-CN"/>
              </w:rPr>
              <w:t xml:space="preserve">功能是否符合要求</w:t>
            </w:r>
            <w:r>
              <w:rPr>
                <w:rFonts w:ascii="宋体" w:hAnsi="宋体" w:cs="宋体"/>
              </w:rPr>
            </w:r>
            <w:r/>
          </w:p>
        </w:tc>
        <w:tc>
          <w:tcPr>
            <w:gridSpan w:val="2"/>
            <w:tcW w:w="82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i w:val="0"/>
                <w:iCs w:val="0"/>
                <w:caps w:val="0"/>
                <w:color w:val="000000"/>
                <w:spacing w:val="0"/>
                <w:sz w:val="21"/>
                <w:szCs w:val="21"/>
                <w:highlight w:val="none"/>
                <w:shd w:val="clear" w:color="auto" w:fill="ffffff"/>
              </w:rPr>
              <w:outlineLvl w:val="9"/>
            </w:pPr>
            <w:r>
              <w:rPr>
                <w:rFonts w:hint="eastAsia" w:ascii="宋体" w:hAnsi="宋体" w:cs="宋体"/>
                <w:b w:val="0"/>
                <w:bCs w:val="0"/>
                <w:i w:val="0"/>
                <w:iCs w:val="0"/>
                <w:caps w:val="0"/>
                <w:color w:val="000000"/>
                <w:spacing w:val="0"/>
                <w:sz w:val="21"/>
                <w:szCs w:val="21"/>
                <w:highlight w:val="none"/>
                <w:shd w:val="clear" w:color="auto" w:fill="ffffff"/>
                <w:lang w:val="en-US" w:eastAsia="zh-CN"/>
              </w:rPr>
              <w:t xml:space="preserve">5</w:t>
            </w:r>
            <w:r>
              <w:rPr>
                <w:rFonts w:ascii="宋体" w:hAnsi="宋体" w:cs="宋体"/>
              </w:rPr>
            </w:r>
            <w:r/>
          </w:p>
        </w:tc>
        <w:tc>
          <w:tcPr>
            <w:tcW w:w="824" w:type="dxa"/>
            <w:vAlign w:val="center"/>
            <w:textDirection w:val="lrTb"/>
            <w:noWrap w:val="false"/>
          </w:tcPr>
          <w:p>
            <w:pPr>
              <w:pStyle w:val="863"/>
              <w:ind w:left="0" w:firstLine="0"/>
              <w:jc w:val="center"/>
              <w:keepLines w:val="0"/>
              <w:keepNext w:val="0"/>
              <w:pageBreakBefore w:val="0"/>
              <w:spacing w:before="0" w:beforeAutospacing="0" w:afterAutospacing="0" w:line="440" w:lineRule="exact"/>
              <w:shd w:val="clear" w:color="auto" w:fill="ffffff"/>
              <w:widowControl/>
              <w:rPr>
                <w:rFonts w:hint="eastAsia" w:ascii="宋体" w:hAnsi="宋体" w:cs="宋体"/>
                <w:b w:val="0"/>
                <w:bCs w:val="0"/>
                <w:i w:val="0"/>
                <w:iCs w:val="0"/>
                <w:caps w:val="0"/>
                <w:color w:val="000000"/>
                <w:spacing w:val="0"/>
                <w:sz w:val="21"/>
                <w:szCs w:val="21"/>
                <w:highlight w:val="none"/>
                <w:shd w:val="clear" w:color="auto" w:fill="ffffff"/>
              </w:rPr>
              <w:outlineLvl w:val="9"/>
              <w:suppressLineNumbers w:val="0"/>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r>
            <w:r>
              <w:rPr>
                <w:rFonts w:ascii="宋体" w:hAnsi="宋体" w:cs="宋体"/>
              </w:rPr>
            </w:r>
            <w:r/>
          </w:p>
        </w:tc>
        <w:tc>
          <w:tcPr>
            <w:tcW w:w="824" w:type="dxa"/>
            <w:vAlign w:val="center"/>
            <w:textDirection w:val="lrTb"/>
            <w:noWrap w:val="false"/>
          </w:tcPr>
          <w:p>
            <w:pPr>
              <w:pStyle w:val="863"/>
              <w:ind w:left="0" w:firstLine="0"/>
              <w:jc w:val="center"/>
              <w:keepLines w:val="0"/>
              <w:keepNext w:val="0"/>
              <w:pageBreakBefore w:val="0"/>
              <w:spacing w:before="0" w:beforeAutospacing="0" w:afterAutospacing="0" w:line="440" w:lineRule="exact"/>
              <w:shd w:val="clear" w:color="auto" w:fill="ffffff"/>
              <w:widowControl/>
              <w:rPr>
                <w:rFonts w:hint="eastAsia" w:ascii="宋体" w:hAnsi="宋体" w:cs="宋体"/>
                <w:b w:val="0"/>
                <w:bCs w:val="0"/>
                <w:i w:val="0"/>
                <w:iCs w:val="0"/>
                <w:caps w:val="0"/>
                <w:color w:val="000000"/>
                <w:spacing w:val="0"/>
                <w:sz w:val="21"/>
                <w:szCs w:val="21"/>
                <w:highlight w:val="none"/>
                <w:shd w:val="clear" w:color="auto" w:fill="ffffff"/>
              </w:rPr>
              <w:outlineLvl w:val="9"/>
              <w:suppressLineNumbers w:val="0"/>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r>
            <w:r>
              <w:rPr>
                <w:rFonts w:ascii="宋体" w:hAnsi="宋体" w:cs="宋体"/>
              </w:rPr>
            </w:r>
            <w:r/>
          </w:p>
        </w:tc>
      </w:tr>
      <w:tr>
        <w:trPr>
          <w:trHeight w:val="397"/>
        </w:trPr>
        <w:tc>
          <w:tcPr>
            <w:tcW w:w="1632" w:type="dxa"/>
            <w:vAlign w:val="center"/>
            <w:vMerge w:val="continue"/>
            <w:textDirection w:val="lrTb"/>
            <w:noWrap w:val="false"/>
          </w:tcPr>
          <w:p>
            <w:pPr>
              <w:pStyle w:val="863"/>
              <w:ind w:left="0" w:firstLine="0"/>
              <w:jc w:val="center"/>
              <w:keepLines w:val="0"/>
              <w:keepNext w:val="0"/>
              <w:pageBreakBefore w:val="0"/>
              <w:spacing w:before="0" w:beforeAutospacing="0" w:afterAutospacing="0" w:line="440" w:lineRule="exact"/>
              <w:shd w:val="clear" w:color="auto" w:fill="ffffff"/>
              <w:widowControl/>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outlineLvl w:val="9"/>
              <w:suppressLineNumbers w:val="0"/>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r>
            <w:r/>
          </w:p>
        </w:tc>
        <w:tc>
          <w:tcPr>
            <w:tcW w:w="209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专项培训</w:t>
            </w:r>
            <w:r>
              <w:rPr>
                <w:rFonts w:ascii="宋体" w:hAnsi="宋体" w:cs="宋体"/>
              </w:rPr>
            </w:r>
            <w:r/>
          </w:p>
        </w:tc>
        <w:tc>
          <w:tcPr>
            <w:gridSpan w:val="3"/>
            <w:tcW w:w="3920" w:type="dxa"/>
            <w:vAlign w:val="center"/>
            <w:textDirection w:val="lrTb"/>
            <w:noWrap w:val="false"/>
          </w:tcPr>
          <w:p>
            <w:pPr>
              <w:pStyle w:val="863"/>
              <w:jc w:val="both"/>
              <w:keepLines w:val="0"/>
              <w:keepNext w:val="0"/>
              <w:pageBreakBefore w:val="0"/>
              <w:spacing w:beforeAutospacing="0" w:afterAutospacing="0" w:line="440" w:lineRule="exact"/>
              <w:rPr>
                <w:rFonts w:ascii="宋体" w:hAnsi="宋体" w:cs="宋体"/>
                <w:b w:val="0"/>
                <w:bCs w:val="0"/>
                <w:i w:val="0"/>
                <w:iCs w:val="0"/>
                <w:caps w:val="0"/>
                <w:color w:val="000000"/>
                <w:spacing w:val="0"/>
                <w:sz w:val="21"/>
                <w:szCs w:val="21"/>
                <w:highlight w:val="none"/>
                <w:shd w:val="clear" w:color="auto" w:fill="ffffff"/>
              </w:rPr>
              <w:outlineLvl w:val="9"/>
            </w:pPr>
            <w:r>
              <w:rPr>
                <w:rFonts w:hint="eastAsia" w:ascii="宋体" w:hAnsi="宋体" w:eastAsia="宋体" w:cs="宋体"/>
                <w:b w:val="0"/>
                <w:bCs w:val="0"/>
                <w:i w:val="0"/>
                <w:iCs w:val="0"/>
                <w:caps w:val="0"/>
                <w:color w:val="000000"/>
                <w:spacing w:val="0"/>
                <w:sz w:val="21"/>
                <w:szCs w:val="21"/>
                <w:highlight w:val="none"/>
                <w:shd w:val="clear" w:color="auto" w:fill="ffffff"/>
                <w:lang w:eastAsia="zh-CN"/>
              </w:rPr>
              <w:t xml:space="preserve">培训成效是否达到满意度</w:t>
            </w: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rPr>
              <w:t xml:space="preserve">95%以上</w:t>
            </w:r>
            <w:r>
              <w:rPr>
                <w:rFonts w:ascii="宋体" w:hAnsi="宋体" w:cs="宋体"/>
              </w:rPr>
            </w:r>
            <w:r/>
          </w:p>
        </w:tc>
        <w:tc>
          <w:tcPr>
            <w:gridSpan w:val="2"/>
            <w:tcW w:w="824" w:type="dxa"/>
            <w:vAlign w:val="center"/>
            <w:textDirection w:val="lrTb"/>
            <w:noWrap w:val="false"/>
          </w:tcPr>
          <w:p>
            <w:pPr>
              <w:pStyle w:val="863"/>
              <w:jc w:val="center"/>
              <w:keepLines w:val="0"/>
              <w:keepNext w:val="0"/>
              <w:pageBreakBefore w:val="0"/>
              <w:spacing w:beforeAutospacing="0" w:afterAutospacing="0" w:line="440" w:lineRule="exact"/>
              <w:rPr>
                <w:rFonts w:ascii="宋体" w:hAnsi="宋体" w:cs="宋体"/>
                <w:b w:val="0"/>
                <w:bCs w:val="0"/>
                <w:i w:val="0"/>
                <w:iCs w:val="0"/>
                <w:caps w:val="0"/>
                <w:color w:val="000000"/>
                <w:spacing w:val="0"/>
                <w:sz w:val="21"/>
                <w:szCs w:val="21"/>
                <w:highlight w:val="none"/>
                <w:shd w:val="clear" w:color="auto" w:fill="ffffff"/>
              </w:rPr>
              <w:outlineLvl w:val="9"/>
            </w:pPr>
            <w:r>
              <w:rPr>
                <w:rFonts w:hint="eastAsia" w:ascii="宋体" w:hAnsi="宋体" w:cs="宋体"/>
                <w:b w:val="0"/>
                <w:bCs w:val="0"/>
                <w:i w:val="0"/>
                <w:iCs w:val="0"/>
                <w:caps w:val="0"/>
                <w:color w:val="000000"/>
                <w:spacing w:val="0"/>
                <w:sz w:val="21"/>
                <w:szCs w:val="21"/>
                <w:highlight w:val="none"/>
                <w:shd w:val="clear" w:color="auto" w:fill="ffffff"/>
                <w:lang w:val="en-US" w:eastAsia="zh-CN"/>
              </w:rPr>
              <w:t xml:space="preserve">5</w:t>
            </w:r>
            <w:r>
              <w:rPr>
                <w:rFonts w:ascii="宋体" w:hAnsi="宋体" w:cs="宋体"/>
              </w:rPr>
            </w:r>
            <w:r/>
          </w:p>
        </w:tc>
        <w:tc>
          <w:tcPr>
            <w:tcW w:w="824" w:type="dxa"/>
            <w:vAlign w:val="center"/>
            <w:textDirection w:val="lrTb"/>
            <w:noWrap w:val="false"/>
          </w:tcPr>
          <w:p>
            <w:pPr>
              <w:pStyle w:val="863"/>
              <w:ind w:left="0" w:firstLine="0"/>
              <w:jc w:val="center"/>
              <w:keepLines w:val="0"/>
              <w:keepNext w:val="0"/>
              <w:pageBreakBefore w:val="0"/>
              <w:spacing w:before="0" w:beforeAutospacing="0" w:afterAutospacing="0" w:line="440" w:lineRule="exact"/>
              <w:shd w:val="clear" w:color="auto" w:fill="ffffff"/>
              <w:widowControl/>
              <w:rPr>
                <w:rFonts w:hint="eastAsia" w:ascii="宋体" w:hAnsi="宋体" w:cs="宋体"/>
                <w:b w:val="0"/>
                <w:bCs w:val="0"/>
                <w:i w:val="0"/>
                <w:iCs w:val="0"/>
                <w:caps w:val="0"/>
                <w:color w:val="000000"/>
                <w:spacing w:val="0"/>
                <w:sz w:val="21"/>
                <w:szCs w:val="21"/>
                <w:highlight w:val="none"/>
                <w:shd w:val="clear" w:color="auto" w:fill="ffffff"/>
              </w:rPr>
              <w:outlineLvl w:val="9"/>
              <w:suppressLineNumbers w:val="0"/>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r>
            <w:r>
              <w:rPr>
                <w:rFonts w:ascii="宋体" w:hAnsi="宋体" w:cs="宋体"/>
              </w:rPr>
            </w:r>
            <w:r/>
          </w:p>
        </w:tc>
        <w:tc>
          <w:tcPr>
            <w:tcW w:w="824" w:type="dxa"/>
            <w:vAlign w:val="center"/>
            <w:textDirection w:val="lrTb"/>
            <w:noWrap w:val="false"/>
          </w:tcPr>
          <w:p>
            <w:pPr>
              <w:pStyle w:val="863"/>
              <w:ind w:left="0" w:firstLine="0"/>
              <w:jc w:val="center"/>
              <w:keepLines w:val="0"/>
              <w:keepNext w:val="0"/>
              <w:pageBreakBefore w:val="0"/>
              <w:spacing w:before="0" w:beforeAutospacing="0" w:afterAutospacing="0" w:line="440" w:lineRule="exact"/>
              <w:shd w:val="clear" w:color="auto" w:fill="ffffff"/>
              <w:widowControl/>
              <w:rPr>
                <w:rFonts w:hint="eastAsia" w:ascii="宋体" w:hAnsi="宋体" w:cs="宋体"/>
                <w:b w:val="0"/>
                <w:bCs w:val="0"/>
                <w:i w:val="0"/>
                <w:iCs w:val="0"/>
                <w:caps w:val="0"/>
                <w:color w:val="000000"/>
                <w:spacing w:val="0"/>
                <w:sz w:val="21"/>
                <w:szCs w:val="21"/>
                <w:highlight w:val="none"/>
                <w:shd w:val="clear" w:color="auto" w:fill="ffffff"/>
              </w:rPr>
              <w:outlineLvl w:val="9"/>
              <w:suppressLineNumbers w:val="0"/>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r>
            <w:r>
              <w:rPr>
                <w:rFonts w:ascii="宋体" w:hAnsi="宋体" w:cs="宋体"/>
              </w:rPr>
            </w:r>
            <w:r/>
          </w:p>
        </w:tc>
      </w:tr>
      <w:tr>
        <w:trPr>
          <w:trHeight w:val="397"/>
        </w:trPr>
        <w:tc>
          <w:tcPr>
            <w:tcW w:w="1632" w:type="dxa"/>
            <w:vAlign w:val="center"/>
            <w:vMerge w:val="restart"/>
            <w:textDirection w:val="lrTb"/>
            <w:noWrap w:val="false"/>
          </w:tcPr>
          <w:p>
            <w:pPr>
              <w:pStyle w:val="863"/>
              <w:ind w:left="0" w:firstLine="0"/>
              <w:jc w:val="center"/>
              <w:keepLines w:val="0"/>
              <w:keepNext w:val="0"/>
              <w:pageBreakBefore w:val="0"/>
              <w:spacing w:before="0" w:beforeAutospacing="0" w:afterAutospacing="0" w:line="440" w:lineRule="exact"/>
              <w:shd w:val="clear" w:color="auto" w:fill="ffffff"/>
              <w:widowControl/>
              <w:rPr>
                <w:rFonts w:hint="eastAsia" w:ascii="宋体" w:hAnsi="宋体" w:cs="宋体"/>
                <w:b w:val="0"/>
                <w:bCs w:val="0"/>
                <w:i w:val="0"/>
                <w:iCs w:val="0"/>
                <w:caps w:val="0"/>
                <w:color w:val="000000"/>
                <w:spacing w:val="0"/>
                <w:sz w:val="21"/>
                <w:szCs w:val="21"/>
                <w:highlight w:val="none"/>
                <w:shd w:val="clear" w:color="auto" w:fill="ffffff"/>
              </w:rPr>
              <w:outlineLvl w:val="9"/>
              <w:suppressLineNumbers w:val="0"/>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t xml:space="preserve">年度考核</w:t>
            </w:r>
            <w:r>
              <w:rPr>
                <w:rFonts w:ascii="宋体" w:hAnsi="宋体" w:cs="宋体"/>
              </w:rPr>
            </w:r>
            <w:r/>
          </w:p>
          <w:p>
            <w:pPr>
              <w:pStyle w:val="875"/>
              <w:ind w:left="0" w:firstLine="0"/>
              <w:jc w:val="center"/>
              <w:keepLines w:val="0"/>
              <w:keepNext w:val="0"/>
              <w:pageBreakBefore w:val="0"/>
              <w:spacing w:after="0" w:line="440" w:lineRule="exact"/>
              <w:rPr>
                <w:rFonts w:ascii="宋体" w:hAnsi="宋体" w:cs="宋体"/>
                <w:color w:val="000000"/>
                <w:highlight w:val="none"/>
              </w:rPr>
              <w:outlineLvl w:val="9"/>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t xml:space="preserve">（10分）</w:t>
            </w:r>
            <w:r>
              <w:rPr>
                <w:rFonts w:ascii="宋体" w:hAnsi="宋体" w:cs="宋体"/>
              </w:rPr>
            </w:r>
            <w:r/>
          </w:p>
        </w:tc>
        <w:tc>
          <w:tcPr>
            <w:tcW w:w="209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重大算法版本升级</w:t>
            </w:r>
            <w:r>
              <w:rPr>
                <w:rFonts w:ascii="宋体" w:hAnsi="宋体" w:cs="宋体"/>
              </w:rPr>
            </w:r>
            <w:r/>
          </w:p>
        </w:tc>
        <w:tc>
          <w:tcPr>
            <w:gridSpan w:val="3"/>
            <w:tcW w:w="3920" w:type="dxa"/>
            <w:vAlign w:val="center"/>
            <w:textDirection w:val="lrTb"/>
            <w:noWrap w:val="false"/>
          </w:tcPr>
          <w:p>
            <w:pPr>
              <w:pStyle w:val="863"/>
              <w:jc w:val="both"/>
              <w:keepLines w:val="0"/>
              <w:keepNext w:val="0"/>
              <w:pageBreakBefore w:val="0"/>
              <w:spacing w:beforeAutospacing="0" w:afterAutospacing="0" w:line="440" w:lineRule="exact"/>
              <w:rPr>
                <w:rFonts w:ascii="宋体" w:hAnsi="宋体" w:cs="宋体"/>
                <w:b w:val="0"/>
                <w:bCs w:val="0"/>
                <w:i w:val="0"/>
                <w:iCs w:val="0"/>
                <w:caps w:val="0"/>
                <w:color w:val="000000"/>
                <w:spacing w:val="0"/>
                <w:sz w:val="21"/>
                <w:szCs w:val="21"/>
                <w:highlight w:val="none"/>
                <w:shd w:val="clear" w:color="auto" w:fill="ffffff"/>
              </w:rPr>
              <w:outlineLvl w:val="9"/>
            </w:pPr>
            <w:r>
              <w:rPr>
                <w:rFonts w:hint="eastAsia" w:ascii="宋体" w:hAnsi="宋体" w:eastAsia="宋体" w:cs="宋体"/>
                <w:b w:val="0"/>
                <w:bCs w:val="0"/>
                <w:i w:val="0"/>
                <w:iCs w:val="0"/>
                <w:caps w:val="0"/>
                <w:color w:val="000000"/>
                <w:spacing w:val="0"/>
                <w:sz w:val="21"/>
                <w:szCs w:val="21"/>
                <w:highlight w:val="none"/>
                <w:shd w:val="clear" w:color="auto" w:fill="ffffff"/>
                <w:lang w:eastAsia="zh-CN"/>
              </w:rPr>
              <w:t xml:space="preserve">每年完成</w:t>
            </w: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rPr>
              <w:t xml:space="preserve">1次</w:t>
            </w:r>
            <w:r>
              <w:rPr>
                <w:rFonts w:ascii="宋体" w:hAnsi="宋体" w:cs="宋体"/>
              </w:rPr>
            </w:r>
            <w:r/>
          </w:p>
        </w:tc>
        <w:tc>
          <w:tcPr>
            <w:gridSpan w:val="2"/>
            <w:tcW w:w="824" w:type="dxa"/>
            <w:vAlign w:val="center"/>
            <w:textDirection w:val="lrTb"/>
            <w:noWrap w:val="false"/>
          </w:tcPr>
          <w:p>
            <w:pPr>
              <w:pStyle w:val="863"/>
              <w:jc w:val="center"/>
              <w:keepLines w:val="0"/>
              <w:keepNext w:val="0"/>
              <w:pageBreakBefore w:val="0"/>
              <w:spacing w:beforeAutospacing="0" w:afterAutospacing="0" w:line="440" w:lineRule="exact"/>
              <w:rPr>
                <w:rFonts w:ascii="宋体" w:hAnsi="宋体" w:cs="宋体"/>
                <w:b w:val="0"/>
                <w:bCs w:val="0"/>
                <w:i w:val="0"/>
                <w:iCs w:val="0"/>
                <w:caps w:val="0"/>
                <w:color w:val="000000"/>
                <w:spacing w:val="0"/>
                <w:sz w:val="21"/>
                <w:szCs w:val="21"/>
                <w:highlight w:val="none"/>
                <w:shd w:val="clear" w:color="auto" w:fill="ffffff"/>
              </w:rPr>
              <w:outlineLvl w:val="9"/>
            </w:pPr>
            <w:r>
              <w:rPr>
                <w:rFonts w:hint="eastAsia" w:ascii="宋体" w:hAnsi="宋体" w:cs="宋体"/>
                <w:b w:val="0"/>
                <w:bCs w:val="0"/>
                <w:i w:val="0"/>
                <w:iCs w:val="0"/>
                <w:caps w:val="0"/>
                <w:color w:val="000000"/>
                <w:spacing w:val="0"/>
                <w:sz w:val="21"/>
                <w:szCs w:val="21"/>
                <w:highlight w:val="none"/>
                <w:shd w:val="clear" w:color="auto" w:fill="ffffff"/>
                <w:lang w:val="en-US" w:eastAsia="zh-CN"/>
              </w:rPr>
              <w:t xml:space="preserve">5</w:t>
            </w:r>
            <w:r>
              <w:rPr>
                <w:rFonts w:ascii="宋体" w:hAnsi="宋体" w:cs="宋体"/>
              </w:rPr>
            </w:r>
            <w:r/>
          </w:p>
        </w:tc>
        <w:tc>
          <w:tcPr>
            <w:tcW w:w="824" w:type="dxa"/>
            <w:vAlign w:val="center"/>
            <w:textDirection w:val="lrTb"/>
            <w:noWrap w:val="false"/>
          </w:tcPr>
          <w:p>
            <w:pPr>
              <w:pStyle w:val="863"/>
              <w:ind w:left="0" w:firstLine="0"/>
              <w:jc w:val="center"/>
              <w:keepLines w:val="0"/>
              <w:keepNext w:val="0"/>
              <w:pageBreakBefore w:val="0"/>
              <w:spacing w:before="0" w:beforeAutospacing="0" w:afterAutospacing="0" w:line="440" w:lineRule="exact"/>
              <w:shd w:val="clear" w:color="auto" w:fill="ffffff"/>
              <w:widowControl/>
              <w:rPr>
                <w:rFonts w:hint="eastAsia" w:ascii="宋体" w:hAnsi="宋体" w:cs="宋体"/>
                <w:b w:val="0"/>
                <w:bCs w:val="0"/>
                <w:i w:val="0"/>
                <w:iCs w:val="0"/>
                <w:caps w:val="0"/>
                <w:color w:val="000000"/>
                <w:spacing w:val="0"/>
                <w:sz w:val="21"/>
                <w:szCs w:val="21"/>
                <w:highlight w:val="none"/>
                <w:shd w:val="clear" w:color="auto" w:fill="ffffff"/>
              </w:rPr>
              <w:outlineLvl w:val="9"/>
              <w:suppressLineNumbers w:val="0"/>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r>
            <w:r>
              <w:rPr>
                <w:rFonts w:ascii="宋体" w:hAnsi="宋体" w:cs="宋体"/>
              </w:rPr>
            </w:r>
            <w:r/>
          </w:p>
        </w:tc>
        <w:tc>
          <w:tcPr>
            <w:tcW w:w="824" w:type="dxa"/>
            <w:vAlign w:val="center"/>
            <w:textDirection w:val="lrTb"/>
            <w:noWrap w:val="false"/>
          </w:tcPr>
          <w:p>
            <w:pPr>
              <w:pStyle w:val="863"/>
              <w:ind w:left="0" w:firstLine="0"/>
              <w:jc w:val="center"/>
              <w:keepLines w:val="0"/>
              <w:keepNext w:val="0"/>
              <w:pageBreakBefore w:val="0"/>
              <w:spacing w:before="0" w:beforeAutospacing="0" w:afterAutospacing="0" w:line="440" w:lineRule="exact"/>
              <w:shd w:val="clear" w:color="auto" w:fill="ffffff"/>
              <w:widowControl/>
              <w:rPr>
                <w:rFonts w:hint="eastAsia" w:ascii="宋体" w:hAnsi="宋体" w:cs="宋体"/>
                <w:b w:val="0"/>
                <w:bCs w:val="0"/>
                <w:i w:val="0"/>
                <w:iCs w:val="0"/>
                <w:caps w:val="0"/>
                <w:color w:val="000000"/>
                <w:spacing w:val="0"/>
                <w:sz w:val="21"/>
                <w:szCs w:val="21"/>
                <w:highlight w:val="none"/>
                <w:shd w:val="clear" w:color="auto" w:fill="ffffff"/>
              </w:rPr>
              <w:outlineLvl w:val="9"/>
              <w:suppressLineNumbers w:val="0"/>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r>
            <w:r>
              <w:rPr>
                <w:rFonts w:ascii="宋体" w:hAnsi="宋体" w:cs="宋体"/>
              </w:rPr>
            </w:r>
            <w:r/>
          </w:p>
        </w:tc>
      </w:tr>
      <w:tr>
        <w:trPr>
          <w:trHeight w:val="397"/>
        </w:trPr>
        <w:tc>
          <w:tcPr>
            <w:tcW w:w="1632" w:type="dxa"/>
            <w:vAlign w:val="center"/>
            <w:vMerge w:val="continue"/>
            <w:textDirection w:val="lrTb"/>
            <w:noWrap w:val="false"/>
          </w:tcPr>
          <w:p>
            <w:pPr>
              <w:pStyle w:val="863"/>
              <w:ind w:left="0" w:firstLine="0"/>
              <w:jc w:val="center"/>
              <w:keepLines w:val="0"/>
              <w:keepNext w:val="0"/>
              <w:pageBreakBefore w:val="0"/>
              <w:spacing w:before="0" w:beforeAutospacing="0" w:afterAutospacing="0" w:line="440" w:lineRule="exact"/>
              <w:shd w:val="clear" w:color="auto" w:fill="ffffff"/>
              <w:widowControl/>
              <w:rPr>
                <w:rFonts w:hint="eastAsia" w:cs="宋体"/>
                <w:b w:val="0"/>
                <w:bCs w:val="0"/>
                <w:i w:val="0"/>
                <w:iCs w:val="0"/>
                <w:caps w:val="0"/>
                <w:color w:val="000000"/>
                <w:spacing w:val="0"/>
                <w:sz w:val="21"/>
                <w:szCs w:val="21"/>
                <w:highlight w:val="none"/>
                <w:shd w:val="clear" w:color="auto" w:fill="ffffff"/>
                <w:lang w:val="en-US" w:eastAsia="zh-CN" w:bidi="ar"/>
              </w:rPr>
              <w:outlineLvl w:val="9"/>
              <w:suppressLineNumbers w:val="0"/>
            </w:pPr>
            <w:r>
              <w:rPr>
                <w:rFonts w:hint="eastAsia" w:cs="宋体"/>
                <w:b w:val="0"/>
                <w:bCs w:val="0"/>
                <w:i w:val="0"/>
                <w:iCs w:val="0"/>
                <w:caps w:val="0"/>
                <w:color w:val="000000"/>
                <w:spacing w:val="0"/>
                <w:sz w:val="21"/>
                <w:szCs w:val="21"/>
                <w:highlight w:val="none"/>
                <w:shd w:val="clear" w:color="auto" w:fill="ffffff"/>
                <w:lang w:val="en-US" w:eastAsia="zh-CN" w:bidi="ar"/>
              </w:rPr>
            </w:r>
            <w:r/>
          </w:p>
        </w:tc>
        <w:tc>
          <w:tcPr>
            <w:tcW w:w="2094" w:type="dxa"/>
            <w:vAlign w:val="center"/>
            <w:textDirection w:val="lrTb"/>
            <w:noWrap w:val="false"/>
          </w:tcPr>
          <w:p>
            <w:pPr>
              <w:pStyle w:val="863"/>
              <w:jc w:val="center"/>
              <w:keepLines w:val="0"/>
              <w:keepNext w:val="0"/>
              <w:pageBreakBefore w:val="0"/>
              <w:spacing w:beforeAutospacing="0" w:afterAutospacing="0" w:line="440" w:lineRule="exact"/>
              <w:rPr>
                <w:rFonts w:hint="eastAsia" w:ascii="宋体" w:hAnsi="宋体" w:cs="宋体"/>
                <w:b w:val="0"/>
                <w:bCs w:val="0"/>
                <w:i w:val="0"/>
                <w:iCs w:val="0"/>
                <w:caps w:val="0"/>
                <w:color w:val="000000"/>
                <w:spacing w:val="0"/>
                <w:sz w:val="21"/>
                <w:szCs w:val="21"/>
                <w:highlight w:val="none"/>
                <w:shd w:val="clear" w:color="auto" w:fill="ffffff"/>
              </w:rPr>
              <w:outlineLvl w:val="9"/>
            </w:pPr>
            <w:r>
              <w:rPr>
                <w:rFonts w:hint="eastAsia" w:ascii="宋体" w:hAnsi="宋体" w:eastAsia="宋体" w:cs="宋体"/>
                <w:b w:val="0"/>
                <w:bCs w:val="0"/>
                <w:i w:val="0"/>
                <w:iCs w:val="0"/>
                <w:caps w:val="0"/>
                <w:color w:val="000000"/>
                <w:spacing w:val="0"/>
                <w:sz w:val="21"/>
                <w:szCs w:val="21"/>
                <w:highlight w:val="none"/>
                <w:shd w:val="clear" w:color="auto" w:fill="ffffff"/>
              </w:rPr>
              <w:t xml:space="preserve">全量需求调研</w:t>
            </w:r>
            <w:r>
              <w:rPr>
                <w:rFonts w:ascii="宋体" w:hAnsi="宋体" w:cs="宋体"/>
              </w:rPr>
            </w:r>
            <w:r/>
          </w:p>
        </w:tc>
        <w:tc>
          <w:tcPr>
            <w:gridSpan w:val="3"/>
            <w:tcW w:w="3920" w:type="dxa"/>
            <w:vAlign w:val="center"/>
            <w:textDirection w:val="lrTb"/>
            <w:noWrap w:val="false"/>
          </w:tcPr>
          <w:p>
            <w:pPr>
              <w:pStyle w:val="863"/>
              <w:jc w:val="both"/>
              <w:keepLines w:val="0"/>
              <w:keepNext w:val="0"/>
              <w:pageBreakBefore w:val="0"/>
              <w:spacing w:beforeAutospacing="0" w:afterAutospacing="0" w:line="440" w:lineRule="exact"/>
              <w:rPr>
                <w:rFonts w:ascii="宋体" w:hAnsi="宋体" w:cs="宋体"/>
                <w:b w:val="0"/>
                <w:bCs w:val="0"/>
                <w:i w:val="0"/>
                <w:iCs w:val="0"/>
                <w:caps w:val="0"/>
                <w:color w:val="000000"/>
                <w:spacing w:val="0"/>
                <w:sz w:val="21"/>
                <w:szCs w:val="21"/>
                <w:highlight w:val="none"/>
                <w:shd w:val="clear" w:color="auto" w:fill="ffffff"/>
              </w:rPr>
              <w:outlineLvl w:val="9"/>
            </w:pPr>
            <w:r>
              <w:rPr>
                <w:rFonts w:hint="eastAsia" w:ascii="宋体" w:hAnsi="宋体" w:eastAsia="宋体" w:cs="宋体"/>
                <w:b w:val="0"/>
                <w:bCs w:val="0"/>
                <w:i w:val="0"/>
                <w:iCs w:val="0"/>
                <w:caps w:val="0"/>
                <w:color w:val="000000"/>
                <w:spacing w:val="0"/>
                <w:sz w:val="21"/>
                <w:szCs w:val="21"/>
                <w:highlight w:val="none"/>
                <w:shd w:val="clear" w:color="auto" w:fill="ffffff"/>
                <w:lang w:eastAsia="zh-CN"/>
              </w:rPr>
              <w:t xml:space="preserve">每年不少于</w:t>
            </w: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rPr>
              <w:t xml:space="preserve">2次</w:t>
            </w:r>
            <w:r>
              <w:rPr>
                <w:rFonts w:ascii="宋体" w:hAnsi="宋体" w:cs="宋体"/>
              </w:rPr>
            </w:r>
            <w:r/>
          </w:p>
        </w:tc>
        <w:tc>
          <w:tcPr>
            <w:gridSpan w:val="2"/>
            <w:tcW w:w="824" w:type="dxa"/>
            <w:vAlign w:val="center"/>
            <w:textDirection w:val="lrTb"/>
            <w:noWrap w:val="false"/>
          </w:tcPr>
          <w:p>
            <w:pPr>
              <w:pStyle w:val="863"/>
              <w:jc w:val="center"/>
              <w:keepLines w:val="0"/>
              <w:keepNext w:val="0"/>
              <w:pageBreakBefore w:val="0"/>
              <w:spacing w:beforeAutospacing="0" w:afterAutospacing="0" w:line="440" w:lineRule="exact"/>
              <w:rPr>
                <w:rFonts w:ascii="宋体" w:hAnsi="宋体" w:cs="宋体"/>
                <w:b w:val="0"/>
                <w:bCs w:val="0"/>
                <w:i w:val="0"/>
                <w:iCs w:val="0"/>
                <w:caps w:val="0"/>
                <w:color w:val="000000"/>
                <w:spacing w:val="0"/>
                <w:sz w:val="21"/>
                <w:szCs w:val="21"/>
                <w:highlight w:val="none"/>
                <w:shd w:val="clear" w:color="auto" w:fill="ffffff"/>
              </w:rPr>
              <w:outlineLvl w:val="9"/>
            </w:pPr>
            <w:r>
              <w:rPr>
                <w:rFonts w:hint="eastAsia" w:ascii="宋体" w:hAnsi="宋体" w:cs="宋体"/>
                <w:b w:val="0"/>
                <w:bCs w:val="0"/>
                <w:i w:val="0"/>
                <w:iCs w:val="0"/>
                <w:caps w:val="0"/>
                <w:color w:val="000000"/>
                <w:spacing w:val="0"/>
                <w:sz w:val="21"/>
                <w:szCs w:val="21"/>
                <w:highlight w:val="none"/>
                <w:shd w:val="clear" w:color="auto" w:fill="ffffff"/>
                <w:lang w:val="en-US" w:eastAsia="zh-CN"/>
              </w:rPr>
              <w:t xml:space="preserve">5</w:t>
            </w:r>
            <w:r>
              <w:rPr>
                <w:rFonts w:ascii="宋体" w:hAnsi="宋体" w:cs="宋体"/>
              </w:rPr>
            </w:r>
            <w:r/>
          </w:p>
        </w:tc>
        <w:tc>
          <w:tcPr>
            <w:tcW w:w="824" w:type="dxa"/>
            <w:vAlign w:val="center"/>
            <w:textDirection w:val="lrTb"/>
            <w:noWrap w:val="false"/>
          </w:tcPr>
          <w:p>
            <w:pPr>
              <w:pStyle w:val="863"/>
              <w:ind w:left="0" w:firstLine="0"/>
              <w:jc w:val="center"/>
              <w:keepLines w:val="0"/>
              <w:keepNext w:val="0"/>
              <w:pageBreakBefore w:val="0"/>
              <w:spacing w:before="0" w:beforeAutospacing="0" w:afterAutospacing="0" w:line="440" w:lineRule="exact"/>
              <w:shd w:val="clear" w:color="auto" w:fill="ffffff"/>
              <w:widowControl/>
              <w:rPr>
                <w:rFonts w:hint="eastAsia" w:ascii="宋体" w:hAnsi="宋体" w:cs="宋体"/>
                <w:b w:val="0"/>
                <w:bCs w:val="0"/>
                <w:i w:val="0"/>
                <w:iCs w:val="0"/>
                <w:caps w:val="0"/>
                <w:color w:val="000000"/>
                <w:spacing w:val="0"/>
                <w:sz w:val="21"/>
                <w:szCs w:val="21"/>
                <w:highlight w:val="none"/>
                <w:shd w:val="clear" w:color="auto" w:fill="ffffff"/>
              </w:rPr>
              <w:outlineLvl w:val="9"/>
              <w:suppressLineNumbers w:val="0"/>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r>
            <w:r>
              <w:rPr>
                <w:rFonts w:ascii="宋体" w:hAnsi="宋体" w:cs="宋体"/>
              </w:rPr>
            </w:r>
            <w:r/>
          </w:p>
        </w:tc>
        <w:tc>
          <w:tcPr>
            <w:tcW w:w="824" w:type="dxa"/>
            <w:vAlign w:val="center"/>
            <w:textDirection w:val="lrTb"/>
            <w:noWrap w:val="false"/>
          </w:tcPr>
          <w:p>
            <w:pPr>
              <w:pStyle w:val="863"/>
              <w:ind w:left="0" w:firstLine="0"/>
              <w:jc w:val="center"/>
              <w:keepLines w:val="0"/>
              <w:keepNext w:val="0"/>
              <w:pageBreakBefore w:val="0"/>
              <w:spacing w:before="0" w:beforeAutospacing="0" w:afterAutospacing="0" w:line="440" w:lineRule="exact"/>
              <w:shd w:val="clear" w:color="auto" w:fill="ffffff"/>
              <w:widowControl/>
              <w:rPr>
                <w:rFonts w:hint="eastAsia" w:ascii="宋体" w:hAnsi="宋体" w:cs="宋体"/>
                <w:b w:val="0"/>
                <w:bCs w:val="0"/>
                <w:i w:val="0"/>
                <w:iCs w:val="0"/>
                <w:caps w:val="0"/>
                <w:color w:val="000000"/>
                <w:spacing w:val="0"/>
                <w:sz w:val="21"/>
                <w:szCs w:val="21"/>
                <w:highlight w:val="none"/>
                <w:shd w:val="clear" w:color="auto" w:fill="ffffff"/>
              </w:rPr>
              <w:outlineLvl w:val="9"/>
              <w:suppressLineNumbers w:val="0"/>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r>
            <w:r>
              <w:rPr>
                <w:rFonts w:ascii="宋体" w:hAnsi="宋体" w:cs="宋体"/>
              </w:rPr>
            </w:r>
            <w:r/>
          </w:p>
        </w:tc>
      </w:tr>
      <w:tr>
        <w:trPr>
          <w:trHeight w:val="397"/>
        </w:trPr>
        <w:tc>
          <w:tcPr>
            <w:gridSpan w:val="7"/>
            <w:tcW w:w="8470" w:type="dxa"/>
            <w:vAlign w:val="center"/>
            <w:textDirection w:val="lrTb"/>
            <w:noWrap w:val="false"/>
          </w:tcPr>
          <w:p>
            <w:pPr>
              <w:pStyle w:val="863"/>
              <w:ind w:left="0" w:firstLine="0"/>
              <w:jc w:val="center"/>
              <w:keepLines w:val="0"/>
              <w:keepNext w:val="0"/>
              <w:pageBreakBefore w:val="0"/>
              <w:spacing w:before="0" w:beforeAutospacing="0" w:afterAutospacing="0" w:line="440" w:lineRule="exact"/>
              <w:shd w:val="clear" w:color="auto" w:fill="ffffff"/>
              <w:widowControl/>
              <w:rPr>
                <w:rFonts w:hint="eastAsia" w:ascii="宋体" w:hAnsi="宋体" w:cs="宋体"/>
                <w:b w:val="0"/>
                <w:bCs w:val="0"/>
                <w:i w:val="0"/>
                <w:iCs w:val="0"/>
                <w:caps w:val="0"/>
                <w:color w:val="000000"/>
                <w:spacing w:val="0"/>
                <w:sz w:val="21"/>
                <w:szCs w:val="21"/>
                <w:highlight w:val="none"/>
                <w:shd w:val="clear" w:color="auto" w:fill="ffffff"/>
              </w:rPr>
              <w:outlineLvl w:val="9"/>
              <w:suppressLineNumbers w:val="0"/>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t xml:space="preserve">合计得分</w:t>
            </w:r>
            <w:r>
              <w:rPr>
                <w:rFonts w:ascii="宋体" w:hAnsi="宋体" w:cs="宋体"/>
              </w:rPr>
            </w:r>
            <w:r/>
          </w:p>
        </w:tc>
        <w:tc>
          <w:tcPr>
            <w:tcW w:w="824" w:type="dxa"/>
            <w:vAlign w:val="center"/>
            <w:textDirection w:val="lrTb"/>
            <w:noWrap w:val="false"/>
          </w:tcPr>
          <w:p>
            <w:pPr>
              <w:pStyle w:val="863"/>
              <w:ind w:left="0" w:firstLine="0"/>
              <w:jc w:val="center"/>
              <w:keepLines w:val="0"/>
              <w:keepNext w:val="0"/>
              <w:pageBreakBefore w:val="0"/>
              <w:spacing w:before="0" w:beforeAutospacing="0" w:afterAutospacing="0" w:line="440" w:lineRule="exact"/>
              <w:shd w:val="clear" w:color="auto" w:fill="ffffff"/>
              <w:widowControl/>
              <w:rPr>
                <w:rFonts w:hint="eastAsia" w:ascii="宋体" w:hAnsi="宋体" w:cs="宋体"/>
                <w:b w:val="0"/>
                <w:bCs w:val="0"/>
                <w:i w:val="0"/>
                <w:iCs w:val="0"/>
                <w:caps w:val="0"/>
                <w:color w:val="000000"/>
                <w:spacing w:val="0"/>
                <w:sz w:val="21"/>
                <w:szCs w:val="21"/>
                <w:highlight w:val="none"/>
                <w:shd w:val="clear" w:color="auto" w:fill="ffffff"/>
              </w:rPr>
              <w:outlineLvl w:val="9"/>
              <w:suppressLineNumbers w:val="0"/>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r>
            <w:r>
              <w:rPr>
                <w:rFonts w:ascii="宋体" w:hAnsi="宋体" w:cs="宋体"/>
              </w:rPr>
            </w:r>
            <w:r/>
          </w:p>
        </w:tc>
        <w:tc>
          <w:tcPr>
            <w:tcW w:w="824" w:type="dxa"/>
            <w:vAlign w:val="center"/>
            <w:textDirection w:val="lrTb"/>
            <w:noWrap w:val="false"/>
          </w:tcPr>
          <w:p>
            <w:pPr>
              <w:pStyle w:val="863"/>
              <w:ind w:left="0" w:firstLine="0"/>
              <w:jc w:val="center"/>
              <w:keepLines w:val="0"/>
              <w:keepNext w:val="0"/>
              <w:pageBreakBefore w:val="0"/>
              <w:spacing w:before="0" w:beforeAutospacing="0" w:afterAutospacing="0" w:line="440" w:lineRule="exact"/>
              <w:shd w:val="clear" w:color="auto" w:fill="ffffff"/>
              <w:widowControl/>
              <w:rPr>
                <w:rFonts w:hint="eastAsia" w:ascii="宋体" w:hAnsi="宋体" w:cs="宋体"/>
                <w:b w:val="0"/>
                <w:bCs w:val="0"/>
                <w:i w:val="0"/>
                <w:iCs w:val="0"/>
                <w:caps w:val="0"/>
                <w:color w:val="000000"/>
                <w:spacing w:val="0"/>
                <w:sz w:val="21"/>
                <w:szCs w:val="21"/>
                <w:highlight w:val="none"/>
                <w:shd w:val="clear" w:color="auto" w:fill="ffffff"/>
              </w:rPr>
              <w:outlineLvl w:val="9"/>
              <w:suppressLineNumbers w:val="0"/>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r>
            <w:r>
              <w:rPr>
                <w:rFonts w:ascii="宋体" w:hAnsi="宋体" w:cs="宋体"/>
              </w:rPr>
            </w:r>
            <w:r/>
          </w:p>
        </w:tc>
      </w:tr>
      <w:tr>
        <w:trPr>
          <w:trHeight w:val="397"/>
        </w:trPr>
        <w:tc>
          <w:tcPr>
            <w:tcW w:w="1632" w:type="dxa"/>
            <w:vAlign w:val="center"/>
            <w:textDirection w:val="lrTb"/>
            <w:noWrap w:val="false"/>
          </w:tcPr>
          <w:p>
            <w:pPr>
              <w:pStyle w:val="863"/>
              <w:ind w:left="0" w:firstLine="0"/>
              <w:jc w:val="center"/>
              <w:keepLines w:val="0"/>
              <w:keepNext w:val="0"/>
              <w:pageBreakBefore w:val="0"/>
              <w:spacing w:before="0" w:beforeAutospacing="0" w:afterAutospacing="0" w:line="440" w:lineRule="exact"/>
              <w:shd w:val="clear" w:color="auto" w:fill="ffffff"/>
              <w:widowControl/>
              <w:rPr>
                <w:rFonts w:hint="eastAsia" w:ascii="宋体" w:hAnsi="宋体" w:cs="宋体"/>
                <w:b w:val="0"/>
                <w:bCs w:val="0"/>
                <w:i w:val="0"/>
                <w:iCs w:val="0"/>
                <w:caps w:val="0"/>
                <w:color w:val="000000"/>
                <w:spacing w:val="0"/>
                <w:sz w:val="21"/>
                <w:szCs w:val="21"/>
                <w:highlight w:val="none"/>
                <w:shd w:val="clear" w:color="auto" w:fill="ffffff"/>
              </w:rPr>
              <w:outlineLvl w:val="9"/>
              <w:suppressLineNumbers w:val="0"/>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t xml:space="preserve">考评</w:t>
            </w: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t xml:space="preserve">等级</w:t>
            </w:r>
            <w:r>
              <w:rPr>
                <w:rFonts w:ascii="宋体" w:hAnsi="宋体" w:cs="宋体"/>
              </w:rPr>
            </w:r>
            <w:r/>
          </w:p>
        </w:tc>
        <w:tc>
          <w:tcPr>
            <w:gridSpan w:val="2"/>
            <w:tcW w:w="2121" w:type="dxa"/>
            <w:vAlign w:val="center"/>
            <w:textDirection w:val="lrTb"/>
            <w:noWrap w:val="false"/>
          </w:tcPr>
          <w:p>
            <w:pPr>
              <w:pStyle w:val="863"/>
              <w:ind w:left="0" w:firstLine="0"/>
              <w:jc w:val="center"/>
              <w:keepLines w:val="0"/>
              <w:keepNext w:val="0"/>
              <w:pageBreakBefore w:val="0"/>
              <w:spacing w:before="0" w:beforeAutospacing="0" w:afterAutospacing="0" w:line="440" w:lineRule="exact"/>
              <w:shd w:val="clear" w:color="auto" w:fill="ffffff"/>
              <w:widowControl/>
              <w:rPr>
                <w:rFonts w:hint="eastAsia" w:ascii="宋体" w:hAnsi="宋体" w:cs="宋体"/>
                <w:b w:val="0"/>
                <w:bCs w:val="0"/>
                <w:i w:val="0"/>
                <w:iCs w:val="0"/>
                <w:caps w:val="0"/>
                <w:color w:val="000000"/>
                <w:spacing w:val="0"/>
                <w:sz w:val="21"/>
                <w:szCs w:val="21"/>
                <w:highlight w:val="none"/>
                <w:shd w:val="clear" w:color="auto" w:fill="ffffff"/>
              </w:rPr>
              <w:outlineLvl w:val="9"/>
              <w:suppressLineNumbers w:val="0"/>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t xml:space="preserve">□优秀（≥90）</w:t>
            </w:r>
            <w:r>
              <w:rPr>
                <w:rFonts w:ascii="宋体" w:hAnsi="宋体" w:cs="宋体"/>
              </w:rPr>
            </w:r>
            <w:r/>
          </w:p>
        </w:tc>
        <w:tc>
          <w:tcPr>
            <w:tcW w:w="2121" w:type="dxa"/>
            <w:vAlign w:val="center"/>
            <w:textDirection w:val="lrTb"/>
            <w:noWrap w:val="false"/>
          </w:tcPr>
          <w:p>
            <w:pPr>
              <w:pStyle w:val="863"/>
              <w:ind w:left="0" w:firstLine="0"/>
              <w:jc w:val="center"/>
              <w:keepLines w:val="0"/>
              <w:keepNext w:val="0"/>
              <w:pageBreakBefore w:val="0"/>
              <w:spacing w:before="0" w:beforeAutospacing="0" w:afterAutospacing="0" w:line="440" w:lineRule="exact"/>
              <w:shd w:val="clear" w:color="auto" w:fill="ffffff"/>
              <w:widowControl/>
              <w:rPr>
                <w:rFonts w:hint="eastAsia" w:ascii="宋体" w:hAnsi="宋体" w:cs="宋体"/>
                <w:b w:val="0"/>
                <w:bCs w:val="0"/>
                <w:i w:val="0"/>
                <w:iCs w:val="0"/>
                <w:caps w:val="0"/>
                <w:color w:val="000000"/>
                <w:spacing w:val="0"/>
                <w:sz w:val="21"/>
                <w:szCs w:val="21"/>
                <w:highlight w:val="none"/>
                <w:shd w:val="clear" w:color="auto" w:fill="ffffff"/>
              </w:rPr>
              <w:outlineLvl w:val="9"/>
              <w:suppressLineNumbers w:val="0"/>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t xml:space="preserve">□良好（80-89）</w:t>
            </w:r>
            <w:r>
              <w:rPr>
                <w:rFonts w:ascii="宋体" w:hAnsi="宋体" w:cs="宋体"/>
              </w:rPr>
            </w:r>
            <w:r/>
          </w:p>
        </w:tc>
        <w:tc>
          <w:tcPr>
            <w:gridSpan w:val="2"/>
            <w:tcW w:w="2121" w:type="dxa"/>
            <w:vAlign w:val="center"/>
            <w:textDirection w:val="lrTb"/>
            <w:noWrap w:val="false"/>
          </w:tcPr>
          <w:p>
            <w:pPr>
              <w:pStyle w:val="863"/>
              <w:ind w:left="0" w:firstLine="0"/>
              <w:jc w:val="center"/>
              <w:keepLines w:val="0"/>
              <w:keepNext w:val="0"/>
              <w:pageBreakBefore w:val="0"/>
              <w:spacing w:before="0" w:beforeAutospacing="0" w:afterAutospacing="0" w:line="440" w:lineRule="exact"/>
              <w:shd w:val="clear" w:color="auto" w:fill="ffffff"/>
              <w:widowControl/>
              <w:rPr>
                <w:rFonts w:hint="eastAsia" w:ascii="宋体" w:hAnsi="宋体" w:cs="宋体"/>
                <w:b w:val="0"/>
                <w:bCs w:val="0"/>
                <w:i w:val="0"/>
                <w:iCs w:val="0"/>
                <w:caps w:val="0"/>
                <w:color w:val="000000"/>
                <w:spacing w:val="0"/>
                <w:sz w:val="21"/>
                <w:szCs w:val="21"/>
                <w:highlight w:val="none"/>
                <w:shd w:val="clear" w:color="auto" w:fill="ffffff"/>
              </w:rPr>
              <w:outlineLvl w:val="9"/>
              <w:suppressLineNumbers w:val="0"/>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t xml:space="preserve">□合格（60-79）</w:t>
            </w:r>
            <w:r>
              <w:rPr>
                <w:rFonts w:ascii="宋体" w:hAnsi="宋体" w:cs="宋体"/>
              </w:rPr>
            </w:r>
            <w:r/>
          </w:p>
        </w:tc>
        <w:tc>
          <w:tcPr>
            <w:gridSpan w:val="3"/>
            <w:tcW w:w="2123" w:type="dxa"/>
            <w:vAlign w:val="center"/>
            <w:textDirection w:val="lrTb"/>
            <w:noWrap w:val="false"/>
          </w:tcPr>
          <w:p>
            <w:pPr>
              <w:pStyle w:val="863"/>
              <w:ind w:left="0" w:firstLine="0"/>
              <w:jc w:val="center"/>
              <w:keepLines w:val="0"/>
              <w:keepNext w:val="0"/>
              <w:pageBreakBefore w:val="0"/>
              <w:spacing w:before="0" w:beforeAutospacing="0" w:afterAutospacing="0" w:line="440" w:lineRule="exact"/>
              <w:shd w:val="clear" w:color="auto" w:fill="ffffff"/>
              <w:widowControl/>
              <w:rPr>
                <w:rFonts w:hint="eastAsia" w:ascii="宋体" w:hAnsi="宋体" w:cs="宋体"/>
                <w:b w:val="0"/>
                <w:bCs w:val="0"/>
                <w:i w:val="0"/>
                <w:iCs w:val="0"/>
                <w:caps w:val="0"/>
                <w:color w:val="000000"/>
                <w:spacing w:val="0"/>
                <w:sz w:val="21"/>
                <w:szCs w:val="21"/>
                <w:highlight w:val="none"/>
                <w:shd w:val="clear" w:color="auto" w:fill="ffffff"/>
              </w:rPr>
              <w:outlineLvl w:val="9"/>
              <w:suppressLineNumbers w:val="0"/>
            </w:pP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bidi="ar"/>
              </w:rPr>
              <w:t xml:space="preserve">□不合格（＜60）</w:t>
            </w:r>
            <w:r>
              <w:rPr>
                <w:rFonts w:ascii="宋体" w:hAnsi="宋体" w:cs="宋体"/>
              </w:rPr>
            </w:r>
            <w:r/>
          </w:p>
        </w:tc>
      </w:tr>
    </w:tbl>
    <w:p>
      <w:pPr>
        <w:pStyle w:val="863"/>
        <w:ind w:firstLine="422"/>
        <w:jc w:val="both"/>
        <w:keepLines w:val="0"/>
        <w:keepNext w:val="0"/>
        <w:pageBreakBefore w:val="0"/>
        <w:spacing w:line="440" w:lineRule="exact"/>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rPr>
        <w:t xml:space="preserve">考评</w:t>
      </w:r>
      <w:r>
        <w:rPr>
          <w:rFonts w:hint="eastAsia" w:ascii="宋体" w:hAnsi="宋体" w:eastAsia="宋体" w:cs="宋体"/>
          <w:b/>
          <w:bCs/>
          <w:color w:val="000000"/>
          <w:sz w:val="21"/>
          <w:szCs w:val="21"/>
          <w:highlight w:val="none"/>
          <w:lang w:val="en-US" w:eastAsia="zh-CN"/>
        </w:rPr>
        <w:t xml:space="preserve">单位（盖章）：</w:t>
      </w:r>
      <w:r>
        <w:rPr>
          <w:rFonts w:ascii="宋体" w:hAnsi="宋体" w:cs="宋体"/>
        </w:rPr>
      </w:r>
      <w:r/>
    </w:p>
    <w:p>
      <w:pPr>
        <w:pStyle w:val="863"/>
        <w:jc w:val="center"/>
        <w:rPr>
          <w:rFonts w:ascii="宋体" w:hAnsi="宋体" w:cs="宋体"/>
          <w:b/>
          <w:bCs/>
          <w:color w:val="000000"/>
          <w:sz w:val="44"/>
          <w:szCs w:val="44"/>
          <w:highlight w:val="none"/>
        </w:rPr>
        <w:outlineLvl w:val="9"/>
      </w:pPr>
      <w:r>
        <w:rPr>
          <w:rFonts w:ascii="宋体" w:hAnsi="宋体" w:cs="宋体"/>
          <w:color w:val="000000"/>
          <w:highlight w:val="none"/>
          <w:lang w:val="en-US" w:eastAsia="zh-CN"/>
        </w:rPr>
        <w:br w:type="page" w:clear="all"/>
      </w:r>
      <w:r>
        <w:rPr>
          <w:rFonts w:hint="eastAsia" w:ascii="宋体" w:hAnsi="宋体" w:eastAsia="宋体" w:cs="宋体"/>
          <w:b/>
          <w:bCs/>
          <w:color w:val="000000"/>
          <w:sz w:val="44"/>
          <w:szCs w:val="44"/>
          <w:highlight w:val="none"/>
        </w:rPr>
        <w:t xml:space="preserve">第六章</w:t>
      </w:r>
      <w:r>
        <w:rPr>
          <w:rFonts w:ascii="宋体" w:hAnsi="宋体" w:cs="宋体"/>
          <w:b/>
          <w:bCs/>
          <w:color w:val="000000"/>
          <w:sz w:val="44"/>
          <w:szCs w:val="44"/>
          <w:highlight w:val="none"/>
        </w:rPr>
        <w:t xml:space="preserve"> </w:t>
      </w:r>
      <w:bookmarkStart w:id="51" w:name="评标方法及评分要点"/>
      <w:r>
        <w:rPr>
          <w:rFonts w:hint="eastAsia" w:ascii="宋体" w:hAnsi="宋体" w:eastAsia="宋体" w:cs="宋体"/>
          <w:b/>
          <w:bCs/>
          <w:color w:val="000000"/>
          <w:sz w:val="44"/>
          <w:szCs w:val="44"/>
          <w:highlight w:val="none"/>
        </w:rPr>
        <w:t xml:space="preserve">评标方法及评分要点</w:t>
      </w:r>
      <w:bookmarkEnd w:id="49"/>
      <w:r>
        <w:rPr>
          <w:rFonts w:ascii="宋体" w:hAnsi="宋体" w:cs="宋体"/>
        </w:rPr>
      </w:r>
      <w:bookmarkEnd w:id="50"/>
      <w:r>
        <w:rPr>
          <w:rFonts w:ascii="宋体" w:hAnsi="宋体" w:cs="宋体"/>
        </w:rPr>
      </w:r>
      <w:bookmarkEnd w:id="51"/>
      <w:r>
        <w:rPr>
          <w:rFonts w:ascii="宋体" w:hAnsi="宋体" w:cs="宋体"/>
        </w:rPr>
      </w:r>
      <w:r/>
    </w:p>
    <w:p>
      <w:pPr>
        <w:pStyle w:val="863"/>
        <w:keepLines w:val="0"/>
        <w:keepNext w:val="0"/>
        <w:pageBreakBefore w:val="0"/>
        <w:spacing w:line="440" w:lineRule="exact"/>
        <w:widowControl w:val="off"/>
        <w:rPr>
          <w:rFonts w:hint="eastAsia" w:ascii="宋体" w:hAnsi="宋体" w:cs="宋体"/>
          <w:b/>
          <w:bCs/>
          <w:color w:val="000000"/>
          <w:sz w:val="21"/>
          <w:szCs w:val="21"/>
          <w:highlight w:val="none"/>
        </w:rPr>
        <w:outlineLvl w:val="1"/>
      </w:pPr>
      <w:r>
        <w:rPr>
          <w:rFonts w:ascii="宋体" w:hAnsi="宋体" w:cs="宋体"/>
          <w:b/>
          <w:bCs/>
          <w:color w:val="000000"/>
          <w:sz w:val="21"/>
          <w:szCs w:val="21"/>
          <w:highlight w:val="none"/>
        </w:rPr>
        <w:t xml:space="preserve">         </w:t>
      </w:r>
      <w:r>
        <w:rPr>
          <w:rFonts w:hint="eastAsia" w:ascii="宋体" w:hAnsi="宋体" w:eastAsia="宋体" w:cs="宋体"/>
          <w:b/>
          <w:bCs/>
          <w:color w:val="000000"/>
          <w:sz w:val="21"/>
          <w:szCs w:val="21"/>
          <w:highlight w:val="none"/>
        </w:rPr>
        <w:t xml:space="preserve">                               一、评标办法</w:t>
      </w:r>
      <w:r>
        <w:rPr>
          <w:rFonts w:ascii="宋体" w:hAnsi="宋体" w:cs="宋体"/>
        </w:rPr>
      </w:r>
      <w:r/>
    </w:p>
    <w:p>
      <w:pPr>
        <w:pStyle w:val="863"/>
        <w:numPr>
          <w:ilvl w:val="0"/>
          <w:numId w:val="6"/>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本次招标评标采用为综合评分法，即在满足招标文件实质性要求前提下，按照招标文件中规定的评分标准和各项因素进行综合评审后，以评标总得分最高的投标人作为中标候选人。</w:t>
      </w:r>
      <w:r>
        <w:rPr>
          <w:rFonts w:ascii="宋体" w:hAnsi="宋体" w:cs="宋体"/>
        </w:rPr>
      </w:r>
      <w:r/>
    </w:p>
    <w:p>
      <w:pPr>
        <w:pStyle w:val="863"/>
        <w:numPr>
          <w:ilvl w:val="0"/>
          <w:numId w:val="6"/>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评标委员会各成员独立对每个进入打分程序的有效投标人的投标报价、技术文件及资格证明文件三部分内容按百分制打分（计算结果均四舍五入保留两位小数），资格证明文件包括财务状况、信誉、业绩、服务、对招标文件的响应程度。</w:t>
      </w:r>
      <w:r>
        <w:rPr>
          <w:rFonts w:ascii="宋体" w:hAnsi="宋体" w:cs="宋体"/>
        </w:rPr>
      </w:r>
      <w:r/>
    </w:p>
    <w:p>
      <w:pPr>
        <w:pStyle w:val="863"/>
        <w:numPr>
          <w:ilvl w:val="0"/>
          <w:numId w:val="6"/>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如出现评标总得分最高的投标人有两个或两个以上的，以实际投标报价较低者优先作为中标候选人，如果实际投标报价也相同的，则由招标采购单位以抽签方式确定中标候选人。</w:t>
      </w:r>
      <w:r>
        <w:rPr>
          <w:rFonts w:ascii="宋体" w:hAnsi="宋体" w:cs="宋体"/>
        </w:rPr>
      </w:r>
      <w:r/>
    </w:p>
    <w:p>
      <w:pPr>
        <w:pStyle w:val="863"/>
        <w:jc w:val="center"/>
        <w:keepLines w:val="0"/>
        <w:keepNext w:val="0"/>
        <w:pageBreakBefore w:val="0"/>
        <w:spacing w:line="440" w:lineRule="exact"/>
        <w:widowControl w:val="off"/>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二、</w:t>
      </w:r>
      <w:r>
        <w:rPr>
          <w:rFonts w:hint="eastAsia" w:ascii="宋体" w:hAnsi="宋体" w:eastAsia="宋体" w:cs="宋体"/>
          <w:b/>
          <w:bCs/>
          <w:color w:val="000000"/>
          <w:sz w:val="21"/>
          <w:szCs w:val="21"/>
          <w:highlight w:val="none"/>
        </w:rPr>
        <w:t xml:space="preserve">综合</w:t>
      </w:r>
      <w:r>
        <w:rPr>
          <w:rFonts w:hint="eastAsia" w:ascii="宋体" w:hAnsi="宋体" w:eastAsia="宋体" w:cs="宋体"/>
          <w:b/>
          <w:bCs/>
          <w:color w:val="000000"/>
          <w:sz w:val="21"/>
          <w:szCs w:val="21"/>
          <w:highlight w:val="none"/>
        </w:rPr>
        <w:t xml:space="preserve">评分标准</w:t>
      </w:r>
      <w:r>
        <w:rPr>
          <w:rFonts w:ascii="宋体" w:hAnsi="宋体" w:cs="宋体"/>
        </w:rPr>
      </w:r>
      <w:r/>
    </w:p>
    <w:p>
      <w:pPr>
        <w:pStyle w:val="863"/>
        <w:numPr>
          <w:ilvl w:val="0"/>
          <w:numId w:val="7"/>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本次招标的评标方法采用综合评估方法，并以评分方法进行评估，总分值为100分，评审因素及各比重如下：价格分值占总分值的比重为</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%（权重），技术与质量及其它占</w:t>
      </w:r>
      <w:r>
        <w:rPr>
          <w:rFonts w:hint="eastAsia" w:ascii="宋体" w:hAnsi="宋体" w:eastAsia="宋体" w:cs="宋体"/>
          <w:color w:val="000000"/>
          <w:sz w:val="21"/>
          <w:szCs w:val="21"/>
          <w:highlight w:val="none"/>
          <w:lang w:val="en-US" w:eastAsia="zh-CN"/>
        </w:rPr>
        <w:t xml:space="preserve">90</w:t>
      </w:r>
      <w:r>
        <w:rPr>
          <w:rFonts w:hint="eastAsia" w:ascii="宋体" w:hAnsi="宋体" w:eastAsia="宋体" w:cs="宋体"/>
          <w:color w:val="000000"/>
          <w:sz w:val="21"/>
          <w:szCs w:val="21"/>
          <w:highlight w:val="none"/>
        </w:rPr>
        <w:t xml:space="preserve">%（权重）。</w:t>
      </w:r>
      <w:r>
        <w:rPr>
          <w:rFonts w:ascii="宋体" w:hAnsi="宋体" w:cs="宋体"/>
        </w:rPr>
      </w:r>
      <w:r/>
    </w:p>
    <w:p>
      <w:pPr>
        <w:pStyle w:val="863"/>
        <w:keepLines w:val="0"/>
        <w:keepNext w:val="0"/>
        <w:pageBreakBefore w:val="0"/>
        <w:spacing w:line="440" w:lineRule="exact"/>
        <w:widowControl w:val="off"/>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（一）报价得分（</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分）</w:t>
      </w:r>
      <w:r>
        <w:rPr>
          <w:rFonts w:ascii="宋体" w:hAnsi="宋体" w:cs="宋体"/>
        </w:rPr>
      </w:r>
      <w:r/>
    </w:p>
    <w:p>
      <w:pPr>
        <w:pStyle w:val="863"/>
        <w:numPr>
          <w:ilvl w:val="0"/>
          <w:numId w:val="8"/>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投标报价低于或等于采购预算价格（或最高限价）的，为有效投标报价。超采购预算（或最高限价）的投标报价为无效投标报价。无效投标报价的投标文件不进行评审，也不得</w:t>
      </w:r>
      <w:r>
        <w:rPr>
          <w:rFonts w:hint="eastAsia" w:ascii="宋体" w:hAnsi="宋体" w:eastAsia="宋体" w:cs="宋体"/>
          <w:color w:val="000000"/>
          <w:sz w:val="21"/>
          <w:szCs w:val="21"/>
          <w:highlight w:val="none"/>
          <w:lang w:eastAsia="zh-CN"/>
        </w:rPr>
        <w:t xml:space="preserve">中</w:t>
      </w:r>
      <w:r>
        <w:rPr>
          <w:rFonts w:hint="eastAsia" w:ascii="宋体" w:hAnsi="宋体" w:eastAsia="宋体" w:cs="宋体"/>
          <w:color w:val="000000"/>
          <w:sz w:val="21"/>
          <w:szCs w:val="21"/>
          <w:highlight w:val="none"/>
        </w:rPr>
        <w:t xml:space="preserve">标。</w:t>
      </w:r>
      <w:r>
        <w:rPr>
          <w:rFonts w:ascii="宋体" w:hAnsi="宋体" w:cs="宋体"/>
        </w:rPr>
      </w:r>
      <w:r/>
    </w:p>
    <w:p>
      <w:pPr>
        <w:pStyle w:val="863"/>
        <w:numPr>
          <w:ilvl w:val="0"/>
          <w:numId w:val="8"/>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价格得分计算方法：根据各投标人通过符合性审查的有效投标报价中的最低价作为评标基准价（如投标单位为小型和微型企业的，其价格给予20%的扣除，用扣除后的价格参与评审，如扣除后的价格为最低价的，则作为评标基准价，中标金额则以实际报价为准。其他投标单位的价格分按照下列公式计算（计算结果四舍五入保留两位小数）：</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投标报价得分=（评标基准价/投标报价）×价格权值×100，小数点后保留两位。</w:t>
      </w:r>
      <w:r>
        <w:rPr>
          <w:rFonts w:ascii="宋体" w:hAnsi="宋体" w:cs="宋体"/>
        </w:rPr>
      </w:r>
      <w:r/>
    </w:p>
    <w:p>
      <w:pPr>
        <w:pStyle w:val="863"/>
        <w:jc w:val="both"/>
        <w:keepLines w:val="0"/>
        <w:keepNext w:val="0"/>
        <w:pageBreakBefore w:val="0"/>
        <w:spacing w:line="440" w:lineRule="exact"/>
        <w:shd w:val="clear" w:color="auto" w:fill="auto"/>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（二）服务方案（60分）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1.项目需求分析和整体技术方案（12分）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
          <w:bCs w:val="0"/>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依据投标文件中本项目需求分析、整体技术方案，重点评审系统架构</w:t>
      </w:r>
      <w:r>
        <w:rPr>
          <w:rFonts w:hint="eastAsia" w:ascii="宋体" w:hAnsi="宋体" w:eastAsia="宋体" w:cs="宋体"/>
          <w:bCs/>
          <w:color w:val="000000"/>
          <w:sz w:val="21"/>
          <w:szCs w:val="21"/>
          <w:highlight w:val="none"/>
          <w:lang w:val="en-US" w:eastAsia="zh-CN"/>
        </w:rPr>
        <w:t xml:space="preserve">设计、服务内容规划的合理性与详尽程度。对本项目监管业务痛点识别完整透彻，整体架构科学先进，技术路线合理，实施路径清晰完整，全部覆盖招标文件全部业务要求，方案详实可直接落地的得12分；充分理解项目需求，系统架构、服务规划、实施思路科学合理，方案完善，适用性强，覆盖绝大多数业务要求，仅少量细节待细化的得9分；理解项目主要需求，方案较科学合理，功能全面较完善，能够满足招标核心要求，部分实施环节描述简略的得6分；对项目需求有基本理解，方案框架基本完整，仅能基本满足招标要求，缺少关键实施细节的得3分；未提供的不得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2.“明厨亮灶”部署和维护服务方案（12分）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评审</w:t>
      </w:r>
      <w:r>
        <w:rPr>
          <w:rFonts w:hint="eastAsia" w:ascii="宋体" w:hAnsi="宋体" w:eastAsia="宋体" w:cs="宋体"/>
          <w:bCs/>
          <w:color w:val="000000"/>
          <w:sz w:val="21"/>
          <w:szCs w:val="21"/>
          <w:highlight w:val="none"/>
          <w:lang w:val="en-US" w:eastAsia="zh-CN"/>
        </w:rPr>
        <w:t xml:space="preserve">投标</w:t>
      </w:r>
      <w:r>
        <w:rPr>
          <w:rFonts w:hint="eastAsia" w:ascii="宋体" w:hAnsi="宋体" w:eastAsia="宋体" w:cs="宋体"/>
          <w:bCs/>
          <w:color w:val="000000"/>
          <w:sz w:val="21"/>
          <w:szCs w:val="21"/>
          <w:highlight w:val="none"/>
          <w:lang w:val="en-US" w:eastAsia="zh-CN"/>
        </w:rPr>
        <w:t xml:space="preserve">单位针对本项目编制的现场部署、运维保障整体方案。方案体系完整，勘察流程、点位布设原则、设备部署、巡检维护、故障处置</w:t>
      </w:r>
      <w:r>
        <w:rPr>
          <w:rFonts w:hint="eastAsia" w:ascii="宋体" w:hAnsi="宋体" w:eastAsia="宋体" w:cs="宋体"/>
          <w:bCs/>
          <w:color w:val="000000"/>
          <w:sz w:val="21"/>
          <w:szCs w:val="21"/>
          <w:highlight w:val="none"/>
          <w:lang w:val="en-US" w:eastAsia="zh-CN"/>
        </w:rPr>
        <w:t xml:space="preserve">等</w:t>
      </w:r>
      <w:r>
        <w:rPr>
          <w:rFonts w:hint="eastAsia" w:ascii="宋体" w:hAnsi="宋体" w:eastAsia="宋体" w:cs="宋体"/>
          <w:bCs/>
          <w:color w:val="000000"/>
          <w:sz w:val="21"/>
          <w:szCs w:val="21"/>
          <w:highlight w:val="none"/>
          <w:lang w:val="en-US" w:eastAsia="zh-CN"/>
        </w:rPr>
        <w:t xml:space="preserve">全流程措施完整具体，针对性极强，完全匹配项目全部建设运维要点，可直接落地实施</w:t>
      </w:r>
      <w:r>
        <w:rPr>
          <w:rFonts w:hint="eastAsia" w:ascii="宋体" w:hAnsi="宋体" w:eastAsia="宋体" w:cs="宋体"/>
          <w:bCs/>
          <w:color w:val="000000"/>
          <w:sz w:val="21"/>
          <w:szCs w:val="21"/>
          <w:highlight w:val="none"/>
          <w:lang w:val="en-US" w:eastAsia="zh-CN"/>
        </w:rPr>
        <w:t xml:space="preserve">的得12分；</w:t>
      </w:r>
      <w:r>
        <w:rPr>
          <w:rFonts w:hint="eastAsia" w:ascii="宋体" w:hAnsi="宋体" w:eastAsia="宋体" w:cs="宋体"/>
          <w:bCs/>
          <w:color w:val="000000"/>
          <w:sz w:val="21"/>
          <w:szCs w:val="21"/>
          <w:highlight w:val="none"/>
          <w:lang w:val="en-US" w:eastAsia="zh-CN"/>
        </w:rPr>
        <w:t xml:space="preserve">部署及运维方案专业性、合理性突出，各主要工作环节均有明确举措，满足项目建设运维全部要点，个别辅助环节描述不够细致</w:t>
      </w:r>
      <w:r>
        <w:rPr>
          <w:rFonts w:hint="eastAsia" w:ascii="宋体" w:hAnsi="宋体" w:eastAsia="宋体" w:cs="宋体"/>
          <w:bCs/>
          <w:color w:val="000000"/>
          <w:sz w:val="21"/>
          <w:szCs w:val="21"/>
          <w:highlight w:val="none"/>
          <w:lang w:val="en-US" w:eastAsia="zh-CN"/>
        </w:rPr>
        <w:t xml:space="preserve">的得9分；</w:t>
      </w:r>
      <w:r>
        <w:rPr>
          <w:rFonts w:hint="eastAsia" w:ascii="宋体" w:hAnsi="宋体" w:eastAsia="宋体" w:cs="宋体"/>
          <w:bCs/>
          <w:color w:val="000000"/>
          <w:sz w:val="21"/>
          <w:szCs w:val="21"/>
          <w:highlight w:val="none"/>
          <w:lang w:val="en-US" w:eastAsia="zh-CN"/>
        </w:rPr>
        <w:t xml:space="preserve">对项目部署运维内容理解较好，方案较科学合理，功能全面且较完善，满足招标要求，部分流程缺少细化管控手段</w:t>
      </w:r>
      <w:r>
        <w:rPr>
          <w:rFonts w:hint="eastAsia" w:ascii="宋体" w:hAnsi="宋体" w:eastAsia="宋体" w:cs="宋体"/>
          <w:bCs/>
          <w:color w:val="000000"/>
          <w:sz w:val="21"/>
          <w:szCs w:val="21"/>
          <w:highlight w:val="none"/>
          <w:lang w:val="en-US" w:eastAsia="zh-CN"/>
        </w:rPr>
        <w:t xml:space="preserve">的得6分；</w:t>
      </w:r>
      <w:r>
        <w:rPr>
          <w:rFonts w:hint="eastAsia" w:ascii="宋体" w:hAnsi="宋体" w:eastAsia="宋体" w:cs="宋体"/>
          <w:bCs/>
          <w:color w:val="000000"/>
          <w:sz w:val="21"/>
          <w:szCs w:val="21"/>
          <w:highlight w:val="none"/>
          <w:lang w:val="en-US" w:eastAsia="zh-CN"/>
        </w:rPr>
        <w:t xml:space="preserve">对项目部署运维理解基本到位，方案框架基本合理，仅可基本满足招标要求，关键实施环节内容简略</w:t>
      </w:r>
      <w:r>
        <w:rPr>
          <w:rFonts w:hint="eastAsia" w:ascii="宋体" w:hAnsi="宋体" w:eastAsia="宋体" w:cs="宋体"/>
          <w:bCs/>
          <w:color w:val="000000"/>
          <w:sz w:val="21"/>
          <w:szCs w:val="21"/>
          <w:highlight w:val="none"/>
          <w:lang w:val="en-US" w:eastAsia="zh-CN"/>
        </w:rPr>
        <w:t xml:space="preserve">的得3分；</w:t>
      </w:r>
      <w:r>
        <w:rPr>
          <w:rFonts w:hint="eastAsia" w:ascii="宋体" w:hAnsi="宋体" w:eastAsia="宋体" w:cs="宋体"/>
          <w:bCs/>
          <w:color w:val="000000"/>
          <w:sz w:val="21"/>
          <w:szCs w:val="21"/>
          <w:highlight w:val="none"/>
          <w:lang w:val="en-US" w:eastAsia="zh-CN"/>
        </w:rPr>
        <w:t xml:space="preserve">未提供的不得分。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3.平台技术方案和运维服务方案（10分）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评审</w:t>
      </w:r>
      <w:r>
        <w:rPr>
          <w:rFonts w:hint="eastAsia" w:ascii="宋体" w:hAnsi="宋体" w:eastAsia="宋体" w:cs="宋体"/>
          <w:bCs/>
          <w:color w:val="000000"/>
          <w:sz w:val="21"/>
          <w:szCs w:val="21"/>
          <w:highlight w:val="none"/>
          <w:lang w:val="en-US" w:eastAsia="zh-CN"/>
        </w:rPr>
        <w:t xml:space="preserve">投标</w:t>
      </w:r>
      <w:r>
        <w:rPr>
          <w:rFonts w:hint="eastAsia" w:ascii="宋体" w:hAnsi="宋体" w:eastAsia="宋体" w:cs="宋体"/>
          <w:bCs/>
          <w:color w:val="000000"/>
          <w:sz w:val="21"/>
          <w:szCs w:val="21"/>
          <w:highlight w:val="none"/>
          <w:lang w:val="en-US" w:eastAsia="zh-CN"/>
        </w:rPr>
        <w:t xml:space="preserve">单位提交的平台功能设计、服务期内平台运维、平台技术优化等相关方案。</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平台适配、运维保障、技术优化方案考虑周全，故障预警、补丁升级、功能迭代、技术支持</w:t>
      </w:r>
      <w:r>
        <w:rPr>
          <w:rFonts w:hint="eastAsia" w:ascii="宋体" w:hAnsi="宋体" w:eastAsia="宋体" w:cs="宋体"/>
          <w:bCs/>
          <w:color w:val="000000"/>
          <w:sz w:val="21"/>
          <w:szCs w:val="21"/>
          <w:highlight w:val="none"/>
          <w:lang w:val="en-US" w:eastAsia="zh-CN"/>
        </w:rPr>
        <w:t xml:space="preserve">等</w:t>
      </w:r>
      <w:r>
        <w:rPr>
          <w:rFonts w:hint="eastAsia" w:ascii="宋体" w:hAnsi="宋体" w:eastAsia="宋体" w:cs="宋体"/>
          <w:bCs/>
          <w:color w:val="000000"/>
          <w:sz w:val="21"/>
          <w:szCs w:val="21"/>
          <w:highlight w:val="none"/>
          <w:lang w:val="en-US" w:eastAsia="zh-CN"/>
        </w:rPr>
        <w:t xml:space="preserve">各项措施具体、技术路线先进可行，完全适配本项目业务</w:t>
      </w:r>
      <w:r>
        <w:rPr>
          <w:rFonts w:hint="eastAsia" w:ascii="宋体" w:hAnsi="宋体" w:eastAsia="宋体" w:cs="宋体"/>
          <w:bCs/>
          <w:color w:val="000000"/>
          <w:sz w:val="21"/>
          <w:szCs w:val="21"/>
          <w:highlight w:val="none"/>
          <w:lang w:val="en-US" w:eastAsia="zh-CN"/>
        </w:rPr>
        <w:t xml:space="preserve">的得10分；</w:t>
      </w:r>
      <w:r>
        <w:rPr>
          <w:rFonts w:hint="eastAsia" w:ascii="宋体" w:hAnsi="宋体" w:eastAsia="宋体" w:cs="宋体"/>
          <w:bCs/>
          <w:color w:val="000000"/>
          <w:sz w:val="21"/>
          <w:szCs w:val="21"/>
          <w:highlight w:val="none"/>
          <w:lang w:val="en-US" w:eastAsia="zh-CN"/>
        </w:rPr>
        <w:t xml:space="preserve">平台功能、运维及优化方案准确，专业性和合理性突出，覆盖全部核心运维要求，个别辅助优化举措不够具体</w:t>
      </w:r>
      <w:r>
        <w:rPr>
          <w:rFonts w:hint="eastAsia" w:ascii="宋体" w:hAnsi="宋体" w:eastAsia="宋体" w:cs="宋体"/>
          <w:bCs/>
          <w:color w:val="000000"/>
          <w:sz w:val="21"/>
          <w:szCs w:val="21"/>
          <w:highlight w:val="none"/>
          <w:lang w:val="en-US" w:eastAsia="zh-CN"/>
        </w:rPr>
        <w:t xml:space="preserve">的得7分；</w:t>
      </w:r>
      <w:r>
        <w:rPr>
          <w:rFonts w:hint="eastAsia" w:ascii="宋体" w:hAnsi="宋体" w:eastAsia="宋体" w:cs="宋体"/>
          <w:bCs/>
          <w:color w:val="000000"/>
          <w:sz w:val="21"/>
          <w:szCs w:val="21"/>
          <w:highlight w:val="none"/>
          <w:lang w:val="en-US" w:eastAsia="zh-CN"/>
        </w:rPr>
        <w:t xml:space="preserve">对项目平台运维要求理解较好，方案较科学合理，功能全面且较完善，满足招标要求，部分运维管控细节缺失</w:t>
      </w:r>
      <w:r>
        <w:rPr>
          <w:rFonts w:hint="eastAsia" w:ascii="宋体" w:hAnsi="宋体" w:eastAsia="宋体" w:cs="宋体"/>
          <w:bCs/>
          <w:color w:val="000000"/>
          <w:sz w:val="21"/>
          <w:szCs w:val="21"/>
          <w:highlight w:val="none"/>
          <w:lang w:val="en-US" w:eastAsia="zh-CN"/>
        </w:rPr>
        <w:t xml:space="preserve">的得4分；</w:t>
      </w:r>
      <w:r>
        <w:rPr>
          <w:rFonts w:hint="eastAsia" w:ascii="宋体" w:hAnsi="宋体" w:eastAsia="宋体" w:cs="宋体"/>
          <w:bCs/>
          <w:color w:val="000000"/>
          <w:sz w:val="21"/>
          <w:szCs w:val="21"/>
          <w:highlight w:val="none"/>
          <w:lang w:val="en-US" w:eastAsia="zh-CN"/>
        </w:rPr>
        <w:t xml:space="preserve">对项目平台运维要求理解基本到位，方案基本合理，仅能基本满足招标要求，多项运维措施笼统</w:t>
      </w:r>
      <w:r>
        <w:rPr>
          <w:rFonts w:hint="eastAsia" w:ascii="宋体" w:hAnsi="宋体" w:eastAsia="宋体" w:cs="宋体"/>
          <w:bCs/>
          <w:color w:val="000000"/>
          <w:sz w:val="21"/>
          <w:szCs w:val="21"/>
          <w:highlight w:val="none"/>
          <w:lang w:val="en-US" w:eastAsia="zh-CN"/>
        </w:rPr>
        <w:t xml:space="preserve">的得1分；</w:t>
      </w:r>
      <w:r>
        <w:rPr>
          <w:rFonts w:hint="eastAsia" w:ascii="宋体" w:hAnsi="宋体" w:eastAsia="宋体" w:cs="宋体"/>
          <w:bCs/>
          <w:color w:val="000000"/>
          <w:sz w:val="21"/>
          <w:szCs w:val="21"/>
          <w:highlight w:val="none"/>
          <w:lang w:val="en-US" w:eastAsia="zh-CN"/>
        </w:rPr>
        <w:t xml:space="preserve">未提供的不得分。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4.数据安全方案（10分）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评审</w:t>
      </w:r>
      <w:r>
        <w:rPr>
          <w:rFonts w:hint="eastAsia" w:ascii="宋体" w:hAnsi="宋体" w:eastAsia="宋体" w:cs="宋体"/>
          <w:bCs/>
          <w:color w:val="000000"/>
          <w:sz w:val="21"/>
          <w:szCs w:val="21"/>
          <w:highlight w:val="none"/>
          <w:lang w:val="en-US" w:eastAsia="zh-CN"/>
        </w:rPr>
        <w:t xml:space="preserve">投标</w:t>
      </w:r>
      <w:r>
        <w:rPr>
          <w:rFonts w:hint="eastAsia" w:ascii="宋体" w:hAnsi="宋体" w:eastAsia="宋体" w:cs="宋体"/>
          <w:bCs/>
          <w:color w:val="000000"/>
          <w:sz w:val="21"/>
          <w:szCs w:val="21"/>
          <w:highlight w:val="none"/>
          <w:lang w:val="en-US" w:eastAsia="zh-CN"/>
        </w:rPr>
        <w:t xml:space="preserve">单位的数据处理技术方案，包含数据处理、数据可视化、数据共享、数据质量分析、数据安全管控等内容。方案闭环完整，覆盖数据全生命周期，包含数据处理、数据可视化、数据共享、数据质量分析、数据安全管控全套具体技术管控措施，深度贴合项目监管业务及保密要求</w:t>
      </w:r>
      <w:r>
        <w:rPr>
          <w:rFonts w:hint="eastAsia" w:ascii="宋体" w:hAnsi="宋体" w:eastAsia="宋体" w:cs="宋体"/>
          <w:bCs/>
          <w:color w:val="000000"/>
          <w:sz w:val="21"/>
          <w:szCs w:val="21"/>
          <w:highlight w:val="none"/>
          <w:lang w:val="en-US" w:eastAsia="zh-CN"/>
        </w:rPr>
        <w:t xml:space="preserve">的得10分；</w:t>
      </w:r>
      <w:r>
        <w:rPr>
          <w:rFonts w:hint="eastAsia" w:ascii="宋体" w:hAnsi="宋体" w:eastAsia="宋体" w:cs="宋体"/>
          <w:bCs/>
          <w:color w:val="000000"/>
          <w:sz w:val="21"/>
          <w:szCs w:val="21"/>
          <w:highlight w:val="none"/>
          <w:lang w:val="en-US" w:eastAsia="zh-CN"/>
        </w:rPr>
        <w:t xml:space="preserve">方案全面合理、可操作性强，贴合用户需求，覆盖主要数据安全及处理模块，仅个别环节缺少具体落地手段</w:t>
      </w:r>
      <w:r>
        <w:rPr>
          <w:rFonts w:hint="eastAsia" w:ascii="宋体" w:hAnsi="宋体" w:eastAsia="宋体" w:cs="宋体"/>
          <w:bCs/>
          <w:color w:val="000000"/>
          <w:sz w:val="21"/>
          <w:szCs w:val="21"/>
          <w:highlight w:val="none"/>
          <w:lang w:val="en-US" w:eastAsia="zh-CN"/>
        </w:rPr>
        <w:t xml:space="preserve">的得7分；</w:t>
      </w:r>
      <w:r>
        <w:rPr>
          <w:rFonts w:hint="eastAsia" w:ascii="宋体" w:hAnsi="宋体" w:eastAsia="宋体" w:cs="宋体"/>
          <w:bCs/>
          <w:color w:val="000000"/>
          <w:sz w:val="21"/>
          <w:szCs w:val="21"/>
          <w:highlight w:val="none"/>
          <w:lang w:val="en-US" w:eastAsia="zh-CN"/>
        </w:rPr>
        <w:t xml:space="preserve">方案较为全面合理，可操作性较强，与项目需求贴合度较高，但部分安全管控措施笼统，缺少可落地技术手段</w:t>
      </w:r>
      <w:r>
        <w:rPr>
          <w:rFonts w:hint="eastAsia" w:ascii="宋体" w:hAnsi="宋体" w:eastAsia="宋体" w:cs="宋体"/>
          <w:bCs/>
          <w:color w:val="000000"/>
          <w:sz w:val="21"/>
          <w:szCs w:val="21"/>
          <w:highlight w:val="none"/>
          <w:lang w:val="en-US" w:eastAsia="zh-CN"/>
        </w:rPr>
        <w:t xml:space="preserve">的得4分；</w:t>
      </w:r>
      <w:r>
        <w:rPr>
          <w:rFonts w:hint="eastAsia" w:ascii="宋体" w:hAnsi="宋体" w:eastAsia="宋体" w:cs="宋体"/>
          <w:bCs/>
          <w:color w:val="000000"/>
          <w:sz w:val="21"/>
          <w:szCs w:val="21"/>
          <w:highlight w:val="none"/>
          <w:lang w:val="en-US" w:eastAsia="zh-CN"/>
        </w:rPr>
        <w:t xml:space="preserve">方案内容不全面，可操作性差，与项目需求贴合度差，大部分数据安全管控仅简单提及</w:t>
      </w:r>
      <w:r>
        <w:rPr>
          <w:rFonts w:hint="eastAsia" w:ascii="宋体" w:hAnsi="宋体" w:eastAsia="宋体" w:cs="宋体"/>
          <w:bCs/>
          <w:color w:val="000000"/>
          <w:sz w:val="21"/>
          <w:szCs w:val="21"/>
          <w:highlight w:val="none"/>
          <w:lang w:val="en-US" w:eastAsia="zh-CN"/>
        </w:rPr>
        <w:t xml:space="preserve">的得1分；</w:t>
      </w:r>
      <w:r>
        <w:rPr>
          <w:rFonts w:hint="eastAsia" w:ascii="宋体" w:hAnsi="宋体" w:eastAsia="宋体" w:cs="宋体"/>
          <w:bCs/>
          <w:color w:val="000000"/>
          <w:sz w:val="21"/>
          <w:szCs w:val="21"/>
          <w:highlight w:val="none"/>
          <w:lang w:val="en-US" w:eastAsia="zh-CN"/>
        </w:rPr>
        <w:t xml:space="preserve">未提供的不得分。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5.质量保证及应急保障方案（8分）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评审</w:t>
      </w:r>
      <w:r>
        <w:rPr>
          <w:rFonts w:hint="eastAsia" w:ascii="宋体" w:hAnsi="宋体" w:eastAsia="宋体" w:cs="宋体"/>
          <w:bCs/>
          <w:color w:val="000000"/>
          <w:sz w:val="21"/>
          <w:szCs w:val="21"/>
          <w:highlight w:val="none"/>
          <w:lang w:val="en-US" w:eastAsia="zh-CN"/>
        </w:rPr>
        <w:t xml:space="preserve">投标</w:t>
      </w:r>
      <w:r>
        <w:rPr>
          <w:rFonts w:hint="eastAsia" w:ascii="宋体" w:hAnsi="宋体" w:eastAsia="宋体" w:cs="宋体"/>
          <w:bCs/>
          <w:color w:val="000000"/>
          <w:sz w:val="21"/>
          <w:szCs w:val="21"/>
          <w:highlight w:val="none"/>
          <w:lang w:val="en-US" w:eastAsia="zh-CN"/>
        </w:rPr>
        <w:t xml:space="preserve">单位应急保障方案，包含临时、紧急任务应急处置措施、协调配合采购人处理问题措施、协调配合服务承诺、风险管理措施等内容。质量管控体系完备，风险识别全面，应急预案闭环完整，故障处置流程、重大活动保障机制清晰，各项措施针对性极强，实施便捷高效，完全响应招标文件全部应急保障要求</w:t>
      </w:r>
      <w:r>
        <w:rPr>
          <w:rFonts w:hint="eastAsia" w:ascii="宋体" w:hAnsi="宋体" w:eastAsia="宋体" w:cs="宋体"/>
          <w:bCs/>
          <w:color w:val="000000"/>
          <w:sz w:val="21"/>
          <w:szCs w:val="21"/>
          <w:highlight w:val="none"/>
          <w:lang w:val="en-US" w:eastAsia="zh-CN"/>
        </w:rPr>
        <w:t xml:space="preserve">的得8分；</w:t>
      </w:r>
      <w:r>
        <w:rPr>
          <w:rFonts w:hint="eastAsia" w:ascii="宋体" w:hAnsi="宋体" w:eastAsia="宋体" w:cs="宋体"/>
          <w:bCs/>
          <w:color w:val="000000"/>
          <w:sz w:val="21"/>
          <w:szCs w:val="21"/>
          <w:highlight w:val="none"/>
          <w:lang w:val="en-US" w:eastAsia="zh-CN"/>
        </w:rPr>
        <w:t xml:space="preserve">应急保障及质量管控内容全面完善、科学合理，针对性强，实施便捷，核心应急处置措施完整，少数风险场景未做细化</w:t>
      </w:r>
      <w:r>
        <w:rPr>
          <w:rFonts w:hint="eastAsia" w:ascii="宋体" w:hAnsi="宋体" w:eastAsia="宋体" w:cs="宋体"/>
          <w:bCs/>
          <w:color w:val="000000"/>
          <w:sz w:val="21"/>
          <w:szCs w:val="21"/>
          <w:highlight w:val="none"/>
          <w:lang w:val="en-US" w:eastAsia="zh-CN"/>
        </w:rPr>
        <w:t xml:space="preserve">的得6分；</w:t>
      </w:r>
      <w:r>
        <w:rPr>
          <w:rFonts w:hint="eastAsia" w:ascii="宋体" w:hAnsi="宋体" w:eastAsia="宋体" w:cs="宋体"/>
          <w:bCs/>
          <w:color w:val="000000"/>
          <w:sz w:val="21"/>
          <w:szCs w:val="21"/>
          <w:highlight w:val="none"/>
          <w:lang w:val="en-US" w:eastAsia="zh-CN"/>
        </w:rPr>
        <w:t xml:space="preserve">应急、质量保障内容全面完善、科学合理，但部分处置流程描述较为概括</w:t>
      </w:r>
      <w:r>
        <w:rPr>
          <w:rFonts w:hint="eastAsia" w:ascii="宋体" w:hAnsi="宋体" w:eastAsia="宋体" w:cs="宋体"/>
          <w:bCs/>
          <w:color w:val="000000"/>
          <w:sz w:val="21"/>
          <w:szCs w:val="21"/>
          <w:highlight w:val="none"/>
          <w:lang w:val="en-US" w:eastAsia="zh-CN"/>
        </w:rPr>
        <w:t xml:space="preserve">的得4分；</w:t>
      </w:r>
      <w:r>
        <w:rPr>
          <w:rFonts w:hint="eastAsia" w:ascii="宋体" w:hAnsi="宋体" w:eastAsia="宋体" w:cs="宋体"/>
          <w:bCs/>
          <w:color w:val="000000"/>
          <w:sz w:val="21"/>
          <w:szCs w:val="21"/>
          <w:highlight w:val="none"/>
          <w:lang w:val="en-US" w:eastAsia="zh-CN"/>
        </w:rPr>
        <w:t xml:space="preserve">仅涉及部分质量、应急保障内容，方案不够全面，关键处置流程缺失</w:t>
      </w:r>
      <w:r>
        <w:rPr>
          <w:rFonts w:hint="eastAsia" w:ascii="宋体" w:hAnsi="宋体" w:eastAsia="宋体" w:cs="宋体"/>
          <w:bCs/>
          <w:color w:val="000000"/>
          <w:sz w:val="21"/>
          <w:szCs w:val="21"/>
          <w:highlight w:val="none"/>
          <w:lang w:val="en-US" w:eastAsia="zh-CN"/>
        </w:rPr>
        <w:t xml:space="preserve">的得2分；</w:t>
      </w:r>
      <w:r>
        <w:rPr>
          <w:rFonts w:hint="eastAsia" w:ascii="宋体" w:hAnsi="宋体" w:eastAsia="宋体" w:cs="宋体"/>
          <w:bCs/>
          <w:color w:val="000000"/>
          <w:sz w:val="21"/>
          <w:szCs w:val="21"/>
          <w:highlight w:val="none"/>
          <w:lang w:val="en-US" w:eastAsia="zh-CN"/>
        </w:rPr>
        <w:t xml:space="preserve">未提供的不得分。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6.协调管理方案（8分）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评审项目实施、维保阶段，</w:t>
      </w:r>
      <w:r>
        <w:rPr>
          <w:rFonts w:hint="eastAsia" w:ascii="宋体" w:hAnsi="宋体" w:eastAsia="宋体" w:cs="宋体"/>
          <w:bCs/>
          <w:color w:val="000000"/>
          <w:sz w:val="21"/>
          <w:szCs w:val="21"/>
          <w:highlight w:val="none"/>
          <w:lang w:val="en-US" w:eastAsia="zh-CN"/>
        </w:rPr>
        <w:t xml:space="preserve">投标</w:t>
      </w:r>
      <w:r>
        <w:rPr>
          <w:rFonts w:hint="eastAsia" w:ascii="宋体" w:hAnsi="宋体" w:eastAsia="宋体" w:cs="宋体"/>
          <w:bCs/>
          <w:color w:val="000000"/>
          <w:sz w:val="21"/>
          <w:szCs w:val="21"/>
          <w:highlight w:val="none"/>
          <w:lang w:val="en-US" w:eastAsia="zh-CN"/>
        </w:rPr>
        <w:t xml:space="preserve">单位与各相关单位、职能部门之间综合协调管理方案。</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组织管理、内外沟通协调机制健全，问题闭环处置流程清晰完整，培训体系完整、培训计划、培训内容可直接落地，针对性强，可行性极高</w:t>
      </w:r>
      <w:r>
        <w:rPr>
          <w:rFonts w:hint="eastAsia" w:ascii="宋体" w:hAnsi="宋体" w:eastAsia="宋体" w:cs="宋体"/>
          <w:bCs/>
          <w:color w:val="000000"/>
          <w:sz w:val="21"/>
          <w:szCs w:val="21"/>
          <w:highlight w:val="none"/>
          <w:lang w:val="en-US" w:eastAsia="zh-CN"/>
        </w:rPr>
        <w:t xml:space="preserve">的得8分；</w:t>
      </w:r>
      <w:r>
        <w:rPr>
          <w:rFonts w:hint="eastAsia" w:ascii="宋体" w:hAnsi="宋体" w:eastAsia="宋体" w:cs="宋体"/>
          <w:bCs/>
          <w:color w:val="000000"/>
          <w:sz w:val="21"/>
          <w:szCs w:val="21"/>
          <w:highlight w:val="none"/>
          <w:lang w:val="en-US" w:eastAsia="zh-CN"/>
        </w:rPr>
        <w:t xml:space="preserve">综合协调管理方案科学合理，可行性高，培训体系完整，培训计划明确，个别沟通、培训细节有待细化</w:t>
      </w:r>
      <w:r>
        <w:rPr>
          <w:rFonts w:hint="eastAsia" w:ascii="宋体" w:hAnsi="宋体" w:eastAsia="宋体" w:cs="宋体"/>
          <w:bCs/>
          <w:color w:val="000000"/>
          <w:sz w:val="21"/>
          <w:szCs w:val="21"/>
          <w:highlight w:val="none"/>
          <w:lang w:val="en-US" w:eastAsia="zh-CN"/>
        </w:rPr>
        <w:t xml:space="preserve">的得6分；</w:t>
      </w:r>
      <w:r>
        <w:rPr>
          <w:rFonts w:hint="eastAsia" w:ascii="宋体" w:hAnsi="宋体" w:eastAsia="宋体" w:cs="宋体"/>
          <w:bCs/>
          <w:color w:val="000000"/>
          <w:sz w:val="21"/>
          <w:szCs w:val="21"/>
          <w:highlight w:val="none"/>
          <w:lang w:val="en-US" w:eastAsia="zh-CN"/>
        </w:rPr>
        <w:t xml:space="preserve">培训体系及培训方案内容基本完整，较为科学合理，具备一定的可行性，但协调管理机制描述较为笼统</w:t>
      </w:r>
      <w:r>
        <w:rPr>
          <w:rFonts w:hint="eastAsia" w:ascii="宋体" w:hAnsi="宋体" w:eastAsia="宋体" w:cs="宋体"/>
          <w:bCs/>
          <w:color w:val="000000"/>
          <w:sz w:val="21"/>
          <w:szCs w:val="21"/>
          <w:highlight w:val="none"/>
          <w:lang w:val="en-US" w:eastAsia="zh-CN"/>
        </w:rPr>
        <w:t xml:space="preserve">的得4分；</w:t>
      </w:r>
      <w:r>
        <w:rPr>
          <w:rFonts w:hint="eastAsia" w:ascii="宋体" w:hAnsi="宋体" w:eastAsia="宋体" w:cs="宋体"/>
          <w:bCs/>
          <w:color w:val="000000"/>
          <w:sz w:val="21"/>
          <w:szCs w:val="21"/>
          <w:highlight w:val="none"/>
          <w:lang w:val="en-US" w:eastAsia="zh-CN"/>
        </w:rPr>
        <w:t xml:space="preserve">协调管理内容简单，培训体系、培训方案内容简略，缺少实施计划</w:t>
      </w:r>
      <w:r>
        <w:rPr>
          <w:rFonts w:hint="eastAsia" w:ascii="宋体" w:hAnsi="宋体" w:eastAsia="宋体" w:cs="宋体"/>
          <w:bCs/>
          <w:color w:val="000000"/>
          <w:sz w:val="21"/>
          <w:szCs w:val="21"/>
          <w:highlight w:val="none"/>
          <w:lang w:val="en-US" w:eastAsia="zh-CN"/>
        </w:rPr>
        <w:t xml:space="preserve">的得2分；</w:t>
      </w:r>
      <w:r>
        <w:rPr>
          <w:rFonts w:hint="eastAsia" w:ascii="宋体" w:hAnsi="宋体" w:eastAsia="宋体" w:cs="宋体"/>
          <w:bCs/>
          <w:color w:val="000000"/>
          <w:sz w:val="21"/>
          <w:szCs w:val="21"/>
          <w:highlight w:val="none"/>
          <w:lang w:val="en-US" w:eastAsia="zh-CN"/>
        </w:rPr>
        <w:t xml:space="preserve">未提供的不得分。</w:t>
      </w:r>
      <w:r>
        <w:rPr>
          <w:rFonts w:ascii="宋体" w:hAnsi="宋体" w:cs="宋体"/>
        </w:rPr>
      </w:r>
      <w:r/>
    </w:p>
    <w:p>
      <w:pPr>
        <w:pStyle w:val="863"/>
        <w:jc w:val="both"/>
        <w:keepLines w:val="0"/>
        <w:keepNext w:val="0"/>
        <w:pageBreakBefore w:val="0"/>
        <w:spacing w:line="440" w:lineRule="exact"/>
        <w:shd w:val="clear" w:color="auto" w:fill="auto"/>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（三）人员配置（16分）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1.项目经理（6分）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（1）具备有效</w:t>
      </w:r>
      <w:r>
        <w:rPr>
          <w:rFonts w:hint="eastAsia" w:ascii="宋体" w:hAnsi="宋体" w:eastAsia="宋体" w:cs="宋体"/>
          <w:bCs/>
          <w:color w:val="000000"/>
          <w:sz w:val="21"/>
          <w:szCs w:val="21"/>
          <w:highlight w:val="none"/>
          <w:lang w:val="en-US" w:eastAsia="zh-CN"/>
        </w:rPr>
        <w:t xml:space="preserve">的</w:t>
      </w:r>
      <w:r>
        <w:rPr>
          <w:rFonts w:hint="eastAsia" w:ascii="宋体" w:hAnsi="宋体" w:eastAsia="宋体" w:cs="宋体"/>
          <w:bCs/>
          <w:color w:val="000000"/>
          <w:sz w:val="21"/>
          <w:szCs w:val="21"/>
          <w:highlight w:val="none"/>
          <w:lang w:val="en-US" w:eastAsia="zh-CN"/>
        </w:rPr>
        <w:t xml:space="preserve">智能化系统集成项目经理证书</w:t>
      </w:r>
      <w:r>
        <w:rPr>
          <w:rFonts w:hint="eastAsia" w:ascii="宋体" w:hAnsi="宋体" w:eastAsia="宋体" w:cs="宋体"/>
          <w:bCs/>
          <w:color w:val="000000"/>
          <w:sz w:val="21"/>
          <w:szCs w:val="21"/>
          <w:highlight w:val="none"/>
          <w:lang w:val="en-US" w:eastAsia="zh-CN"/>
        </w:rPr>
        <w:t xml:space="preserve">的</w:t>
      </w:r>
      <w:r>
        <w:rPr>
          <w:rFonts w:hint="eastAsia" w:ascii="宋体" w:hAnsi="宋体" w:eastAsia="宋体" w:cs="宋体"/>
          <w:bCs/>
          <w:color w:val="000000"/>
          <w:sz w:val="21"/>
          <w:szCs w:val="21"/>
          <w:highlight w:val="none"/>
          <w:lang w:val="en-US" w:eastAsia="zh-CN"/>
        </w:rPr>
        <w:t xml:space="preserve">得2分；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（2）具备CISP注册信息安全管理人员证书</w:t>
      </w:r>
      <w:r>
        <w:rPr>
          <w:rFonts w:hint="eastAsia" w:ascii="宋体" w:hAnsi="宋体" w:eastAsia="宋体" w:cs="宋体"/>
          <w:bCs/>
          <w:color w:val="000000"/>
          <w:sz w:val="21"/>
          <w:szCs w:val="21"/>
          <w:highlight w:val="none"/>
          <w:lang w:val="en-US" w:eastAsia="zh-CN"/>
        </w:rPr>
        <w:t xml:space="preserve">的</w:t>
      </w:r>
      <w:r>
        <w:rPr>
          <w:rFonts w:hint="eastAsia" w:ascii="宋体" w:hAnsi="宋体" w:eastAsia="宋体" w:cs="宋体"/>
          <w:bCs/>
          <w:color w:val="000000"/>
          <w:sz w:val="21"/>
          <w:szCs w:val="21"/>
          <w:highlight w:val="none"/>
          <w:lang w:val="en-US" w:eastAsia="zh-CN"/>
        </w:rPr>
        <w:t xml:space="preserve">得2分；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（3）具备有效</w:t>
      </w:r>
      <w:r>
        <w:rPr>
          <w:rFonts w:hint="eastAsia" w:ascii="宋体" w:hAnsi="宋体" w:eastAsia="宋体" w:cs="宋体"/>
          <w:bCs/>
          <w:color w:val="000000"/>
          <w:sz w:val="21"/>
          <w:szCs w:val="21"/>
          <w:highlight w:val="none"/>
          <w:lang w:val="en-US" w:eastAsia="zh-CN"/>
        </w:rPr>
        <w:t xml:space="preserve">的</w:t>
      </w:r>
      <w:r>
        <w:rPr>
          <w:rFonts w:hint="eastAsia" w:ascii="宋体" w:hAnsi="宋体" w:eastAsia="宋体" w:cs="宋体"/>
          <w:bCs/>
          <w:color w:val="000000"/>
          <w:sz w:val="21"/>
          <w:szCs w:val="21"/>
          <w:highlight w:val="none"/>
          <w:lang w:val="en-US" w:eastAsia="zh-CN"/>
        </w:rPr>
        <w:t xml:space="preserve">网络安全管理证书</w:t>
      </w:r>
      <w:r>
        <w:rPr>
          <w:rFonts w:hint="eastAsia" w:ascii="宋体" w:hAnsi="宋体" w:eastAsia="宋体" w:cs="宋体"/>
          <w:bCs/>
          <w:color w:val="000000"/>
          <w:sz w:val="21"/>
          <w:szCs w:val="21"/>
          <w:highlight w:val="none"/>
          <w:lang w:val="en-US" w:eastAsia="zh-CN"/>
        </w:rPr>
        <w:t xml:space="preserve">的</w:t>
      </w:r>
      <w:r>
        <w:rPr>
          <w:rFonts w:hint="eastAsia" w:ascii="宋体" w:hAnsi="宋体" w:eastAsia="宋体" w:cs="宋体"/>
          <w:bCs/>
          <w:color w:val="000000"/>
          <w:sz w:val="21"/>
          <w:szCs w:val="21"/>
          <w:highlight w:val="none"/>
          <w:lang w:val="en-US" w:eastAsia="zh-CN"/>
        </w:rPr>
        <w:t xml:space="preserve">得2分。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注：以上（1）</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t xml:space="preserve">（3）项，</w:t>
      </w:r>
      <w:r>
        <w:rPr>
          <w:rFonts w:hint="eastAsia" w:ascii="宋体" w:hAnsi="宋体" w:eastAsia="宋体" w:cs="宋体"/>
          <w:bCs/>
          <w:color w:val="000000"/>
          <w:sz w:val="21"/>
          <w:szCs w:val="21"/>
          <w:highlight w:val="none"/>
          <w:lang w:val="en-US" w:eastAsia="zh-CN"/>
        </w:rPr>
        <w:t xml:space="preserve">投标</w:t>
      </w:r>
      <w:r>
        <w:rPr>
          <w:rFonts w:hint="eastAsia" w:ascii="宋体" w:hAnsi="宋体" w:eastAsia="宋体" w:cs="宋体"/>
          <w:bCs/>
          <w:color w:val="000000"/>
          <w:sz w:val="21"/>
          <w:szCs w:val="21"/>
          <w:highlight w:val="none"/>
          <w:lang w:val="en-US" w:eastAsia="zh-CN"/>
        </w:rPr>
        <w:t xml:space="preserve">文件须提供人员有效证书复印件，同时提供社保部门出具的</w:t>
      </w:r>
      <w:r>
        <w:rPr>
          <w:rFonts w:hint="eastAsia" w:ascii="宋体" w:hAnsi="宋体" w:eastAsia="宋体" w:cs="宋体"/>
          <w:bCs/>
          <w:color w:val="000000"/>
          <w:sz w:val="21"/>
          <w:szCs w:val="21"/>
          <w:highlight w:val="none"/>
          <w:lang w:val="en-US" w:eastAsia="zh-CN"/>
        </w:rPr>
        <w:t xml:space="preserve">投标</w:t>
      </w:r>
      <w:r>
        <w:rPr>
          <w:rFonts w:hint="eastAsia" w:ascii="宋体" w:hAnsi="宋体" w:eastAsia="宋体" w:cs="宋体"/>
          <w:bCs/>
          <w:color w:val="000000"/>
          <w:sz w:val="21"/>
          <w:szCs w:val="21"/>
          <w:highlight w:val="none"/>
          <w:lang w:val="en-US" w:eastAsia="zh-CN"/>
        </w:rPr>
        <w:t xml:space="preserve">单位为该人员缴纳的最近一期社保证明复印件，全部材料加盖</w:t>
      </w:r>
      <w:r>
        <w:rPr>
          <w:rFonts w:hint="eastAsia" w:ascii="宋体" w:hAnsi="宋体" w:eastAsia="宋体" w:cs="宋体"/>
          <w:bCs/>
          <w:color w:val="000000"/>
          <w:sz w:val="21"/>
          <w:szCs w:val="21"/>
          <w:highlight w:val="none"/>
          <w:lang w:val="en-US" w:eastAsia="zh-CN"/>
        </w:rPr>
        <w:t xml:space="preserve">投标</w:t>
      </w:r>
      <w:r>
        <w:rPr>
          <w:rFonts w:hint="eastAsia" w:ascii="宋体" w:hAnsi="宋体" w:eastAsia="宋体" w:cs="宋体"/>
          <w:bCs/>
          <w:color w:val="000000"/>
          <w:sz w:val="21"/>
          <w:szCs w:val="21"/>
          <w:highlight w:val="none"/>
          <w:lang w:val="en-US" w:eastAsia="zh-CN"/>
        </w:rPr>
        <w:t xml:space="preserve">单位公章。材料缺失、证件不符或未按要求提供的，本项不得分。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2.项目技术负责人（除项目经理外）（6分）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（1）具备有效</w:t>
      </w:r>
      <w:r>
        <w:rPr>
          <w:rFonts w:hint="eastAsia" w:ascii="宋体" w:hAnsi="宋体" w:eastAsia="宋体" w:cs="宋体"/>
          <w:bCs/>
          <w:color w:val="000000"/>
          <w:sz w:val="21"/>
          <w:szCs w:val="21"/>
          <w:highlight w:val="none"/>
          <w:lang w:val="en-US" w:eastAsia="zh-CN"/>
        </w:rPr>
        <w:t xml:space="preserve">的信息技术服务标准（ITSS）认证</w:t>
      </w:r>
      <w:r>
        <w:rPr>
          <w:rFonts w:hint="eastAsia" w:ascii="宋体" w:hAnsi="宋体" w:eastAsia="宋体" w:cs="宋体"/>
          <w:bCs/>
          <w:color w:val="000000"/>
          <w:sz w:val="21"/>
          <w:szCs w:val="21"/>
          <w:highlight w:val="none"/>
          <w:lang w:val="en-US" w:eastAsia="zh-CN"/>
        </w:rPr>
        <w:t xml:space="preserve">证书</w:t>
      </w:r>
      <w:r>
        <w:rPr>
          <w:rFonts w:hint="eastAsia" w:ascii="宋体" w:hAnsi="宋体" w:eastAsia="宋体" w:cs="宋体"/>
          <w:bCs/>
          <w:color w:val="000000"/>
          <w:sz w:val="21"/>
          <w:szCs w:val="21"/>
          <w:highlight w:val="none"/>
          <w:lang w:val="en-US" w:eastAsia="zh-CN"/>
        </w:rPr>
        <w:t xml:space="preserve">的</w:t>
      </w:r>
      <w:r>
        <w:rPr>
          <w:rFonts w:hint="eastAsia" w:ascii="宋体" w:hAnsi="宋体" w:eastAsia="宋体" w:cs="宋体"/>
          <w:bCs/>
          <w:color w:val="000000"/>
          <w:sz w:val="21"/>
          <w:szCs w:val="21"/>
          <w:highlight w:val="none"/>
          <w:lang w:val="en-US" w:eastAsia="zh-CN"/>
        </w:rPr>
        <w:t xml:space="preserve">得2分；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（2）具备有效</w:t>
      </w:r>
      <w:r>
        <w:rPr>
          <w:rFonts w:hint="eastAsia" w:ascii="宋体" w:hAnsi="宋体" w:eastAsia="宋体" w:cs="宋体"/>
          <w:bCs/>
          <w:color w:val="000000"/>
          <w:sz w:val="21"/>
          <w:szCs w:val="21"/>
          <w:highlight w:val="none"/>
          <w:lang w:val="en-US" w:eastAsia="zh-CN"/>
        </w:rPr>
        <w:t xml:space="preserve">的</w:t>
      </w:r>
      <w:r>
        <w:rPr>
          <w:rFonts w:hint="eastAsia" w:ascii="宋体" w:hAnsi="宋体" w:eastAsia="宋体" w:cs="宋体"/>
          <w:bCs/>
          <w:color w:val="000000"/>
          <w:sz w:val="21"/>
          <w:szCs w:val="21"/>
          <w:highlight w:val="none"/>
          <w:lang w:val="en-US" w:eastAsia="zh-CN"/>
        </w:rPr>
        <w:t xml:space="preserve">网络信息安全管理员证书</w:t>
      </w:r>
      <w:r>
        <w:rPr>
          <w:rFonts w:hint="eastAsia" w:ascii="宋体" w:hAnsi="宋体" w:eastAsia="宋体" w:cs="宋体"/>
          <w:bCs/>
          <w:color w:val="000000"/>
          <w:sz w:val="21"/>
          <w:szCs w:val="21"/>
          <w:highlight w:val="none"/>
          <w:lang w:val="en-US" w:eastAsia="zh-CN"/>
        </w:rPr>
        <w:t xml:space="preserve">的</w:t>
      </w:r>
      <w:r>
        <w:rPr>
          <w:rFonts w:hint="eastAsia" w:ascii="宋体" w:hAnsi="宋体" w:eastAsia="宋体" w:cs="宋体"/>
          <w:bCs/>
          <w:color w:val="000000"/>
          <w:sz w:val="21"/>
          <w:szCs w:val="21"/>
          <w:highlight w:val="none"/>
          <w:lang w:val="en-US" w:eastAsia="zh-CN"/>
        </w:rPr>
        <w:t xml:space="preserve">得2分；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（3）具备有效</w:t>
      </w:r>
      <w:r>
        <w:rPr>
          <w:rFonts w:hint="eastAsia" w:ascii="宋体" w:hAnsi="宋体" w:eastAsia="宋体" w:cs="宋体"/>
          <w:bCs/>
          <w:color w:val="000000"/>
          <w:sz w:val="21"/>
          <w:szCs w:val="21"/>
          <w:highlight w:val="none"/>
          <w:lang w:val="en-US" w:eastAsia="zh-CN"/>
        </w:rPr>
        <w:t xml:space="preserve">的</w:t>
      </w:r>
      <w:r>
        <w:rPr>
          <w:rFonts w:hint="eastAsia" w:ascii="宋体" w:hAnsi="宋体" w:eastAsia="宋体" w:cs="宋体"/>
          <w:bCs/>
          <w:color w:val="000000"/>
          <w:sz w:val="21"/>
          <w:szCs w:val="21"/>
          <w:highlight w:val="none"/>
          <w:lang w:val="en-US" w:eastAsia="zh-CN"/>
        </w:rPr>
        <w:t xml:space="preserve">信息系统项目管理师证书</w:t>
      </w:r>
      <w:r>
        <w:rPr>
          <w:rFonts w:hint="eastAsia" w:ascii="宋体" w:hAnsi="宋体" w:eastAsia="宋体" w:cs="宋体"/>
          <w:bCs/>
          <w:color w:val="000000"/>
          <w:sz w:val="21"/>
          <w:szCs w:val="21"/>
          <w:highlight w:val="none"/>
          <w:lang w:val="en-US" w:eastAsia="zh-CN"/>
        </w:rPr>
        <w:t xml:space="preserve">的</w:t>
      </w:r>
      <w:r>
        <w:rPr>
          <w:rFonts w:hint="eastAsia" w:ascii="宋体" w:hAnsi="宋体" w:eastAsia="宋体" w:cs="宋体"/>
          <w:bCs/>
          <w:color w:val="000000"/>
          <w:sz w:val="21"/>
          <w:szCs w:val="21"/>
          <w:highlight w:val="none"/>
          <w:lang w:val="en-US" w:eastAsia="zh-CN"/>
        </w:rPr>
        <w:t xml:space="preserve">得2分。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注：以上（1）</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t xml:space="preserve">（3）项，</w:t>
      </w:r>
      <w:r>
        <w:rPr>
          <w:rFonts w:hint="eastAsia" w:ascii="宋体" w:hAnsi="宋体" w:eastAsia="宋体" w:cs="宋体"/>
          <w:bCs/>
          <w:color w:val="000000"/>
          <w:sz w:val="21"/>
          <w:szCs w:val="21"/>
          <w:highlight w:val="none"/>
          <w:lang w:val="en-US" w:eastAsia="zh-CN"/>
        </w:rPr>
        <w:t xml:space="preserve">投标</w:t>
      </w:r>
      <w:r>
        <w:rPr>
          <w:rFonts w:hint="eastAsia" w:ascii="宋体" w:hAnsi="宋体" w:eastAsia="宋体" w:cs="宋体"/>
          <w:bCs/>
          <w:color w:val="000000"/>
          <w:sz w:val="21"/>
          <w:szCs w:val="21"/>
          <w:highlight w:val="none"/>
          <w:lang w:val="en-US" w:eastAsia="zh-CN"/>
        </w:rPr>
        <w:t xml:space="preserve">文件须提供人员有效证书复印件，同时提供社保部门出具的</w:t>
      </w:r>
      <w:r>
        <w:rPr>
          <w:rFonts w:hint="eastAsia" w:ascii="宋体" w:hAnsi="宋体" w:eastAsia="宋体" w:cs="宋体"/>
          <w:bCs/>
          <w:color w:val="000000"/>
          <w:sz w:val="21"/>
          <w:szCs w:val="21"/>
          <w:highlight w:val="none"/>
          <w:lang w:val="en-US" w:eastAsia="zh-CN"/>
        </w:rPr>
        <w:t xml:space="preserve">投标</w:t>
      </w:r>
      <w:r>
        <w:rPr>
          <w:rFonts w:hint="eastAsia" w:ascii="宋体" w:hAnsi="宋体" w:eastAsia="宋体" w:cs="宋体"/>
          <w:bCs/>
          <w:color w:val="000000"/>
          <w:sz w:val="21"/>
          <w:szCs w:val="21"/>
          <w:highlight w:val="none"/>
          <w:lang w:val="en-US" w:eastAsia="zh-CN"/>
        </w:rPr>
        <w:t xml:space="preserve">单位为该人员缴纳的最近一期社保证明复印件，全部材料加盖</w:t>
      </w:r>
      <w:r>
        <w:rPr>
          <w:rFonts w:hint="eastAsia" w:ascii="宋体" w:hAnsi="宋体" w:eastAsia="宋体" w:cs="宋体"/>
          <w:bCs/>
          <w:color w:val="000000"/>
          <w:sz w:val="21"/>
          <w:szCs w:val="21"/>
          <w:highlight w:val="none"/>
          <w:lang w:val="en-US" w:eastAsia="zh-CN"/>
        </w:rPr>
        <w:t xml:space="preserve">投标</w:t>
      </w:r>
      <w:r>
        <w:rPr>
          <w:rFonts w:hint="eastAsia" w:ascii="宋体" w:hAnsi="宋体" w:eastAsia="宋体" w:cs="宋体"/>
          <w:bCs/>
          <w:color w:val="000000"/>
          <w:sz w:val="21"/>
          <w:szCs w:val="21"/>
          <w:highlight w:val="none"/>
          <w:lang w:val="en-US" w:eastAsia="zh-CN"/>
        </w:rPr>
        <w:t xml:space="preserve">单位公章。材料缺失、证件不符或未按要求提供的，本项不得分。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3.项目组成员（除项目经理、项目技术负责人外）（4分）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（1）具备有效</w:t>
      </w:r>
      <w:r>
        <w:rPr>
          <w:rFonts w:hint="eastAsia" w:ascii="宋体" w:hAnsi="宋体" w:eastAsia="宋体" w:cs="宋体"/>
          <w:bCs/>
          <w:color w:val="000000"/>
          <w:sz w:val="21"/>
          <w:szCs w:val="21"/>
          <w:highlight w:val="none"/>
          <w:lang w:val="en-US" w:eastAsia="zh-CN"/>
        </w:rPr>
        <w:t xml:space="preserve">的</w:t>
      </w:r>
      <w:r>
        <w:rPr>
          <w:rFonts w:hint="eastAsia" w:ascii="宋体" w:hAnsi="宋体" w:eastAsia="宋体" w:cs="宋体"/>
          <w:bCs/>
          <w:color w:val="000000"/>
          <w:sz w:val="21"/>
          <w:szCs w:val="21"/>
          <w:highlight w:val="none"/>
          <w:lang w:val="en-US" w:eastAsia="zh-CN"/>
        </w:rPr>
        <w:t xml:space="preserve">CISP注册信息安全工程师证书，每提供1人得1分，本小项最高得1分；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（2）具备有效</w:t>
      </w:r>
      <w:r>
        <w:rPr>
          <w:rFonts w:hint="eastAsia" w:ascii="宋体" w:hAnsi="宋体" w:eastAsia="宋体" w:cs="宋体"/>
          <w:bCs/>
          <w:color w:val="000000"/>
          <w:sz w:val="21"/>
          <w:szCs w:val="21"/>
          <w:highlight w:val="none"/>
          <w:lang w:val="en-US" w:eastAsia="zh-CN"/>
        </w:rPr>
        <w:t xml:space="preserve">的</w:t>
      </w:r>
      <w:r>
        <w:rPr>
          <w:rFonts w:hint="eastAsia" w:ascii="宋体" w:hAnsi="宋体" w:eastAsia="宋体" w:cs="宋体"/>
          <w:bCs/>
          <w:color w:val="000000"/>
          <w:sz w:val="21"/>
          <w:szCs w:val="21"/>
          <w:highlight w:val="none"/>
          <w:lang w:val="en-US" w:eastAsia="zh-CN"/>
        </w:rPr>
        <w:t xml:space="preserve">软件设计师证书，每提供1人得1分，本小项最高得1分；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（3）具备有效</w:t>
      </w:r>
      <w:r>
        <w:rPr>
          <w:rFonts w:hint="eastAsia" w:ascii="宋体" w:hAnsi="宋体" w:eastAsia="宋体" w:cs="宋体"/>
          <w:bCs/>
          <w:color w:val="000000"/>
          <w:sz w:val="21"/>
          <w:szCs w:val="21"/>
          <w:highlight w:val="none"/>
          <w:lang w:val="en-US" w:eastAsia="zh-CN"/>
        </w:rPr>
        <w:t xml:space="preserve">的</w:t>
      </w:r>
      <w:r>
        <w:rPr>
          <w:rFonts w:hint="eastAsia" w:ascii="宋体" w:hAnsi="宋体" w:eastAsia="宋体" w:cs="宋体"/>
          <w:bCs/>
          <w:color w:val="000000"/>
          <w:sz w:val="21"/>
          <w:szCs w:val="21"/>
          <w:highlight w:val="none"/>
          <w:lang w:val="en-US" w:eastAsia="zh-CN"/>
        </w:rPr>
        <w:t xml:space="preserve">IT运维工程师证书，每提供1人得1分，本小项最高得2分。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注：以上（1）</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t xml:space="preserve">（3）项，</w:t>
      </w:r>
      <w:r>
        <w:rPr>
          <w:rFonts w:hint="eastAsia" w:ascii="宋体" w:hAnsi="宋体" w:eastAsia="宋体" w:cs="宋体"/>
          <w:bCs/>
          <w:color w:val="000000"/>
          <w:sz w:val="21"/>
          <w:szCs w:val="21"/>
          <w:highlight w:val="none"/>
          <w:lang w:val="en-US" w:eastAsia="zh-CN"/>
        </w:rPr>
        <w:t xml:space="preserve">投标</w:t>
      </w:r>
      <w:r>
        <w:rPr>
          <w:rFonts w:hint="eastAsia" w:ascii="宋体" w:hAnsi="宋体" w:eastAsia="宋体" w:cs="宋体"/>
          <w:bCs/>
          <w:color w:val="000000"/>
          <w:sz w:val="21"/>
          <w:szCs w:val="21"/>
          <w:highlight w:val="none"/>
          <w:lang w:val="en-US" w:eastAsia="zh-CN"/>
        </w:rPr>
        <w:t xml:space="preserve">文件须提供人员有效证书复印件，同时提供社保部门出具的</w:t>
      </w:r>
      <w:r>
        <w:rPr>
          <w:rFonts w:hint="eastAsia" w:ascii="宋体" w:hAnsi="宋体" w:eastAsia="宋体" w:cs="宋体"/>
          <w:bCs/>
          <w:color w:val="000000"/>
          <w:sz w:val="21"/>
          <w:szCs w:val="21"/>
          <w:highlight w:val="none"/>
          <w:lang w:val="en-US" w:eastAsia="zh-CN"/>
        </w:rPr>
        <w:t xml:space="preserve">投标</w:t>
      </w:r>
      <w:r>
        <w:rPr>
          <w:rFonts w:hint="eastAsia" w:ascii="宋体" w:hAnsi="宋体" w:eastAsia="宋体" w:cs="宋体"/>
          <w:bCs/>
          <w:color w:val="000000"/>
          <w:sz w:val="21"/>
          <w:szCs w:val="21"/>
          <w:highlight w:val="none"/>
          <w:lang w:val="en-US" w:eastAsia="zh-CN"/>
        </w:rPr>
        <w:t xml:space="preserve">单位为该人员缴纳的最近一期社保证明复印件，全部材料加盖</w:t>
      </w:r>
      <w:r>
        <w:rPr>
          <w:rFonts w:hint="eastAsia" w:ascii="宋体" w:hAnsi="宋体" w:eastAsia="宋体" w:cs="宋体"/>
          <w:bCs/>
          <w:color w:val="000000"/>
          <w:sz w:val="21"/>
          <w:szCs w:val="21"/>
          <w:highlight w:val="none"/>
          <w:lang w:val="en-US" w:eastAsia="zh-CN"/>
        </w:rPr>
        <w:t xml:space="preserve">投标</w:t>
      </w:r>
      <w:r>
        <w:rPr>
          <w:rFonts w:hint="eastAsia" w:ascii="宋体" w:hAnsi="宋体" w:eastAsia="宋体" w:cs="宋体"/>
          <w:bCs/>
          <w:color w:val="000000"/>
          <w:sz w:val="21"/>
          <w:szCs w:val="21"/>
          <w:highlight w:val="none"/>
          <w:lang w:val="en-US" w:eastAsia="zh-CN"/>
        </w:rPr>
        <w:t xml:space="preserve">单位公章。材料缺失、证件不符或未按要求提供的，对应小项不得分。</w:t>
      </w:r>
      <w:r>
        <w:rPr>
          <w:rFonts w:ascii="宋体" w:hAnsi="宋体" w:cs="宋体"/>
        </w:rPr>
      </w:r>
      <w:r/>
    </w:p>
    <w:p>
      <w:pPr>
        <w:pStyle w:val="863"/>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（四）</w:t>
      </w:r>
      <w:r>
        <w:rPr>
          <w:rFonts w:hint="eastAsia" w:ascii="宋体" w:hAnsi="宋体" w:eastAsia="宋体" w:cs="宋体"/>
          <w:b/>
          <w:bCs w:val="0"/>
          <w:color w:val="000000"/>
          <w:sz w:val="21"/>
          <w:szCs w:val="21"/>
          <w:highlight w:val="none"/>
          <w:lang w:val="en-US" w:eastAsia="zh-CN"/>
        </w:rPr>
        <w:t xml:space="preserve">投标</w:t>
      </w:r>
      <w:r>
        <w:rPr>
          <w:rFonts w:hint="eastAsia" w:ascii="宋体" w:hAnsi="宋体" w:eastAsia="宋体" w:cs="宋体"/>
          <w:b/>
          <w:bCs w:val="0"/>
          <w:color w:val="000000"/>
          <w:sz w:val="21"/>
          <w:szCs w:val="21"/>
          <w:highlight w:val="none"/>
          <w:lang w:val="en-US" w:eastAsia="zh-CN"/>
        </w:rPr>
        <w:t xml:space="preserve">单位履约能力及综合实力（14分）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1.体系认证证书（6分）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t xml:space="preserve">投标</w:t>
      </w:r>
      <w:r>
        <w:rPr>
          <w:rFonts w:hint="eastAsia" w:ascii="宋体" w:hAnsi="宋体" w:eastAsia="宋体" w:cs="宋体"/>
          <w:bCs/>
          <w:color w:val="000000"/>
          <w:sz w:val="21"/>
          <w:szCs w:val="21"/>
          <w:highlight w:val="none"/>
          <w:lang w:val="en-US" w:eastAsia="zh-CN"/>
        </w:rPr>
        <w:t xml:space="preserve">单位</w:t>
      </w:r>
      <w:r>
        <w:rPr>
          <w:rFonts w:hint="eastAsia" w:ascii="宋体" w:hAnsi="宋体" w:eastAsia="宋体" w:cs="宋体"/>
          <w:bCs/>
          <w:color w:val="000000"/>
          <w:sz w:val="21"/>
          <w:szCs w:val="21"/>
          <w:highlight w:val="none"/>
          <w:lang w:val="en-US" w:eastAsia="zh-CN"/>
        </w:rPr>
        <w:t xml:space="preserve">具有</w:t>
      </w:r>
      <w:r>
        <w:rPr>
          <w:rFonts w:hint="eastAsia" w:ascii="宋体" w:hAnsi="宋体" w:eastAsia="宋体" w:cs="宋体"/>
          <w:bCs/>
          <w:color w:val="000000"/>
          <w:sz w:val="21"/>
          <w:szCs w:val="21"/>
          <w:highlight w:val="none"/>
          <w:lang w:val="en-US" w:eastAsia="zh-CN"/>
        </w:rPr>
        <w:t xml:space="preserve">有效</w:t>
      </w:r>
      <w:r>
        <w:rPr>
          <w:rFonts w:hint="eastAsia" w:ascii="宋体" w:hAnsi="宋体" w:eastAsia="宋体" w:cs="宋体"/>
          <w:bCs/>
          <w:color w:val="000000"/>
          <w:sz w:val="21"/>
          <w:szCs w:val="21"/>
          <w:highlight w:val="none"/>
          <w:lang w:val="en-US" w:eastAsia="zh-CN"/>
        </w:rPr>
        <w:t xml:space="preserve">的</w:t>
      </w:r>
      <w:r>
        <w:rPr>
          <w:rFonts w:hint="eastAsia" w:ascii="宋体" w:hAnsi="宋体" w:eastAsia="宋体" w:cs="宋体"/>
          <w:bCs/>
          <w:color w:val="000000"/>
          <w:sz w:val="21"/>
          <w:szCs w:val="21"/>
          <w:highlight w:val="none"/>
          <w:lang w:val="en-US" w:eastAsia="zh-CN"/>
        </w:rPr>
        <w:t xml:space="preserve">质量管理体系认证证书</w:t>
      </w:r>
      <w:r>
        <w:rPr>
          <w:rFonts w:hint="eastAsia" w:ascii="宋体" w:hAnsi="宋体" w:eastAsia="宋体" w:cs="宋体"/>
          <w:bCs/>
          <w:color w:val="000000"/>
          <w:sz w:val="21"/>
          <w:szCs w:val="21"/>
          <w:highlight w:val="none"/>
          <w:lang w:val="en-US" w:eastAsia="zh-CN"/>
        </w:rPr>
        <w:t xml:space="preserve">的</w:t>
      </w:r>
      <w:r>
        <w:rPr>
          <w:rFonts w:hint="eastAsia" w:ascii="宋体" w:hAnsi="宋体" w:eastAsia="宋体" w:cs="宋体"/>
          <w:bCs/>
          <w:color w:val="000000"/>
          <w:sz w:val="21"/>
          <w:szCs w:val="21"/>
          <w:highlight w:val="none"/>
          <w:lang w:val="en-US" w:eastAsia="zh-CN"/>
        </w:rPr>
        <w:t xml:space="preserve">得2分；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en-US" w:eastAsia="zh-CN"/>
        </w:rPr>
        <w:t xml:space="preserve">投标</w:t>
      </w:r>
      <w:r>
        <w:rPr>
          <w:rFonts w:hint="eastAsia" w:ascii="宋体" w:hAnsi="宋体" w:eastAsia="宋体" w:cs="宋体"/>
          <w:bCs/>
          <w:color w:val="000000"/>
          <w:sz w:val="21"/>
          <w:szCs w:val="21"/>
          <w:highlight w:val="none"/>
          <w:lang w:val="en-US" w:eastAsia="zh-CN"/>
        </w:rPr>
        <w:t xml:space="preserve">单位</w:t>
      </w:r>
      <w:r>
        <w:rPr>
          <w:rFonts w:hint="eastAsia" w:ascii="宋体" w:hAnsi="宋体" w:eastAsia="宋体" w:cs="宋体"/>
          <w:bCs/>
          <w:color w:val="000000"/>
          <w:sz w:val="21"/>
          <w:szCs w:val="21"/>
          <w:highlight w:val="none"/>
          <w:lang w:val="en-US" w:eastAsia="zh-CN"/>
        </w:rPr>
        <w:t xml:space="preserve">具有</w:t>
      </w:r>
      <w:r>
        <w:rPr>
          <w:rFonts w:hint="eastAsia" w:ascii="宋体" w:hAnsi="宋体" w:eastAsia="宋体" w:cs="宋体"/>
          <w:bCs/>
          <w:color w:val="000000"/>
          <w:sz w:val="21"/>
          <w:szCs w:val="21"/>
          <w:highlight w:val="none"/>
          <w:lang w:val="en-US" w:eastAsia="zh-CN"/>
        </w:rPr>
        <w:t xml:space="preserve">有效</w:t>
      </w:r>
      <w:r>
        <w:rPr>
          <w:rFonts w:hint="eastAsia" w:ascii="宋体" w:hAnsi="宋体" w:eastAsia="宋体" w:cs="宋体"/>
          <w:bCs/>
          <w:color w:val="000000"/>
          <w:sz w:val="21"/>
          <w:szCs w:val="21"/>
          <w:highlight w:val="none"/>
          <w:lang w:val="en-US" w:eastAsia="zh-CN"/>
        </w:rPr>
        <w:t xml:space="preserve">的</w:t>
      </w:r>
      <w:r>
        <w:rPr>
          <w:rFonts w:hint="eastAsia" w:ascii="宋体" w:hAnsi="宋体" w:eastAsia="宋体" w:cs="宋体"/>
          <w:bCs/>
          <w:color w:val="000000"/>
          <w:sz w:val="21"/>
          <w:szCs w:val="21"/>
          <w:highlight w:val="none"/>
          <w:lang w:val="en-US" w:eastAsia="zh-CN"/>
        </w:rPr>
        <w:t xml:space="preserve">信息安全管理体系认证证书</w:t>
      </w:r>
      <w:r>
        <w:rPr>
          <w:rFonts w:hint="eastAsia" w:ascii="宋体" w:hAnsi="宋体" w:eastAsia="宋体" w:cs="宋体"/>
          <w:bCs/>
          <w:color w:val="000000"/>
          <w:sz w:val="21"/>
          <w:szCs w:val="21"/>
          <w:highlight w:val="none"/>
          <w:lang w:val="en-US" w:eastAsia="zh-CN"/>
        </w:rPr>
        <w:t xml:space="preserve">的</w:t>
      </w:r>
      <w:r>
        <w:rPr>
          <w:rFonts w:hint="eastAsia" w:ascii="宋体" w:hAnsi="宋体" w:eastAsia="宋体" w:cs="宋体"/>
          <w:bCs/>
          <w:color w:val="000000"/>
          <w:sz w:val="21"/>
          <w:szCs w:val="21"/>
          <w:highlight w:val="none"/>
          <w:lang w:val="en-US" w:eastAsia="zh-CN"/>
        </w:rPr>
        <w:t xml:space="preserve">得2分；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en-US" w:eastAsia="zh-CN"/>
        </w:rPr>
        <w:t xml:space="preserve">投标</w:t>
      </w:r>
      <w:r>
        <w:rPr>
          <w:rFonts w:hint="eastAsia" w:ascii="宋体" w:hAnsi="宋体" w:eastAsia="宋体" w:cs="宋体"/>
          <w:bCs/>
          <w:color w:val="000000"/>
          <w:sz w:val="21"/>
          <w:szCs w:val="21"/>
          <w:highlight w:val="none"/>
          <w:lang w:val="en-US" w:eastAsia="zh-CN"/>
        </w:rPr>
        <w:t xml:space="preserve">单位</w:t>
      </w:r>
      <w:r>
        <w:rPr>
          <w:rFonts w:hint="eastAsia" w:ascii="宋体" w:hAnsi="宋体" w:eastAsia="宋体" w:cs="宋体"/>
          <w:bCs/>
          <w:color w:val="000000"/>
          <w:sz w:val="21"/>
          <w:szCs w:val="21"/>
          <w:highlight w:val="none"/>
          <w:lang w:val="en-US" w:eastAsia="zh-CN"/>
        </w:rPr>
        <w:t xml:space="preserve">具有</w:t>
      </w:r>
      <w:r>
        <w:rPr>
          <w:rFonts w:hint="eastAsia" w:ascii="宋体" w:hAnsi="宋体" w:eastAsia="宋体" w:cs="宋体"/>
          <w:bCs/>
          <w:color w:val="000000"/>
          <w:sz w:val="21"/>
          <w:szCs w:val="21"/>
          <w:highlight w:val="none"/>
          <w:lang w:val="en-US" w:eastAsia="zh-CN"/>
        </w:rPr>
        <w:t xml:space="preserve">有效</w:t>
      </w:r>
      <w:r>
        <w:rPr>
          <w:rFonts w:hint="eastAsia" w:ascii="宋体" w:hAnsi="宋体" w:eastAsia="宋体" w:cs="宋体"/>
          <w:bCs/>
          <w:color w:val="000000"/>
          <w:sz w:val="21"/>
          <w:szCs w:val="21"/>
          <w:highlight w:val="none"/>
          <w:lang w:val="en-US" w:eastAsia="zh-CN"/>
        </w:rPr>
        <w:t xml:space="preserve">的</w:t>
      </w:r>
      <w:r>
        <w:rPr>
          <w:rFonts w:hint="eastAsia" w:ascii="宋体" w:hAnsi="宋体" w:eastAsia="宋体" w:cs="宋体"/>
          <w:bCs/>
          <w:color w:val="000000"/>
          <w:sz w:val="21"/>
          <w:szCs w:val="21"/>
          <w:highlight w:val="none"/>
          <w:lang w:val="en-US" w:eastAsia="zh-CN"/>
        </w:rPr>
        <w:t xml:space="preserve">信息技术服务管理体系认证证书</w:t>
      </w:r>
      <w:r>
        <w:rPr>
          <w:rFonts w:hint="eastAsia" w:ascii="宋体" w:hAnsi="宋体" w:eastAsia="宋体" w:cs="宋体"/>
          <w:bCs/>
          <w:color w:val="000000"/>
          <w:sz w:val="21"/>
          <w:szCs w:val="21"/>
          <w:highlight w:val="none"/>
          <w:lang w:val="en-US" w:eastAsia="zh-CN"/>
        </w:rPr>
        <w:t xml:space="preserve">的</w:t>
      </w:r>
      <w:r>
        <w:rPr>
          <w:rFonts w:hint="eastAsia" w:ascii="宋体" w:hAnsi="宋体" w:eastAsia="宋体" w:cs="宋体"/>
          <w:bCs/>
          <w:color w:val="000000"/>
          <w:sz w:val="21"/>
          <w:szCs w:val="21"/>
          <w:highlight w:val="none"/>
          <w:lang w:val="en-US" w:eastAsia="zh-CN"/>
        </w:rPr>
        <w:t xml:space="preserve">得2分。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注：以上（1）</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t xml:space="preserve">（3）项，</w:t>
      </w:r>
      <w:r>
        <w:rPr>
          <w:rFonts w:hint="eastAsia" w:ascii="宋体" w:hAnsi="宋体" w:eastAsia="宋体" w:cs="宋体"/>
          <w:bCs/>
          <w:color w:val="000000"/>
          <w:sz w:val="21"/>
          <w:szCs w:val="21"/>
          <w:highlight w:val="none"/>
          <w:lang w:val="en-US" w:eastAsia="zh-CN"/>
        </w:rPr>
        <w:t xml:space="preserve">投标</w:t>
      </w:r>
      <w:r>
        <w:rPr>
          <w:rFonts w:hint="eastAsia" w:ascii="宋体" w:hAnsi="宋体" w:eastAsia="宋体" w:cs="宋体"/>
          <w:bCs/>
          <w:color w:val="000000"/>
          <w:sz w:val="21"/>
          <w:szCs w:val="21"/>
          <w:highlight w:val="none"/>
          <w:lang w:val="en-US" w:eastAsia="zh-CN"/>
        </w:rPr>
        <w:t xml:space="preserve">文件须提供对应有效证书复印件并加盖</w:t>
      </w:r>
      <w:r>
        <w:rPr>
          <w:rFonts w:hint="eastAsia" w:ascii="宋体" w:hAnsi="宋体" w:eastAsia="宋体" w:cs="宋体"/>
          <w:bCs/>
          <w:color w:val="000000"/>
          <w:sz w:val="21"/>
          <w:szCs w:val="21"/>
          <w:highlight w:val="none"/>
          <w:lang w:val="en-US" w:eastAsia="zh-CN"/>
        </w:rPr>
        <w:t xml:space="preserve">投标</w:t>
      </w:r>
      <w:r>
        <w:rPr>
          <w:rFonts w:hint="eastAsia" w:ascii="宋体" w:hAnsi="宋体" w:eastAsia="宋体" w:cs="宋体"/>
          <w:bCs/>
          <w:color w:val="000000"/>
          <w:sz w:val="21"/>
          <w:szCs w:val="21"/>
          <w:highlight w:val="none"/>
          <w:lang w:val="en-US" w:eastAsia="zh-CN"/>
        </w:rPr>
        <w:t xml:space="preserve">单位公章；材料缺失、证书无效或未提供的，对应项不得分。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2.类似业绩（8分）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投标单位自202</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en-US" w:eastAsia="zh-CN"/>
        </w:rPr>
        <w:t xml:space="preserve">年1月1日（以合同签订日期为准）至今承接过类似项目业绩的</w:t>
      </w:r>
      <w:r>
        <w:rPr>
          <w:rFonts w:hint="eastAsia" w:ascii="宋体" w:hAnsi="宋体" w:eastAsia="宋体" w:cs="宋体"/>
          <w:bCs/>
          <w:color w:val="000000"/>
          <w:sz w:val="21"/>
          <w:szCs w:val="21"/>
          <w:highlight w:val="none"/>
          <w:lang w:val="en-US" w:eastAsia="zh-CN"/>
        </w:rPr>
        <w:t xml:space="preserve">，每提供1个有效业绩得2分，本项最高得8分。</w:t>
      </w:r>
      <w:r>
        <w:rPr>
          <w:rFonts w:hint="eastAsia" w:ascii="宋体" w:hAnsi="宋体" w:eastAsia="宋体" w:cs="宋体"/>
          <w:bCs/>
          <w:color w:val="000000"/>
          <w:sz w:val="21"/>
          <w:szCs w:val="21"/>
          <w:highlight w:val="none"/>
          <w:lang w:val="en-US" w:eastAsia="zh-CN"/>
        </w:rPr>
        <w:t xml:space="preserve">（投标文件中</w:t>
      </w:r>
      <w:r>
        <w:rPr>
          <w:rFonts w:hint="eastAsia" w:ascii="宋体" w:hAnsi="宋体" w:eastAsia="宋体" w:cs="宋体"/>
          <w:bCs/>
          <w:color w:val="000000"/>
          <w:sz w:val="21"/>
          <w:szCs w:val="21"/>
          <w:highlight w:val="none"/>
          <w:lang w:val="en-US" w:eastAsia="zh-CN"/>
        </w:rPr>
        <w:t xml:space="preserve">须提供合同关键页</w:t>
      </w:r>
      <w:r>
        <w:rPr>
          <w:rFonts w:hint="eastAsia" w:ascii="宋体" w:hAnsi="宋体" w:eastAsia="宋体" w:cs="宋体"/>
          <w:bCs/>
          <w:color w:val="000000"/>
          <w:sz w:val="21"/>
          <w:szCs w:val="21"/>
          <w:highlight w:val="none"/>
          <w:lang w:val="en-US" w:eastAsia="zh-CN"/>
        </w:rPr>
        <w:t xml:space="preserve">复印件</w:t>
      </w:r>
      <w:r>
        <w:rPr>
          <w:rFonts w:hint="eastAsia" w:ascii="宋体" w:hAnsi="宋体" w:eastAsia="宋体" w:cs="宋体"/>
          <w:bCs/>
          <w:color w:val="000000"/>
          <w:sz w:val="21"/>
          <w:szCs w:val="21"/>
          <w:highlight w:val="none"/>
          <w:lang w:val="en-US" w:eastAsia="zh-CN"/>
        </w:rPr>
        <w:t xml:space="preserve">，至少包含合同封面、签署页、合同金额页、合同标的页；若为框架协议，须同步提供框架协议及对应有效订单，材料要求同上。业绩认定时间以单项合同签订时间或框架协议对应订单下发时间为准，金额以单项合同或对应订单金额为准。</w:t>
      </w:r>
      <w:r>
        <w:rPr>
          <w:rFonts w:hint="eastAsia" w:ascii="宋体" w:hAnsi="宋体" w:eastAsia="宋体" w:cs="宋体"/>
          <w:bCs/>
          <w:color w:val="000000"/>
          <w:sz w:val="21"/>
          <w:szCs w:val="21"/>
          <w:highlight w:val="none"/>
          <w:lang w:val="en-US" w:eastAsia="zh-CN"/>
        </w:rPr>
        <w:t xml:space="preserve">复印件</w:t>
      </w:r>
      <w:r>
        <w:rPr>
          <w:rFonts w:hint="eastAsia" w:ascii="宋体" w:hAnsi="宋体" w:eastAsia="宋体" w:cs="宋体"/>
          <w:bCs/>
          <w:color w:val="000000"/>
          <w:sz w:val="21"/>
          <w:szCs w:val="21"/>
          <w:highlight w:val="none"/>
          <w:lang w:val="en-US" w:eastAsia="zh-CN"/>
        </w:rPr>
        <w:t xml:space="preserve">须清晰可辨识，材料模糊、关键页面缺失的，该业绩不予计分。</w:t>
      </w:r>
      <w:r>
        <w:rPr>
          <w:rFonts w:hint="eastAsia" w:ascii="宋体" w:hAnsi="宋体" w:eastAsia="宋体" w:cs="宋体"/>
          <w:bCs/>
          <w:color w:val="000000"/>
          <w:sz w:val="21"/>
          <w:szCs w:val="21"/>
          <w:highlight w:val="none"/>
          <w:lang w:val="en-US" w:eastAsia="zh-CN"/>
        </w:rPr>
        <w:t xml:space="preserve">）</w:t>
      </w:r>
      <w:r>
        <w:rPr>
          <w:rFonts w:ascii="宋体" w:hAnsi="宋体" w:cs="宋体"/>
        </w:rPr>
      </w:r>
      <w:r/>
    </w:p>
    <w:p>
      <w:pPr>
        <w:pStyle w:val="863"/>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rPr>
      </w:r>
      <w:r>
        <w:rPr>
          <w:rFonts w:ascii="宋体" w:hAnsi="宋体" w:cs="宋体"/>
        </w:rPr>
      </w:r>
      <w:r/>
    </w:p>
    <w:p>
      <w:pPr>
        <w:pStyle w:val="863"/>
        <w:ind w:firstLine="422"/>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注：1</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报价超过采购预算</w:t>
      </w:r>
      <w:r>
        <w:rPr>
          <w:rFonts w:hint="eastAsia" w:ascii="宋体" w:hAnsi="宋体" w:eastAsia="宋体" w:cs="宋体"/>
          <w:b/>
          <w:color w:val="000000"/>
          <w:sz w:val="21"/>
          <w:szCs w:val="21"/>
          <w:highlight w:val="none"/>
          <w:lang w:eastAsia="zh-CN"/>
        </w:rPr>
        <w:t xml:space="preserve">（或最高限价）</w:t>
      </w:r>
      <w:r>
        <w:rPr>
          <w:rFonts w:hint="eastAsia" w:ascii="宋体" w:hAnsi="宋体" w:eastAsia="宋体" w:cs="宋体"/>
          <w:b/>
          <w:color w:val="000000"/>
          <w:sz w:val="21"/>
          <w:szCs w:val="21"/>
          <w:highlight w:val="none"/>
        </w:rPr>
        <w:t xml:space="preserve">的将不进入综合评审程序，也不得标。</w:t>
      </w:r>
      <w:r>
        <w:rPr>
          <w:rFonts w:ascii="宋体" w:hAnsi="宋体" w:cs="宋体"/>
        </w:rPr>
      </w:r>
      <w:r/>
    </w:p>
    <w:p>
      <w:pPr>
        <w:pStyle w:val="863"/>
        <w:ind w:firstLine="422"/>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2</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付款步骤、服务期限如有负偏离的不得中标。</w:t>
      </w:r>
      <w:r>
        <w:rPr>
          <w:rFonts w:ascii="宋体" w:hAnsi="宋体" w:cs="宋体"/>
        </w:rPr>
      </w:r>
      <w:r/>
    </w:p>
    <w:p>
      <w:pPr>
        <w:pStyle w:val="863"/>
        <w:ind w:firstLine="422"/>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3</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针对评分标准中评分的每一条，投标人均应提供相关资料并作出相应说明供评委评判，不提供相关资料的视为不具备该项得分的条件。</w:t>
      </w:r>
      <w:r>
        <w:rPr>
          <w:rFonts w:ascii="宋体" w:hAnsi="宋体" w:cs="宋体"/>
        </w:rPr>
      </w:r>
      <w:r/>
    </w:p>
    <w:p>
      <w:pPr>
        <w:pStyle w:val="863"/>
        <w:ind w:firstLine="422"/>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lang w:val="zh-CN"/>
        </w:rPr>
        <w:t xml:space="preserve">4</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lang w:val="zh-CN"/>
        </w:rPr>
        <w:t xml:space="preserve">招标文件中要求的复印件可以用扫描件代替；招标文件中要求加盖投标单位公章的，可用电子签章代替。</w:t>
      </w:r>
      <w:r>
        <w:rPr>
          <w:rFonts w:ascii="宋体" w:hAnsi="宋体" w:cs="宋体"/>
        </w:rPr>
      </w:r>
      <w:r/>
    </w:p>
    <w:p>
      <w:pPr>
        <w:pStyle w:val="863"/>
        <w:ind w:firstLine="422"/>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5</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lang w:val="zh-CN"/>
        </w:rPr>
        <w:t xml:space="preserve">可以通过互联网或者相关信息系统查询的信息，各投标单位可以在投标文件中提供相关证明材料，也可以在投标文件中列明查询路径。</w:t>
      </w:r>
      <w:r>
        <w:rPr>
          <w:rFonts w:ascii="宋体" w:hAnsi="宋体" w:cs="宋体"/>
        </w:rPr>
      </w:r>
      <w:r/>
    </w:p>
    <w:p>
      <w:pPr>
        <w:pStyle w:val="863"/>
        <w:ind w:firstLine="422"/>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6</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投标单位必须保证全部投标资料的真实性，采购人有权在采购的任何阶段进行调查和核实，如有虚假或对招标文件所要求说明的情况故意隐瞒或虚报，视为不实质性响应</w:t>
      </w:r>
      <w:r>
        <w:rPr>
          <w:rFonts w:hint="eastAsia" w:ascii="宋体" w:hAnsi="宋体" w:eastAsia="宋体" w:cs="宋体"/>
          <w:b/>
          <w:color w:val="000000"/>
          <w:sz w:val="21"/>
          <w:szCs w:val="21"/>
          <w:highlight w:val="none"/>
          <w:lang w:eastAsia="zh-CN"/>
        </w:rPr>
        <w:t xml:space="preserve">招标</w:t>
      </w:r>
      <w:r>
        <w:rPr>
          <w:rFonts w:hint="eastAsia" w:ascii="宋体" w:hAnsi="宋体" w:eastAsia="宋体" w:cs="宋体"/>
          <w:b/>
          <w:color w:val="000000"/>
          <w:sz w:val="21"/>
          <w:szCs w:val="21"/>
          <w:highlight w:val="none"/>
        </w:rPr>
        <w:t xml:space="preserve">文件，为无效投标。已中标的将取消中标资格，并按《中华人民共和国政府采购法》第七十七条“提供虚假材料谋取中标、成交”相关处理办法处理。</w:t>
      </w:r>
      <w:r>
        <w:rPr>
          <w:rFonts w:ascii="宋体" w:hAnsi="宋体" w:cs="宋体"/>
        </w:rPr>
      </w:r>
      <w:r/>
    </w:p>
    <w:p>
      <w:pPr>
        <w:pStyle w:val="863"/>
        <w:jc w:val="right"/>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（全文完） </w:t>
      </w:r>
      <w:r>
        <w:rPr>
          <w:rFonts w:hint="eastAsia" w:ascii="宋体" w:hAnsi="宋体" w:cs="宋体"/>
          <w:b/>
          <w:color w:val="000000"/>
          <w:sz w:val="21"/>
          <w:szCs w:val="21"/>
          <w:highlight w:val="none"/>
        </w:rPr>
        <w:t xml:space="preserve">                                                            </w:t>
      </w:r>
      <w:r>
        <w:rPr>
          <w:rFonts w:ascii="宋体" w:hAnsi="宋体" w:cs="宋体"/>
        </w:rPr>
      </w:r>
      <w:r/>
    </w:p>
    <w:sectPr>
      <w:headerReference w:type="default" r:id="rId9"/>
      <w:footerReference w:type="default" r:id="rId10"/>
      <w:footnotePr/>
      <w:endnotePr/>
      <w:type w:val="nextPage"/>
      <w:pgSz w:w="11906" w:h="16838" w:orient="portrait"/>
      <w:pgMar w:top="851" w:right="924" w:bottom="680" w:left="1080" w:header="567" w:footer="45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Wingdings">
    <w:panose1 w:val="05000000000000000000"/>
  </w:font>
  <w:font w:name="方正黑体简体">
    <w:panose1 w:val="020B0503020202020204"/>
  </w:font>
  <w:font w:name="Tahoma">
    <w:panose1 w:val="020B0604030504040204"/>
  </w:font>
  <w:font w:name="等线">
    <w:panose1 w:val="02010600030101010101"/>
  </w:font>
  <w:font w:name="等线 Light">
    <w:panose1 w:val="02010600030101010101"/>
  </w:font>
  <w:font w:name="Trebuchet MS">
    <w:panose1 w:val="020B0603020202020204"/>
  </w:font>
  <w:font w:name="Courier New">
    <w:panose1 w:val="02070309020205020404"/>
  </w:font>
  <w:font w:name="Heiti SC Light">
    <w:panose1 w:val="020B0503020202020204"/>
  </w:font>
  <w:font w:name="楷体_GB2312">
    <w:panose1 w:val="02010609060101010101"/>
  </w:font>
  <w:font w:name="Cambria">
    <w:panose1 w:val="02040503050406030204"/>
  </w:font>
  <w:font w:name="Verdana">
    <w:panose1 w:val="020B0604030504040204"/>
  </w:font>
  <w:font w:name="Century Gothic">
    <w:panose1 w:val="020B050202020202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tabs>
        <w:tab w:val="center" w:pos="4153" w:leader="none"/>
        <w:tab w:val="right" w:pos="8306" w:leader="none"/>
      </w:tabs>
      <w:rPr>
        <w:rStyle w:val="935"/>
      </w:rPr>
      <w:framePr w:wrap="around" w:vAnchor="text" w:hAnchor="margin" w:xAlign="center" w:y="1"/>
    </w:pPr>
    <w:r>
      <w:fldChar w:fldCharType="begin"/>
    </w:r>
    <w:r>
      <w:rPr>
        <w:rStyle w:val="935"/>
      </w:rPr>
      <w:instrText xml:space="preserve">PAGE  </w:instrText>
    </w:r>
    <w:r>
      <w:fldChar w:fldCharType="separate"/>
    </w:r>
    <w:r>
      <w:rPr>
        <w:rStyle w:val="935"/>
      </w:rPr>
      <w:t xml:space="preserve">73</w:t>
    </w:r>
    <w:r>
      <w:fldChar w:fldCharType="end"/>
    </w:r>
    <w:r>
      <w:rPr>
        <w:rStyle w:val="935"/>
      </w:rPr>
    </w:r>
    <w:r/>
  </w:p>
  <w:p>
    <w:pPr>
      <w:pStyle w:val="91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both"/>
      <w:tabs>
        <w:tab w:val="center" w:pos="4153" w:leader="none"/>
        <w:tab w:val="right" w:pos="8640" w:leader="none"/>
      </w:tabs>
      <w:rPr>
        <w:rFonts w:hint="eastAsia" w:eastAsia="宋体"/>
        <w:lang w:eastAsia="zh-CN"/>
      </w:rPr>
    </w:pPr>
    <w:r>
      <w:rPr>
        <w:rFonts w:hint="eastAsia" w:cs="宋体"/>
      </w:rPr>
      <w:t xml:space="preserve">苏州欣禾诚工程咨询服务有限公司</w:t>
    </w:r>
    <w:r>
      <w:t xml:space="preserve">                                        </w:t>
    </w:r>
    <w:r>
      <w:rPr>
        <w:rFonts w:hint="eastAsia"/>
      </w:rPr>
      <w:t xml:space="preserve"> </w:t>
    </w:r>
    <w:r>
      <w:t xml:space="preserve">       </w:t>
    </w:r>
    <w:r>
      <w:rPr>
        <w:rFonts w:hint="eastAsia"/>
        <w:lang w:val="en-US" w:eastAsia="zh-CN"/>
      </w:rPr>
      <w:t xml:space="preserve"> </w:t>
    </w:r>
    <w:r>
      <w:t xml:space="preserve">   </w:t>
    </w:r>
    <w:r>
      <w:rPr>
        <w:rFonts w:hint="eastAsia"/>
      </w:rPr>
      <w:t xml:space="preserve"> </w:t>
    </w:r>
    <w:r>
      <w:rPr>
        <w:rFonts w:hint="eastAsia" w:ascii="宋体" w:hAnsi="宋体" w:cs="宋体"/>
        <w:color w:val="000000"/>
        <w:lang w:eastAsia="zh-CN"/>
      </w:rPr>
      <w:t xml:space="preserve">JSZC-320509-SXHC-G2026-0018</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63"/>
        <w:ind w:left="420" w:hanging="420"/>
        <w:tabs>
          <w:tab w:val="num" w:pos="420" w:leader="none"/>
        </w:tabs>
      </w:pPr>
      <w:rPr>
        <w:rFonts w:hint="eastAsia"/>
      </w:rPr>
    </w:lvl>
    <w:lvl w:ilvl="1">
      <w:start w:val="1"/>
      <w:numFmt w:val="lowerLetter"/>
      <w:isLgl w:val="false"/>
      <w:suff w:val="tab"/>
      <w:lvlText w:val="%2)"/>
      <w:lvlJc w:val="left"/>
      <w:pPr>
        <w:pStyle w:val="863"/>
        <w:ind w:left="840" w:hanging="420"/>
        <w:tabs>
          <w:tab w:val="num" w:pos="840" w:leader="none"/>
        </w:tabs>
      </w:pPr>
    </w:lvl>
    <w:lvl w:ilvl="2">
      <w:start w:val="1"/>
      <w:numFmt w:val="lowerRoman"/>
      <w:isLgl w:val="false"/>
      <w:suff w:val="tab"/>
      <w:lvlText w:val="%3."/>
      <w:lvlJc w:val="right"/>
      <w:pPr>
        <w:pStyle w:val="863"/>
        <w:ind w:left="1260" w:hanging="420"/>
        <w:tabs>
          <w:tab w:val="num" w:pos="1260" w:leader="none"/>
        </w:tabs>
      </w:pPr>
    </w:lvl>
    <w:lvl w:ilvl="3">
      <w:start w:val="1"/>
      <w:numFmt w:val="decimal"/>
      <w:isLgl w:val="false"/>
      <w:suff w:val="tab"/>
      <w:lvlText w:val="%4."/>
      <w:lvlJc w:val="left"/>
      <w:pPr>
        <w:pStyle w:val="863"/>
        <w:ind w:left="1680" w:hanging="420"/>
        <w:tabs>
          <w:tab w:val="num" w:pos="1680" w:leader="none"/>
        </w:tabs>
      </w:pPr>
    </w:lvl>
    <w:lvl w:ilvl="4">
      <w:start w:val="1"/>
      <w:numFmt w:val="lowerLetter"/>
      <w:isLgl w:val="false"/>
      <w:suff w:val="tab"/>
      <w:lvlText w:val="%5)"/>
      <w:lvlJc w:val="left"/>
      <w:pPr>
        <w:pStyle w:val="863"/>
        <w:ind w:left="2100" w:hanging="420"/>
        <w:tabs>
          <w:tab w:val="num" w:pos="2100" w:leader="none"/>
        </w:tabs>
      </w:pPr>
    </w:lvl>
    <w:lvl w:ilvl="5">
      <w:start w:val="1"/>
      <w:numFmt w:val="lowerRoman"/>
      <w:isLgl w:val="false"/>
      <w:suff w:val="tab"/>
      <w:lvlText w:val="%6."/>
      <w:lvlJc w:val="right"/>
      <w:pPr>
        <w:pStyle w:val="863"/>
        <w:ind w:left="2520" w:hanging="420"/>
        <w:tabs>
          <w:tab w:val="num" w:pos="2520" w:leader="none"/>
        </w:tabs>
      </w:pPr>
    </w:lvl>
    <w:lvl w:ilvl="6">
      <w:start w:val="1"/>
      <w:numFmt w:val="decimal"/>
      <w:isLgl w:val="false"/>
      <w:suff w:val="tab"/>
      <w:lvlText w:val="%7."/>
      <w:lvlJc w:val="left"/>
      <w:pPr>
        <w:pStyle w:val="863"/>
        <w:ind w:left="2940" w:hanging="420"/>
        <w:tabs>
          <w:tab w:val="num" w:pos="2940" w:leader="none"/>
        </w:tabs>
      </w:pPr>
    </w:lvl>
    <w:lvl w:ilvl="7">
      <w:start w:val="1"/>
      <w:numFmt w:val="lowerLetter"/>
      <w:isLgl w:val="false"/>
      <w:suff w:val="tab"/>
      <w:lvlText w:val="%8)"/>
      <w:lvlJc w:val="left"/>
      <w:pPr>
        <w:pStyle w:val="863"/>
        <w:ind w:left="3360" w:hanging="420"/>
        <w:tabs>
          <w:tab w:val="num" w:pos="3360" w:leader="none"/>
        </w:tabs>
      </w:pPr>
    </w:lvl>
    <w:lvl w:ilvl="8">
      <w:start w:val="1"/>
      <w:numFmt w:val="lowerRoman"/>
      <w:isLgl w:val="false"/>
      <w:suff w:val="tab"/>
      <w:lvlText w:val="%9."/>
      <w:lvlJc w:val="right"/>
      <w:pPr>
        <w:pStyle w:val="863"/>
        <w:ind w:left="3780" w:hanging="420"/>
        <w:tabs>
          <w:tab w:val="num" w:pos="3780" w:leader="none"/>
        </w:tabs>
      </w:pPr>
    </w:lvl>
  </w:abstractNum>
  <w:abstractNum w:abstractNumId="1">
    <w:multiLevelType w:val="hybridMultilevel"/>
    <w:lvl w:ilvl="0">
      <w:start w:val="1"/>
      <w:numFmt w:val="decimal"/>
      <w:isLgl w:val="false"/>
      <w:suff w:val="tab"/>
      <w:lvlText w:val="%1."/>
      <w:lvlJc w:val="left"/>
      <w:pPr>
        <w:pStyle w:val="863"/>
        <w:ind w:left="420" w:hanging="420"/>
        <w:tabs>
          <w:tab w:val="num" w:pos="420" w:leader="none"/>
        </w:tabs>
      </w:pPr>
      <w:rPr>
        <w:rFonts w:hint="eastAsia"/>
      </w:rPr>
    </w:lvl>
    <w:lvl w:ilvl="1">
      <w:start w:val="1"/>
      <w:numFmt w:val="lowerLetter"/>
      <w:isLgl w:val="false"/>
      <w:suff w:val="tab"/>
      <w:lvlText w:val="%2)"/>
      <w:lvlJc w:val="left"/>
      <w:pPr>
        <w:pStyle w:val="863"/>
        <w:ind w:left="840" w:hanging="420"/>
        <w:tabs>
          <w:tab w:val="num" w:pos="840" w:leader="none"/>
        </w:tabs>
      </w:pPr>
    </w:lvl>
    <w:lvl w:ilvl="2">
      <w:start w:val="1"/>
      <w:numFmt w:val="lowerRoman"/>
      <w:isLgl w:val="false"/>
      <w:suff w:val="tab"/>
      <w:lvlText w:val="%3."/>
      <w:lvlJc w:val="right"/>
      <w:pPr>
        <w:pStyle w:val="863"/>
        <w:ind w:left="1260" w:hanging="420"/>
        <w:tabs>
          <w:tab w:val="num" w:pos="1260" w:leader="none"/>
        </w:tabs>
      </w:pPr>
    </w:lvl>
    <w:lvl w:ilvl="3">
      <w:start w:val="1"/>
      <w:numFmt w:val="decimal"/>
      <w:isLgl w:val="false"/>
      <w:suff w:val="tab"/>
      <w:lvlText w:val="%4."/>
      <w:lvlJc w:val="left"/>
      <w:pPr>
        <w:pStyle w:val="863"/>
        <w:ind w:left="1680" w:hanging="420"/>
        <w:tabs>
          <w:tab w:val="num" w:pos="1680" w:leader="none"/>
        </w:tabs>
      </w:pPr>
    </w:lvl>
    <w:lvl w:ilvl="4">
      <w:start w:val="1"/>
      <w:numFmt w:val="lowerLetter"/>
      <w:isLgl w:val="false"/>
      <w:suff w:val="tab"/>
      <w:lvlText w:val="%5)"/>
      <w:lvlJc w:val="left"/>
      <w:pPr>
        <w:pStyle w:val="863"/>
        <w:ind w:left="2100" w:hanging="420"/>
        <w:tabs>
          <w:tab w:val="num" w:pos="2100" w:leader="none"/>
        </w:tabs>
      </w:pPr>
    </w:lvl>
    <w:lvl w:ilvl="5">
      <w:start w:val="1"/>
      <w:numFmt w:val="lowerRoman"/>
      <w:isLgl w:val="false"/>
      <w:suff w:val="tab"/>
      <w:lvlText w:val="%6."/>
      <w:lvlJc w:val="right"/>
      <w:pPr>
        <w:pStyle w:val="863"/>
        <w:ind w:left="2520" w:hanging="420"/>
        <w:tabs>
          <w:tab w:val="num" w:pos="2520" w:leader="none"/>
        </w:tabs>
      </w:pPr>
    </w:lvl>
    <w:lvl w:ilvl="6">
      <w:start w:val="1"/>
      <w:numFmt w:val="decimal"/>
      <w:isLgl w:val="false"/>
      <w:suff w:val="tab"/>
      <w:lvlText w:val="%7."/>
      <w:lvlJc w:val="left"/>
      <w:pPr>
        <w:pStyle w:val="863"/>
        <w:ind w:left="2940" w:hanging="420"/>
        <w:tabs>
          <w:tab w:val="num" w:pos="2940" w:leader="none"/>
        </w:tabs>
      </w:pPr>
    </w:lvl>
    <w:lvl w:ilvl="7">
      <w:start w:val="1"/>
      <w:numFmt w:val="lowerLetter"/>
      <w:isLgl w:val="false"/>
      <w:suff w:val="tab"/>
      <w:lvlText w:val="%8)"/>
      <w:lvlJc w:val="left"/>
      <w:pPr>
        <w:pStyle w:val="863"/>
        <w:ind w:left="3360" w:hanging="420"/>
        <w:tabs>
          <w:tab w:val="num" w:pos="3360" w:leader="none"/>
        </w:tabs>
      </w:pPr>
    </w:lvl>
    <w:lvl w:ilvl="8">
      <w:start w:val="1"/>
      <w:numFmt w:val="lowerRoman"/>
      <w:isLgl w:val="false"/>
      <w:suff w:val="tab"/>
      <w:lvlText w:val="%9."/>
      <w:lvlJc w:val="right"/>
      <w:pPr>
        <w:pStyle w:val="863"/>
        <w:ind w:left="3780" w:hanging="420"/>
        <w:tabs>
          <w:tab w:val="num" w:pos="3780" w:leader="none"/>
        </w:tabs>
      </w:pPr>
    </w:lvl>
  </w:abstractNum>
  <w:abstractNum w:abstractNumId="2">
    <w:multiLevelType w:val="hybridMultilevel"/>
    <w:lvl w:ilvl="0">
      <w:start w:val="1"/>
      <w:numFmt w:val="japaneseCounting"/>
      <w:isLgl w:val="false"/>
      <w:suff w:val="tab"/>
      <w:lvlText w:val="%1、"/>
      <w:lvlJc w:val="left"/>
      <w:pPr>
        <w:pStyle w:val="863"/>
        <w:ind w:left="600" w:hanging="420"/>
        <w:tabs>
          <w:tab w:val="num" w:pos="600" w:leader="none"/>
        </w:tabs>
      </w:pPr>
      <w:rPr>
        <w:rFonts w:hint="eastAsia"/>
      </w:rPr>
    </w:lvl>
    <w:lvl w:ilvl="1">
      <w:start w:val="1"/>
      <w:numFmt w:val="decimal"/>
      <w:isLgl w:val="false"/>
      <w:suff w:val="tab"/>
      <w:lvlText w:val="%2．"/>
      <w:lvlJc w:val="left"/>
      <w:pPr>
        <w:pStyle w:val="863"/>
        <w:ind w:left="780" w:hanging="360"/>
        <w:tabs>
          <w:tab w:val="num" w:pos="780" w:leader="none"/>
        </w:tabs>
      </w:pPr>
      <w:rPr>
        <w:rFonts w:hint="eastAsia"/>
      </w:rPr>
    </w:lvl>
    <w:lvl w:ilvl="2">
      <w:start w:val="1"/>
      <w:numFmt w:val="decimal"/>
      <w:isLgl w:val="false"/>
      <w:suff w:val="tab"/>
      <w:lvlText w:val="%3、"/>
      <w:lvlJc w:val="left"/>
      <w:pPr>
        <w:pStyle w:val="863"/>
        <w:ind w:left="1200" w:hanging="360"/>
        <w:tabs>
          <w:tab w:val="num" w:pos="1200" w:leader="none"/>
        </w:tabs>
      </w:pPr>
    </w:lvl>
    <w:lvl w:ilvl="3">
      <w:start w:val="1"/>
      <w:numFmt w:val="decimal"/>
      <w:isLgl w:val="false"/>
      <w:suff w:val="tab"/>
      <w:lvlText w:val="%4."/>
      <w:lvlJc w:val="left"/>
      <w:pPr>
        <w:pStyle w:val="863"/>
        <w:ind w:left="1680" w:hanging="420"/>
        <w:tabs>
          <w:tab w:val="num" w:pos="1680" w:leader="none"/>
        </w:tabs>
      </w:pPr>
    </w:lvl>
    <w:lvl w:ilvl="4">
      <w:start w:val="1"/>
      <w:numFmt w:val="lowerLetter"/>
      <w:isLgl w:val="false"/>
      <w:suff w:val="tab"/>
      <w:lvlText w:val="%5)"/>
      <w:lvlJc w:val="left"/>
      <w:pPr>
        <w:pStyle w:val="863"/>
        <w:ind w:left="2100" w:hanging="420"/>
        <w:tabs>
          <w:tab w:val="num" w:pos="2100" w:leader="none"/>
        </w:tabs>
      </w:pPr>
    </w:lvl>
    <w:lvl w:ilvl="5">
      <w:start w:val="1"/>
      <w:numFmt w:val="lowerRoman"/>
      <w:isLgl w:val="false"/>
      <w:suff w:val="tab"/>
      <w:lvlText w:val="%6."/>
      <w:lvlJc w:val="right"/>
      <w:pPr>
        <w:pStyle w:val="863"/>
        <w:ind w:left="2520" w:hanging="420"/>
        <w:tabs>
          <w:tab w:val="num" w:pos="2520" w:leader="none"/>
        </w:tabs>
      </w:pPr>
    </w:lvl>
    <w:lvl w:ilvl="6">
      <w:start w:val="1"/>
      <w:numFmt w:val="decimal"/>
      <w:isLgl w:val="false"/>
      <w:suff w:val="tab"/>
      <w:lvlText w:val="%7."/>
      <w:lvlJc w:val="left"/>
      <w:pPr>
        <w:pStyle w:val="863"/>
        <w:ind w:left="2940" w:hanging="420"/>
        <w:tabs>
          <w:tab w:val="num" w:pos="2940" w:leader="none"/>
        </w:tabs>
      </w:pPr>
    </w:lvl>
    <w:lvl w:ilvl="7">
      <w:start w:val="1"/>
      <w:numFmt w:val="lowerLetter"/>
      <w:isLgl w:val="false"/>
      <w:suff w:val="tab"/>
      <w:lvlText w:val="%8)"/>
      <w:lvlJc w:val="left"/>
      <w:pPr>
        <w:pStyle w:val="863"/>
        <w:ind w:left="3360" w:hanging="420"/>
        <w:tabs>
          <w:tab w:val="num" w:pos="3360" w:leader="none"/>
        </w:tabs>
      </w:pPr>
    </w:lvl>
    <w:lvl w:ilvl="8">
      <w:start w:val="1"/>
      <w:numFmt w:val="lowerRoman"/>
      <w:isLgl w:val="false"/>
      <w:suff w:val="tab"/>
      <w:lvlText w:val="%9."/>
      <w:lvlJc w:val="right"/>
      <w:pPr>
        <w:pStyle w:val="863"/>
        <w:ind w:left="3780" w:hanging="420"/>
        <w:tabs>
          <w:tab w:val="num" w:pos="3780" w:leader="none"/>
        </w:tabs>
      </w:pPr>
    </w:lvl>
  </w:abstractNum>
  <w:abstractNum w:abstractNumId="3">
    <w:multiLevelType w:val="hybridMultilevel"/>
    <w:lvl w:ilvl="0">
      <w:start w:val="1"/>
      <w:numFmt w:val="decimal"/>
      <w:pStyle w:val="1026"/>
      <w:isLgl w:val="false"/>
      <w:suff w:val="tab"/>
      <w:lvlText w:val="%1)"/>
      <w:lvlJc w:val="left"/>
      <w:pPr>
        <w:pStyle w:val="863"/>
        <w:ind w:left="420" w:hanging="420"/>
        <w:tabs>
          <w:tab w:val="num" w:pos="420" w:leader="none"/>
        </w:tabs>
      </w:pPr>
    </w:lvl>
    <w:lvl w:ilvl="1">
      <w:start w:val="1"/>
      <w:numFmt w:val="lowerLetter"/>
      <w:isLgl w:val="false"/>
      <w:suff w:val="tab"/>
      <w:lvlText w:val="%2)"/>
      <w:lvlJc w:val="left"/>
      <w:pPr>
        <w:pStyle w:val="863"/>
        <w:ind w:left="840" w:hanging="420"/>
        <w:tabs>
          <w:tab w:val="num" w:pos="840" w:leader="none"/>
        </w:tabs>
      </w:pPr>
    </w:lvl>
    <w:lvl w:ilvl="2">
      <w:start w:val="1"/>
      <w:numFmt w:val="lowerRoman"/>
      <w:isLgl w:val="false"/>
      <w:suff w:val="tab"/>
      <w:lvlText w:val="%3."/>
      <w:lvlJc w:val="right"/>
      <w:pPr>
        <w:pStyle w:val="863"/>
        <w:ind w:left="1260" w:hanging="420"/>
        <w:tabs>
          <w:tab w:val="num" w:pos="1260" w:leader="none"/>
        </w:tabs>
      </w:pPr>
    </w:lvl>
    <w:lvl w:ilvl="3">
      <w:start w:val="1"/>
      <w:numFmt w:val="decimal"/>
      <w:isLgl w:val="false"/>
      <w:suff w:val="tab"/>
      <w:lvlText w:val="%4."/>
      <w:lvlJc w:val="left"/>
      <w:pPr>
        <w:pStyle w:val="863"/>
        <w:ind w:left="1680" w:hanging="420"/>
        <w:tabs>
          <w:tab w:val="num" w:pos="1680" w:leader="none"/>
        </w:tabs>
      </w:pPr>
    </w:lvl>
    <w:lvl w:ilvl="4">
      <w:start w:val="1"/>
      <w:numFmt w:val="lowerLetter"/>
      <w:isLgl w:val="false"/>
      <w:suff w:val="tab"/>
      <w:lvlText w:val="%5)"/>
      <w:lvlJc w:val="left"/>
      <w:pPr>
        <w:pStyle w:val="863"/>
        <w:ind w:left="2100" w:hanging="420"/>
        <w:tabs>
          <w:tab w:val="num" w:pos="2100" w:leader="none"/>
        </w:tabs>
      </w:pPr>
    </w:lvl>
    <w:lvl w:ilvl="5">
      <w:start w:val="1"/>
      <w:numFmt w:val="lowerRoman"/>
      <w:isLgl w:val="false"/>
      <w:suff w:val="tab"/>
      <w:lvlText w:val="%6."/>
      <w:lvlJc w:val="right"/>
      <w:pPr>
        <w:pStyle w:val="863"/>
        <w:ind w:left="2520" w:hanging="420"/>
        <w:tabs>
          <w:tab w:val="num" w:pos="2520" w:leader="none"/>
        </w:tabs>
      </w:pPr>
    </w:lvl>
    <w:lvl w:ilvl="6">
      <w:start w:val="1"/>
      <w:numFmt w:val="decimal"/>
      <w:isLgl w:val="false"/>
      <w:suff w:val="tab"/>
      <w:lvlText w:val="%7."/>
      <w:lvlJc w:val="left"/>
      <w:pPr>
        <w:pStyle w:val="863"/>
        <w:ind w:left="2940" w:hanging="420"/>
        <w:tabs>
          <w:tab w:val="num" w:pos="2940" w:leader="none"/>
        </w:tabs>
      </w:pPr>
    </w:lvl>
    <w:lvl w:ilvl="7">
      <w:start w:val="1"/>
      <w:numFmt w:val="lowerLetter"/>
      <w:isLgl w:val="false"/>
      <w:suff w:val="tab"/>
      <w:lvlText w:val="%8)"/>
      <w:lvlJc w:val="left"/>
      <w:pPr>
        <w:pStyle w:val="863"/>
        <w:ind w:left="3360" w:hanging="420"/>
        <w:tabs>
          <w:tab w:val="num" w:pos="3360" w:leader="none"/>
        </w:tabs>
      </w:pPr>
    </w:lvl>
    <w:lvl w:ilvl="8">
      <w:start w:val="1"/>
      <w:numFmt w:val="lowerRoman"/>
      <w:isLgl w:val="false"/>
      <w:suff w:val="tab"/>
      <w:lvlText w:val="%9."/>
      <w:lvlJc w:val="right"/>
      <w:pPr>
        <w:pStyle w:val="863"/>
        <w:ind w:left="3780" w:hanging="420"/>
        <w:tabs>
          <w:tab w:val="num" w:pos="3780" w:leader="none"/>
        </w:tabs>
      </w:pPr>
    </w:lvl>
  </w:abstractNum>
  <w:abstractNum w:abstractNumId="4">
    <w:multiLevelType w:val="hybridMultilevel"/>
    <w:lvl w:ilvl="0">
      <w:start w:val="1"/>
      <w:numFmt w:val="japaneseCounting"/>
      <w:isLgl w:val="false"/>
      <w:suff w:val="tab"/>
      <w:lvlText w:val="%1、"/>
      <w:lvlJc w:val="left"/>
      <w:pPr>
        <w:pStyle w:val="863"/>
        <w:ind w:left="420" w:hanging="420"/>
        <w:tabs>
          <w:tab w:val="num" w:pos="420" w:leader="none"/>
        </w:tabs>
      </w:pPr>
      <w:rPr>
        <w:rFonts w:hint="eastAsia"/>
        <w:b/>
      </w:rPr>
    </w:lvl>
    <w:lvl w:ilvl="1">
      <w:start w:val="1"/>
      <w:numFmt w:val="bullet"/>
      <w:isLgl w:val="false"/>
      <w:suff w:val="tab"/>
      <w:lvlText w:val=""/>
      <w:lvlJc w:val="left"/>
      <w:pPr>
        <w:pStyle w:val="863"/>
        <w:ind w:left="840" w:hanging="420"/>
        <w:tabs>
          <w:tab w:val="num" w:pos="840" w:leader="none"/>
        </w:tabs>
      </w:pPr>
      <w:rPr>
        <w:rFonts w:ascii="Wingdings" w:hAnsi="Wingdings" w:cs="Wingdings"/>
      </w:rPr>
    </w:lvl>
    <w:lvl w:ilvl="2">
      <w:start w:val="1"/>
      <w:numFmt w:val="lowerRoman"/>
      <w:isLgl w:val="false"/>
      <w:suff w:val="tab"/>
      <w:lvlText w:val="%3."/>
      <w:lvlJc w:val="right"/>
      <w:pPr>
        <w:pStyle w:val="863"/>
        <w:ind w:left="1260" w:hanging="420"/>
        <w:tabs>
          <w:tab w:val="num" w:pos="1260" w:leader="none"/>
        </w:tabs>
      </w:pPr>
    </w:lvl>
    <w:lvl w:ilvl="3">
      <w:start w:val="1"/>
      <w:numFmt w:val="decimal"/>
      <w:isLgl w:val="false"/>
      <w:suff w:val="tab"/>
      <w:lvlText w:val="%4."/>
      <w:lvlJc w:val="left"/>
      <w:pPr>
        <w:pStyle w:val="863"/>
        <w:ind w:left="1680" w:hanging="420"/>
        <w:tabs>
          <w:tab w:val="num" w:pos="1680" w:leader="none"/>
        </w:tabs>
      </w:pPr>
    </w:lvl>
    <w:lvl w:ilvl="4">
      <w:start w:val="1"/>
      <w:numFmt w:val="lowerLetter"/>
      <w:isLgl w:val="false"/>
      <w:suff w:val="tab"/>
      <w:lvlText w:val="%5)"/>
      <w:lvlJc w:val="left"/>
      <w:pPr>
        <w:pStyle w:val="863"/>
        <w:ind w:left="2100" w:hanging="420"/>
        <w:tabs>
          <w:tab w:val="num" w:pos="2100" w:leader="none"/>
        </w:tabs>
      </w:pPr>
    </w:lvl>
    <w:lvl w:ilvl="5">
      <w:start w:val="1"/>
      <w:numFmt w:val="lowerRoman"/>
      <w:isLgl w:val="false"/>
      <w:suff w:val="tab"/>
      <w:lvlText w:val="%6."/>
      <w:lvlJc w:val="right"/>
      <w:pPr>
        <w:pStyle w:val="863"/>
        <w:ind w:left="2520" w:hanging="420"/>
        <w:tabs>
          <w:tab w:val="num" w:pos="2520" w:leader="none"/>
        </w:tabs>
      </w:pPr>
    </w:lvl>
    <w:lvl w:ilvl="6">
      <w:start w:val="1"/>
      <w:numFmt w:val="decimal"/>
      <w:isLgl w:val="false"/>
      <w:suff w:val="tab"/>
      <w:lvlText w:val="%7."/>
      <w:lvlJc w:val="left"/>
      <w:pPr>
        <w:pStyle w:val="863"/>
        <w:ind w:left="2940" w:hanging="420"/>
        <w:tabs>
          <w:tab w:val="num" w:pos="2940" w:leader="none"/>
        </w:tabs>
      </w:pPr>
    </w:lvl>
    <w:lvl w:ilvl="7">
      <w:start w:val="1"/>
      <w:numFmt w:val="lowerLetter"/>
      <w:isLgl w:val="false"/>
      <w:suff w:val="tab"/>
      <w:lvlText w:val="%8)"/>
      <w:lvlJc w:val="left"/>
      <w:pPr>
        <w:pStyle w:val="863"/>
        <w:ind w:left="3360" w:hanging="420"/>
        <w:tabs>
          <w:tab w:val="num" w:pos="3360" w:leader="none"/>
        </w:tabs>
      </w:pPr>
    </w:lvl>
    <w:lvl w:ilvl="8">
      <w:start w:val="1"/>
      <w:numFmt w:val="lowerRoman"/>
      <w:isLgl w:val="false"/>
      <w:suff w:val="tab"/>
      <w:lvlText w:val="%9."/>
      <w:lvlJc w:val="right"/>
      <w:pPr>
        <w:pStyle w:val="863"/>
        <w:ind w:left="3780" w:hanging="420"/>
        <w:tabs>
          <w:tab w:val="num" w:pos="3780" w:leader="none"/>
        </w:tabs>
      </w:pPr>
    </w:lvl>
  </w:abstractNum>
  <w:abstractNum w:abstractNumId="5">
    <w:multiLevelType w:val="hybridMultilevel"/>
    <w:lvl w:ilvl="0">
      <w:start w:val="1"/>
      <w:numFmt w:val="decimal"/>
      <w:isLgl w:val="false"/>
      <w:suff w:val="tab"/>
      <w:lvlText w:val="%1."/>
      <w:lvlJc w:val="left"/>
      <w:pPr>
        <w:pStyle w:val="863"/>
        <w:ind w:left="420" w:hanging="420"/>
        <w:tabs>
          <w:tab w:val="num" w:pos="420" w:leader="none"/>
        </w:tabs>
      </w:pPr>
      <w:rPr>
        <w:rFonts w:hint="eastAsia"/>
      </w:rPr>
    </w:lvl>
    <w:lvl w:ilvl="1">
      <w:start w:val="1"/>
      <w:numFmt w:val="lowerLetter"/>
      <w:isLgl w:val="false"/>
      <w:suff w:val="tab"/>
      <w:lvlText w:val="%2)"/>
      <w:lvlJc w:val="left"/>
      <w:pPr>
        <w:pStyle w:val="863"/>
        <w:ind w:left="840" w:hanging="420"/>
        <w:tabs>
          <w:tab w:val="num" w:pos="840" w:leader="none"/>
        </w:tabs>
      </w:pPr>
    </w:lvl>
    <w:lvl w:ilvl="2">
      <w:start w:val="1"/>
      <w:numFmt w:val="lowerRoman"/>
      <w:isLgl w:val="false"/>
      <w:suff w:val="tab"/>
      <w:lvlText w:val="%3."/>
      <w:lvlJc w:val="right"/>
      <w:pPr>
        <w:pStyle w:val="863"/>
        <w:ind w:left="1260" w:hanging="420"/>
        <w:tabs>
          <w:tab w:val="num" w:pos="1260" w:leader="none"/>
        </w:tabs>
      </w:pPr>
    </w:lvl>
    <w:lvl w:ilvl="3">
      <w:start w:val="1"/>
      <w:numFmt w:val="decimal"/>
      <w:isLgl w:val="false"/>
      <w:suff w:val="tab"/>
      <w:lvlText w:val="%4."/>
      <w:lvlJc w:val="left"/>
      <w:pPr>
        <w:pStyle w:val="863"/>
        <w:ind w:left="1680" w:hanging="420"/>
        <w:tabs>
          <w:tab w:val="num" w:pos="1680" w:leader="none"/>
        </w:tabs>
      </w:pPr>
    </w:lvl>
    <w:lvl w:ilvl="4">
      <w:start w:val="1"/>
      <w:numFmt w:val="lowerLetter"/>
      <w:isLgl w:val="false"/>
      <w:suff w:val="tab"/>
      <w:lvlText w:val="%5)"/>
      <w:lvlJc w:val="left"/>
      <w:pPr>
        <w:pStyle w:val="863"/>
        <w:ind w:left="2100" w:hanging="420"/>
        <w:tabs>
          <w:tab w:val="num" w:pos="2100" w:leader="none"/>
        </w:tabs>
      </w:pPr>
    </w:lvl>
    <w:lvl w:ilvl="5">
      <w:start w:val="1"/>
      <w:numFmt w:val="lowerRoman"/>
      <w:isLgl w:val="false"/>
      <w:suff w:val="tab"/>
      <w:lvlText w:val="%6."/>
      <w:lvlJc w:val="right"/>
      <w:pPr>
        <w:pStyle w:val="863"/>
        <w:ind w:left="2520" w:hanging="420"/>
        <w:tabs>
          <w:tab w:val="num" w:pos="2520" w:leader="none"/>
        </w:tabs>
      </w:pPr>
    </w:lvl>
    <w:lvl w:ilvl="6">
      <w:start w:val="1"/>
      <w:numFmt w:val="decimal"/>
      <w:isLgl w:val="false"/>
      <w:suff w:val="tab"/>
      <w:lvlText w:val="%7."/>
      <w:lvlJc w:val="left"/>
      <w:pPr>
        <w:pStyle w:val="863"/>
        <w:ind w:left="2940" w:hanging="420"/>
        <w:tabs>
          <w:tab w:val="num" w:pos="2940" w:leader="none"/>
        </w:tabs>
      </w:pPr>
    </w:lvl>
    <w:lvl w:ilvl="7">
      <w:start w:val="1"/>
      <w:numFmt w:val="lowerLetter"/>
      <w:isLgl w:val="false"/>
      <w:suff w:val="tab"/>
      <w:lvlText w:val="%8)"/>
      <w:lvlJc w:val="left"/>
      <w:pPr>
        <w:pStyle w:val="863"/>
        <w:ind w:left="3360" w:hanging="420"/>
        <w:tabs>
          <w:tab w:val="num" w:pos="3360" w:leader="none"/>
        </w:tabs>
      </w:pPr>
    </w:lvl>
    <w:lvl w:ilvl="8">
      <w:start w:val="1"/>
      <w:numFmt w:val="lowerRoman"/>
      <w:isLgl w:val="false"/>
      <w:suff w:val="tab"/>
      <w:lvlText w:val="%9."/>
      <w:lvlJc w:val="right"/>
      <w:pPr>
        <w:pStyle w:val="863"/>
        <w:ind w:left="3780" w:hanging="420"/>
        <w:tabs>
          <w:tab w:val="num" w:pos="3780" w:leader="none"/>
        </w:tabs>
      </w:pPr>
    </w:lvl>
  </w:abstractNum>
  <w:abstractNum w:abstractNumId="6">
    <w:multiLevelType w:val="hybridMultilevel"/>
    <w:lvl w:ilvl="0">
      <w:start w:val="1"/>
      <w:numFmt w:val="decimal"/>
      <w:isLgl w:val="false"/>
      <w:suff w:val="tab"/>
      <w:lvlText w:val="%1."/>
      <w:lvlJc w:val="left"/>
      <w:pPr>
        <w:pStyle w:val="863"/>
        <w:ind w:left="425" w:hanging="425"/>
        <w:tabs>
          <w:tab w:val="num" w:pos="425" w:leader="none"/>
        </w:tabs>
      </w:pPr>
    </w:lvl>
    <w:lvl w:ilvl="1">
      <w:start w:val="1"/>
      <w:numFmt w:val="decimal"/>
      <w:isLgl w:val="false"/>
      <w:suff w:val="tab"/>
      <w:lvlText w:val="%1.%2."/>
      <w:lvlJc w:val="left"/>
      <w:pPr>
        <w:pStyle w:val="863"/>
        <w:ind w:left="567" w:hanging="567"/>
        <w:tabs>
          <w:tab w:val="num" w:pos="567" w:leader="none"/>
        </w:tabs>
      </w:pPr>
    </w:lvl>
    <w:lvl w:ilvl="2">
      <w:start w:val="1"/>
      <w:numFmt w:val="decimal"/>
      <w:isLgl w:val="false"/>
      <w:suff w:val="tab"/>
      <w:lvlText w:val="%1.%2.%3."/>
      <w:lvlJc w:val="left"/>
      <w:pPr>
        <w:pStyle w:val="863"/>
        <w:ind w:left="1069" w:hanging="709"/>
        <w:tabs>
          <w:tab w:val="num" w:pos="1069" w:leader="none"/>
        </w:tabs>
      </w:pPr>
    </w:lvl>
    <w:lvl w:ilvl="3">
      <w:start w:val="1"/>
      <w:numFmt w:val="decimal"/>
      <w:isLgl w:val="false"/>
      <w:suff w:val="tab"/>
      <w:lvlText w:val="%1.%2.%3.%4."/>
      <w:lvlJc w:val="left"/>
      <w:pPr>
        <w:pStyle w:val="863"/>
        <w:ind w:left="851" w:hanging="851"/>
        <w:tabs>
          <w:tab w:val="num" w:pos="851" w:leader="none"/>
        </w:tabs>
      </w:pPr>
    </w:lvl>
    <w:lvl w:ilvl="4">
      <w:start w:val="1"/>
      <w:numFmt w:val="decimal"/>
      <w:isLgl w:val="false"/>
      <w:suff w:val="tab"/>
      <w:lvlText w:val="%1.%2.%3.%4.%5."/>
      <w:lvlJc w:val="left"/>
      <w:pPr>
        <w:pStyle w:val="863"/>
        <w:ind w:left="992" w:hanging="992"/>
        <w:tabs>
          <w:tab w:val="num" w:pos="992" w:leader="none"/>
        </w:tabs>
      </w:pPr>
    </w:lvl>
    <w:lvl w:ilvl="5">
      <w:start w:val="1"/>
      <w:numFmt w:val="decimal"/>
      <w:isLgl w:val="false"/>
      <w:suff w:val="tab"/>
      <w:lvlText w:val="%1.%2.%3.%4.%5.%6."/>
      <w:lvlJc w:val="left"/>
      <w:pPr>
        <w:pStyle w:val="863"/>
        <w:ind w:left="1134" w:hanging="1134"/>
        <w:tabs>
          <w:tab w:val="num" w:pos="1134" w:leader="none"/>
        </w:tabs>
      </w:pPr>
    </w:lvl>
    <w:lvl w:ilvl="6">
      <w:start w:val="1"/>
      <w:numFmt w:val="decimal"/>
      <w:isLgl w:val="false"/>
      <w:suff w:val="tab"/>
      <w:lvlText w:val="%1.%2.%3.%4.%5.%6.%7."/>
      <w:lvlJc w:val="left"/>
      <w:pPr>
        <w:pStyle w:val="863"/>
        <w:ind w:left="1276" w:hanging="1276"/>
        <w:tabs>
          <w:tab w:val="num" w:pos="1276" w:leader="none"/>
        </w:tabs>
      </w:pPr>
    </w:lvl>
    <w:lvl w:ilvl="7">
      <w:start w:val="1"/>
      <w:numFmt w:val="decimal"/>
      <w:isLgl w:val="false"/>
      <w:suff w:val="tab"/>
      <w:lvlText w:val="%1.%2.%3.%4.%5.%6.%7.%8."/>
      <w:lvlJc w:val="left"/>
      <w:pPr>
        <w:pStyle w:val="863"/>
        <w:ind w:left="1418" w:hanging="1418"/>
        <w:tabs>
          <w:tab w:val="num" w:pos="1418" w:leader="none"/>
        </w:tabs>
      </w:pPr>
    </w:lvl>
    <w:lvl w:ilvl="8">
      <w:start w:val="1"/>
      <w:numFmt w:val="decimal"/>
      <w:isLgl w:val="false"/>
      <w:suff w:val="tab"/>
      <w:lvlText w:val="%1.%2.%3.%4.%5.%6.%7.%8.%9."/>
      <w:lvlJc w:val="left"/>
      <w:pPr>
        <w:pStyle w:val="863"/>
        <w:ind w:left="1559" w:hanging="1559"/>
        <w:tabs>
          <w:tab w:val="num" w:pos="1559" w:leader="none"/>
        </w:tabs>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4"/>
  </w:num>
  <w:num w:numId="6">
    <w:abstractNumId w:val="0"/>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863"/>
    <w:next w:val="863"/>
    <w:link w:val="687"/>
    <w:uiPriority w:val="9"/>
    <w:qFormat/>
    <w:pPr>
      <w:keepLines/>
      <w:keepNext/>
      <w:spacing w:before="480" w:after="200"/>
      <w:outlineLvl w:val="0"/>
    </w:pPr>
    <w:rPr>
      <w:rFonts w:ascii="Arial" w:hAnsi="Arial" w:eastAsia="Arial" w:cs="Arial"/>
      <w:sz w:val="40"/>
      <w:szCs w:val="40"/>
    </w:rPr>
  </w:style>
  <w:style w:type="character" w:styleId="687">
    <w:name w:val="Heading 1 Char"/>
    <w:link w:val="686"/>
    <w:uiPriority w:val="9"/>
    <w:rPr>
      <w:rFonts w:ascii="Arial" w:hAnsi="Arial" w:eastAsia="Arial" w:cs="Arial"/>
      <w:sz w:val="40"/>
      <w:szCs w:val="40"/>
    </w:rPr>
  </w:style>
  <w:style w:type="paragraph" w:styleId="688">
    <w:name w:val="Heading 2"/>
    <w:basedOn w:val="863"/>
    <w:next w:val="863"/>
    <w:link w:val="689"/>
    <w:uiPriority w:val="9"/>
    <w:unhideWhenUsed/>
    <w:qFormat/>
    <w:pPr>
      <w:keepLines/>
      <w:keepNext/>
      <w:spacing w:before="360" w:after="200"/>
      <w:outlineLvl w:val="1"/>
    </w:pPr>
    <w:rPr>
      <w:rFonts w:ascii="Arial" w:hAnsi="Arial" w:eastAsia="Arial" w:cs="Arial"/>
      <w:sz w:val="34"/>
    </w:rPr>
  </w:style>
  <w:style w:type="character" w:styleId="689">
    <w:name w:val="Heading 2 Char"/>
    <w:link w:val="688"/>
    <w:uiPriority w:val="9"/>
    <w:rPr>
      <w:rFonts w:ascii="Arial" w:hAnsi="Arial" w:eastAsia="Arial" w:cs="Arial"/>
      <w:sz w:val="34"/>
    </w:rPr>
  </w:style>
  <w:style w:type="paragraph" w:styleId="690">
    <w:name w:val="Heading 3"/>
    <w:basedOn w:val="863"/>
    <w:next w:val="863"/>
    <w:link w:val="691"/>
    <w:uiPriority w:val="9"/>
    <w:unhideWhenUsed/>
    <w:qFormat/>
    <w:pPr>
      <w:keepLines/>
      <w:keepNext/>
      <w:spacing w:before="320" w:after="200"/>
      <w:outlineLvl w:val="2"/>
    </w:pPr>
    <w:rPr>
      <w:rFonts w:ascii="Arial" w:hAnsi="Arial" w:eastAsia="Arial" w:cs="Arial"/>
      <w:sz w:val="30"/>
      <w:szCs w:val="30"/>
    </w:rPr>
  </w:style>
  <w:style w:type="character" w:styleId="691">
    <w:name w:val="Heading 3 Char"/>
    <w:link w:val="690"/>
    <w:uiPriority w:val="9"/>
    <w:rPr>
      <w:rFonts w:ascii="Arial" w:hAnsi="Arial" w:eastAsia="Arial" w:cs="Arial"/>
      <w:sz w:val="30"/>
      <w:szCs w:val="30"/>
    </w:rPr>
  </w:style>
  <w:style w:type="paragraph" w:styleId="692">
    <w:name w:val="Heading 4"/>
    <w:basedOn w:val="863"/>
    <w:next w:val="863"/>
    <w:link w:val="693"/>
    <w:uiPriority w:val="9"/>
    <w:unhideWhenUsed/>
    <w:qFormat/>
    <w:pPr>
      <w:keepLines/>
      <w:keepNext/>
      <w:spacing w:before="320" w:after="200"/>
      <w:outlineLvl w:val="3"/>
    </w:pPr>
    <w:rPr>
      <w:rFonts w:ascii="Arial" w:hAnsi="Arial" w:eastAsia="Arial" w:cs="Arial"/>
      <w:b/>
      <w:bCs/>
      <w:sz w:val="26"/>
      <w:szCs w:val="26"/>
    </w:rPr>
  </w:style>
  <w:style w:type="character" w:styleId="693">
    <w:name w:val="Heading 4 Char"/>
    <w:link w:val="692"/>
    <w:uiPriority w:val="9"/>
    <w:rPr>
      <w:rFonts w:ascii="Arial" w:hAnsi="Arial" w:eastAsia="Arial" w:cs="Arial"/>
      <w:b/>
      <w:bCs/>
      <w:sz w:val="26"/>
      <w:szCs w:val="26"/>
    </w:rPr>
  </w:style>
  <w:style w:type="paragraph" w:styleId="694">
    <w:name w:val="Heading 5"/>
    <w:basedOn w:val="863"/>
    <w:next w:val="863"/>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link w:val="694"/>
    <w:uiPriority w:val="9"/>
    <w:rPr>
      <w:rFonts w:ascii="Arial" w:hAnsi="Arial" w:eastAsia="Arial" w:cs="Arial"/>
      <w:b/>
      <w:bCs/>
      <w:sz w:val="24"/>
      <w:szCs w:val="24"/>
    </w:rPr>
  </w:style>
  <w:style w:type="paragraph" w:styleId="696">
    <w:name w:val="Heading 6"/>
    <w:basedOn w:val="863"/>
    <w:next w:val="863"/>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link w:val="696"/>
    <w:uiPriority w:val="9"/>
    <w:rPr>
      <w:rFonts w:ascii="Arial" w:hAnsi="Arial" w:eastAsia="Arial" w:cs="Arial"/>
      <w:b/>
      <w:bCs/>
      <w:sz w:val="22"/>
      <w:szCs w:val="22"/>
    </w:rPr>
  </w:style>
  <w:style w:type="paragraph" w:styleId="698">
    <w:name w:val="Heading 7"/>
    <w:basedOn w:val="863"/>
    <w:next w:val="863"/>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link w:val="698"/>
    <w:uiPriority w:val="9"/>
    <w:rPr>
      <w:rFonts w:ascii="Arial" w:hAnsi="Arial" w:eastAsia="Arial" w:cs="Arial"/>
      <w:b/>
      <w:bCs/>
      <w:i/>
      <w:iCs/>
      <w:sz w:val="22"/>
      <w:szCs w:val="22"/>
    </w:rPr>
  </w:style>
  <w:style w:type="paragraph" w:styleId="700">
    <w:name w:val="Heading 8"/>
    <w:basedOn w:val="863"/>
    <w:next w:val="863"/>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link w:val="700"/>
    <w:uiPriority w:val="9"/>
    <w:rPr>
      <w:rFonts w:ascii="Arial" w:hAnsi="Arial" w:eastAsia="Arial" w:cs="Arial"/>
      <w:i/>
      <w:iCs/>
      <w:sz w:val="22"/>
      <w:szCs w:val="22"/>
    </w:rPr>
  </w:style>
  <w:style w:type="paragraph" w:styleId="702">
    <w:name w:val="Heading 9"/>
    <w:basedOn w:val="863"/>
    <w:next w:val="863"/>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link w:val="702"/>
    <w:uiPriority w:val="9"/>
    <w:rPr>
      <w:rFonts w:ascii="Arial" w:hAnsi="Arial" w:eastAsia="Arial" w:cs="Arial"/>
      <w:i/>
      <w:iCs/>
      <w:sz w:val="21"/>
      <w:szCs w:val="21"/>
    </w:rPr>
  </w:style>
  <w:style w:type="paragraph" w:styleId="704">
    <w:name w:val="No Spacing"/>
    <w:uiPriority w:val="1"/>
    <w:qFormat/>
    <w:pPr>
      <w:spacing w:before="0" w:after="0" w:line="240" w:lineRule="auto"/>
    </w:pPr>
  </w:style>
  <w:style w:type="paragraph" w:styleId="705">
    <w:name w:val="Title"/>
    <w:basedOn w:val="863"/>
    <w:next w:val="863"/>
    <w:link w:val="706"/>
    <w:uiPriority w:val="10"/>
    <w:qFormat/>
    <w:pPr>
      <w:contextualSpacing/>
      <w:spacing w:before="300" w:after="200"/>
    </w:pPr>
    <w:rPr>
      <w:sz w:val="48"/>
      <w:szCs w:val="48"/>
    </w:rPr>
  </w:style>
  <w:style w:type="character" w:styleId="706">
    <w:name w:val="Title Char"/>
    <w:link w:val="705"/>
    <w:uiPriority w:val="10"/>
    <w:rPr>
      <w:sz w:val="48"/>
      <w:szCs w:val="48"/>
    </w:rPr>
  </w:style>
  <w:style w:type="paragraph" w:styleId="707">
    <w:name w:val="Subtitle"/>
    <w:basedOn w:val="863"/>
    <w:next w:val="863"/>
    <w:link w:val="708"/>
    <w:uiPriority w:val="11"/>
    <w:qFormat/>
    <w:pPr>
      <w:spacing w:before="200" w:after="200"/>
    </w:pPr>
    <w:rPr>
      <w:sz w:val="24"/>
      <w:szCs w:val="24"/>
    </w:rPr>
  </w:style>
  <w:style w:type="character" w:styleId="708">
    <w:name w:val="Subtitle Char"/>
    <w:link w:val="707"/>
    <w:uiPriority w:val="11"/>
    <w:rPr>
      <w:sz w:val="24"/>
      <w:szCs w:val="24"/>
    </w:rPr>
  </w:style>
  <w:style w:type="paragraph" w:styleId="709">
    <w:name w:val="Quote"/>
    <w:basedOn w:val="863"/>
    <w:next w:val="863"/>
    <w:link w:val="710"/>
    <w:uiPriority w:val="29"/>
    <w:qFormat/>
    <w:pPr>
      <w:ind w:left="720" w:right="720"/>
    </w:pPr>
    <w:rPr>
      <w:i/>
    </w:rPr>
  </w:style>
  <w:style w:type="character" w:styleId="710">
    <w:name w:val="Quote Char"/>
    <w:link w:val="709"/>
    <w:uiPriority w:val="29"/>
    <w:rPr>
      <w:i/>
    </w:rPr>
  </w:style>
  <w:style w:type="paragraph" w:styleId="711">
    <w:name w:val="Intense Quote"/>
    <w:basedOn w:val="863"/>
    <w:next w:val="863"/>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Intense Quote Char"/>
    <w:link w:val="711"/>
    <w:uiPriority w:val="30"/>
    <w:rPr>
      <w:i/>
    </w:rPr>
  </w:style>
  <w:style w:type="paragraph" w:styleId="713">
    <w:name w:val="Header"/>
    <w:basedOn w:val="863"/>
    <w:link w:val="714"/>
    <w:uiPriority w:val="99"/>
    <w:unhideWhenUsed/>
    <w:pPr>
      <w:spacing w:after="0" w:line="240" w:lineRule="auto"/>
      <w:tabs>
        <w:tab w:val="center" w:pos="7143" w:leader="none"/>
        <w:tab w:val="right" w:pos="14287" w:leader="none"/>
      </w:tabs>
    </w:pPr>
  </w:style>
  <w:style w:type="character" w:styleId="714">
    <w:name w:val="Header Char"/>
    <w:link w:val="713"/>
    <w:uiPriority w:val="99"/>
  </w:style>
  <w:style w:type="paragraph" w:styleId="715">
    <w:name w:val="Footer"/>
    <w:basedOn w:val="863"/>
    <w:link w:val="718"/>
    <w:uiPriority w:val="99"/>
    <w:unhideWhenUsed/>
    <w:pPr>
      <w:spacing w:after="0" w:line="240" w:lineRule="auto"/>
      <w:tabs>
        <w:tab w:val="center" w:pos="7143" w:leader="none"/>
        <w:tab w:val="right" w:pos="14287" w:leader="none"/>
      </w:tabs>
    </w:pPr>
  </w:style>
  <w:style w:type="character" w:styleId="716">
    <w:name w:val="Footer Char"/>
    <w:link w:val="715"/>
    <w:uiPriority w:val="99"/>
  </w:style>
  <w:style w:type="paragraph" w:styleId="717">
    <w:name w:val="Caption"/>
    <w:basedOn w:val="863"/>
    <w:next w:val="863"/>
    <w:uiPriority w:val="35"/>
    <w:semiHidden/>
    <w:unhideWhenUsed/>
    <w:qFormat/>
    <w:pPr>
      <w:spacing w:line="276" w:lineRule="auto"/>
    </w:pPr>
    <w:rPr>
      <w:b/>
      <w:bCs/>
      <w:color w:val="4f81bd" w:themeColor="accent1"/>
      <w:sz w:val="18"/>
      <w:szCs w:val="18"/>
    </w:rPr>
  </w:style>
  <w:style w:type="character" w:styleId="718">
    <w:name w:val="Caption Char"/>
    <w:basedOn w:val="717"/>
    <w:link w:val="715"/>
    <w:uiPriority w:val="99"/>
  </w:style>
  <w:style w:type="table" w:styleId="7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5">
    <w:name w:val="Hyperlink"/>
    <w:uiPriority w:val="99"/>
    <w:unhideWhenUsed/>
    <w:rPr>
      <w:color w:val="0000ff" w:themeColor="hyperlink"/>
      <w:u w:val="single"/>
    </w:rPr>
  </w:style>
  <w:style w:type="paragraph" w:styleId="846">
    <w:name w:val="footnote text"/>
    <w:basedOn w:val="863"/>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uiPriority w:val="99"/>
    <w:unhideWhenUsed/>
    <w:rPr>
      <w:vertAlign w:val="superscript"/>
    </w:rPr>
  </w:style>
  <w:style w:type="paragraph" w:styleId="849">
    <w:name w:val="endnote text"/>
    <w:basedOn w:val="86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uiPriority w:val="99"/>
    <w:semiHidden/>
    <w:unhideWhenUsed/>
    <w:rPr>
      <w:vertAlign w:val="superscript"/>
    </w:rPr>
  </w:style>
  <w:style w:type="paragraph" w:styleId="852">
    <w:name w:val="toc 1"/>
    <w:basedOn w:val="863"/>
    <w:next w:val="863"/>
    <w:uiPriority w:val="39"/>
    <w:unhideWhenUsed/>
    <w:pPr>
      <w:ind w:left="0" w:right="0" w:firstLine="0"/>
      <w:spacing w:after="57"/>
    </w:pPr>
  </w:style>
  <w:style w:type="paragraph" w:styleId="853">
    <w:name w:val="toc 2"/>
    <w:basedOn w:val="863"/>
    <w:next w:val="863"/>
    <w:uiPriority w:val="39"/>
    <w:unhideWhenUsed/>
    <w:pPr>
      <w:ind w:left="283" w:right="0" w:firstLine="0"/>
      <w:spacing w:after="57"/>
    </w:pPr>
  </w:style>
  <w:style w:type="paragraph" w:styleId="854">
    <w:name w:val="toc 3"/>
    <w:basedOn w:val="863"/>
    <w:next w:val="863"/>
    <w:uiPriority w:val="39"/>
    <w:unhideWhenUsed/>
    <w:pPr>
      <w:ind w:left="567" w:right="0" w:firstLine="0"/>
      <w:spacing w:after="57"/>
    </w:pPr>
  </w:style>
  <w:style w:type="paragraph" w:styleId="855">
    <w:name w:val="toc 4"/>
    <w:basedOn w:val="863"/>
    <w:next w:val="863"/>
    <w:uiPriority w:val="39"/>
    <w:unhideWhenUsed/>
    <w:pPr>
      <w:ind w:left="850" w:right="0" w:firstLine="0"/>
      <w:spacing w:after="57"/>
    </w:pPr>
  </w:style>
  <w:style w:type="paragraph" w:styleId="856">
    <w:name w:val="toc 5"/>
    <w:basedOn w:val="863"/>
    <w:next w:val="863"/>
    <w:uiPriority w:val="39"/>
    <w:unhideWhenUsed/>
    <w:pPr>
      <w:ind w:left="1134" w:right="0" w:firstLine="0"/>
      <w:spacing w:after="57"/>
    </w:pPr>
  </w:style>
  <w:style w:type="paragraph" w:styleId="857">
    <w:name w:val="toc 6"/>
    <w:basedOn w:val="863"/>
    <w:next w:val="863"/>
    <w:uiPriority w:val="39"/>
    <w:unhideWhenUsed/>
    <w:pPr>
      <w:ind w:left="1417" w:right="0" w:firstLine="0"/>
      <w:spacing w:after="57"/>
    </w:pPr>
  </w:style>
  <w:style w:type="paragraph" w:styleId="858">
    <w:name w:val="toc 7"/>
    <w:basedOn w:val="863"/>
    <w:next w:val="863"/>
    <w:uiPriority w:val="39"/>
    <w:unhideWhenUsed/>
    <w:pPr>
      <w:ind w:left="1701" w:right="0" w:firstLine="0"/>
      <w:spacing w:after="57"/>
    </w:pPr>
  </w:style>
  <w:style w:type="paragraph" w:styleId="859">
    <w:name w:val="toc 8"/>
    <w:basedOn w:val="863"/>
    <w:next w:val="863"/>
    <w:uiPriority w:val="39"/>
    <w:unhideWhenUsed/>
    <w:pPr>
      <w:ind w:left="1984" w:right="0" w:firstLine="0"/>
      <w:spacing w:after="57"/>
    </w:pPr>
  </w:style>
  <w:style w:type="paragraph" w:styleId="860">
    <w:name w:val="toc 9"/>
    <w:basedOn w:val="863"/>
    <w:next w:val="863"/>
    <w:uiPriority w:val="39"/>
    <w:unhideWhenUsed/>
    <w:pPr>
      <w:ind w:left="2268" w:right="0" w:firstLine="0"/>
      <w:spacing w:after="57"/>
    </w:p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next w:val="875"/>
    <w:link w:val="863"/>
    <w:qFormat/>
    <w:pPr>
      <w:jc w:val="both"/>
      <w:widowControl w:val="off"/>
    </w:pPr>
    <w:rPr>
      <w:rFonts w:ascii="宋体" w:hAnsi="宋体" w:cs="宋体"/>
      <w:sz w:val="24"/>
      <w:szCs w:val="24"/>
      <w:lang w:val="en-US" w:eastAsia="zh-CN" w:bidi="ar-SA"/>
    </w:rPr>
  </w:style>
  <w:style w:type="paragraph" w:styleId="864">
    <w:name w:val="标题 1"/>
    <w:basedOn w:val="863"/>
    <w:next w:val="863"/>
    <w:link w:val="878"/>
    <w:qFormat/>
    <w:pPr>
      <w:ind w:left="432" w:hanging="432"/>
      <w:keepLines/>
      <w:keepNext/>
      <w:spacing w:before="340" w:after="330" w:line="578" w:lineRule="auto"/>
      <w:tabs>
        <w:tab w:val="left" w:pos="432" w:leader="none"/>
      </w:tabs>
      <w:outlineLvl w:val="0"/>
    </w:pPr>
    <w:rPr>
      <w:rFonts w:ascii="Calibri" w:hAnsi="Calibri" w:cs="Times New Roman"/>
      <w:b/>
      <w:bCs/>
      <w:sz w:val="44"/>
      <w:szCs w:val="44"/>
    </w:rPr>
  </w:style>
  <w:style w:type="paragraph" w:styleId="865">
    <w:name w:val="标题 2"/>
    <w:basedOn w:val="863"/>
    <w:next w:val="863"/>
    <w:link w:val="879"/>
    <w:qFormat/>
    <w:pPr>
      <w:ind w:left="576" w:hanging="576"/>
      <w:keepLines/>
      <w:keepNext/>
      <w:spacing w:before="260" w:after="260" w:line="416" w:lineRule="auto"/>
      <w:tabs>
        <w:tab w:val="left" w:pos="576" w:leader="none"/>
      </w:tabs>
      <w:outlineLvl w:val="1"/>
    </w:pPr>
    <w:rPr>
      <w:rFonts w:ascii="Arial" w:hAnsi="Arial" w:eastAsia="黑体" w:cs="Times New Roman"/>
      <w:b/>
      <w:bCs/>
      <w:sz w:val="32"/>
      <w:szCs w:val="32"/>
    </w:rPr>
  </w:style>
  <w:style w:type="paragraph" w:styleId="866">
    <w:name w:val="标题 3"/>
    <w:basedOn w:val="863"/>
    <w:next w:val="863"/>
    <w:link w:val="880"/>
    <w:qFormat/>
    <w:pPr>
      <w:ind w:left="720" w:hanging="720"/>
      <w:keepLines/>
      <w:keepNext/>
      <w:spacing w:before="260" w:after="260" w:line="416" w:lineRule="auto"/>
      <w:tabs>
        <w:tab w:val="left" w:pos="1080" w:leader="none"/>
      </w:tabs>
      <w:outlineLvl w:val="2"/>
    </w:pPr>
    <w:rPr>
      <w:rFonts w:ascii="Calibri" w:hAnsi="Calibri" w:cs="Times New Roman"/>
      <w:b/>
      <w:bCs/>
      <w:sz w:val="32"/>
      <w:szCs w:val="32"/>
    </w:rPr>
  </w:style>
  <w:style w:type="paragraph" w:styleId="867">
    <w:name w:val="标题 4"/>
    <w:basedOn w:val="863"/>
    <w:next w:val="882"/>
    <w:link w:val="881"/>
    <w:qFormat/>
    <w:pPr>
      <w:ind w:left="864" w:hanging="864"/>
      <w:keepLines/>
      <w:keepNext/>
      <w:spacing w:before="280" w:after="290" w:line="376" w:lineRule="auto"/>
      <w:tabs>
        <w:tab w:val="left" w:pos="1440" w:leader="none"/>
      </w:tabs>
      <w:outlineLvl w:val="3"/>
    </w:pPr>
    <w:rPr>
      <w:rFonts w:ascii="Cambria" w:hAnsi="Cambria" w:cs="Times New Roman"/>
      <w:b/>
      <w:bCs/>
      <w:sz w:val="28"/>
      <w:szCs w:val="28"/>
    </w:rPr>
  </w:style>
  <w:style w:type="paragraph" w:styleId="868">
    <w:name w:val="标题 5"/>
    <w:basedOn w:val="863"/>
    <w:next w:val="882"/>
    <w:link w:val="884"/>
    <w:qFormat/>
    <w:pPr>
      <w:ind w:left="1008" w:hanging="1008"/>
      <w:keepLines/>
      <w:keepNext/>
      <w:spacing w:before="280" w:after="290" w:line="376" w:lineRule="auto"/>
      <w:tabs>
        <w:tab w:val="left" w:pos="1800" w:leader="none"/>
      </w:tabs>
      <w:outlineLvl w:val="4"/>
    </w:pPr>
    <w:rPr>
      <w:rFonts w:cs="Times New Roman"/>
      <w:b/>
      <w:bCs/>
      <w:sz w:val="28"/>
      <w:szCs w:val="28"/>
    </w:rPr>
  </w:style>
  <w:style w:type="paragraph" w:styleId="869">
    <w:name w:val="标题 6"/>
    <w:basedOn w:val="863"/>
    <w:next w:val="882"/>
    <w:link w:val="885"/>
    <w:qFormat/>
    <w:pPr>
      <w:ind w:left="1152" w:hanging="1152"/>
      <w:keepLines/>
      <w:keepNext/>
      <w:spacing w:before="240" w:after="64" w:line="320" w:lineRule="auto"/>
      <w:tabs>
        <w:tab w:val="left" w:pos="1152" w:leader="none"/>
      </w:tabs>
      <w:outlineLvl w:val="5"/>
    </w:pPr>
    <w:rPr>
      <w:rFonts w:ascii="Cambria" w:hAnsi="Cambria" w:cs="Times New Roman"/>
      <w:b/>
      <w:bCs/>
    </w:rPr>
  </w:style>
  <w:style w:type="paragraph" w:styleId="870">
    <w:name w:val="标题 7"/>
    <w:basedOn w:val="863"/>
    <w:next w:val="882"/>
    <w:link w:val="886"/>
    <w:qFormat/>
    <w:pPr>
      <w:ind w:left="1296" w:hanging="1296"/>
      <w:keepLines/>
      <w:keepNext/>
      <w:spacing w:before="240" w:after="64" w:line="320" w:lineRule="auto"/>
      <w:tabs>
        <w:tab w:val="left" w:pos="1296" w:leader="none"/>
      </w:tabs>
      <w:outlineLvl w:val="6"/>
    </w:pPr>
    <w:rPr>
      <w:rFonts w:cs="Times New Roman"/>
      <w:b/>
      <w:bCs/>
    </w:rPr>
  </w:style>
  <w:style w:type="paragraph" w:styleId="871">
    <w:name w:val="标题 8"/>
    <w:basedOn w:val="863"/>
    <w:next w:val="882"/>
    <w:link w:val="887"/>
    <w:qFormat/>
    <w:pPr>
      <w:ind w:left="1440" w:hanging="1440"/>
      <w:keepLines/>
      <w:keepNext/>
      <w:spacing w:before="240" w:after="64" w:line="320" w:lineRule="auto"/>
      <w:tabs>
        <w:tab w:val="left" w:pos="1440" w:leader="none"/>
      </w:tabs>
      <w:outlineLvl w:val="7"/>
    </w:pPr>
    <w:rPr>
      <w:rFonts w:ascii="Cambria" w:hAnsi="Cambria" w:cs="Times New Roman"/>
    </w:rPr>
  </w:style>
  <w:style w:type="paragraph" w:styleId="872">
    <w:name w:val="标题 9"/>
    <w:basedOn w:val="863"/>
    <w:next w:val="882"/>
    <w:link w:val="888"/>
    <w:qFormat/>
    <w:pPr>
      <w:ind w:left="1584" w:hanging="1584"/>
      <w:keepLines/>
      <w:keepNext/>
      <w:spacing w:before="240" w:after="64" w:line="320" w:lineRule="auto"/>
      <w:tabs>
        <w:tab w:val="left" w:pos="1584" w:leader="none"/>
      </w:tabs>
      <w:outlineLvl w:val="8"/>
    </w:pPr>
    <w:rPr>
      <w:rFonts w:ascii="Cambria" w:hAnsi="Cambria" w:cs="Times New Roman"/>
      <w:sz w:val="20"/>
      <w:szCs w:val="21"/>
    </w:rPr>
  </w:style>
  <w:style w:type="character" w:styleId="873">
    <w:name w:val="默认段落字体"/>
    <w:next w:val="873"/>
    <w:link w:val="863"/>
    <w:rPr>
      <w:rFonts w:ascii="Calibri" w:hAnsi="Calibri" w:eastAsia="宋体" w:cs="Times New Roman"/>
    </w:rPr>
  </w:style>
  <w:style w:type="table" w:styleId="874">
    <w:name w:val="普通表格"/>
    <w:next w:val="874"/>
    <w:link w:val="863"/>
    <w:rPr>
      <w:rFonts w:ascii="Calibri" w:hAnsi="Calibri" w:eastAsia="宋体" w:cs="Times New Roman"/>
    </w:rPr>
    <w:tblPr/>
  </w:style>
  <w:style w:type="paragraph" w:styleId="875">
    <w:name w:val="正文首行缩进 2"/>
    <w:basedOn w:val="876"/>
    <w:next w:val="863"/>
    <w:link w:val="863"/>
    <w:pPr>
      <w:ind w:left="420" w:firstLine="420"/>
      <w:spacing w:after="120" w:line="240" w:lineRule="auto"/>
    </w:pPr>
    <w:rPr>
      <w:sz w:val="21"/>
      <w:szCs w:val="24"/>
    </w:rPr>
  </w:style>
  <w:style w:type="paragraph" w:styleId="876">
    <w:name w:val="正文文本缩进"/>
    <w:basedOn w:val="863"/>
    <w:next w:val="863"/>
    <w:link w:val="877"/>
    <w:pPr>
      <w:ind w:firstLine="420"/>
      <w:spacing w:line="360" w:lineRule="exact"/>
    </w:pPr>
    <w:rPr>
      <w:rFonts w:cs="Times New Roman"/>
    </w:rPr>
  </w:style>
  <w:style w:type="character" w:styleId="877">
    <w:name w:val="正文文本缩进 字符"/>
    <w:next w:val="877"/>
    <w:link w:val="876"/>
    <w:rPr>
      <w:rFonts w:ascii="宋体" w:hAnsi="宋体" w:eastAsia="宋体" w:cs="宋体"/>
      <w:sz w:val="24"/>
      <w:szCs w:val="24"/>
    </w:rPr>
  </w:style>
  <w:style w:type="character" w:styleId="878">
    <w:name w:val="标题 1 字符"/>
    <w:next w:val="878"/>
    <w:link w:val="864"/>
    <w:rPr>
      <w:rFonts w:ascii="Calibri" w:hAnsi="Calibri" w:eastAsia="宋体" w:cs="Times New Roman"/>
      <w:b/>
      <w:bCs/>
      <w:sz w:val="44"/>
      <w:szCs w:val="44"/>
    </w:rPr>
  </w:style>
  <w:style w:type="character" w:styleId="879">
    <w:name w:val="标题 2 字符"/>
    <w:next w:val="879"/>
    <w:link w:val="865"/>
    <w:rPr>
      <w:rFonts w:ascii="Arial" w:hAnsi="Arial" w:eastAsia="黑体" w:cs="Arial"/>
      <w:b/>
      <w:bCs/>
      <w:sz w:val="32"/>
      <w:szCs w:val="32"/>
    </w:rPr>
  </w:style>
  <w:style w:type="character" w:styleId="880">
    <w:name w:val="标题 3 字符"/>
    <w:next w:val="880"/>
    <w:link w:val="866"/>
    <w:rPr>
      <w:rFonts w:ascii="Calibri" w:hAnsi="Calibri" w:eastAsia="宋体" w:cs="Times New Roman"/>
      <w:b/>
      <w:bCs/>
      <w:sz w:val="32"/>
      <w:szCs w:val="32"/>
    </w:rPr>
  </w:style>
  <w:style w:type="character" w:styleId="881">
    <w:name w:val="标题 4 字符1"/>
    <w:next w:val="881"/>
    <w:link w:val="867"/>
    <w:rPr>
      <w:rFonts w:ascii="Cambria" w:hAnsi="Cambria" w:eastAsia="宋体" w:cs="Times New Roman"/>
      <w:b/>
      <w:bCs/>
      <w:sz w:val="28"/>
      <w:szCs w:val="28"/>
    </w:rPr>
  </w:style>
  <w:style w:type="paragraph" w:styleId="882">
    <w:name w:val="正文缩进"/>
    <w:basedOn w:val="863"/>
    <w:next w:val="863"/>
    <w:link w:val="883"/>
    <w:qFormat/>
    <w:pPr>
      <w:ind w:firstLine="420"/>
      <w:jc w:val="left"/>
    </w:pPr>
    <w:rPr>
      <w:rFonts w:ascii="Calibri" w:hAnsi="Calibri" w:eastAsia="楷体_GB2312" w:cs="Times New Roman"/>
    </w:rPr>
  </w:style>
  <w:style w:type="character" w:styleId="883">
    <w:name w:val="正文缩进 字符"/>
    <w:next w:val="883"/>
    <w:link w:val="882"/>
    <w:qFormat/>
    <w:rPr>
      <w:rFonts w:ascii="Calibri" w:hAnsi="Calibri" w:eastAsia="楷体_GB2312" w:cs="Times New Roman"/>
      <w:sz w:val="24"/>
      <w:szCs w:val="24"/>
      <w:lang w:val="en-US" w:eastAsia="zh-CN"/>
    </w:rPr>
  </w:style>
  <w:style w:type="character" w:styleId="884">
    <w:name w:val="标题 5 字符"/>
    <w:next w:val="884"/>
    <w:link w:val="868"/>
    <w:rPr>
      <w:rFonts w:ascii="宋体" w:hAnsi="宋体" w:eastAsia="宋体" w:cs="宋体"/>
      <w:b/>
      <w:bCs/>
      <w:sz w:val="28"/>
      <w:szCs w:val="28"/>
    </w:rPr>
  </w:style>
  <w:style w:type="character" w:styleId="885">
    <w:name w:val="标题 6 字符"/>
    <w:next w:val="885"/>
    <w:link w:val="869"/>
    <w:rPr>
      <w:rFonts w:ascii="Cambria" w:hAnsi="Cambria" w:eastAsia="宋体" w:cs="Times New Roman"/>
      <w:b/>
      <w:bCs/>
      <w:sz w:val="24"/>
      <w:szCs w:val="24"/>
    </w:rPr>
  </w:style>
  <w:style w:type="character" w:styleId="886">
    <w:name w:val="标题 7 字符"/>
    <w:next w:val="886"/>
    <w:link w:val="870"/>
    <w:rPr>
      <w:rFonts w:ascii="宋体" w:hAnsi="宋体" w:eastAsia="宋体" w:cs="宋体"/>
      <w:b/>
      <w:bCs/>
      <w:sz w:val="24"/>
      <w:szCs w:val="24"/>
    </w:rPr>
  </w:style>
  <w:style w:type="character" w:styleId="887">
    <w:name w:val="标题 8 字符"/>
    <w:next w:val="887"/>
    <w:link w:val="871"/>
    <w:rPr>
      <w:rFonts w:ascii="Cambria" w:hAnsi="Cambria" w:eastAsia="宋体" w:cs="Times New Roman"/>
      <w:sz w:val="24"/>
      <w:szCs w:val="24"/>
    </w:rPr>
  </w:style>
  <w:style w:type="character" w:styleId="888">
    <w:name w:val="标题 9 字符"/>
    <w:next w:val="888"/>
    <w:link w:val="872"/>
    <w:rPr>
      <w:rFonts w:ascii="Cambria" w:hAnsi="Cambria" w:eastAsia="宋体" w:cs="Times New Roman"/>
      <w:szCs w:val="21"/>
    </w:rPr>
  </w:style>
  <w:style w:type="paragraph" w:styleId="889">
    <w:name w:val="目录 7"/>
    <w:basedOn w:val="864"/>
    <w:next w:val="863"/>
    <w:link w:val="863"/>
    <w:qFormat/>
    <w:pPr>
      <w:ind w:left="1640" w:firstLine="3784"/>
      <w:spacing w:before="0" w:after="0" w:line="360" w:lineRule="auto"/>
      <w:tabs>
        <w:tab w:val="left" w:pos="432" w:leader="none"/>
      </w:tabs>
    </w:pPr>
    <w:rPr>
      <w:rFonts w:ascii="Times New Roman" w:hAnsi="Times New Roman" w:cs="Times New Roman"/>
    </w:rPr>
  </w:style>
  <w:style w:type="paragraph" w:styleId="890">
    <w:name w:val="列表项目符号 4"/>
    <w:basedOn w:val="863"/>
    <w:next w:val="890"/>
    <w:link w:val="863"/>
    <w:pPr>
      <w:ind w:left="1620" w:hanging="360"/>
      <w:tabs>
        <w:tab w:val="left" w:pos="1620" w:leader="none"/>
      </w:tabs>
    </w:pPr>
    <w:rPr>
      <w:rFonts w:ascii="Times New Roman" w:hAnsi="Times New Roman" w:eastAsia="宋体" w:cs="Times New Roman"/>
      <w:sz w:val="21"/>
    </w:rPr>
  </w:style>
  <w:style w:type="paragraph" w:styleId="891">
    <w:name w:val="题注"/>
    <w:basedOn w:val="863"/>
    <w:next w:val="863"/>
    <w:link w:val="863"/>
    <w:uiPriority w:val="35"/>
    <w:qFormat/>
    <w:pPr>
      <w:ind w:firstLine="0"/>
      <w:jc w:val="center"/>
    </w:pPr>
    <w:rPr>
      <w:rFonts w:ascii="Cambria" w:hAnsi="Cambria" w:eastAsia="黑体" w:cs="Times New Roman"/>
      <w:sz w:val="21"/>
      <w:szCs w:val="21"/>
    </w:rPr>
  </w:style>
  <w:style w:type="paragraph" w:styleId="892">
    <w:name w:val="文档结构图"/>
    <w:basedOn w:val="863"/>
    <w:next w:val="894"/>
    <w:link w:val="893"/>
    <w:pPr>
      <w:jc w:val="left"/>
      <w:shd w:val="clear" w:color="auto" w:fill="000080"/>
      <w:widowControl/>
    </w:pPr>
    <w:rPr>
      <w:rFonts w:ascii="Calibri" w:hAnsi="Calibri" w:cs="Times New Roman"/>
    </w:rPr>
  </w:style>
  <w:style w:type="character" w:styleId="893">
    <w:name w:val="文档结构图 字符"/>
    <w:next w:val="893"/>
    <w:link w:val="892"/>
    <w:rPr>
      <w:rFonts w:ascii="Calibri" w:hAnsi="Calibri" w:eastAsia="宋体" w:cs="Times New Roman"/>
      <w:sz w:val="24"/>
      <w:szCs w:val="24"/>
      <w:shd w:val="clear" w:color="auto" w:fill="000080"/>
    </w:rPr>
  </w:style>
  <w:style w:type="paragraph" w:styleId="894">
    <w:name w:val="批注主题"/>
    <w:basedOn w:val="895"/>
    <w:next w:val="863"/>
    <w:link w:val="897"/>
    <w:pPr>
      <w:widowControl/>
    </w:pPr>
    <w:rPr>
      <w:rFonts w:ascii="Calibri" w:hAnsi="Calibri"/>
      <w:b/>
      <w:bCs/>
    </w:rPr>
  </w:style>
  <w:style w:type="paragraph" w:styleId="895">
    <w:name w:val="批注文字"/>
    <w:basedOn w:val="863"/>
    <w:next w:val="895"/>
    <w:link w:val="896"/>
    <w:uiPriority w:val="99"/>
    <w:pPr>
      <w:jc w:val="left"/>
    </w:pPr>
    <w:rPr>
      <w:rFonts w:cs="Times New Roman"/>
    </w:rPr>
  </w:style>
  <w:style w:type="character" w:styleId="896">
    <w:name w:val="批注文字 字符1"/>
    <w:next w:val="896"/>
    <w:link w:val="895"/>
    <w:uiPriority w:val="99"/>
    <w:rPr>
      <w:rFonts w:ascii="宋体" w:hAnsi="宋体" w:eastAsia="宋体" w:cs="宋体"/>
      <w:sz w:val="24"/>
      <w:szCs w:val="24"/>
    </w:rPr>
  </w:style>
  <w:style w:type="character" w:styleId="897">
    <w:name w:val="批注主题 字符"/>
    <w:next w:val="897"/>
    <w:link w:val="894"/>
    <w:rPr>
      <w:rFonts w:ascii="Calibri" w:hAnsi="Calibri" w:eastAsia="宋体" w:cs="Times New Roman"/>
      <w:b/>
      <w:bCs/>
      <w:sz w:val="24"/>
      <w:szCs w:val="24"/>
    </w:rPr>
  </w:style>
  <w:style w:type="paragraph" w:styleId="898">
    <w:name w:val="正文文本 3"/>
    <w:basedOn w:val="863"/>
    <w:next w:val="898"/>
    <w:link w:val="899"/>
    <w:pPr>
      <w:spacing w:line="500" w:lineRule="exact"/>
    </w:pPr>
    <w:rPr>
      <w:rFonts w:cs="Times New Roman"/>
      <w:sz w:val="16"/>
      <w:szCs w:val="16"/>
    </w:rPr>
  </w:style>
  <w:style w:type="character" w:styleId="899">
    <w:name w:val="正文文本 3 字符"/>
    <w:next w:val="899"/>
    <w:link w:val="898"/>
    <w:rPr>
      <w:rFonts w:ascii="宋体" w:hAnsi="宋体" w:eastAsia="宋体" w:cs="宋体"/>
      <w:sz w:val="16"/>
      <w:szCs w:val="16"/>
    </w:rPr>
  </w:style>
  <w:style w:type="paragraph" w:styleId="900">
    <w:name w:val="正文文本"/>
    <w:basedOn w:val="863"/>
    <w:next w:val="863"/>
    <w:link w:val="901"/>
    <w:rPr>
      <w:rFonts w:cs="Times New Roman"/>
    </w:rPr>
  </w:style>
  <w:style w:type="character" w:styleId="901">
    <w:name w:val="正文文本 字符"/>
    <w:next w:val="901"/>
    <w:link w:val="900"/>
    <w:rPr>
      <w:rFonts w:ascii="宋体" w:hAnsi="宋体" w:eastAsia="宋体" w:cs="宋体"/>
      <w:sz w:val="24"/>
      <w:szCs w:val="24"/>
    </w:rPr>
  </w:style>
  <w:style w:type="paragraph" w:styleId="902">
    <w:name w:val="列表 2"/>
    <w:basedOn w:val="864"/>
    <w:next w:val="889"/>
    <w:link w:val="863"/>
    <w:pPr>
      <w:contextualSpacing/>
      <w:ind w:left="100" w:hanging="200"/>
      <w:tabs>
        <w:tab w:val="left" w:pos="432" w:leader="none"/>
      </w:tabs>
    </w:pPr>
    <w:rPr>
      <w:rFonts w:ascii="Times New Roman" w:hAnsi="Times New Roman" w:eastAsia="宋体" w:cs="Times New Roman"/>
      <w:sz w:val="21"/>
    </w:rPr>
  </w:style>
  <w:style w:type="paragraph" w:styleId="903">
    <w:name w:val="文本块"/>
    <w:basedOn w:val="863"/>
    <w:next w:val="863"/>
    <w:link w:val="863"/>
    <w:pPr>
      <w:ind w:left="630" w:right="-609" w:firstLine="420"/>
      <w:spacing w:line="360" w:lineRule="auto"/>
    </w:pPr>
    <w:rPr>
      <w:rFonts w:hint="eastAsia" w:ascii="仿宋_GB2312" w:hAnsi="Times New Roman" w:eastAsia="仿宋_GB2312" w:cs="Times New Roman"/>
      <w:sz w:val="21"/>
      <w:szCs w:val="20"/>
    </w:rPr>
  </w:style>
  <w:style w:type="paragraph" w:styleId="904">
    <w:name w:val="纯文本"/>
    <w:basedOn w:val="863"/>
    <w:next w:val="904"/>
    <w:link w:val="905"/>
    <w:pPr>
      <w:jc w:val="left"/>
      <w:widowControl/>
    </w:pPr>
    <w:rPr>
      <w:rFonts w:hAnsi="Courier New" w:cs="Times New Roman"/>
      <w:sz w:val="21"/>
      <w:szCs w:val="21"/>
    </w:rPr>
  </w:style>
  <w:style w:type="character" w:styleId="905">
    <w:name w:val="纯文本 字符1"/>
    <w:next w:val="905"/>
    <w:link w:val="904"/>
    <w:rPr>
      <w:rFonts w:ascii="宋体" w:hAnsi="Courier New" w:eastAsia="宋体" w:cs="宋体"/>
      <w:sz w:val="21"/>
      <w:szCs w:val="21"/>
    </w:rPr>
  </w:style>
  <w:style w:type="paragraph" w:styleId="906">
    <w:name w:val="日期"/>
    <w:basedOn w:val="863"/>
    <w:next w:val="863"/>
    <w:link w:val="907"/>
    <w:rPr>
      <w:rFonts w:eastAsia="楷体_GB2312" w:cs="Times New Roman"/>
    </w:rPr>
  </w:style>
  <w:style w:type="character" w:styleId="907">
    <w:name w:val="日期 字符"/>
    <w:next w:val="907"/>
    <w:link w:val="906"/>
    <w:rPr>
      <w:rFonts w:ascii="宋体" w:hAnsi="宋体" w:eastAsia="楷体_GB2312" w:cs="宋体"/>
      <w:sz w:val="24"/>
      <w:szCs w:val="24"/>
    </w:rPr>
  </w:style>
  <w:style w:type="paragraph" w:styleId="908">
    <w:name w:val="正文文本缩进 2"/>
    <w:basedOn w:val="863"/>
    <w:next w:val="908"/>
    <w:link w:val="909"/>
    <w:pPr>
      <w:ind w:left="1" w:firstLine="480"/>
      <w:spacing w:line="400" w:lineRule="exact"/>
      <w:tabs>
        <w:tab w:val="left" w:pos="360" w:leader="none"/>
      </w:tabs>
    </w:pPr>
    <w:rPr>
      <w:rFonts w:cs="Times New Roman"/>
    </w:rPr>
  </w:style>
  <w:style w:type="character" w:styleId="909">
    <w:name w:val="正文文本缩进 2 字符"/>
    <w:next w:val="909"/>
    <w:link w:val="908"/>
    <w:rPr>
      <w:rFonts w:ascii="宋体" w:hAnsi="宋体" w:eastAsia="宋体" w:cs="宋体"/>
      <w:sz w:val="24"/>
      <w:szCs w:val="24"/>
    </w:rPr>
  </w:style>
  <w:style w:type="paragraph" w:styleId="910">
    <w:name w:val="批注框文本"/>
    <w:basedOn w:val="863"/>
    <w:next w:val="910"/>
    <w:link w:val="911"/>
    <w:rPr>
      <w:rFonts w:cs="Times New Roman"/>
      <w:sz w:val="16"/>
      <w:szCs w:val="16"/>
    </w:rPr>
  </w:style>
  <w:style w:type="character" w:styleId="911">
    <w:name w:val="批注框文本 字符"/>
    <w:next w:val="911"/>
    <w:link w:val="910"/>
    <w:rPr>
      <w:rFonts w:ascii="宋体" w:hAnsi="宋体" w:eastAsia="宋体" w:cs="宋体"/>
      <w:sz w:val="16"/>
      <w:szCs w:val="0"/>
    </w:rPr>
  </w:style>
  <w:style w:type="paragraph" w:styleId="912">
    <w:name w:val="页脚"/>
    <w:basedOn w:val="863"/>
    <w:next w:val="912"/>
    <w:link w:val="913"/>
    <w:pPr>
      <w:jc w:val="left"/>
      <w:tabs>
        <w:tab w:val="center" w:pos="4153" w:leader="none"/>
        <w:tab w:val="right" w:pos="8306" w:leader="none"/>
      </w:tabs>
    </w:pPr>
    <w:rPr>
      <w:rFonts w:ascii="Calibri" w:hAnsi="Calibri" w:cs="Times New Roman"/>
      <w:sz w:val="18"/>
      <w:szCs w:val="18"/>
    </w:rPr>
  </w:style>
  <w:style w:type="character" w:styleId="913">
    <w:name w:val="页脚 字符"/>
    <w:next w:val="913"/>
    <w:link w:val="912"/>
    <w:rPr>
      <w:rFonts w:ascii="Calibri" w:hAnsi="Calibri" w:eastAsia="宋体" w:cs="Times New Roman"/>
      <w:sz w:val="18"/>
      <w:szCs w:val="18"/>
    </w:rPr>
  </w:style>
  <w:style w:type="paragraph" w:styleId="914">
    <w:name w:val="寄信人地址"/>
    <w:basedOn w:val="863"/>
    <w:next w:val="914"/>
    <w:link w:val="863"/>
    <w:qFormat/>
    <w:pPr>
      <w:jc w:val="both"/>
      <w:widowControl w:val="off"/>
    </w:pPr>
    <w:rPr>
      <w:rFonts w:ascii="Arial" w:hAnsi="Arial" w:eastAsia="宋体" w:cs="Times New Roman"/>
      <w:sz w:val="21"/>
      <w:szCs w:val="24"/>
      <w:lang w:val="en-US" w:eastAsia="zh-CN" w:bidi="ar-SA"/>
    </w:rPr>
  </w:style>
  <w:style w:type="paragraph" w:styleId="915">
    <w:name w:val="页眉"/>
    <w:basedOn w:val="863"/>
    <w:next w:val="915"/>
    <w:link w:val="916"/>
    <w:pPr>
      <w:jc w:val="center"/>
      <w:tabs>
        <w:tab w:val="center" w:pos="4153" w:leader="none"/>
        <w:tab w:val="right" w:pos="8306" w:leader="none"/>
      </w:tabs>
      <w:pBdr>
        <w:bottom w:val="single" w:color="000000" w:sz="6" w:space="1"/>
      </w:pBdr>
    </w:pPr>
    <w:rPr>
      <w:rFonts w:ascii="Calibri" w:hAnsi="Calibri" w:cs="Times New Roman"/>
      <w:sz w:val="18"/>
      <w:szCs w:val="18"/>
    </w:rPr>
  </w:style>
  <w:style w:type="character" w:styleId="916">
    <w:name w:val="页眉 字符"/>
    <w:next w:val="916"/>
    <w:link w:val="915"/>
    <w:rPr>
      <w:rFonts w:ascii="Calibri" w:hAnsi="Calibri" w:eastAsia="宋体" w:cs="Times New Roman"/>
      <w:sz w:val="18"/>
      <w:szCs w:val="18"/>
    </w:rPr>
  </w:style>
  <w:style w:type="paragraph" w:styleId="917">
    <w:name w:val="目录 1"/>
    <w:basedOn w:val="863"/>
    <w:next w:val="863"/>
    <w:link w:val="863"/>
    <w:pPr>
      <w:jc w:val="left"/>
    </w:pPr>
    <w:rPr>
      <w:rFonts w:ascii="Times New Roman" w:hAnsi="Times New Roman" w:eastAsia="楷体_GB2312" w:cs="Times New Roman"/>
    </w:rPr>
  </w:style>
  <w:style w:type="paragraph" w:styleId="918">
    <w:name w:val="目录 4"/>
    <w:basedOn w:val="863"/>
    <w:next w:val="863"/>
    <w:link w:val="863"/>
    <w:qFormat/>
    <w:pPr>
      <w:ind w:left="630"/>
      <w:jc w:val="left"/>
    </w:pPr>
  </w:style>
  <w:style w:type="paragraph" w:styleId="919">
    <w:name w:val="副标题"/>
    <w:basedOn w:val="863"/>
    <w:next w:val="863"/>
    <w:link w:val="920"/>
    <w:qFormat/>
    <w:pPr>
      <w:jc w:val="center"/>
      <w:spacing w:before="240" w:after="60" w:line="312" w:lineRule="auto"/>
      <w:outlineLvl w:val="1"/>
    </w:pPr>
    <w:rPr>
      <w:rFonts w:ascii="Cambria" w:hAnsi="Cambria" w:cs="Times New Roman"/>
      <w:b/>
      <w:bCs/>
      <w:sz w:val="32"/>
      <w:szCs w:val="32"/>
    </w:rPr>
  </w:style>
  <w:style w:type="character" w:styleId="920">
    <w:name w:val="副标题 字符"/>
    <w:next w:val="920"/>
    <w:link w:val="919"/>
    <w:rPr>
      <w:rFonts w:ascii="Cambria" w:hAnsi="Cambria" w:eastAsia="宋体" w:cs="Times New Roman"/>
      <w:b/>
      <w:bCs/>
      <w:sz w:val="32"/>
      <w:szCs w:val="32"/>
    </w:rPr>
  </w:style>
  <w:style w:type="paragraph" w:styleId="921">
    <w:name w:val="列表"/>
    <w:next w:val="863"/>
    <w:link w:val="863"/>
    <w:qFormat/>
    <w:pPr>
      <w:ind w:left="200" w:hanging="200"/>
      <w:jc w:val="left"/>
      <w:widowControl/>
    </w:pPr>
    <w:rPr>
      <w:rFonts w:ascii="等线" w:hAnsi="等线" w:eastAsia="宋体" w:cs="宋体"/>
      <w:sz w:val="20"/>
      <w:szCs w:val="21"/>
      <w:lang w:val="en-US" w:eastAsia="zh-CN" w:bidi="ar-SA"/>
    </w:rPr>
  </w:style>
  <w:style w:type="paragraph" w:styleId="922">
    <w:name w:val="脚注文本"/>
    <w:basedOn w:val="863"/>
    <w:next w:val="903"/>
    <w:link w:val="923"/>
    <w:pPr>
      <w:jc w:val="left"/>
    </w:pPr>
    <w:rPr>
      <w:rFonts w:ascii="Calibri" w:hAnsi="Calibri" w:cs="Times New Roman"/>
      <w:sz w:val="18"/>
      <w:szCs w:val="18"/>
    </w:rPr>
  </w:style>
  <w:style w:type="character" w:styleId="923">
    <w:name w:val="脚注文本 字符"/>
    <w:next w:val="923"/>
    <w:link w:val="922"/>
    <w:rPr>
      <w:rFonts w:ascii="Calibri" w:hAnsi="Calibri" w:eastAsia="宋体" w:cs="Times New Roman"/>
      <w:sz w:val="18"/>
      <w:szCs w:val="18"/>
    </w:rPr>
  </w:style>
  <w:style w:type="paragraph" w:styleId="924">
    <w:name w:val="正文文本缩进 3"/>
    <w:basedOn w:val="863"/>
    <w:next w:val="924"/>
    <w:link w:val="925"/>
    <w:pPr>
      <w:ind w:firstLine="480"/>
      <w:spacing w:line="400" w:lineRule="exact"/>
    </w:pPr>
    <w:rPr>
      <w:rFonts w:hint="eastAsia" w:cs="Times New Roman"/>
      <w:sz w:val="16"/>
      <w:szCs w:val="16"/>
    </w:rPr>
  </w:style>
  <w:style w:type="character" w:styleId="925">
    <w:name w:val="正文文本缩进 3 字符"/>
    <w:next w:val="925"/>
    <w:link w:val="924"/>
    <w:rPr>
      <w:rFonts w:hint="eastAsia" w:ascii="宋体" w:hAnsi="宋体" w:eastAsia="宋体" w:cs="Times New Roman"/>
      <w:sz w:val="16"/>
      <w:szCs w:val="16"/>
    </w:rPr>
  </w:style>
  <w:style w:type="paragraph" w:styleId="926">
    <w:name w:val="正文文本 2"/>
    <w:basedOn w:val="863"/>
    <w:next w:val="926"/>
    <w:link w:val="927"/>
    <w:pPr>
      <w:spacing w:after="120" w:line="480" w:lineRule="auto"/>
    </w:pPr>
    <w:rPr>
      <w:rFonts w:cs="Times New Roman"/>
    </w:rPr>
  </w:style>
  <w:style w:type="character" w:styleId="927">
    <w:name w:val="正文文本 2 字符"/>
    <w:next w:val="927"/>
    <w:link w:val="926"/>
    <w:rPr>
      <w:rFonts w:ascii="宋体" w:hAnsi="宋体" w:eastAsia="宋体" w:cs="宋体"/>
      <w:sz w:val="24"/>
      <w:szCs w:val="24"/>
    </w:rPr>
  </w:style>
  <w:style w:type="paragraph" w:styleId="928">
    <w:name w:val="普通(网站)"/>
    <w:basedOn w:val="863"/>
    <w:next w:val="902"/>
    <w:link w:val="863"/>
    <w:uiPriority w:val="99"/>
    <w:qFormat/>
    <w:pPr>
      <w:ind w:left="15" w:right="15"/>
      <w:jc w:val="left"/>
      <w:spacing w:before="60" w:after="60" w:line="312" w:lineRule="auto"/>
      <w:widowControl/>
    </w:pPr>
    <w:rPr>
      <w:rFonts w:ascii="Arial Unicode MS" w:hAnsi="Arial Unicode MS" w:eastAsia="宋体" w:cs="Arial Unicode MS"/>
    </w:rPr>
  </w:style>
  <w:style w:type="paragraph" w:styleId="929">
    <w:name w:val="标题"/>
    <w:basedOn w:val="863"/>
    <w:next w:val="863"/>
    <w:link w:val="930"/>
    <w:qFormat/>
    <w:pPr>
      <w:jc w:val="center"/>
      <w:spacing w:before="240" w:after="60"/>
      <w:outlineLvl w:val="0"/>
    </w:pPr>
    <w:rPr>
      <w:rFonts w:ascii="Cambria" w:hAnsi="Cambria" w:cs="Times New Roman"/>
      <w:b/>
      <w:bCs/>
      <w:sz w:val="32"/>
      <w:szCs w:val="32"/>
    </w:rPr>
  </w:style>
  <w:style w:type="character" w:styleId="930">
    <w:name w:val="标题 字符"/>
    <w:next w:val="930"/>
    <w:link w:val="929"/>
    <w:rPr>
      <w:rFonts w:ascii="Cambria" w:hAnsi="Cambria" w:eastAsia="宋体" w:cs="Times New Roman"/>
      <w:b/>
      <w:bCs/>
      <w:sz w:val="32"/>
      <w:szCs w:val="32"/>
    </w:rPr>
  </w:style>
  <w:style w:type="paragraph" w:styleId="931">
    <w:name w:val="正文首行缩进"/>
    <w:basedOn w:val="900"/>
    <w:next w:val="931"/>
    <w:link w:val="932"/>
    <w:pPr>
      <w:ind w:firstLine="420"/>
      <w:spacing w:after="120"/>
    </w:pPr>
  </w:style>
  <w:style w:type="character" w:styleId="932">
    <w:name w:val="正文文本首行缩进 字符"/>
    <w:next w:val="932"/>
    <w:link w:val="931"/>
    <w:rPr>
      <w:rFonts w:ascii="宋体" w:hAnsi="宋体" w:eastAsia="宋体" w:cs="宋体"/>
      <w:sz w:val="24"/>
      <w:szCs w:val="24"/>
    </w:rPr>
  </w:style>
  <w:style w:type="table" w:styleId="933">
    <w:name w:val="网格型"/>
    <w:basedOn w:val="874"/>
    <w:next w:val="933"/>
    <w:link w:val="863"/>
    <w:pPr>
      <w:jc w:val="both"/>
      <w:widowControl w:val="off"/>
    </w:pPr>
    <w:rPr>
      <w:rFonts w:ascii="Calibri" w:hAnsi="Calibri" w:eastAsia="宋体" w:cs="Times New Roman"/>
    </w:rPr>
    <w:tblPr/>
  </w:style>
  <w:style w:type="character" w:styleId="934">
    <w:name w:val="要点"/>
    <w:next w:val="934"/>
    <w:link w:val="863"/>
    <w:qFormat/>
    <w:rPr>
      <w:rFonts w:ascii="Calibri" w:hAnsi="Calibri" w:eastAsia="宋体" w:cs="Times New Roman"/>
      <w:b/>
      <w:bCs/>
    </w:rPr>
  </w:style>
  <w:style w:type="character" w:styleId="935">
    <w:name w:val="页码"/>
    <w:next w:val="935"/>
    <w:link w:val="863"/>
    <w:rPr>
      <w:rFonts w:ascii="Calibri" w:hAnsi="Calibri" w:eastAsia="宋体" w:cs="Times New Roman"/>
    </w:rPr>
  </w:style>
  <w:style w:type="character" w:styleId="936">
    <w:name w:val="已访问的超链接"/>
    <w:next w:val="936"/>
    <w:link w:val="863"/>
    <w:rPr>
      <w:rFonts w:ascii="Calibri" w:hAnsi="Calibri" w:eastAsia="宋体" w:cs="Times New Roman"/>
      <w:color w:val="800080"/>
      <w:u w:val="none"/>
    </w:rPr>
  </w:style>
  <w:style w:type="character" w:styleId="937">
    <w:name w:val="强调"/>
    <w:next w:val="937"/>
    <w:link w:val="863"/>
    <w:uiPriority w:val="20"/>
    <w:qFormat/>
    <w:rPr>
      <w:rFonts w:ascii="Calibri" w:hAnsi="Calibri" w:eastAsia="宋体" w:cs="Times New Roman"/>
      <w:i w:val="0"/>
    </w:rPr>
  </w:style>
  <w:style w:type="character" w:styleId="938">
    <w:name w:val="超链接"/>
    <w:next w:val="938"/>
    <w:link w:val="863"/>
    <w:rPr>
      <w:rFonts w:ascii="Calibri" w:hAnsi="Calibri" w:eastAsia="宋体" w:cs="Times New Roman"/>
      <w:color w:val="333333"/>
      <w:u w:val="none"/>
    </w:rPr>
  </w:style>
  <w:style w:type="character" w:styleId="939">
    <w:name w:val="批注引用"/>
    <w:next w:val="939"/>
    <w:link w:val="863"/>
    <w:uiPriority w:val="99"/>
    <w:rPr>
      <w:rFonts w:ascii="Calibri" w:hAnsi="Calibri" w:eastAsia="宋体" w:cs="Times New Roman"/>
      <w:sz w:val="21"/>
      <w:szCs w:val="21"/>
    </w:rPr>
  </w:style>
  <w:style w:type="character" w:styleId="940">
    <w:name w:val="HTML 引文"/>
    <w:next w:val="940"/>
    <w:link w:val="863"/>
    <w:rPr>
      <w:rFonts w:ascii="Calibri" w:hAnsi="Calibri" w:eastAsia="宋体" w:cs="Times New Roman"/>
      <w:i w:val="0"/>
      <w:color w:val="008000"/>
      <w:szCs w:val="20"/>
    </w:rPr>
  </w:style>
  <w:style w:type="character" w:styleId="941">
    <w:name w:val="para1"/>
    <w:next w:val="941"/>
    <w:link w:val="863"/>
    <w:rPr>
      <w:rFonts w:ascii="Arial" w:hAnsi="Arial" w:eastAsia="宋体" w:cs="Arial"/>
      <w:sz w:val="18"/>
      <w:szCs w:val="18"/>
    </w:rPr>
  </w:style>
  <w:style w:type="character" w:styleId="942">
    <w:name w:val="列出段落 Char1"/>
    <w:next w:val="942"/>
    <w:link w:val="863"/>
    <w:rPr>
      <w:rFonts w:ascii="Calibri" w:hAnsi="Calibri"/>
    </w:rPr>
  </w:style>
  <w:style w:type="character" w:styleId="943">
    <w:name w:val="symbol2"/>
    <w:next w:val="943"/>
    <w:link w:val="863"/>
    <w:rPr>
      <w:rFonts w:ascii="微软雅黑" w:hAnsi="微软雅黑" w:eastAsia="微软雅黑" w:cs="微软雅黑"/>
      <w:color w:val="000000"/>
    </w:rPr>
  </w:style>
  <w:style w:type="character" w:styleId="944">
    <w:name w:val="图表中 居中加粗 Char"/>
    <w:next w:val="944"/>
    <w:link w:val="945"/>
    <w:rPr>
      <w:rFonts w:ascii="Calibri" w:hAnsi="Calibri" w:eastAsia="宋体" w:cs="宋体"/>
      <w:b/>
      <w:bCs/>
      <w:sz w:val="18"/>
      <w:szCs w:val="18"/>
    </w:rPr>
  </w:style>
  <w:style w:type="paragraph" w:styleId="945">
    <w:name w:val="图表中 居中加粗"/>
    <w:basedOn w:val="863"/>
    <w:next w:val="945"/>
    <w:link w:val="944"/>
    <w:pPr>
      <w:jc w:val="center"/>
      <w:spacing w:line="360" w:lineRule="auto"/>
    </w:pPr>
    <w:rPr>
      <w:rFonts w:ascii="Calibri" w:hAnsi="Calibri" w:cs="Times New Roman"/>
      <w:b/>
      <w:bCs/>
      <w:sz w:val="18"/>
      <w:szCs w:val="18"/>
    </w:rPr>
  </w:style>
  <w:style w:type="character" w:styleId="946">
    <w:name w:val="样式1 Char"/>
    <w:next w:val="946"/>
    <w:link w:val="947"/>
    <w:rPr>
      <w:sz w:val="21"/>
      <w:szCs w:val="21"/>
    </w:rPr>
  </w:style>
  <w:style w:type="paragraph" w:styleId="947">
    <w:name w:val="样式1"/>
    <w:basedOn w:val="863"/>
    <w:next w:val="947"/>
    <w:link w:val="946"/>
    <w:qFormat/>
    <w:pPr>
      <w:ind w:left="709" w:hanging="709"/>
      <w:tabs>
        <w:tab w:val="left" w:pos="709" w:leader="none"/>
      </w:tabs>
    </w:pPr>
    <w:rPr>
      <w:rFonts w:ascii="Times New Roman" w:hAnsi="Times New Roman" w:cs="Times New Roman"/>
      <w:sz w:val="21"/>
      <w:szCs w:val="21"/>
    </w:rPr>
  </w:style>
  <w:style w:type="character" w:styleId="948">
    <w:name w:val="样式7 Char"/>
    <w:next w:val="948"/>
    <w:link w:val="949"/>
    <w:rPr>
      <w:rFonts w:ascii="Cambria" w:hAnsi="Cambria" w:eastAsia="宋体" w:cs="Times New Roman"/>
      <w:b/>
      <w:bCs/>
      <w:sz w:val="28"/>
      <w:szCs w:val="28"/>
    </w:rPr>
  </w:style>
  <w:style w:type="paragraph" w:styleId="949">
    <w:name w:val="样式7"/>
    <w:basedOn w:val="867"/>
    <w:next w:val="949"/>
    <w:link w:val="948"/>
    <w:pPr>
      <w:numPr>
        <w:ilvl w:val="3"/>
        <w:numId w:val="0"/>
      </w:numPr>
      <w:ind w:left="3558" w:hanging="864"/>
      <w:tabs>
        <w:tab w:val="clear" w:pos="1440" w:leader="none"/>
      </w:tabs>
    </w:pPr>
  </w:style>
  <w:style w:type="character" w:styleId="950">
    <w:name w:val="symbol"/>
    <w:next w:val="950"/>
    <w:link w:val="863"/>
    <w:rPr>
      <w:rFonts w:ascii="微软雅黑" w:hAnsi="微软雅黑" w:eastAsia="微软雅黑" w:cs="微软雅黑"/>
      <w:color w:val="000000"/>
    </w:rPr>
  </w:style>
  <w:style w:type="character" w:styleId="951">
    <w:name w:val="badepic4"/>
    <w:next w:val="951"/>
    <w:link w:val="863"/>
    <w:rPr>
      <w:rFonts w:ascii="Calibri" w:hAnsi="Calibri" w:eastAsia="宋体" w:cs="Times New Roman"/>
    </w:rPr>
  </w:style>
  <w:style w:type="character" w:styleId="952">
    <w:name w:val="badepic"/>
    <w:next w:val="952"/>
    <w:link w:val="863"/>
    <w:rPr>
      <w:rFonts w:ascii="Calibri" w:hAnsi="Calibri" w:eastAsia="宋体" w:cs="Times New Roman"/>
    </w:rPr>
  </w:style>
  <w:style w:type="character" w:styleId="953">
    <w:name w:val="NormalCharacter1"/>
    <w:next w:val="953"/>
    <w:link w:val="863"/>
    <w:qFormat/>
  </w:style>
  <w:style w:type="character" w:styleId="954">
    <w:name w:val="正文文本缩进 3 Char"/>
    <w:next w:val="954"/>
    <w:link w:val="863"/>
    <w:rPr>
      <w:rFonts w:ascii="Calibri" w:hAnsi="Calibri" w:eastAsia="宋体" w:cs="Times New Roman"/>
      <w:sz w:val="24"/>
      <w:szCs w:val="24"/>
    </w:rPr>
  </w:style>
  <w:style w:type="character" w:styleId="955">
    <w:name w:val="Figure Char"/>
    <w:next w:val="955"/>
    <w:link w:val="956"/>
    <w:rPr>
      <w:rFonts w:ascii="Calibri" w:hAnsi="Calibri" w:eastAsia="宋体" w:cs="Times New Roman"/>
      <w:sz w:val="21"/>
      <w:szCs w:val="24"/>
    </w:rPr>
  </w:style>
  <w:style w:type="paragraph" w:styleId="956">
    <w:name w:val="Figure"/>
    <w:basedOn w:val="863"/>
    <w:next w:val="863"/>
    <w:link w:val="955"/>
    <w:pPr>
      <w:jc w:val="center"/>
      <w:keepLines/>
      <w:keepNext/>
    </w:pPr>
    <w:rPr>
      <w:rFonts w:ascii="Calibri" w:hAnsi="Calibri" w:cs="Times New Roman"/>
      <w:sz w:val="21"/>
    </w:rPr>
  </w:style>
  <w:style w:type="character" w:styleId="957">
    <w:name w:val="c-price1"/>
    <w:next w:val="957"/>
    <w:link w:val="863"/>
    <w:rPr>
      <w:rFonts w:ascii="Arial" w:hAnsi="Arial" w:eastAsia="宋体" w:cs="Arial"/>
      <w:color w:val="000000"/>
      <w:sz w:val="19"/>
      <w:szCs w:val="19"/>
    </w:rPr>
  </w:style>
  <w:style w:type="character" w:styleId="958">
    <w:name w:val="badepic5"/>
    <w:next w:val="958"/>
    <w:link w:val="863"/>
    <w:rPr>
      <w:rFonts w:ascii="Calibri" w:hAnsi="Calibri" w:eastAsia="宋体" w:cs="Times New Roman"/>
    </w:rPr>
  </w:style>
  <w:style w:type="character" w:styleId="959">
    <w:name w:val="s-price"/>
    <w:next w:val="959"/>
    <w:link w:val="863"/>
    <w:rPr>
      <w:rFonts w:ascii="Calibri" w:hAnsi="Calibri" w:eastAsia="宋体" w:cs="Times New Roman"/>
      <w:color w:val="000000"/>
    </w:rPr>
  </w:style>
  <w:style w:type="character" w:styleId="960">
    <w:name w:val="font91"/>
    <w:next w:val="960"/>
    <w:link w:val="863"/>
    <w:rPr>
      <w:rFonts w:hint="eastAsia" w:ascii="宋体" w:hAnsi="宋体" w:eastAsia="宋体" w:cs="宋体"/>
      <w:color w:val="000000"/>
      <w:sz w:val="18"/>
      <w:szCs w:val="18"/>
      <w:u w:val="none"/>
    </w:rPr>
  </w:style>
  <w:style w:type="character" w:styleId="961">
    <w:name w:val="DT T-Body Char"/>
    <w:next w:val="961"/>
    <w:link w:val="962"/>
    <w:rPr>
      <w:rFonts w:ascii="Trebuchet MS" w:hAnsi="Trebuchet MS"/>
      <w:sz w:val="22"/>
      <w:szCs w:val="22"/>
      <w:lang w:val="en-GB" w:eastAsia="en-US" w:bidi="ar-SA"/>
    </w:rPr>
  </w:style>
  <w:style w:type="paragraph" w:styleId="962">
    <w:name w:val="DT T-Body"/>
    <w:next w:val="962"/>
    <w:link w:val="961"/>
    <w:pPr>
      <w:spacing w:before="60" w:after="60" w:line="300" w:lineRule="auto"/>
    </w:pPr>
    <w:rPr>
      <w:rFonts w:ascii="Trebuchet MS" w:hAnsi="Trebuchet MS"/>
      <w:sz w:val="22"/>
      <w:szCs w:val="22"/>
      <w:lang w:val="en-GB" w:eastAsia="en-US" w:bidi="ar-SA"/>
    </w:rPr>
  </w:style>
  <w:style w:type="character" w:styleId="963">
    <w:name w:val="font61"/>
    <w:next w:val="963"/>
    <w:link w:val="863"/>
    <w:rPr>
      <w:rFonts w:ascii="Times New Roman" w:hAnsi="Times New Roman" w:eastAsia="宋体" w:cs="Times New Roman"/>
      <w:i w:val="0"/>
      <w:color w:val="000000"/>
      <w:sz w:val="20"/>
      <w:szCs w:val="20"/>
      <w:u w:val="none"/>
    </w:rPr>
  </w:style>
  <w:style w:type="character" w:styleId="964">
    <w:name w:val="c-price"/>
    <w:next w:val="964"/>
    <w:link w:val="863"/>
    <w:rPr>
      <w:rFonts w:ascii="Arial" w:hAnsi="Arial" w:eastAsia="宋体" w:cs="Arial"/>
      <w:color w:val="000000"/>
      <w:sz w:val="19"/>
      <w:szCs w:val="19"/>
    </w:rPr>
  </w:style>
  <w:style w:type="character" w:styleId="965">
    <w:name w:val="font21"/>
    <w:next w:val="965"/>
    <w:link w:val="863"/>
    <w:rPr>
      <w:rFonts w:ascii="宋体" w:hAnsi="宋体" w:eastAsia="宋体" w:cs="宋体"/>
      <w:color w:val="000000"/>
      <w:sz w:val="22"/>
      <w:szCs w:val="22"/>
      <w:u w:val="none"/>
      <w:vertAlign w:val="superscript"/>
    </w:rPr>
  </w:style>
  <w:style w:type="character" w:styleId="966">
    <w:name w:val="列表段落 字符"/>
    <w:next w:val="966"/>
    <w:link w:val="967"/>
    <w:rPr>
      <w:rFonts w:ascii="Calibri" w:hAnsi="Calibri" w:eastAsia="宋体" w:cs="Calibri"/>
      <w:sz w:val="22"/>
      <w:szCs w:val="22"/>
    </w:rPr>
  </w:style>
  <w:style w:type="paragraph" w:styleId="967">
    <w:name w:val="列表段落"/>
    <w:basedOn w:val="863"/>
    <w:next w:val="967"/>
    <w:link w:val="966"/>
    <w:qFormat/>
    <w:pPr>
      <w:ind w:firstLine="420"/>
    </w:pPr>
    <w:rPr>
      <w:rFonts w:ascii="Calibri" w:hAnsi="Calibri" w:cs="Times New Roman"/>
      <w:sz w:val="22"/>
      <w:szCs w:val="22"/>
    </w:rPr>
  </w:style>
  <w:style w:type="character" w:styleId="968">
    <w:name w:val="s-price1"/>
    <w:next w:val="968"/>
    <w:link w:val="863"/>
    <w:rPr>
      <w:rFonts w:ascii="Calibri" w:hAnsi="Calibri" w:eastAsia="宋体" w:cs="Times New Roman"/>
      <w:color w:val="000000"/>
    </w:rPr>
  </w:style>
  <w:style w:type="character" w:styleId="969">
    <w:name w:val="Char Char3"/>
    <w:next w:val="969"/>
    <w:link w:val="863"/>
    <w:rPr>
      <w:rFonts w:ascii="Calibri" w:hAnsi="Calibri" w:eastAsia="宋体" w:cs="Times New Roman"/>
      <w:sz w:val="24"/>
      <w:szCs w:val="24"/>
      <w:lang w:val="en-US" w:eastAsia="zh-CN" w:bidi="ar-SA"/>
    </w:rPr>
  </w:style>
  <w:style w:type="character" w:styleId="970">
    <w:name w:val="badepic2"/>
    <w:next w:val="970"/>
    <w:link w:val="863"/>
    <w:rPr>
      <w:rFonts w:ascii="Calibri" w:hAnsi="Calibri" w:eastAsia="宋体" w:cs="Times New Roman"/>
    </w:rPr>
  </w:style>
  <w:style w:type="character" w:styleId="971">
    <w:name w:val="font01"/>
    <w:next w:val="971"/>
    <w:link w:val="863"/>
    <w:rPr>
      <w:rFonts w:ascii="宋体" w:hAnsi="宋体" w:eastAsia="宋体" w:cs="宋体"/>
      <w:color w:val="000000"/>
      <w:sz w:val="20"/>
      <w:szCs w:val="20"/>
      <w:u w:val="none"/>
    </w:rPr>
  </w:style>
  <w:style w:type="character" w:styleId="972">
    <w:name w:val="Char Char13"/>
    <w:next w:val="972"/>
    <w:link w:val="863"/>
    <w:rPr>
      <w:rFonts w:ascii="Calibri" w:hAnsi="Calibri" w:eastAsia="楷体_GB2312" w:cs="Times New Roman"/>
      <w:sz w:val="24"/>
      <w:szCs w:val="24"/>
      <w:lang w:val="en-US" w:eastAsia="zh-CN"/>
    </w:rPr>
  </w:style>
  <w:style w:type="character" w:styleId="973">
    <w:name w:val="symbol3"/>
    <w:next w:val="973"/>
    <w:link w:val="863"/>
    <w:rPr>
      <w:rFonts w:ascii="Calibri" w:hAnsi="Calibri" w:eastAsia="宋体" w:cs="Times New Roman"/>
      <w:color w:val="000000"/>
    </w:rPr>
  </w:style>
  <w:style w:type="character" w:styleId="974">
    <w:name w:val="p141"/>
    <w:next w:val="974"/>
    <w:link w:val="863"/>
    <w:rPr>
      <w:rFonts w:ascii="Calibri" w:hAnsi="Calibri" w:eastAsia="宋体" w:cs="Times New Roman"/>
      <w:color w:val="000000"/>
      <w:sz w:val="28"/>
      <w:szCs w:val="28"/>
      <w:u w:val="none"/>
    </w:rPr>
  </w:style>
  <w:style w:type="character" w:styleId="975">
    <w:name w:val="表格 Char Char"/>
    <w:next w:val="975"/>
    <w:link w:val="976"/>
    <w:rPr>
      <w:rFonts w:ascii="宋体" w:hAnsi="宋体" w:eastAsia="宋体" w:cs="Times New Roman"/>
    </w:rPr>
  </w:style>
  <w:style w:type="paragraph" w:styleId="976">
    <w:name w:val="表格"/>
    <w:basedOn w:val="863"/>
    <w:next w:val="976"/>
    <w:link w:val="975"/>
    <w:rPr>
      <w:rFonts w:cs="Times New Roman"/>
      <w:sz w:val="20"/>
      <w:szCs w:val="20"/>
    </w:rPr>
  </w:style>
  <w:style w:type="character" w:styleId="977">
    <w:name w:val="标题 Char1"/>
    <w:next w:val="977"/>
    <w:link w:val="863"/>
    <w:rPr>
      <w:rFonts w:ascii="Cambria" w:hAnsi="Cambria" w:eastAsia="宋体" w:cs="Times New Roman"/>
      <w:b/>
      <w:bCs/>
      <w:sz w:val="32"/>
      <w:szCs w:val="32"/>
    </w:rPr>
  </w:style>
  <w:style w:type="character" w:styleId="978">
    <w:name w:val="font101"/>
    <w:next w:val="978"/>
    <w:link w:val="863"/>
    <w:qFormat/>
    <w:rPr>
      <w:rFonts w:ascii="Arial" w:hAnsi="Arial" w:cs="Arial"/>
      <w:color w:val="000000"/>
      <w:sz w:val="20"/>
      <w:szCs w:val="20"/>
      <w:u w:val="none"/>
    </w:rPr>
  </w:style>
  <w:style w:type="character" w:styleId="979">
    <w:name w:val="常规 Char"/>
    <w:next w:val="979"/>
    <w:link w:val="980"/>
    <w:rPr>
      <w:rFonts w:ascii="Calibri" w:hAnsi="Calibri" w:eastAsia="宋体" w:cs="Times New Roman"/>
      <w:sz w:val="21"/>
      <w:szCs w:val="21"/>
    </w:rPr>
  </w:style>
  <w:style w:type="paragraph" w:styleId="980">
    <w:name w:val="常规"/>
    <w:basedOn w:val="863"/>
    <w:next w:val="980"/>
    <w:link w:val="979"/>
    <w:pPr>
      <w:ind w:left="1134"/>
      <w:spacing w:before="100" w:after="100"/>
    </w:pPr>
    <w:rPr>
      <w:rFonts w:ascii="Calibri" w:hAnsi="Calibri" w:cs="Times New Roman"/>
      <w:sz w:val="21"/>
      <w:szCs w:val="21"/>
    </w:rPr>
  </w:style>
  <w:style w:type="character" w:styleId="981">
    <w:name w:val="Item List Char"/>
    <w:next w:val="981"/>
    <w:link w:val="982"/>
    <w:rPr>
      <w:rFonts w:ascii="Calibri" w:hAnsi="Calibri" w:eastAsia="宋体" w:cs="Times New Roman"/>
      <w:sz w:val="21"/>
      <w:szCs w:val="24"/>
    </w:rPr>
  </w:style>
  <w:style w:type="paragraph" w:styleId="982">
    <w:name w:val="Item List"/>
    <w:basedOn w:val="863"/>
    <w:next w:val="982"/>
    <w:link w:val="981"/>
    <w:pPr>
      <w:ind w:left="1701" w:hanging="567"/>
      <w:jc w:val="left"/>
      <w:spacing w:after="50"/>
      <w:tabs>
        <w:tab w:val="left" w:pos="420" w:leader="none"/>
        <w:tab w:val="left" w:pos="1701" w:leader="none"/>
      </w:tabs>
    </w:pPr>
    <w:rPr>
      <w:rFonts w:ascii="Calibri" w:hAnsi="Calibri" w:cs="Times New Roman"/>
      <w:sz w:val="21"/>
    </w:rPr>
  </w:style>
  <w:style w:type="character" w:styleId="983">
    <w:name w:val="font31"/>
    <w:next w:val="983"/>
    <w:link w:val="863"/>
    <w:rPr>
      <w:rFonts w:hint="eastAsia" w:ascii="宋体" w:hAnsi="宋体" w:eastAsia="宋体" w:cs="Times New Roman"/>
      <w:color w:val="000000"/>
      <w:sz w:val="20"/>
      <w:szCs w:val="20"/>
      <w:u w:val="none"/>
    </w:rPr>
  </w:style>
  <w:style w:type="character" w:styleId="984">
    <w:name w:val="Table Text Char1"/>
    <w:next w:val="984"/>
    <w:link w:val="985"/>
    <w:rPr>
      <w:rFonts w:ascii="Arial" w:hAnsi="Arial" w:cs="Arial"/>
      <w:sz w:val="18"/>
      <w:szCs w:val="18"/>
      <w:lang w:val="en-US" w:eastAsia="zh-CN" w:bidi="ar-SA"/>
    </w:rPr>
  </w:style>
  <w:style w:type="paragraph" w:styleId="985">
    <w:name w:val="Table Text"/>
    <w:next w:val="985"/>
    <w:link w:val="984"/>
    <w:pPr>
      <w:spacing w:before="80" w:after="80"/>
    </w:pPr>
    <w:rPr>
      <w:rFonts w:ascii="Arial" w:hAnsi="Arial" w:cs="Arial"/>
      <w:sz w:val="18"/>
      <w:szCs w:val="18"/>
      <w:lang w:val="en-US" w:eastAsia="zh-CN" w:bidi="ar-SA"/>
    </w:rPr>
  </w:style>
  <w:style w:type="character" w:styleId="986">
    <w:name w:val="font41"/>
    <w:next w:val="986"/>
    <w:link w:val="863"/>
    <w:rPr>
      <w:rFonts w:hint="eastAsia" w:ascii="微软雅黑" w:hAnsi="微软雅黑" w:eastAsia="微软雅黑" w:cs="微软雅黑"/>
      <w:i w:val="0"/>
      <w:color w:val="000000"/>
      <w:sz w:val="18"/>
      <w:szCs w:val="18"/>
      <w:u w:val="none"/>
    </w:rPr>
  </w:style>
  <w:style w:type="character" w:styleId="987">
    <w:name w:val="+正文 Char3"/>
    <w:next w:val="987"/>
    <w:link w:val="988"/>
    <w:rPr>
      <w:rFonts w:ascii="宋体" w:hAnsi="宋体" w:eastAsia="宋体" w:cs="宋体"/>
      <w:sz w:val="24"/>
      <w:szCs w:val="24"/>
    </w:rPr>
  </w:style>
  <w:style w:type="paragraph" w:styleId="988">
    <w:name w:val="+正文"/>
    <w:basedOn w:val="863"/>
    <w:next w:val="988"/>
    <w:link w:val="987"/>
    <w:pPr>
      <w:ind w:firstLine="200"/>
      <w:spacing w:line="360" w:lineRule="auto"/>
    </w:pPr>
    <w:rPr>
      <w:rFonts w:cs="Times New Roman"/>
    </w:rPr>
  </w:style>
  <w:style w:type="character" w:styleId="989">
    <w:name w:val="纯文本 字符"/>
    <w:next w:val="989"/>
    <w:link w:val="863"/>
    <w:rPr>
      <w:rFonts w:ascii="宋体" w:hAnsi="Courier New" w:eastAsia="宋体" w:cs="宋体"/>
      <w:sz w:val="24"/>
      <w:szCs w:val="24"/>
    </w:rPr>
  </w:style>
  <w:style w:type="character" w:styleId="990">
    <w:name w:val="_正文段落 Char"/>
    <w:next w:val="990"/>
    <w:link w:val="991"/>
    <w:rPr>
      <w:rFonts w:ascii="宋体" w:hAnsi="Calibri" w:eastAsia="宋体" w:cs="宋体"/>
      <w:sz w:val="24"/>
      <w:szCs w:val="24"/>
    </w:rPr>
  </w:style>
  <w:style w:type="paragraph" w:styleId="991">
    <w:name w:val="_正文段落"/>
    <w:basedOn w:val="863"/>
    <w:next w:val="991"/>
    <w:link w:val="990"/>
    <w:pPr>
      <w:ind w:firstLine="480"/>
      <w:spacing w:line="360" w:lineRule="auto"/>
    </w:pPr>
    <w:rPr>
      <w:rFonts w:hAnsi="Calibri" w:cs="Times New Roman"/>
    </w:rPr>
  </w:style>
  <w:style w:type="character" w:styleId="992">
    <w:name w:val="批注主题 Char1"/>
    <w:next w:val="992"/>
    <w:link w:val="863"/>
    <w:rPr>
      <w:rFonts w:ascii="宋体" w:hAnsi="宋体" w:eastAsia="宋体" w:cs="宋体"/>
      <w:b/>
      <w:bCs/>
      <w:sz w:val="24"/>
      <w:szCs w:val="24"/>
    </w:rPr>
  </w:style>
  <w:style w:type="character" w:styleId="993">
    <w:name w:val="symbol1"/>
    <w:next w:val="993"/>
    <w:link w:val="863"/>
    <w:rPr>
      <w:rFonts w:ascii="Calibri" w:hAnsi="Calibri" w:eastAsia="宋体" w:cs="Times New Roman"/>
      <w:color w:val="000000"/>
    </w:rPr>
  </w:style>
  <w:style w:type="character" w:styleId="994">
    <w:name w:val="badepic1"/>
    <w:next w:val="994"/>
    <w:link w:val="863"/>
    <w:rPr>
      <w:rFonts w:ascii="Calibri" w:hAnsi="Calibri" w:eastAsia="宋体" w:cs="Times New Roman"/>
    </w:rPr>
  </w:style>
  <w:style w:type="character" w:styleId="995">
    <w:name w:val="Plain Text Char"/>
    <w:next w:val="995"/>
    <w:link w:val="996"/>
    <w:rPr>
      <w:rFonts w:ascii="宋体" w:hAnsi="Courier New" w:eastAsia="楷体_GB2312" w:cs="宋体"/>
      <w:sz w:val="28"/>
      <w:szCs w:val="28"/>
    </w:rPr>
  </w:style>
  <w:style w:type="paragraph" w:styleId="996">
    <w:name w:val="纯文本1"/>
    <w:basedOn w:val="863"/>
    <w:next w:val="918"/>
    <w:link w:val="995"/>
    <w:qFormat/>
    <w:rPr>
      <w:rFonts w:hAnsi="Courier New" w:eastAsia="楷体_GB2312" w:cs="Times New Roman"/>
      <w:sz w:val="28"/>
      <w:szCs w:val="28"/>
    </w:rPr>
  </w:style>
  <w:style w:type="character" w:styleId="997">
    <w:name w:val="font51"/>
    <w:next w:val="997"/>
    <w:link w:val="863"/>
    <w:rPr>
      <w:rFonts w:hint="eastAsia" w:ascii="宋体" w:hAnsi="宋体" w:eastAsia="宋体" w:cs="宋体"/>
      <w:i w:val="0"/>
      <w:color w:val="000000"/>
      <w:sz w:val="20"/>
      <w:szCs w:val="20"/>
      <w:u w:val="none"/>
      <w:vertAlign w:val="superscript"/>
    </w:rPr>
  </w:style>
  <w:style w:type="character" w:styleId="998">
    <w:name w:val="脚注文本 Char2"/>
    <w:next w:val="998"/>
    <w:link w:val="863"/>
    <w:rPr>
      <w:rFonts w:ascii="宋体" w:hAnsi="宋体" w:eastAsia="宋体" w:cs="宋体"/>
      <w:sz w:val="18"/>
      <w:szCs w:val="18"/>
    </w:rPr>
  </w:style>
  <w:style w:type="character" w:styleId="999">
    <w:name w:val="副标题 Char1"/>
    <w:next w:val="999"/>
    <w:link w:val="863"/>
    <w:rPr>
      <w:rFonts w:ascii="Cambria" w:hAnsi="Cambria" w:eastAsia="宋体" w:cs="Times New Roman"/>
      <w:b/>
      <w:bCs/>
      <w:sz w:val="32"/>
      <w:szCs w:val="32"/>
    </w:rPr>
  </w:style>
  <w:style w:type="character" w:styleId="1000">
    <w:name w:val="批注文字 字符"/>
    <w:next w:val="1000"/>
    <w:link w:val="863"/>
    <w:rPr>
      <w:rFonts w:ascii="Calibri" w:hAnsi="Calibri" w:eastAsia="宋体" w:cs="Times New Roman"/>
      <w:sz w:val="24"/>
      <w:szCs w:val="24"/>
    </w:rPr>
  </w:style>
  <w:style w:type="character" w:styleId="1001">
    <w:name w:val=" Char Char3"/>
    <w:next w:val="1001"/>
    <w:link w:val="863"/>
    <w:rPr>
      <w:rFonts w:ascii="Calibri" w:hAnsi="Calibri" w:eastAsia="宋体" w:cs="Times New Roman"/>
      <w:sz w:val="24"/>
      <w:szCs w:val="24"/>
      <w:lang w:val="en-US" w:eastAsia="zh-CN" w:bidi="ar-SA"/>
    </w:rPr>
  </w:style>
  <w:style w:type="character" w:styleId="1002">
    <w:name w:val="font11"/>
    <w:next w:val="1002"/>
    <w:link w:val="863"/>
    <w:rPr>
      <w:rFonts w:ascii="Times New Roman" w:hAnsi="Times New Roman" w:eastAsia="宋体" w:cs="Times New Roman"/>
      <w:i w:val="0"/>
      <w:color w:val="000000"/>
      <w:sz w:val="20"/>
      <w:szCs w:val="20"/>
      <w:u w:val="none"/>
    </w:rPr>
  </w:style>
  <w:style w:type="character" w:styleId="1003">
    <w:name w:val="文档结构图 Char1"/>
    <w:next w:val="1003"/>
    <w:link w:val="863"/>
    <w:rPr>
      <w:rFonts w:ascii="宋体" w:hAnsi="宋体" w:eastAsia="宋体" w:cs="宋体"/>
      <w:sz w:val="18"/>
      <w:szCs w:val="18"/>
    </w:rPr>
  </w:style>
  <w:style w:type="character" w:styleId="1004">
    <w:name w:val="lh151"/>
    <w:next w:val="1004"/>
    <w:link w:val="863"/>
    <w:rPr>
      <w:rFonts w:ascii="Calibri" w:hAnsi="Calibri" w:eastAsia="宋体" w:cs="Times New Roman"/>
      <w:color w:val="000000"/>
    </w:rPr>
  </w:style>
  <w:style w:type="character" w:styleId="1005">
    <w:name w:val="标题 4 字符,GH-4 字符"/>
    <w:next w:val="1005"/>
    <w:link w:val="863"/>
    <w:uiPriority w:val="9"/>
    <w:rPr>
      <w:rFonts w:ascii="等线 Light" w:hAnsi="等线 Light" w:eastAsia="宋体" w:cs="Times New Roman"/>
      <w:b/>
      <w:iCs/>
      <w:color w:val="000000"/>
    </w:rPr>
  </w:style>
  <w:style w:type="character" w:styleId="1006">
    <w:name w:val="badepic3"/>
    <w:next w:val="1006"/>
    <w:link w:val="863"/>
    <w:rPr>
      <w:rFonts w:ascii="Calibri" w:hAnsi="Calibri" w:eastAsia="宋体" w:cs="Times New Roman"/>
    </w:rPr>
  </w:style>
  <w:style w:type="character" w:styleId="1007">
    <w:name w:val="脚注文本 Char1"/>
    <w:next w:val="1007"/>
    <w:link w:val="863"/>
    <w:rPr>
      <w:rFonts w:ascii="Calibri" w:hAnsi="Calibri" w:eastAsia="宋体" w:cs="Times New Roman"/>
      <w:sz w:val="18"/>
      <w:szCs w:val="18"/>
    </w:rPr>
  </w:style>
  <w:style w:type="character" w:styleId="1008">
    <w:name w:val="正文首行缩进两字 Char"/>
    <w:next w:val="1008"/>
    <w:link w:val="1009"/>
    <w:rPr>
      <w:sz w:val="24"/>
      <w:szCs w:val="24"/>
      <w:lang w:val="en-US" w:eastAsia="ar-SA" w:bidi="ar-SA"/>
    </w:rPr>
  </w:style>
  <w:style w:type="paragraph" w:styleId="1009">
    <w:name w:val="正文首行缩进两字"/>
    <w:next w:val="1009"/>
    <w:link w:val="1008"/>
    <w:pPr>
      <w:ind w:firstLine="480"/>
      <w:spacing w:after="163" w:line="300" w:lineRule="auto"/>
      <w:widowControl w:val="off"/>
    </w:pPr>
    <w:rPr>
      <w:sz w:val="24"/>
      <w:szCs w:val="24"/>
      <w:lang w:val="en-US" w:eastAsia="ar-SA" w:bidi="ar-SA"/>
    </w:rPr>
  </w:style>
  <w:style w:type="paragraph" w:styleId="1010">
    <w:name w:val="无间隔1"/>
    <w:basedOn w:val="863"/>
    <w:next w:val="1010"/>
    <w:link w:val="863"/>
    <w:uiPriority w:val="1"/>
    <w:qFormat/>
    <w:pPr>
      <w:spacing w:line="400" w:lineRule="exact"/>
    </w:pPr>
    <w:rPr>
      <w:sz w:val="24"/>
    </w:rPr>
  </w:style>
  <w:style w:type="paragraph" w:styleId="1011">
    <w:name w:val=" Char1"/>
    <w:basedOn w:val="863"/>
    <w:next w:val="1011"/>
    <w:link w:val="863"/>
    <w:rPr>
      <w:rFonts w:ascii="Tahoma" w:hAnsi="Tahoma" w:eastAsia="宋体" w:cs="Times New Roman"/>
      <w:szCs w:val="20"/>
    </w:rPr>
  </w:style>
  <w:style w:type="paragraph" w:styleId="1012">
    <w:name w:val="杨昂超式样黑体主"/>
    <w:basedOn w:val="863"/>
    <w:next w:val="1012"/>
    <w:link w:val="863"/>
    <w:rPr>
      <w:rFonts w:ascii="方正黑体简体" w:hAnsi="Times New Roman" w:eastAsia="方正黑体简体" w:cs="方正黑体简体"/>
    </w:rPr>
  </w:style>
  <w:style w:type="paragraph" w:styleId="1013">
    <w:name w:val="_Style 2"/>
    <w:basedOn w:val="863"/>
    <w:next w:val="1013"/>
    <w:link w:val="863"/>
    <w:pPr>
      <w:ind w:firstLine="420"/>
      <w:jc w:val="left"/>
      <w:widowControl/>
    </w:pPr>
    <w:rPr>
      <w:rFonts w:ascii="Calibri" w:hAnsi="Calibri" w:eastAsia="宋体" w:cs="Times New Roman"/>
      <w:sz w:val="34"/>
      <w:szCs w:val="20"/>
    </w:rPr>
  </w:style>
  <w:style w:type="paragraph" w:styleId="1014">
    <w:name w:val="Plain Text1"/>
    <w:basedOn w:val="863"/>
    <w:next w:val="1014"/>
    <w:link w:val="863"/>
    <w:pPr>
      <w:jc w:val="left"/>
      <w:widowControl/>
    </w:pPr>
    <w:rPr>
      <w:rFonts w:ascii="Calibri" w:hAnsi="Courier New" w:eastAsia="楷体_GB2312" w:cs="Times New Roman"/>
      <w:sz w:val="26"/>
    </w:rPr>
  </w:style>
  <w:style w:type="paragraph" w:styleId="1015">
    <w:name w:val=" Char Char Char"/>
    <w:basedOn w:val="863"/>
    <w:next w:val="1015"/>
    <w:link w:val="863"/>
    <w:pPr>
      <w:ind w:left="795" w:hanging="360"/>
      <w:tabs>
        <w:tab w:val="left" w:pos="795" w:leader="none"/>
      </w:tabs>
    </w:pPr>
    <w:rPr>
      <w:rFonts w:ascii="Times New Roman" w:hAnsi="Times New Roman" w:eastAsia="宋体" w:cs="Times New Roman"/>
    </w:rPr>
  </w:style>
  <w:style w:type="paragraph" w:styleId="1016">
    <w:name w:val="正文 A"/>
    <w:next w:val="1016"/>
    <w:link w:val="863"/>
    <w:pPr>
      <w:jc w:val="both"/>
      <w:widowControl w:val="off"/>
    </w:pPr>
    <w:rPr>
      <w:rFonts w:eastAsia="Arial Unicode MS" w:cs="Arial Unicode MS"/>
      <w:color w:val="000000"/>
      <w:sz w:val="21"/>
      <w:szCs w:val="21"/>
      <w:lang w:val="en-US" w:eastAsia="zh-CN" w:bidi="ar-SA"/>
    </w:rPr>
  </w:style>
  <w:style w:type="paragraph" w:styleId="1017">
    <w:name w:val="a1"/>
    <w:basedOn w:val="863"/>
    <w:next w:val="1017"/>
    <w:link w:val="863"/>
    <w:pPr>
      <w:jc w:val="left"/>
      <w:spacing w:before="100" w:beforeAutospacing="1" w:after="100" w:afterAutospacing="1"/>
      <w:widowControl/>
    </w:pPr>
    <w:rPr>
      <w:rFonts w:ascii="Calibri" w:hAnsi="Calibri" w:eastAsia="宋体" w:cs="Times New Roman"/>
    </w:rPr>
  </w:style>
  <w:style w:type="paragraph" w:styleId="1018">
    <w:name w:val=" Char"/>
    <w:basedOn w:val="892"/>
    <w:next w:val="1018"/>
    <w:link w:val="863"/>
    <w:pPr>
      <w:jc w:val="both"/>
      <w:spacing w:line="360" w:lineRule="auto"/>
      <w:widowControl w:val="off"/>
    </w:pPr>
    <w:rPr>
      <w:rFonts w:ascii="Calibri" w:hAnsi="Calibri" w:eastAsia="宋体" w:cs="Times New Roman"/>
      <w:sz w:val="21"/>
    </w:rPr>
  </w:style>
  <w:style w:type="paragraph" w:styleId="1019">
    <w:name w:val="修订"/>
    <w:next w:val="1019"/>
    <w:link w:val="863"/>
    <w:rPr>
      <w:sz w:val="24"/>
      <w:szCs w:val="24"/>
      <w:lang w:val="en-US" w:eastAsia="zh-CN" w:bidi="ar-SA"/>
    </w:rPr>
  </w:style>
  <w:style w:type="paragraph" w:styleId="1020">
    <w:name w:val="WPSOffice手动目录 1"/>
    <w:next w:val="1020"/>
    <w:link w:val="863"/>
    <w:rPr>
      <w:lang w:val="en-US" w:eastAsia="zh-CN" w:bidi="ar-SA"/>
    </w:rPr>
  </w:style>
  <w:style w:type="paragraph" w:styleId="1021">
    <w:name w:val="p0"/>
    <w:basedOn w:val="863"/>
    <w:next w:val="1021"/>
    <w:link w:val="863"/>
    <w:pPr>
      <w:widowControl/>
    </w:pPr>
    <w:rPr>
      <w:rFonts w:ascii="Times New Roman" w:hAnsi="Times New Roman" w:eastAsia="宋体" w:cs="Times New Roman"/>
      <w:sz w:val="21"/>
      <w:szCs w:val="21"/>
    </w:rPr>
  </w:style>
  <w:style w:type="paragraph" w:styleId="1022">
    <w:name w:val="正文段"/>
    <w:basedOn w:val="863"/>
    <w:next w:val="1022"/>
    <w:link w:val="863"/>
    <w:pPr>
      <w:ind w:firstLine="454"/>
      <w:spacing w:after="240" w:line="240" w:lineRule="atLeast"/>
      <w:widowControl/>
    </w:pPr>
    <w:rPr>
      <w:rFonts w:ascii="Calibri" w:hAnsi="Times New Roman" w:eastAsia="宋体" w:cs="Times New Roman"/>
    </w:rPr>
  </w:style>
  <w:style w:type="paragraph" w:styleId="1023">
    <w:name w:val="Char Char Char"/>
    <w:basedOn w:val="863"/>
    <w:next w:val="1023"/>
    <w:link w:val="863"/>
    <w:pPr>
      <w:ind w:left="795" w:hanging="360"/>
      <w:tabs>
        <w:tab w:val="left" w:pos="795" w:leader="none"/>
      </w:tabs>
    </w:pPr>
    <w:rPr>
      <w:rFonts w:ascii="Times New Roman" w:hAnsi="Times New Roman" w:eastAsia="宋体" w:cs="Times New Roman"/>
    </w:rPr>
  </w:style>
  <w:style w:type="paragraph" w:styleId="1024">
    <w:name w:val="Char Char Char Char"/>
    <w:basedOn w:val="892"/>
    <w:next w:val="1024"/>
    <w:link w:val="863"/>
    <w:pPr>
      <w:jc w:val="both"/>
      <w:spacing w:line="360" w:lineRule="auto"/>
      <w:widowControl w:val="off"/>
    </w:pPr>
    <w:rPr>
      <w:rFonts w:ascii="Calibri" w:hAnsi="Calibri" w:eastAsia="宋体" w:cs="Times New Roman"/>
      <w:szCs w:val="20"/>
    </w:rPr>
  </w:style>
  <w:style w:type="paragraph" w:styleId="1025">
    <w:name w:val="1"/>
    <w:basedOn w:val="892"/>
    <w:next w:val="1025"/>
    <w:link w:val="863"/>
    <w:pPr>
      <w:spacing w:line="360" w:lineRule="auto"/>
    </w:pPr>
    <w:rPr>
      <w:rFonts w:ascii="Calibri" w:hAnsi="Calibri" w:eastAsia="宋体" w:cs="Times New Roman"/>
    </w:rPr>
  </w:style>
  <w:style w:type="paragraph" w:styleId="1026">
    <w:name w:val="列表内容"/>
    <w:basedOn w:val="863"/>
    <w:next w:val="863"/>
    <w:link w:val="863"/>
    <w:pPr>
      <w:numPr>
        <w:ilvl w:val="0"/>
        <w:numId w:val="1"/>
      </w:numPr>
      <w:jc w:val="left"/>
      <w:widowControl/>
      <w:tabs>
        <w:tab w:val="left" w:pos="420" w:leader="none"/>
        <w:tab w:val="left" w:pos="840" w:leader="none"/>
      </w:tabs>
    </w:pPr>
    <w:rPr>
      <w:rFonts w:ascii="Times New Roman" w:hAnsi="Times New Roman" w:eastAsia="宋体" w:cs="Times New Roman"/>
      <w:sz w:val="18"/>
    </w:rPr>
  </w:style>
  <w:style w:type="paragraph" w:styleId="1027">
    <w:name w:val="CM37"/>
    <w:basedOn w:val="863"/>
    <w:next w:val="863"/>
    <w:link w:val="863"/>
    <w:pPr>
      <w:jc w:val="left"/>
      <w:spacing w:after="533"/>
    </w:pPr>
    <w:rPr>
      <w:rFonts w:ascii="Calibri" w:hAnsi="Times New Roman" w:eastAsia="宋体" w:cs="Times New Roman"/>
    </w:rPr>
  </w:style>
  <w:style w:type="paragraph" w:styleId="1028">
    <w:name w:val="afont"/>
    <w:basedOn w:val="863"/>
    <w:next w:val="1028"/>
    <w:link w:val="863"/>
    <w:pPr>
      <w:jc w:val="left"/>
      <w:spacing w:before="100" w:after="100" w:line="285" w:lineRule="atLeast"/>
      <w:widowControl/>
    </w:pPr>
    <w:rPr>
      <w:rFonts w:ascii="Calibri" w:hAnsi="Calibri" w:eastAsia="宋体" w:cs="Times New Roman"/>
      <w:sz w:val="18"/>
      <w:szCs w:val="18"/>
    </w:rPr>
  </w:style>
  <w:style w:type="paragraph" w:styleId="1029">
    <w:name w:val="列出段落1"/>
    <w:basedOn w:val="863"/>
    <w:next w:val="1029"/>
    <w:link w:val="863"/>
    <w:pPr>
      <w:ind w:firstLine="420"/>
    </w:pPr>
    <w:rPr>
      <w:rFonts w:ascii="Calibri" w:hAnsi="Calibri" w:eastAsia="宋体" w:cs="Calibri"/>
      <w:sz w:val="21"/>
      <w:szCs w:val="21"/>
    </w:rPr>
  </w:style>
  <w:style w:type="paragraph" w:styleId="1030">
    <w:name w:val="首行缩进"/>
    <w:basedOn w:val="863"/>
    <w:next w:val="1030"/>
    <w:link w:val="863"/>
    <w:pPr>
      <w:ind w:firstLine="480"/>
    </w:pPr>
    <w:rPr>
      <w:rFonts w:ascii="Times New Roman" w:hAnsi="Times New Roman" w:eastAsia="楷体_GB2312" w:cs="Times New Roman"/>
      <w:sz w:val="26"/>
      <w:szCs w:val="26"/>
    </w:rPr>
  </w:style>
  <w:style w:type="paragraph" w:styleId="1031">
    <w:name w:val="Char2"/>
    <w:basedOn w:val="892"/>
    <w:next w:val="1031"/>
    <w:link w:val="863"/>
    <w:pPr>
      <w:jc w:val="both"/>
      <w:spacing w:line="360" w:lineRule="auto"/>
      <w:widowControl w:val="off"/>
    </w:pPr>
    <w:rPr>
      <w:rFonts w:ascii="Calibri" w:hAnsi="Calibri" w:eastAsia="宋体" w:cs="Times New Roman"/>
      <w:sz w:val="21"/>
    </w:rPr>
  </w:style>
  <w:style w:type="paragraph" w:styleId="1032">
    <w:name w:val="表身（左）"/>
    <w:next w:val="1032"/>
    <w:link w:val="863"/>
    <w:pPr>
      <w:spacing w:line="300" w:lineRule="auto"/>
    </w:pPr>
    <w:rPr>
      <w:sz w:val="16"/>
      <w:lang w:val="en-US" w:eastAsia="zh-CN" w:bidi="ar-SA"/>
    </w:rPr>
  </w:style>
  <w:style w:type="paragraph" w:styleId="1033">
    <w:name w:val="表格标题"/>
    <w:basedOn w:val="863"/>
    <w:next w:val="1033"/>
    <w:link w:val="863"/>
    <w:pPr>
      <w:jc w:val="center"/>
    </w:pPr>
    <w:rPr>
      <w:rFonts w:ascii="Calibri" w:hAnsi="Calibri" w:eastAsia="宋体" w:cs="Times New Roman"/>
      <w:b/>
      <w:bCs/>
      <w:color w:val="000000"/>
      <w:sz w:val="22"/>
      <w:szCs w:val="20"/>
    </w:rPr>
  </w:style>
  <w:style w:type="paragraph" w:styleId="1034">
    <w:name w:val="p17"/>
    <w:basedOn w:val="863"/>
    <w:next w:val="1034"/>
    <w:link w:val="863"/>
    <w:pPr>
      <w:ind w:firstLine="420"/>
      <w:jc w:val="left"/>
      <w:widowControl/>
    </w:pPr>
    <w:rPr>
      <w:rFonts w:ascii="Calibri" w:hAnsi="Calibri" w:eastAsia="宋体" w:cs="Times New Roman"/>
    </w:rPr>
  </w:style>
  <w:style w:type="paragraph" w:styleId="1035">
    <w:name w:val="Char Char Char1"/>
    <w:basedOn w:val="863"/>
    <w:next w:val="1035"/>
    <w:link w:val="863"/>
    <w:pPr>
      <w:ind w:left="795" w:hanging="360"/>
      <w:tabs>
        <w:tab w:val="left" w:pos="795" w:leader="none"/>
        <w:tab w:val="left" w:pos="840" w:leader="none"/>
      </w:tabs>
    </w:pPr>
    <w:rPr>
      <w:rFonts w:ascii="Times New Roman" w:hAnsi="Times New Roman" w:eastAsia="宋体" w:cs="Times New Roman"/>
      <w:sz w:val="21"/>
      <w:szCs w:val="20"/>
    </w:rPr>
  </w:style>
  <w:style w:type="paragraph" w:styleId="1036">
    <w:name w:val="a2"/>
    <w:basedOn w:val="863"/>
    <w:next w:val="1036"/>
    <w:link w:val="863"/>
    <w:pPr>
      <w:jc w:val="left"/>
      <w:spacing w:before="100" w:beforeAutospacing="1" w:after="100" w:afterAutospacing="1"/>
      <w:widowControl/>
    </w:pPr>
    <w:rPr>
      <w:rFonts w:ascii="Calibri" w:hAnsi="Calibri" w:eastAsia="宋体" w:cs="Times New Roman"/>
    </w:rPr>
  </w:style>
  <w:style w:type="paragraph" w:styleId="1037">
    <w:name w:val="纯文本3"/>
    <w:basedOn w:val="863"/>
    <w:next w:val="1037"/>
    <w:link w:val="863"/>
    <w:rPr>
      <w:rFonts w:hAnsi="Courier New" w:eastAsia="楷体_GB2312" w:cs="Times New Roman"/>
      <w:sz w:val="26"/>
      <w:szCs w:val="26"/>
    </w:rPr>
  </w:style>
  <w:style w:type="paragraph" w:styleId="1038">
    <w:name w:val="表项"/>
    <w:next w:val="863"/>
    <w:link w:val="863"/>
    <w:pPr>
      <w:jc w:val="center"/>
      <w:keepNext/>
      <w:spacing w:line="300" w:lineRule="auto"/>
    </w:pPr>
    <w:rPr>
      <w:rFonts w:ascii="Arial" w:hAnsi="Arial" w:eastAsia="黑体"/>
      <w:sz w:val="18"/>
      <w:lang w:val="en-US" w:eastAsia="zh-CN" w:bidi="ar-SA"/>
    </w:rPr>
  </w:style>
  <w:style w:type="paragraph" w:styleId="1039">
    <w:name w:val="List Paragraph1"/>
    <w:basedOn w:val="863"/>
    <w:next w:val="1039"/>
    <w:link w:val="863"/>
    <w:qFormat/>
    <w:pPr>
      <w:ind w:firstLine="420"/>
    </w:pPr>
    <w:rPr>
      <w:rFonts w:ascii="Calibri" w:hAnsi="Calibri" w:cs="Times New Roman"/>
      <w:sz w:val="28"/>
      <w:szCs w:val="28"/>
    </w:rPr>
  </w:style>
  <w:style w:type="paragraph" w:styleId="1040">
    <w:name w:val="List Paragraph"/>
    <w:basedOn w:val="863"/>
    <w:next w:val="1040"/>
    <w:link w:val="863"/>
    <w:pPr>
      <w:ind w:firstLine="420"/>
    </w:pPr>
    <w:rPr>
      <w:rFonts w:ascii="Calibri" w:hAnsi="Calibri" w:eastAsia="宋体" w:cs="Times New Roman"/>
      <w:sz w:val="21"/>
      <w:szCs w:val="22"/>
    </w:rPr>
  </w:style>
  <w:style w:type="paragraph" w:styleId="1041">
    <w:name w:val="正文 New New New New New New New New New New New New New New New New New New New New New New New New New New New New New New New New New New New"/>
    <w:next w:val="1041"/>
    <w:link w:val="863"/>
    <w:pPr>
      <w:jc w:val="both"/>
      <w:widowControl w:val="off"/>
    </w:pPr>
    <w:rPr>
      <w:sz w:val="21"/>
      <w:szCs w:val="22"/>
      <w:lang w:val="en-US" w:eastAsia="zh-CN" w:bidi="ar-SA"/>
    </w:rPr>
  </w:style>
  <w:style w:type="paragraph" w:styleId="1042">
    <w:name w:val="H-TextFormat"/>
    <w:next w:val="1042"/>
    <w:link w:val="863"/>
    <w:rPr>
      <w:rFonts w:ascii="Arial" w:hAnsi="Arial"/>
      <w:sz w:val="22"/>
      <w:lang w:val="en-GB" w:eastAsia="en-US" w:bidi="ar-SA"/>
    </w:rPr>
  </w:style>
  <w:style w:type="paragraph" w:styleId="1043">
    <w:name w:val="正文缩进111"/>
    <w:basedOn w:val="863"/>
    <w:next w:val="863"/>
    <w:link w:val="863"/>
    <w:qFormat/>
    <w:pPr>
      <w:ind w:firstLine="420"/>
    </w:pPr>
    <w:rPr>
      <w:rFonts w:ascii="Calibri" w:hAnsi="Calibri"/>
      <w:sz w:val="24"/>
    </w:rPr>
  </w:style>
  <w:style w:type="paragraph" w:styleId="1044">
    <w:name w:val="SANGFOR_6_正文"/>
    <w:basedOn w:val="863"/>
    <w:next w:val="1044"/>
    <w:link w:val="863"/>
    <w:qFormat/>
    <w:pPr>
      <w:spacing w:line="360" w:lineRule="auto"/>
    </w:pPr>
    <w:rPr>
      <w:rFonts w:ascii="Heiti SC Light" w:hAnsi="Times New Roman" w:eastAsia="Heiti SC Light" w:cs="Times New Roman"/>
      <w:sz w:val="22"/>
    </w:rPr>
  </w:style>
  <w:style w:type="paragraph" w:styleId="1045">
    <w:name w:val="_Style 3"/>
    <w:basedOn w:val="863"/>
    <w:next w:val="1045"/>
    <w:link w:val="863"/>
    <w:pPr>
      <w:ind w:left="795" w:hanging="360"/>
      <w:tabs>
        <w:tab w:val="left" w:pos="540" w:leader="none"/>
      </w:tabs>
    </w:pPr>
    <w:rPr>
      <w:rFonts w:ascii="Times New Roman" w:hAnsi="Times New Roman" w:eastAsia="宋体" w:cs="Times New Roman"/>
    </w:rPr>
  </w:style>
  <w:style w:type="paragraph" w:styleId="1046">
    <w:name w:val="编号1"/>
    <w:basedOn w:val="863"/>
    <w:next w:val="1046"/>
    <w:link w:val="863"/>
    <w:pPr>
      <w:ind w:left="360" w:right="210" w:hanging="360"/>
      <w:tabs>
        <w:tab w:val="left" w:pos="360" w:leader="none"/>
      </w:tabs>
    </w:pPr>
    <w:rPr>
      <w:rFonts w:ascii="Calibri" w:hAnsi="Calibri" w:eastAsia="宋体" w:cs="Times New Roman"/>
      <w:spacing w:val="10"/>
      <w:sz w:val="21"/>
      <w:szCs w:val="21"/>
    </w:rPr>
  </w:style>
  <w:style w:type="paragraph" w:styleId="1047">
    <w:name w:val="表格正文"/>
    <w:basedOn w:val="863"/>
    <w:next w:val="1047"/>
    <w:link w:val="863"/>
    <w:pPr>
      <w:jc w:val="left"/>
    </w:pPr>
    <w:rPr>
      <w:rFonts w:ascii="Calibri" w:hAnsi="Calibri" w:eastAsia="宋体" w:cs="Times New Roman"/>
      <w:color w:val="000000"/>
      <w:sz w:val="22"/>
      <w:szCs w:val="20"/>
    </w:rPr>
  </w:style>
  <w:style w:type="paragraph" w:styleId="1048">
    <w:name w:val="Char"/>
    <w:basedOn w:val="863"/>
    <w:next w:val="1048"/>
    <w:link w:val="863"/>
    <w:rPr>
      <w:rFonts w:ascii="Times New Roman" w:hAnsi="Times New Roman" w:eastAsia="宋体" w:cs="Times New Roman"/>
      <w:sz w:val="21"/>
      <w:szCs w:val="21"/>
    </w:rPr>
  </w:style>
  <w:style w:type="paragraph" w:styleId="1049">
    <w:name w:val="6'"/>
    <w:basedOn w:val="863"/>
    <w:next w:val="1049"/>
    <w:link w:val="863"/>
    <w:pPr>
      <w:jc w:val="center"/>
      <w:spacing w:line="320" w:lineRule="exact"/>
    </w:pPr>
    <w:rPr>
      <w:rFonts w:ascii="Times New Roman" w:hAnsi="Times New Roman" w:eastAsia="仿宋_GB2312" w:cs="Times New Roman"/>
      <w:spacing w:val="20"/>
      <w:szCs w:val="20"/>
    </w:rPr>
  </w:style>
  <w:style w:type="paragraph" w:styleId="1050">
    <w:name w:val="纯文本2"/>
    <w:basedOn w:val="863"/>
    <w:next w:val="1050"/>
    <w:link w:val="863"/>
    <w:qFormat/>
    <w:rPr>
      <w:rFonts w:ascii="Calibri" w:hAnsi="Courier New" w:eastAsia="楷体_GB2312" w:cs="Times New Roman"/>
      <w:sz w:val="28"/>
      <w:szCs w:val="28"/>
    </w:rPr>
  </w:style>
  <w:style w:type="paragraph" w:styleId="1051">
    <w:name w:val="纯文本6"/>
    <w:basedOn w:val="863"/>
    <w:next w:val="1051"/>
    <w:link w:val="863"/>
    <w:qFormat/>
    <w:rPr>
      <w:rFonts w:hAnsi="Courier New" w:eastAsia="楷体_GB2312"/>
      <w:sz w:val="26"/>
    </w:rPr>
  </w:style>
  <w:style w:type="paragraph" w:styleId="1052">
    <w:name w:val="正文1"/>
    <w:basedOn w:val="863"/>
    <w:next w:val="863"/>
    <w:link w:val="863"/>
    <w:qFormat/>
    <w:pPr>
      <w:ind w:left="420" w:firstLine="527"/>
      <w:spacing w:before="120" w:line="360" w:lineRule="auto"/>
    </w:pPr>
    <w:rPr>
      <w:rFonts w:ascii="宋体" w:hAnsi="宋体"/>
    </w:rPr>
  </w:style>
  <w:style w:type="paragraph" w:styleId="1053">
    <w:name w:val="正文 New New New New New New New New New New New New New New New12"/>
    <w:next w:val="1053"/>
    <w:link w:val="863"/>
    <w:qFormat/>
    <w:pPr>
      <w:jc w:val="both"/>
      <w:widowControl w:val="off"/>
    </w:pPr>
    <w:rPr>
      <w:sz w:val="21"/>
      <w:szCs w:val="24"/>
      <w:lang w:val="en-US" w:eastAsia="zh-CN" w:bidi="ar-SA"/>
    </w:rPr>
  </w:style>
  <w:style w:type="paragraph" w:styleId="1054">
    <w:name w:val="表身（中）"/>
    <w:basedOn w:val="863"/>
    <w:next w:val="1054"/>
    <w:link w:val="863"/>
    <w:pPr>
      <w:jc w:val="center"/>
      <w:spacing w:line="300" w:lineRule="auto"/>
      <w:widowControl/>
    </w:pPr>
    <w:rPr>
      <w:rFonts w:ascii="Times New Roman" w:hAnsi="Times New Roman" w:eastAsia="宋体" w:cs="Times New Roman"/>
      <w:sz w:val="18"/>
      <w:szCs w:val="20"/>
    </w:rPr>
  </w:style>
  <w:style w:type="paragraph" w:styleId="1055">
    <w:name w:val="段"/>
    <w:next w:val="863"/>
    <w:link w:val="863"/>
    <w:qFormat/>
    <w:pPr>
      <w:ind w:firstLine="200"/>
      <w:jc w:val="both"/>
      <w:spacing w:line="360" w:lineRule="auto"/>
    </w:pPr>
    <w:rPr>
      <w:rFonts w:ascii="宋体"/>
      <w:sz w:val="24"/>
      <w:szCs w:val="22"/>
      <w:lang w:val="en-US" w:eastAsia="zh-CN" w:bidi="ar-SA"/>
    </w:rPr>
  </w:style>
  <w:style w:type="paragraph" w:styleId="1056">
    <w:name w:val="正文 New New"/>
    <w:next w:val="1056"/>
    <w:link w:val="863"/>
    <w:pPr>
      <w:jc w:val="both"/>
      <w:widowControl w:val="off"/>
    </w:pPr>
    <w:rPr>
      <w:sz w:val="21"/>
      <w:szCs w:val="24"/>
      <w:lang w:val="en-US" w:eastAsia="zh-CN" w:bidi="ar-SA"/>
    </w:rPr>
  </w:style>
  <w:style w:type="paragraph" w:styleId="1057">
    <w:name w:val="p25"/>
    <w:basedOn w:val="863"/>
    <w:next w:val="1057"/>
    <w:link w:val="863"/>
    <w:pPr>
      <w:jc w:val="left"/>
      <w:widowControl/>
    </w:pPr>
    <w:rPr>
      <w:rFonts w:ascii="Calibri" w:hAnsi="Calibri" w:eastAsia="宋体" w:cs="Times New Roman"/>
      <w:sz w:val="26"/>
      <w:szCs w:val="26"/>
    </w:rPr>
  </w:style>
  <w:style w:type="paragraph" w:styleId="1058">
    <w:name w:val="正文 New"/>
    <w:next w:val="1058"/>
    <w:link w:val="863"/>
    <w:pPr>
      <w:jc w:val="both"/>
      <w:widowControl w:val="off"/>
    </w:pPr>
    <w:rPr>
      <w:sz w:val="21"/>
      <w:szCs w:val="24"/>
      <w:lang w:val="en-US" w:eastAsia="zh-CN" w:bidi="ar-SA"/>
    </w:rPr>
  </w:style>
  <w:style w:type="paragraph" w:styleId="1059">
    <w:name w:val="_Style 12"/>
    <w:basedOn w:val="892"/>
    <w:next w:val="1059"/>
    <w:link w:val="863"/>
    <w:pPr>
      <w:spacing w:line="360" w:lineRule="auto"/>
    </w:pPr>
    <w:rPr>
      <w:rFonts w:ascii="Calibri" w:hAnsi="Calibri" w:eastAsia="宋体" w:cs="Times New Roman"/>
    </w:rPr>
  </w:style>
  <w:style w:type="paragraph" w:styleId="1060">
    <w:name w:val="正文首行缩进 21"/>
    <w:next w:val="1060"/>
    <w:link w:val="863"/>
    <w:qFormat/>
    <w:pPr>
      <w:ind w:left="420" w:firstLine="210"/>
      <w:jc w:val="both"/>
      <w:spacing w:after="120" w:line="240" w:lineRule="auto"/>
      <w:widowControl w:val="off"/>
    </w:pPr>
    <w:rPr>
      <w:rFonts w:ascii="Times New Roman" w:hAnsi="Times New Roman" w:eastAsia="仿宋_GB2312" w:cs="Times New Roman"/>
      <w:sz w:val="30"/>
      <w:szCs w:val="24"/>
      <w:lang w:val="en-US" w:eastAsia="zh-CN" w:bidi="ar-SA"/>
    </w:rPr>
  </w:style>
  <w:style w:type="paragraph" w:styleId="1061">
    <w:name w:val="_Style 13"/>
    <w:next w:val="1061"/>
    <w:link w:val="863"/>
    <w:qFormat/>
    <w:pPr>
      <w:ind w:left="0"/>
      <w:jc w:val="left"/>
      <w:spacing w:before="120" w:after="120" w:line="288" w:lineRule="auto"/>
    </w:pPr>
    <w:rPr>
      <w:rFonts w:ascii="Arial" w:hAnsi="Arial" w:eastAsia="等线" w:cs="Arial"/>
      <w:sz w:val="22"/>
      <w:szCs w:val="22"/>
    </w:rPr>
  </w:style>
  <w:style w:type="paragraph" w:styleId="1062">
    <w:name w:val="Char1"/>
    <w:basedOn w:val="863"/>
    <w:next w:val="1062"/>
    <w:link w:val="863"/>
    <w:rPr>
      <w:rFonts w:ascii="Tahoma" w:hAnsi="Tahoma" w:eastAsia="宋体" w:cs="Times New Roman"/>
      <w:szCs w:val="20"/>
    </w:rPr>
  </w:style>
  <w:style w:type="paragraph" w:styleId="1063">
    <w:name w:val="p15"/>
    <w:basedOn w:val="863"/>
    <w:next w:val="1063"/>
    <w:link w:val="863"/>
    <w:pPr>
      <w:ind w:firstLine="420"/>
      <w:widowControl/>
    </w:pPr>
    <w:rPr>
      <w:rFonts w:ascii="Calibri" w:hAnsi="Calibri" w:eastAsia="宋体" w:cs="Calibri"/>
    </w:rPr>
  </w:style>
  <w:style w:type="paragraph" w:styleId="1064">
    <w:name w:val="Table Paragraph"/>
    <w:basedOn w:val="863"/>
    <w:next w:val="1064"/>
    <w:link w:val="863"/>
    <w:uiPriority w:val="1"/>
    <w:qFormat/>
    <w:pPr>
      <w:jc w:val="left"/>
    </w:pPr>
    <w:rPr>
      <w:rFonts w:ascii="Calibri" w:hAnsi="Calibri" w:cs="Times New Roman"/>
      <w:sz w:val="22"/>
      <w:szCs w:val="22"/>
      <w:lang w:eastAsia="en-US"/>
    </w:rPr>
  </w:style>
  <w:style w:type="paragraph" w:styleId="1065">
    <w:name w:val="正文 New New New New"/>
    <w:next w:val="1065"/>
    <w:link w:val="863"/>
    <w:pPr>
      <w:jc w:val="both"/>
      <w:widowControl w:val="off"/>
    </w:pPr>
    <w:rPr>
      <w:lang w:val="en-US" w:eastAsia="zh-CN" w:bidi="ar-SA"/>
    </w:rPr>
  </w:style>
  <w:style w:type="paragraph" w:styleId="1066">
    <w:name w:val="Plain Text"/>
    <w:basedOn w:val="863"/>
    <w:next w:val="1066"/>
    <w:link w:val="863"/>
    <w:rPr>
      <w:rFonts w:ascii="Calibri" w:hAnsi="Courier New" w:eastAsia="楷体_GB2312" w:cs="Times New Roman"/>
      <w:sz w:val="26"/>
      <w:szCs w:val="20"/>
    </w:rPr>
  </w:style>
  <w:style w:type="paragraph" w:styleId="1067">
    <w:name w:val="列出段落2"/>
    <w:basedOn w:val="863"/>
    <w:next w:val="1067"/>
    <w:link w:val="863"/>
    <w:pPr>
      <w:ind w:firstLine="420"/>
    </w:pPr>
    <w:rPr>
      <w:rFonts w:ascii="Times New Roman" w:hAnsi="Times New Roman" w:eastAsia="宋体" w:cs="Times New Roman"/>
      <w:sz w:val="21"/>
      <w:szCs w:val="20"/>
    </w:rPr>
  </w:style>
  <w:style w:type="paragraph" w:styleId="1068">
    <w:name w:val=" Char Char Char Char Char Char Char Char Char1 Char"/>
    <w:basedOn w:val="892"/>
    <w:next w:val="1068"/>
    <w:link w:val="863"/>
    <w:pPr>
      <w:jc w:val="both"/>
      <w:spacing w:line="360" w:lineRule="auto"/>
      <w:widowControl w:val="off"/>
    </w:pPr>
    <w:rPr>
      <w:rFonts w:ascii="Tahoma" w:hAnsi="Tahoma" w:eastAsia="宋体" w:cs="Times New Roman"/>
    </w:rPr>
  </w:style>
  <w:style w:type="paragraph" w:styleId="1069">
    <w:name w:val="Default"/>
    <w:next w:val="1069"/>
    <w:link w:val="863"/>
    <w:pPr>
      <w:widowControl w:val="off"/>
    </w:pPr>
    <w:rPr>
      <w:rFonts w:ascii="Arial Unicode MS" w:eastAsia="Times New Roman" w:cs="Arial Unicode MS"/>
      <w:color w:val="000000"/>
      <w:sz w:val="24"/>
      <w:szCs w:val="24"/>
      <w:lang w:val="en-US" w:eastAsia="zh-CN" w:bidi="ar-SA"/>
    </w:rPr>
  </w:style>
  <w:style w:type="paragraph" w:styleId="1070">
    <w:name w:val="纯文本11"/>
    <w:basedOn w:val="863"/>
    <w:next w:val="1070"/>
    <w:link w:val="863"/>
    <w:pPr>
      <w:jc w:val="left"/>
      <w:widowControl/>
    </w:pPr>
    <w:rPr>
      <w:rFonts w:ascii="Calibri" w:hAnsi="Courier New" w:eastAsia="宋体" w:cs="Times New Roman"/>
      <w:sz w:val="26"/>
      <w:szCs w:val="22"/>
    </w:rPr>
  </w:style>
  <w:style w:type="paragraph" w:styleId="1071">
    <w:name w:val="Char Char"/>
    <w:basedOn w:val="863"/>
    <w:next w:val="1071"/>
    <w:link w:val="863"/>
    <w:rPr>
      <w:rFonts w:ascii="Times New Roman" w:hAnsi="Times New Roman" w:eastAsia="宋体" w:cs="Times New Roman"/>
      <w:sz w:val="21"/>
      <w:szCs w:val="21"/>
    </w:rPr>
  </w:style>
  <w:style w:type="paragraph" w:styleId="1072">
    <w:name w:val="NormalParagraphStyle"/>
    <w:basedOn w:val="863"/>
    <w:next w:val="1072"/>
    <w:link w:val="863"/>
    <w:pPr>
      <w:spacing w:line="288" w:lineRule="auto"/>
    </w:pPr>
    <w:rPr>
      <w:rFonts w:ascii="Calibri" w:hAnsi="Times New Roman" w:eastAsia="宋体" w:cs="Times New Roman"/>
      <w:color w:val="000000"/>
      <w:lang w:val="zh-CN"/>
    </w:rPr>
  </w:style>
  <w:style w:type="paragraph" w:styleId="1073">
    <w:name w:val="样式 仿宋_GB2312 四号 黑色 行距: 1.5 倍行距2"/>
    <w:basedOn w:val="863"/>
    <w:next w:val="1073"/>
    <w:link w:val="863"/>
    <w:qFormat/>
    <w:pPr>
      <w:spacing w:line="360" w:lineRule="auto"/>
    </w:pPr>
    <w:rPr>
      <w:rFonts w:ascii="仿宋_GB2312" w:eastAsia="仿宋_GB2312"/>
      <w:color w:val="000000"/>
      <w:sz w:val="24"/>
    </w:rPr>
  </w:style>
  <w:style w:type="paragraph" w:styleId="1074">
    <w:name w:val="Char Char Char Char Char Char Char Char Char1 Char"/>
    <w:basedOn w:val="892"/>
    <w:next w:val="1074"/>
    <w:link w:val="863"/>
    <w:pPr>
      <w:jc w:val="both"/>
      <w:spacing w:line="360" w:lineRule="auto"/>
      <w:widowControl w:val="off"/>
    </w:pPr>
    <w:rPr>
      <w:rFonts w:ascii="Tahoma" w:hAnsi="Tahoma" w:eastAsia="宋体" w:cs="Times New Roman"/>
    </w:rPr>
  </w:style>
  <w:style w:type="paragraph" w:styleId="1075">
    <w:name w:val="Char Char Char Char Char Char Char Char Char1 Char1"/>
    <w:basedOn w:val="892"/>
    <w:next w:val="1075"/>
    <w:link w:val="863"/>
    <w:pPr>
      <w:jc w:val="both"/>
      <w:spacing w:line="360" w:lineRule="auto"/>
      <w:widowControl w:val="off"/>
    </w:pPr>
    <w:rPr>
      <w:rFonts w:ascii="Tahoma" w:hAnsi="Tahoma" w:eastAsia="宋体" w:cs="Times New Roman"/>
    </w:rPr>
  </w:style>
  <w:style w:type="paragraph" w:styleId="1076">
    <w:name w:val=" Char Char Char1 Char Char Char Char"/>
    <w:basedOn w:val="863"/>
    <w:next w:val="1076"/>
    <w:link w:val="863"/>
    <w:pPr>
      <w:jc w:val="left"/>
      <w:spacing w:after="160" w:line="240" w:lineRule="exact"/>
      <w:widowControl/>
    </w:pPr>
    <w:rPr>
      <w:rFonts w:ascii="Times New Roman" w:hAnsi="Times New Roman" w:eastAsia="宋体" w:cs="Times New Roman"/>
    </w:rPr>
  </w:style>
  <w:style w:type="paragraph" w:styleId="1077">
    <w:name w:val="Normal1"/>
    <w:next w:val="1077"/>
    <w:link w:val="863"/>
    <w:pPr>
      <w:jc w:val="both"/>
    </w:pPr>
    <w:rPr>
      <w:rFonts w:ascii="等线" w:hAnsi="等线" w:cs="宋体"/>
      <w:sz w:val="21"/>
      <w:szCs w:val="21"/>
      <w:lang w:val="en-US" w:eastAsia="zh-CN" w:bidi="ar-SA"/>
    </w:rPr>
  </w:style>
  <w:style w:type="paragraph" w:styleId="1078">
    <w:name w:val="Item Step"/>
    <w:basedOn w:val="863"/>
    <w:next w:val="1078"/>
    <w:link w:val="863"/>
    <w:pPr>
      <w:ind w:left="1554" w:hanging="420"/>
      <w:jc w:val="left"/>
      <w:spacing w:after="50"/>
      <w:widowControl/>
      <w:tabs>
        <w:tab w:val="left" w:pos="1134" w:leader="none"/>
      </w:tabs>
    </w:pPr>
    <w:rPr>
      <w:rFonts w:ascii="Times New Roman" w:hAnsi="Times New Roman" w:eastAsia="宋体" w:cs="Times New Roman"/>
      <w:sz w:val="21"/>
    </w:rPr>
  </w:style>
  <w:style w:type="paragraph" w:styleId="1079">
    <w:name w:val="Char Char Char1 Char Char Char Char"/>
    <w:basedOn w:val="863"/>
    <w:next w:val="1079"/>
    <w:link w:val="863"/>
    <w:pPr>
      <w:jc w:val="left"/>
      <w:spacing w:after="160" w:line="240" w:lineRule="exact"/>
      <w:widowControl/>
    </w:pPr>
    <w:rPr>
      <w:rFonts w:ascii="Times New Roman" w:hAnsi="Times New Roman" w:eastAsia="宋体" w:cs="Times New Roman"/>
    </w:rPr>
  </w:style>
  <w:style w:type="paragraph" w:styleId="1080">
    <w:name w:val="样式 首行缩进:  1.48 厘米"/>
    <w:basedOn w:val="863"/>
    <w:next w:val="1080"/>
    <w:link w:val="863"/>
    <w:pPr>
      <w:ind w:firstLine="200"/>
      <w:spacing w:line="288" w:lineRule="auto"/>
    </w:pPr>
    <w:rPr>
      <w:rFonts w:ascii="Calibri" w:hAnsi="Times New Roman" w:eastAsia="宋体" w:cs="Times New Roman"/>
      <w:color w:val="000000"/>
      <w:sz w:val="21"/>
      <w:szCs w:val="20"/>
      <w:lang w:val="zh-CN"/>
    </w:rPr>
  </w:style>
  <w:style w:type="paragraph" w:styleId="1081">
    <w:name w:val="MyPoints"/>
    <w:basedOn w:val="863"/>
    <w:next w:val="1081"/>
    <w:link w:val="863"/>
    <w:pPr>
      <w:ind w:left="936" w:hanging="360"/>
      <w:jc w:val="left"/>
      <w:widowControl/>
    </w:pPr>
    <w:rPr>
      <w:rFonts w:ascii="Century Gothic" w:hAnsi="Century Gothic" w:eastAsia="宋体" w:cs="Times New Roman"/>
      <w:sz w:val="20"/>
      <w:szCs w:val="20"/>
      <w:lang w:val="en-GB" w:eastAsia="en-US"/>
    </w:rPr>
  </w:style>
  <w:style w:type="paragraph" w:styleId="1082">
    <w:name w:val="Char Char1"/>
    <w:basedOn w:val="863"/>
    <w:next w:val="1082"/>
    <w:link w:val="863"/>
    <w:pPr>
      <w:jc w:val="left"/>
      <w:spacing w:after="160" w:line="240" w:lineRule="exact"/>
      <w:widowControl/>
    </w:pPr>
    <w:rPr>
      <w:rFonts w:ascii="Verdana" w:hAnsi="Verdana" w:eastAsia="宋体" w:cs="Verdana"/>
      <w:sz w:val="20"/>
      <w:szCs w:val="20"/>
      <w:lang w:eastAsia="en-US"/>
    </w:rPr>
  </w:style>
  <w:style w:type="table" w:styleId="1083">
    <w:name w:val="Table Normal"/>
    <w:next w:val="1083"/>
    <w:link w:val="863"/>
    <w:rPr>
      <w:lang w:val="en-US" w:eastAsia="zh-CN" w:bidi="ar-SA"/>
    </w:rPr>
    <w:tblPr/>
  </w:style>
  <w:style w:type="character" w:styleId="1084" w:default="1">
    <w:name w:val="Default Paragraph Font"/>
    <w:uiPriority w:val="1"/>
    <w:semiHidden/>
    <w:unhideWhenUsed/>
  </w:style>
  <w:style w:type="numbering" w:styleId="1085" w:default="1">
    <w:name w:val="No List"/>
    <w:uiPriority w:val="99"/>
    <w:semiHidden/>
    <w:unhideWhenUsed/>
  </w:style>
  <w:style w:type="table" w:styleId="10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f</dc:creator>
  <cp:lastModifiedBy>朱思薇</cp:lastModifiedBy>
  <cp:revision>4</cp:revision>
  <dcterms:created xsi:type="dcterms:W3CDTF">2024-08-08T15:54:00Z</dcterms:created>
  <dcterms:modified xsi:type="dcterms:W3CDTF">2026-10-28T05:59:58Z</dcterms:modified>
</cp:coreProperties>
</file>