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8"/>
        <w:ind w:firstLine="300"/>
        <w:spacing w:line="360" w:lineRule="auto"/>
        <w:rPr>
          <w:rFonts w:ascii="宋体" w:hAnsi="宋体"/>
          <w:sz w:val="60"/>
          <w:szCs w:val="60"/>
        </w:rPr>
      </w:pPr>
      <w:r>
        <w:rPr>
          <w:rFonts w:ascii="宋体" w:hAnsi="宋体"/>
          <w:sz w:val="60"/>
          <w:szCs w:val="60"/>
        </w:rPr>
      </w:r>
      <w:r/>
    </w:p>
    <w:p>
      <w:pPr>
        <w:pStyle w:val="1078"/>
        <w:jc w:val="center"/>
        <w:rPr>
          <w:rFonts w:ascii="宋体" w:hAnsi="宋体"/>
          <w:b/>
          <w:bCs/>
          <w:sz w:val="60"/>
          <w:szCs w:val="60"/>
        </w:rPr>
      </w:pPr>
      <w:r>
        <w:rPr>
          <w:rFonts w:ascii="宋体" w:hAnsi="宋体"/>
          <w:b/>
          <w:bCs/>
          <w:sz w:val="60"/>
          <w:szCs w:val="60"/>
        </w:rPr>
        <w:t xml:space="preserve">常州市政府采购项目</w:t>
      </w:r>
      <w:r/>
    </w:p>
    <w:p>
      <w:pPr>
        <w:pStyle w:val="1078"/>
        <w:jc w:val="center"/>
        <w:rPr>
          <w:rFonts w:ascii="宋体" w:hAnsi="宋体"/>
          <w:b/>
          <w:bCs/>
          <w:sz w:val="60"/>
          <w:szCs w:val="60"/>
        </w:rPr>
      </w:pPr>
      <w:r>
        <w:rPr>
          <w:rFonts w:ascii="宋体" w:hAnsi="宋体"/>
          <w:b/>
          <w:bCs/>
          <w:sz w:val="60"/>
          <w:szCs w:val="60"/>
        </w:rPr>
      </w:r>
      <w:r/>
    </w:p>
    <w:p>
      <w:pPr>
        <w:pStyle w:val="1078"/>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8"/>
        <w:jc w:val="center"/>
        <w:rPr>
          <w:rFonts w:ascii="宋体" w:hAnsi="宋体"/>
          <w:b/>
          <w:bCs/>
          <w:sz w:val="60"/>
          <w:szCs w:val="60"/>
        </w:rPr>
      </w:pPr>
      <w:r>
        <w:rPr>
          <w:rFonts w:ascii="宋体" w:hAnsi="宋体"/>
          <w:b/>
          <w:bCs/>
          <w:sz w:val="60"/>
          <w:szCs w:val="60"/>
        </w:rPr>
      </w:r>
      <w:r/>
    </w:p>
    <w:p>
      <w:pPr>
        <w:pStyle w:val="1078"/>
        <w:jc w:val="center"/>
        <w:rPr>
          <w:rFonts w:ascii="宋体" w:hAnsi="宋体"/>
          <w:b/>
          <w:bCs/>
          <w:sz w:val="60"/>
          <w:szCs w:val="60"/>
        </w:rPr>
      </w:pPr>
      <w:r>
        <w:rPr>
          <w:rFonts w:ascii="宋体" w:hAnsi="宋体"/>
          <w:b/>
          <w:bCs/>
          <w:sz w:val="60"/>
          <w:szCs w:val="60"/>
        </w:rPr>
      </w:r>
      <w:r/>
    </w:p>
    <w:p>
      <w:pPr>
        <w:pStyle w:val="1078"/>
        <w:jc w:val="center"/>
        <w:spacing w:line="360" w:lineRule="auto"/>
        <w:rPr>
          <w:rFonts w:ascii="宋体" w:hAnsi="宋体"/>
          <w:sz w:val="60"/>
          <w:szCs w:val="60"/>
        </w:rPr>
      </w:pPr>
      <w:r>
        <w:rPr>
          <w:rFonts w:ascii="宋体" w:hAnsi="宋体"/>
          <w:sz w:val="60"/>
          <w:szCs w:val="60"/>
        </w:rPr>
      </w:r>
      <w:r/>
    </w:p>
    <w:p>
      <w:pPr>
        <w:pStyle w:val="1078"/>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北院后勤运维托管服务项目</w:t>
      </w:r>
      <w:r/>
    </w:p>
    <w:p>
      <w:pPr>
        <w:pStyle w:val="1078"/>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JSZC-320412-CTZB-G2026-0125</w:t>
      </w:r>
      <w:r>
        <w:rPr>
          <w:rFonts w:hint="eastAsia" w:ascii="宋体" w:hAnsi="宋体"/>
          <w:bCs/>
          <w:sz w:val="36"/>
          <w:szCs w:val="36"/>
        </w:rPr>
      </w:r>
      <w:r/>
    </w:p>
    <w:p>
      <w:pPr>
        <w:pStyle w:val="1078"/>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常州市武进人民医院</w:t>
      </w:r>
      <w:r/>
    </w:p>
    <w:p>
      <w:pPr>
        <w:pStyle w:val="1078"/>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8"/>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8"/>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8"/>
        <w:rPr>
          <w:rFonts w:ascii="宋体" w:hAnsi="宋体"/>
        </w:rPr>
      </w:pPr>
      <w:r>
        <w:rPr>
          <w:rFonts w:ascii="宋体" w:hAnsi="宋体"/>
        </w:rPr>
      </w:r>
      <w:r/>
    </w:p>
    <w:p>
      <w:pPr>
        <w:pStyle w:val="1078"/>
        <w:rPr>
          <w:rFonts w:ascii="宋体" w:hAnsi="宋体"/>
        </w:rPr>
      </w:pPr>
      <w:r>
        <w:rPr>
          <w:rFonts w:ascii="宋体" w:hAnsi="宋体"/>
        </w:rPr>
      </w:r>
      <w:r/>
    </w:p>
    <w:p>
      <w:pPr>
        <w:pStyle w:val="1078"/>
        <w:rPr>
          <w:rFonts w:ascii="宋体" w:hAnsi="宋体"/>
        </w:rPr>
      </w:pPr>
      <w:r>
        <w:rPr>
          <w:rFonts w:ascii="宋体" w:hAnsi="宋体"/>
        </w:rPr>
      </w:r>
      <w:r/>
    </w:p>
    <w:p>
      <w:pPr>
        <w:pStyle w:val="1131"/>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54"/>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54"/>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54"/>
          <w:color w:val="000000"/>
          <w:sz w:val="32"/>
          <w:szCs w:val="32"/>
        </w:rPr>
        <w:t xml:space="preserve">第三章   资</w:t>
      </w:r>
      <w:bookmarkStart w:id="1" w:name="_Hlt100754117"/>
      <w:r>
        <w:rPr>
          <w:rStyle w:val="1154"/>
          <w:color w:val="000000"/>
          <w:sz w:val="32"/>
          <w:szCs w:val="32"/>
        </w:rPr>
        <w:t xml:space="preserve">格</w:t>
      </w:r>
      <w:bookmarkEnd w:id="1"/>
      <w:r>
        <w:rPr>
          <w:rStyle w:val="1154"/>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54"/>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54"/>
          <w:color w:val="000000"/>
          <w:sz w:val="32"/>
          <w:szCs w:val="32"/>
        </w:rPr>
        <w:t xml:space="preserve">第五章   采购</w:t>
      </w:r>
      <w:bookmarkStart w:id="2" w:name="_Hlt100754102"/>
      <w:r/>
      <w:bookmarkStart w:id="3" w:name="_Hlt100754103"/>
      <w:r>
        <w:rPr>
          <w:rStyle w:val="1154"/>
          <w:color w:val="000000"/>
          <w:sz w:val="32"/>
          <w:szCs w:val="32"/>
        </w:rPr>
        <w:t xml:space="preserve">需</w:t>
      </w:r>
      <w:bookmarkEnd w:id="2"/>
      <w:r/>
      <w:bookmarkEnd w:id="3"/>
      <w:r>
        <w:rPr>
          <w:rStyle w:val="1154"/>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54"/>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38</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54"/>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41</w:t>
      </w:r>
      <w:r>
        <w:rPr>
          <w:sz w:val="32"/>
          <w:szCs w:val="32"/>
        </w:rPr>
        <w:fldChar w:fldCharType="end"/>
        <w:fldChar w:fldCharType="end"/>
      </w:r>
      <w:r>
        <w:rPr>
          <w:b w:val="0"/>
          <w:sz w:val="32"/>
          <w:szCs w:val="32"/>
        </w:rPr>
      </w:r>
      <w:r/>
    </w:p>
    <w:p>
      <w:pPr>
        <w:pStyle w:val="1131"/>
        <w:spacing w:line="720" w:lineRule="auto"/>
        <w:rPr>
          <w:b w:val="0"/>
        </w:rPr>
      </w:pPr>
      <w:r>
        <w:rPr>
          <w:b w:val="0"/>
          <w:sz w:val="32"/>
          <w:szCs w:val="32"/>
        </w:rPr>
        <w:fldChar w:fldCharType="end"/>
      </w:r>
      <w:r>
        <w:rPr>
          <w:b w:val="0"/>
        </w:rPr>
      </w:r>
      <w:r/>
    </w:p>
    <w:p>
      <w:pPr>
        <w:pStyle w:val="1078"/>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常州市武进人民医院北院后勤运维托管服务项目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2026年</w:t>
      </w:r>
      <w:r>
        <w:rPr>
          <w:rFonts w:ascii="仿宋" w:hAnsi="仿宋" w:eastAsia="仿宋"/>
          <w:b/>
          <w:sz w:val="32"/>
          <w:szCs w:val="32"/>
        </w:rPr>
        <w:t xml:space="preserve">10</w:t>
      </w:r>
      <w:r>
        <w:rPr>
          <w:rFonts w:hint="eastAsia" w:ascii="仿宋" w:hAnsi="仿宋" w:eastAsia="仿宋"/>
          <w:b/>
          <w:sz w:val="32"/>
          <w:szCs w:val="32"/>
        </w:rPr>
        <w:t xml:space="preserve">月</w:t>
      </w:r>
      <w:r>
        <w:rPr>
          <w:rFonts w:ascii="仿宋" w:hAnsi="仿宋" w:eastAsia="仿宋"/>
          <w:b/>
          <w:sz w:val="32"/>
          <w:szCs w:val="32"/>
        </w:rPr>
        <w:t xml:space="preserve">16</w:t>
      </w:r>
      <w:r>
        <w:rPr>
          <w:rFonts w:hint="eastAsia" w:ascii="仿宋" w:hAnsi="仿宋" w:eastAsia="仿宋"/>
          <w:b/>
          <w:sz w:val="32"/>
          <w:szCs w:val="32"/>
        </w:rPr>
        <w:t xml:space="preserve">日</w:t>
      </w:r>
      <w:r>
        <w:rPr>
          <w:rFonts w:ascii="仿宋" w:hAnsi="仿宋" w:eastAsia="仿宋" w:cs="宋体"/>
          <w:b/>
          <w:bCs/>
          <w:sz w:val="32"/>
          <w:szCs w:val="32"/>
        </w:rPr>
        <w:t xml:space="preserve">14</w:t>
      </w:r>
      <w:r>
        <w:rPr>
          <w:rFonts w:hint="eastAsia" w:ascii="仿宋" w:hAnsi="仿宋" w:eastAsia="仿宋" w:cs="宋体"/>
          <w:b/>
          <w:bCs/>
          <w:sz w:val="32"/>
          <w:szCs w:val="32"/>
        </w:rPr>
        <w:t xml:space="preserve">点</w:t>
      </w:r>
      <w:r>
        <w:rPr>
          <w:rFonts w:ascii="仿宋" w:hAnsi="仿宋" w:eastAsia="仿宋" w:cs="宋体"/>
          <w:b/>
          <w:bCs/>
          <w:sz w:val="32"/>
          <w:szCs w:val="32"/>
        </w:rPr>
        <w:t xml:space="preserve">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80"/>
        <w:ind w:firstLine="643"/>
        <w:jc w:val="left"/>
        <w:spacing w:before="240" w:line="360" w:lineRule="auto"/>
        <w:rPr>
          <w:rFonts w:ascii="仿宋" w:hAnsi="仿宋" w:eastAsia="仿宋"/>
          <w:sz w:val="32"/>
          <w:szCs w:val="32"/>
        </w:rPr>
      </w:pPr>
      <w:r/>
      <w:bookmarkStart w:id="5" w:name="_Toc35393621"/>
      <w:r/>
      <w:bookmarkStart w:id="6" w:name="_Toc28359079"/>
      <w:r/>
      <w:bookmarkStart w:id="7" w:name="_Toc28359002"/>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8"/>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JSZC-320412-CTZB-G2026-0125</w:t>
      </w:r>
      <w:r>
        <w:rPr>
          <w:rFonts w:hint="eastAsia" w:ascii="仿宋" w:hAnsi="仿宋" w:eastAsia="仿宋"/>
          <w:sz w:val="32"/>
          <w:szCs w:val="32"/>
        </w:rPr>
      </w:r>
      <w:r/>
    </w:p>
    <w:p>
      <w:pPr>
        <w:pStyle w:val="1078"/>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常州市武进人民医院北院后勤运维托管服务项目</w:t>
      </w:r>
      <w:r/>
    </w:p>
    <w:p>
      <w:pPr>
        <w:pStyle w:val="1078"/>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690</w:t>
      </w:r>
      <w:r>
        <w:rPr>
          <w:rFonts w:ascii="仿宋" w:hAnsi="仿宋" w:eastAsia="仿宋"/>
          <w:sz w:val="32"/>
          <w:szCs w:val="32"/>
        </w:rPr>
        <w:t xml:space="preserve">万元</w:t>
      </w:r>
      <w:r>
        <w:rPr>
          <w:rFonts w:hint="eastAsia" w:ascii="仿宋" w:hAnsi="仿宋" w:eastAsia="仿宋"/>
          <w:sz w:val="32"/>
          <w:szCs w:val="32"/>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230万元/年，三年总计690</w:t>
      </w:r>
      <w:r>
        <w:rPr>
          <w:rFonts w:ascii="仿宋" w:hAnsi="仿宋" w:eastAsia="仿宋"/>
          <w:sz w:val="32"/>
          <w:szCs w:val="32"/>
        </w:rPr>
        <w:t xml:space="preserve">万元</w:t>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采购包预算金额</w:t>
            </w:r>
            <w:r/>
          </w:p>
          <w:p>
            <w:pPr>
              <w:pStyle w:val="1078"/>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1078"/>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1078"/>
              <w:jc w:val="center"/>
              <w:rPr>
                <w:rFonts w:ascii="仿宋" w:hAnsi="仿宋" w:eastAsia="仿宋"/>
                <w:bCs/>
                <w:sz w:val="32"/>
                <w:szCs w:val="32"/>
              </w:rPr>
            </w:pPr>
            <w:r>
              <w:rPr>
                <w:rFonts w:hint="eastAsia" w:ascii="仿宋" w:hAnsi="仿宋" w:eastAsia="仿宋"/>
                <w:sz w:val="32"/>
                <w:szCs w:val="32"/>
              </w:rPr>
              <w:t xml:space="preserve">北院后勤运维托管服务</w:t>
            </w:r>
            <w:r>
              <w:rPr>
                <w:rFonts w:ascii="仿宋" w:hAnsi="仿宋" w:eastAsia="仿宋"/>
                <w:bCs/>
                <w:sz w:val="32"/>
                <w:szCs w:val="32"/>
              </w:rPr>
            </w:r>
            <w:r/>
          </w:p>
        </w:tc>
        <w:tc>
          <w:tcPr>
            <w:tcW w:w="921" w:type="pct"/>
            <w:vAlign w:val="center"/>
            <w:textDirection w:val="lrTb"/>
            <w:noWrap w:val="false"/>
          </w:tcPr>
          <w:p>
            <w:pPr>
              <w:pStyle w:val="1078"/>
              <w:jc w:val="center"/>
              <w:rPr>
                <w:rFonts w:ascii="仿宋" w:hAnsi="仿宋" w:eastAsia="仿宋"/>
                <w:bCs/>
                <w:sz w:val="32"/>
                <w:szCs w:val="32"/>
              </w:rPr>
            </w:pPr>
            <w:r>
              <w:rPr>
                <w:rFonts w:hint="eastAsia" w:ascii="仿宋" w:hAnsi="仿宋" w:eastAsia="仿宋"/>
                <w:sz w:val="32"/>
                <w:szCs w:val="32"/>
              </w:rPr>
              <w:t xml:space="preserve">690</w:t>
            </w:r>
            <w:r>
              <w:rPr>
                <w:rFonts w:ascii="仿宋" w:hAnsi="仿宋" w:eastAsia="仿宋"/>
                <w:bCs/>
                <w:sz w:val="32"/>
                <w:szCs w:val="32"/>
              </w:rPr>
            </w:r>
            <w:r/>
          </w:p>
        </w:tc>
        <w:tc>
          <w:tcPr>
            <w:tcW w:w="997" w:type="dxa"/>
            <w:vAlign w:val="center"/>
            <w:textDirection w:val="lrTb"/>
            <w:noWrap w:val="false"/>
          </w:tcPr>
          <w:p>
            <w:pPr>
              <w:pStyle w:val="1078"/>
              <w:jc w:val="center"/>
              <w:rPr>
                <w:rFonts w:ascii="仿宋" w:hAnsi="仿宋" w:eastAsia="仿宋"/>
                <w:bCs/>
                <w:sz w:val="32"/>
                <w:szCs w:val="32"/>
              </w:rPr>
            </w:pPr>
            <w:r>
              <w:rPr>
                <w:rFonts w:hint="eastAsia" w:ascii="仿宋" w:hAnsi="仿宋" w:eastAsia="仿宋"/>
                <w:bCs/>
                <w:sz w:val="32"/>
                <w:szCs w:val="32"/>
              </w:rPr>
              <w:t xml:space="preserve">3年</w:t>
            </w:r>
            <w:r>
              <w:rPr>
                <w:rFonts w:ascii="仿宋" w:hAnsi="仿宋" w:eastAsia="仿宋"/>
                <w:bCs/>
                <w:sz w:val="32"/>
                <w:szCs w:val="32"/>
              </w:rPr>
            </w:r>
            <w:r/>
          </w:p>
        </w:tc>
        <w:tc>
          <w:tcPr>
            <w:tcW w:w="4273" w:type="dxa"/>
            <w:vAlign w:val="center"/>
            <w:textDirection w:val="lrTb"/>
            <w:noWrap w:val="false"/>
          </w:tcPr>
          <w:p>
            <w:pPr>
              <w:pStyle w:val="1078"/>
              <w:rPr>
                <w:rFonts w:hint="eastAsia" w:ascii="仿宋" w:hAnsi="仿宋" w:eastAsia="仿宋"/>
                <w:sz w:val="32"/>
                <w:szCs w:val="32"/>
              </w:rPr>
            </w:pPr>
            <w:r>
              <w:rPr>
                <w:rFonts w:hint="eastAsia" w:ascii="仿宋" w:hAnsi="仿宋" w:eastAsia="仿宋"/>
                <w:sz w:val="32"/>
                <w:szCs w:val="32"/>
              </w:rPr>
              <w:t xml:space="preserve">负责北院的总务后勤运维托管，包括但不限于水电暖、后勤设施设备等维修及日常管理运行维护。</w:t>
            </w:r>
            <w:r/>
          </w:p>
        </w:tc>
      </w:tr>
    </w:tbl>
    <w:p>
      <w:pPr>
        <w:pStyle w:val="1078"/>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合同履行期限：三年，合同一年一签。其中：前三个月为试用期，试用期满须经甲方考核，考核不合格，甲方有权解除合同。</w:t>
      </w:r>
      <w:r>
        <w:rPr>
          <w:rFonts w:ascii="仿宋" w:hAnsi="仿宋" w:eastAsia="仿宋"/>
          <w:sz w:val="32"/>
          <w:szCs w:val="32"/>
          <w:u w:val="single"/>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80"/>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80"/>
      <w:r/>
      <w:bookmarkStart w:id="13" w:name="_Toc28359003"/>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8"/>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8"/>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080"/>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8"/>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ascii="仿宋" w:hAnsi="仿宋" w:eastAsia="仿宋" w:cs="宋体"/>
          <w:sz w:val="32"/>
          <w:szCs w:val="32"/>
        </w:rPr>
        <w:t xml:space="preserve">09</w:t>
      </w:r>
      <w:r>
        <w:rPr>
          <w:rFonts w:hint="eastAsia" w:ascii="仿宋" w:hAnsi="仿宋" w:eastAsia="仿宋" w:cs="宋体"/>
          <w:sz w:val="32"/>
          <w:szCs w:val="32"/>
        </w:rPr>
        <w:t xml:space="preserve">月</w:t>
      </w:r>
      <w:r>
        <w:rPr>
          <w:rFonts w:ascii="仿宋" w:hAnsi="仿宋" w:eastAsia="仿宋" w:cs="宋体"/>
          <w:sz w:val="32"/>
          <w:szCs w:val="32"/>
        </w:rPr>
        <w:t xml:space="preserve">24</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ascii="仿宋" w:hAnsi="仿宋" w:eastAsia="仿宋" w:cs="宋体"/>
          <w:sz w:val="32"/>
          <w:szCs w:val="32"/>
        </w:rPr>
        <w:t xml:space="preserve">10</w:t>
      </w:r>
      <w:r>
        <w:rPr>
          <w:rFonts w:hint="eastAsia" w:ascii="仿宋" w:hAnsi="仿宋" w:eastAsia="仿宋" w:cs="宋体"/>
          <w:sz w:val="32"/>
          <w:szCs w:val="32"/>
        </w:rPr>
        <w:t xml:space="preserve">月</w:t>
      </w:r>
      <w:r>
        <w:rPr>
          <w:rFonts w:ascii="仿宋" w:hAnsi="仿宋" w:eastAsia="仿宋" w:cs="宋体"/>
          <w:sz w:val="32"/>
          <w:szCs w:val="32"/>
        </w:rPr>
        <w:t xml:space="preserve">09</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78"/>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8"/>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8"/>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80"/>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8"/>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2026年10月16日14点00分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8"/>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80"/>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80"/>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8"/>
        <w:ind w:firstLine="640"/>
        <w:jc w:val="left"/>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8"/>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8"/>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8"/>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80"/>
        <w:ind w:firstLine="643"/>
        <w:jc w:val="left"/>
        <w:spacing w:before="0" w:line="360" w:lineRule="auto"/>
        <w:rPr>
          <w:rFonts w:ascii="仿宋" w:hAnsi="仿宋" w:eastAsia="仿宋"/>
          <w:sz w:val="32"/>
          <w:szCs w:val="32"/>
        </w:rPr>
      </w:pPr>
      <w:r/>
      <w:bookmarkStart w:id="28" w:name="_Toc35393796"/>
      <w:r/>
      <w:bookmarkStart w:id="29" w:name="_Toc28359008"/>
      <w:r/>
      <w:bookmarkStart w:id="30" w:name="_Toc28359085"/>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8"/>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8"/>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称：常州市武进人民医院 </w:t>
      </w:r>
      <w:r/>
    </w:p>
    <w:p>
      <w:pPr>
        <w:pStyle w:val="107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址：常州市武进区湖塘镇滆湖东路85号</w:t>
      </w:r>
      <w:r/>
    </w:p>
    <w:p>
      <w:pPr>
        <w:pStyle w:val="107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w:t>
      </w:r>
      <w:r>
        <w:rPr>
          <w:rFonts w:hint="eastAsia" w:ascii="仿宋" w:hAnsi="仿宋" w:eastAsia="仿宋"/>
          <w:sz w:val="32"/>
          <w:szCs w:val="32"/>
        </w:rPr>
        <w:t xml:space="preserve">顾先生 0519-88060128</w:t>
      </w:r>
      <w:r>
        <w:rPr>
          <w:rFonts w:hint="eastAsia" w:ascii="仿宋" w:hAnsi="仿宋" w:eastAsia="仿宋"/>
          <w:sz w:val="32"/>
          <w:szCs w:val="32"/>
        </w:rPr>
      </w:r>
      <w:r/>
    </w:p>
    <w:p>
      <w:pPr>
        <w:pStyle w:val="1078"/>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8"/>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8"/>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hint="eastAsia" w:ascii="仿宋" w:hAnsi="仿宋" w:eastAsia="仿宋"/>
          <w:b/>
          <w:sz w:val="32"/>
          <w:szCs w:val="32"/>
        </w:rPr>
      </w:r>
      <w:r/>
    </w:p>
    <w:p>
      <w:pPr>
        <w:pStyle w:val="1078"/>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w:t>
      </w:r>
      <w:r>
        <w:rPr>
          <w:rFonts w:hint="eastAsia" w:ascii="仿宋" w:hAnsi="仿宋" w:eastAsia="仿宋"/>
          <w:sz w:val="32"/>
          <w:szCs w:val="32"/>
        </w:rPr>
        <w:t xml:space="preserve">王逸菲</w:t>
      </w:r>
      <w:r>
        <w:rPr>
          <w:rFonts w:hint="eastAsia" w:ascii="仿宋" w:hAnsi="仿宋" w:eastAsia="仿宋"/>
          <w:sz w:val="32"/>
          <w:szCs w:val="32"/>
        </w:rPr>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w:t>
      </w:r>
      <w:r>
        <w:rPr>
          <w:rFonts w:hint="eastAsia" w:ascii="仿宋" w:hAnsi="仿宋" w:eastAsia="仿宋"/>
          <w:sz w:val="32"/>
          <w:szCs w:val="32"/>
        </w:rPr>
        <w:t xml:space="preserve">601</w:t>
      </w:r>
      <w:r>
        <w:rPr>
          <w:rFonts w:ascii="仿宋" w:hAnsi="仿宋" w:eastAsia="仿宋"/>
          <w:sz w:val="32"/>
          <w:szCs w:val="32"/>
        </w:rPr>
        <w:t xml:space="preserve">2</w:t>
      </w:r>
      <w:r>
        <w:rPr>
          <w:rFonts w:hint="eastAsia" w:ascii="仿宋" w:hAnsi="仿宋" w:eastAsia="仿宋"/>
          <w:sz w:val="32"/>
          <w:szCs w:val="32"/>
        </w:rPr>
        <w:t xml:space="preserve">）</w:t>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78"/>
        <w:jc w:val="center"/>
        <w:spacing w:line="360" w:lineRule="auto"/>
        <w:rPr>
          <w:rFonts w:ascii="宋体" w:hAnsi="宋体"/>
          <w:b/>
          <w:sz w:val="32"/>
          <w:szCs w:val="32"/>
        </w:rPr>
        <w:outlineLvl w:val="0"/>
      </w:pPr>
      <w:r>
        <w:rPr>
          <w:rFonts w:ascii="宋体" w:hAnsi="宋体"/>
          <w:sz w:val="24"/>
        </w:rPr>
        <w:br w:type="page" w:clear="all"/>
      </w:r>
      <w:bookmarkStart w:id="36" w:name="_Toc226965856"/>
      <w:r/>
      <w:bookmarkStart w:id="37" w:name="_Toc353873938"/>
      <w:r/>
      <w:bookmarkStart w:id="38" w:name="_Toc150774783"/>
      <w:r/>
      <w:bookmarkStart w:id="39" w:name="_Toc195842950"/>
      <w:r/>
      <w:bookmarkStart w:id="40" w:name="_Toc305158928"/>
      <w:r/>
      <w:bookmarkStart w:id="41" w:name="_Toc99301420"/>
      <w:r/>
      <w:bookmarkStart w:id="42" w:name="_Toc127151777"/>
      <w:r/>
      <w:bookmarkStart w:id="43" w:name="_Toc265228423"/>
      <w:r/>
      <w:bookmarkStart w:id="44" w:name="_Toc512937850"/>
      <w:r/>
      <w:bookmarkStart w:id="45" w:name="_Toc127161488"/>
      <w:r/>
      <w:bookmarkStart w:id="46" w:name="_Toc305158854"/>
      <w:r/>
      <w:bookmarkStart w:id="47" w:name="_Toc264969275"/>
      <w:r/>
      <w:bookmarkStart w:id="48" w:name="_Toc35382554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80"/>
        <w:spacing w:before="0" w:line="360" w:lineRule="auto"/>
        <w:tabs>
          <w:tab w:val="center" w:pos="4592" w:leader="none"/>
          <w:tab w:val="left" w:pos="7860" w:leader="none"/>
        </w:tabs>
        <w:rPr>
          <w:rFonts w:ascii="宋体" w:hAnsi="宋体" w:eastAsia="宋体"/>
          <w:sz w:val="28"/>
        </w:rPr>
      </w:pPr>
      <w:r/>
      <w:bookmarkStart w:id="49" w:name="_Toc195842884"/>
      <w:r/>
      <w:bookmarkStart w:id="50" w:name="_Toc164229360"/>
      <w:r/>
      <w:bookmarkStart w:id="51" w:name="_Toc226965792"/>
      <w:r/>
      <w:bookmarkStart w:id="52" w:name="_Toc150774619"/>
      <w:r/>
      <w:bookmarkStart w:id="53" w:name="_Toc151193689"/>
      <w:r/>
      <w:bookmarkStart w:id="54" w:name="_Toc164351613"/>
      <w:r/>
      <w:bookmarkStart w:id="55" w:name="_Toc164608788"/>
      <w:r/>
      <w:bookmarkStart w:id="56" w:name="_Toc127161433"/>
      <w:r/>
      <w:bookmarkStart w:id="57" w:name="_Toc164229214"/>
      <w:r/>
      <w:bookmarkStart w:id="58" w:name="_Toc164608633"/>
      <w:r/>
      <w:bookmarkStart w:id="59" w:name="_Toc149720812"/>
      <w:r/>
      <w:bookmarkStart w:id="60" w:name="_Toc150774724"/>
      <w:r/>
      <w:bookmarkStart w:id="61" w:name="_Toc151193761"/>
      <w:r/>
      <w:bookmarkStart w:id="62" w:name="_Toc151193907"/>
      <w:r/>
      <w:bookmarkStart w:id="63" w:name="_Toc151193617"/>
      <w:r/>
      <w:bookmarkStart w:id="64" w:name="_Toc151190146"/>
      <w:r/>
      <w:bookmarkStart w:id="65" w:name="_Toc151193833"/>
      <w:r/>
      <w:bookmarkStart w:id="66" w:name="_Toc150509270"/>
      <w:r/>
      <w:bookmarkStart w:id="67" w:name="_Toc226309763"/>
      <w:r/>
      <w:bookmarkStart w:id="68" w:name="_Toc142311021"/>
      <w:r/>
      <w:bookmarkStart w:id="69" w:name="_Toc226337215"/>
      <w:r/>
      <w:bookmarkStart w:id="70" w:name="_Toc150480757"/>
      <w:r/>
      <w:bookmarkStart w:id="71" w:name="_Toc520356144"/>
      <w:r/>
      <w:bookmarkStart w:id="72" w:name="_Toc127151720"/>
      <w:r/>
      <w:bookmarkStart w:id="73" w:name="_Toc127151519"/>
      <w:r/>
      <w:bookmarkStart w:id="74" w:name="_Toc226965709"/>
      <w:r>
        <w:rPr>
          <w:rFonts w:ascii="宋体" w:hAnsi="宋体" w:eastAsia="宋体"/>
          <w:sz w:val="28"/>
        </w:rPr>
        <w:t xml:space="preserve">投标人须知资料表</w:t>
      </w:r>
      <w:r/>
    </w:p>
    <w:p>
      <w:pPr>
        <w:pStyle w:val="1078"/>
        <w:jc w:val="center"/>
        <w:rPr>
          <w:rFonts w:ascii="宋体" w:hAnsi="宋体"/>
          <w:b/>
          <w:sz w:val="28"/>
          <w:szCs w:val="28"/>
        </w:rPr>
      </w:pPr>
      <w:r>
        <w:rPr>
          <w:rFonts w:ascii="宋体" w:hAnsi="宋体"/>
          <w:b/>
          <w:sz w:val="28"/>
          <w:szCs w:val="28"/>
        </w:rPr>
      </w:r>
      <w:r/>
    </w:p>
    <w:p>
      <w:pPr>
        <w:pStyle w:val="1078"/>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8"/>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8"/>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8"/>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8"/>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项目属性：</w:t>
            </w:r>
            <w:r/>
          </w:p>
          <w:p>
            <w:pPr>
              <w:pStyle w:val="1078"/>
              <w:jc w:val="left"/>
              <w:rPr>
                <w:rFonts w:hint="eastAsia" w:ascii="宋体" w:hAnsi="宋体" w:cs="宋体"/>
                <w:sz w:val="24"/>
              </w:rPr>
            </w:pPr>
            <w:r>
              <w:rPr>
                <w:rFonts w:hint="eastAsia" w:ascii="宋体" w:hAnsi="宋体" w:cs="宋体"/>
                <w:sz w:val="24"/>
              </w:rPr>
              <w:t xml:space="preserve">■服务</w:t>
            </w:r>
            <w:r/>
          </w:p>
          <w:p>
            <w:pPr>
              <w:pStyle w:val="1078"/>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是否属于科研仪器设备采购项目：</w:t>
            </w:r>
            <w:r/>
          </w:p>
          <w:p>
            <w:pPr>
              <w:pStyle w:val="1078"/>
              <w:jc w:val="left"/>
              <w:rPr>
                <w:rFonts w:hint="eastAsia" w:ascii="宋体" w:hAnsi="宋体" w:cs="宋体"/>
                <w:sz w:val="24"/>
              </w:rPr>
            </w:pPr>
            <w:r>
              <w:rPr>
                <w:rFonts w:hint="eastAsia" w:ascii="宋体" w:hAnsi="宋体" w:cs="宋体"/>
                <w:sz w:val="24"/>
              </w:rPr>
              <w:t xml:space="preserve">□是</w:t>
            </w:r>
            <w:r/>
          </w:p>
          <w:p>
            <w:pPr>
              <w:pStyle w:val="1078"/>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8"/>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1118"/>
              <w:rPr>
                <w:rFonts w:hAnsi="宋体" w:cs="宋体"/>
                <w:sz w:val="24"/>
                <w:szCs w:val="24"/>
              </w:rPr>
            </w:pPr>
            <w:r>
              <w:rPr>
                <w:rFonts w:hAnsi="宋体" w:cs="宋体"/>
                <w:sz w:val="24"/>
                <w:szCs w:val="24"/>
              </w:rPr>
              <w:t xml:space="preserve">□本项目__包为单一产品采购项目。</w:t>
            </w:r>
            <w:r/>
          </w:p>
          <w:p>
            <w:pPr>
              <w:pStyle w:val="1078"/>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8"/>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■不组织</w:t>
            </w:r>
            <w:r/>
          </w:p>
          <w:p>
            <w:pPr>
              <w:pStyle w:val="1078"/>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8"/>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8"/>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■不召开</w:t>
            </w:r>
            <w:r/>
          </w:p>
          <w:p>
            <w:pPr>
              <w:pStyle w:val="1078"/>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8"/>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投标样品递交：</w:t>
            </w:r>
            <w:r/>
          </w:p>
          <w:p>
            <w:pPr>
              <w:pStyle w:val="1078"/>
              <w:jc w:val="left"/>
              <w:rPr>
                <w:rFonts w:hint="eastAsia" w:ascii="宋体" w:hAnsi="宋体" w:cs="宋体"/>
                <w:sz w:val="24"/>
              </w:rPr>
            </w:pPr>
            <w:r>
              <w:rPr>
                <w:rFonts w:hint="eastAsia" w:ascii="宋体" w:hAnsi="宋体" w:cs="宋体"/>
                <w:sz w:val="24"/>
              </w:rPr>
              <w:t xml:space="preserve">■不需要</w:t>
            </w:r>
            <w:r/>
          </w:p>
          <w:p>
            <w:pPr>
              <w:pStyle w:val="1078"/>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租赁和商务服务业。</w:t>
            </w:r>
            <w:r>
              <w:rPr>
                <w:rFonts w:hint="eastAsia" w:ascii="宋体" w:hAnsi="宋体" w:cs="宋体"/>
                <w:sz w:val="24"/>
              </w:rPr>
            </w:r>
            <w:r/>
          </w:p>
        </w:tc>
      </w:tr>
      <w:tr>
        <w:trPr>
          <w:trHeight w:val="517"/>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78"/>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8"/>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w:t>
            </w:r>
            <w:r>
              <w:rPr>
                <w:rFonts w:hint="eastAsia"/>
                <w:sz w:val="24"/>
              </w:rPr>
              <w:t xml:space="preserve">适用 </w:t>
            </w:r>
            <w:r>
              <w:rPr>
                <w:sz w:val="24"/>
              </w:rPr>
              <w:t xml:space="preserve">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80"/>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投标报价的特殊规定：</w:t>
            </w:r>
            <w:r/>
          </w:p>
          <w:p>
            <w:pPr>
              <w:pStyle w:val="1078"/>
              <w:jc w:val="left"/>
              <w:rPr>
                <w:rFonts w:hint="eastAsia" w:ascii="宋体" w:hAnsi="宋体" w:cs="宋体"/>
                <w:sz w:val="24"/>
              </w:rPr>
            </w:pPr>
            <w:r>
              <w:rPr>
                <w:rFonts w:hint="eastAsia" w:ascii="宋体" w:hAnsi="宋体" w:cs="宋体"/>
                <w:sz w:val="24"/>
              </w:rPr>
              <w:t xml:space="preserve">■无</w:t>
            </w:r>
            <w:r/>
          </w:p>
          <w:p>
            <w:pPr>
              <w:pStyle w:val="1078"/>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8"/>
              <w:jc w:val="left"/>
              <w:rPr>
                <w:rFonts w:hint="eastAsia" w:ascii="宋体" w:hAnsi="宋体" w:cs="宋体"/>
                <w:sz w:val="24"/>
              </w:rPr>
            </w:pPr>
            <w:r>
              <w:rPr>
                <w:rFonts w:hint="eastAsia" w:ascii="宋体" w:hAnsi="宋体" w:cs="宋体"/>
                <w:sz w:val="24"/>
              </w:rPr>
              <w:t xml:space="preserve">■不允许</w:t>
            </w:r>
            <w:r/>
          </w:p>
          <w:p>
            <w:pPr>
              <w:pStyle w:val="1078"/>
              <w:jc w:val="left"/>
              <w:rPr>
                <w:rFonts w:hint="eastAsia" w:ascii="宋体" w:hAnsi="宋体" w:cs="宋体"/>
                <w:sz w:val="24"/>
              </w:rPr>
            </w:pPr>
            <w:r>
              <w:rPr>
                <w:rFonts w:hint="eastAsia" w:ascii="宋体" w:hAnsi="宋体" w:cs="宋体"/>
                <w:sz w:val="24"/>
              </w:rPr>
              <w:t xml:space="preserve">□允许，具体要求：</w:t>
            </w:r>
            <w:r/>
          </w:p>
          <w:p>
            <w:pPr>
              <w:pStyle w:val="1078"/>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8"/>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8"/>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ascii="宋体" w:hAnsi="宋体" w:cs="宋体"/>
                <w:b/>
                <w:sz w:val="24"/>
              </w:rPr>
              <w:t xml:space="preserve">2026</w:t>
            </w:r>
            <w:r>
              <w:rPr>
                <w:rFonts w:hint="eastAsia" w:ascii="宋体" w:hAnsi="宋体" w:cs="宋体"/>
                <w:b/>
                <w:sz w:val="24"/>
              </w:rPr>
              <w:t xml:space="preserve">年</w:t>
            </w:r>
            <w:r>
              <w:rPr>
                <w:rFonts w:ascii="宋体" w:hAnsi="宋体" w:cs="宋体"/>
                <w:b/>
                <w:sz w:val="24"/>
              </w:rPr>
              <w:t xml:space="preserve">10</w:t>
            </w:r>
            <w:r>
              <w:rPr>
                <w:rFonts w:hint="eastAsia" w:ascii="宋体" w:hAnsi="宋体" w:cs="宋体"/>
                <w:b/>
                <w:sz w:val="24"/>
              </w:rPr>
              <w:t xml:space="preserve">月</w:t>
            </w:r>
            <w:r>
              <w:rPr>
                <w:rFonts w:ascii="宋体" w:hAnsi="宋体" w:cs="宋体"/>
                <w:b/>
                <w:sz w:val="24"/>
              </w:rPr>
              <w:t xml:space="preserve">10</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接收询问和质疑的联系方式</w:t>
            </w:r>
            <w:r/>
          </w:p>
          <w:p>
            <w:pPr>
              <w:pStyle w:val="1078"/>
              <w:jc w:val="left"/>
              <w:rPr>
                <w:rFonts w:hint="eastAsia" w:ascii="宋体" w:hAnsi="宋体" w:cs="宋体"/>
                <w:sz w:val="24"/>
              </w:rPr>
            </w:pPr>
            <w:r>
              <w:rPr>
                <w:rFonts w:hint="eastAsia" w:ascii="宋体" w:hAnsi="宋体" w:cs="宋体"/>
                <w:sz w:val="24"/>
              </w:rPr>
              <w:t xml:space="preserve">联系部门：技术部；</w:t>
            </w:r>
            <w:r/>
          </w:p>
          <w:p>
            <w:pPr>
              <w:pStyle w:val="1078"/>
              <w:jc w:val="left"/>
              <w:rPr>
                <w:rFonts w:hint="eastAsia" w:ascii="宋体" w:hAnsi="宋体" w:cs="宋体"/>
                <w:sz w:val="24"/>
              </w:rPr>
            </w:pPr>
            <w:r>
              <w:rPr>
                <w:rFonts w:hint="eastAsia" w:ascii="宋体" w:hAnsi="宋体" w:cs="宋体"/>
                <w:sz w:val="24"/>
              </w:rPr>
              <w:t xml:space="preserve">联系电话：0519-81580152  81580191  81580192（转分机号6013）；</w:t>
            </w:r>
            <w:r/>
          </w:p>
          <w:p>
            <w:pPr>
              <w:pStyle w:val="1078"/>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8"/>
              <w:jc w:val="left"/>
              <w:rPr>
                <w:rFonts w:hint="eastAsia" w:ascii="宋体" w:hAnsi="宋体" w:cs="宋体"/>
                <w:b/>
                <w:sz w:val="24"/>
              </w:rPr>
            </w:pPr>
            <w:r>
              <w:rPr>
                <w:rFonts w:hint="eastAsia" w:ascii="宋体" w:hAnsi="宋体" w:cs="宋体"/>
                <w:b/>
                <w:sz w:val="24"/>
              </w:rPr>
              <w:t xml:space="preserve">（一）收费对象：</w:t>
            </w:r>
            <w:r/>
          </w:p>
          <w:p>
            <w:pPr>
              <w:pStyle w:val="1078"/>
              <w:jc w:val="left"/>
              <w:rPr>
                <w:rFonts w:hint="eastAsia" w:ascii="宋体" w:hAnsi="宋体" w:cs="宋体"/>
                <w:sz w:val="24"/>
              </w:rPr>
            </w:pPr>
            <w:r>
              <w:rPr>
                <w:rFonts w:hint="eastAsia" w:ascii="宋体" w:hAnsi="宋体" w:cs="宋体"/>
                <w:sz w:val="24"/>
              </w:rPr>
              <w:t xml:space="preserve">□采购人</w:t>
            </w:r>
            <w:r/>
          </w:p>
          <w:p>
            <w:pPr>
              <w:pStyle w:val="1078"/>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078"/>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1078"/>
              <w:jc w:val="left"/>
              <w:rPr>
                <w:rFonts w:hint="eastAsia" w:ascii="宋体" w:hAnsi="宋体" w:cs="宋体"/>
                <w:sz w:val="24"/>
              </w:rPr>
            </w:pPr>
            <w:r>
              <w:rPr>
                <w:rFonts w:hint="eastAsia" w:ascii="宋体" w:hAnsi="宋体" w:cs="宋体"/>
                <w:sz w:val="24"/>
              </w:rPr>
              <w:t xml:space="preserve">中标人须按其中标金额的0.65%计算并支付代理费。代理费按上述计算方法不足人民币3000元的，按人民币3000元收取。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8"/>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中标人应在领取中标通知书时将三年代理费支付至常州市城投建设工程招标有限公司账户。</w:t>
            </w:r>
            <w:r/>
          </w:p>
          <w:p>
            <w:pPr>
              <w:pStyle w:val="1078"/>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8"/>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8"/>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8"/>
              <w:jc w:val="center"/>
              <w:rPr>
                <w:rFonts w:hAnsi="宋体" w:cs="宋体"/>
                <w:sz w:val="24"/>
                <w:szCs w:val="24"/>
              </w:rPr>
            </w:pPr>
            <w:r>
              <w:rPr>
                <w:rFonts w:hAnsi="宋体"/>
                <w:sz w:val="24"/>
                <w:szCs w:val="24"/>
              </w:rPr>
              <w:t xml:space="preserve">2</w:t>
            </w:r>
            <w:r>
              <w:rPr>
                <w:rFonts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8"/>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8"/>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8"/>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8"/>
        <w:jc w:val="center"/>
        <w:spacing w:before="240" w:after="240"/>
        <w:rPr>
          <w:rFonts w:hint="eastAsia" w:ascii="宋体" w:hAnsi="宋体" w:cs="宋体"/>
          <w:b/>
          <w:sz w:val="28"/>
          <w:szCs w:val="28"/>
        </w:rPr>
      </w:pPr>
      <w:r/>
      <w:bookmarkStart w:id="75" w:name="_Toc265228355"/>
      <w:r/>
      <w:bookmarkStart w:id="76" w:name="_Toc305158785"/>
      <w:r/>
      <w:bookmarkStart w:id="77" w:name="_Toc353873932"/>
      <w:r/>
      <w:bookmarkStart w:id="78" w:name="_Toc226337213"/>
      <w:r/>
      <w:bookmarkStart w:id="79" w:name="_Toc150480755"/>
      <w:r/>
      <w:bookmarkStart w:id="80" w:name="_Toc150774722"/>
      <w:r/>
      <w:bookmarkStart w:id="81" w:name="_Toc305158859"/>
      <w:r/>
      <w:bookmarkStart w:id="82" w:name="_Toc353873662"/>
      <w:r/>
      <w:bookmarkStart w:id="83" w:name="_Toc264969207"/>
      <w:r/>
      <w:bookmarkStart w:id="84" w:name="_Toc353825542"/>
      <w:r/>
      <w:bookmarkStart w:id="85" w:name="_Toc142311019"/>
      <w:r/>
      <w:bookmarkStart w:id="86" w:name="_Toc127151517"/>
      <w:r/>
      <w:bookmarkStart w:id="87" w:name="_Toc195842882"/>
      <w:r/>
      <w:bookmarkStart w:id="88" w:name="_Toc226965790"/>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80"/>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95842883"/>
      <w:r/>
      <w:bookmarkStart w:id="92" w:name="_Toc305158860"/>
      <w:r/>
      <w:bookmarkStart w:id="93" w:name="_Toc305158786"/>
      <w:r/>
      <w:bookmarkStart w:id="94" w:name="_Toc142311020"/>
      <w:r/>
      <w:bookmarkStart w:id="95" w:name="_Toc151193760"/>
      <w:r/>
      <w:bookmarkStart w:id="96" w:name="_Toc265228356"/>
      <w:r/>
      <w:bookmarkStart w:id="97" w:name="_Toc150774618"/>
      <w:r/>
      <w:bookmarkStart w:id="98" w:name="_Toc151193616"/>
      <w:r/>
      <w:bookmarkStart w:id="99" w:name="_Toc151193688"/>
      <w:r/>
      <w:bookmarkStart w:id="100" w:name="_Toc150509269"/>
      <w:r/>
      <w:bookmarkStart w:id="101" w:name="_Toc150774723"/>
      <w:r/>
      <w:bookmarkStart w:id="102" w:name="_Toc226965791"/>
      <w:r/>
      <w:bookmarkStart w:id="103" w:name="_Toc151193832"/>
      <w:r/>
      <w:bookmarkStart w:id="104" w:name="_Toc151193906"/>
      <w:r/>
      <w:bookmarkStart w:id="105" w:name="_Toc226337214"/>
      <w:r/>
      <w:bookmarkStart w:id="106" w:name="_Toc151190145"/>
      <w:r/>
      <w:bookmarkStart w:id="107" w:name="_Toc226965708"/>
      <w:r/>
      <w:bookmarkStart w:id="108" w:name="_Toc226309762"/>
      <w:r/>
      <w:bookmarkStart w:id="109" w:name="_Toc150480756"/>
      <w:r/>
      <w:bookmarkStart w:id="110" w:name="_Toc26496920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264969209"/>
      <w:r/>
      <w:bookmarkStart w:id="113" w:name="_Toc305158787"/>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908"/>
      <w:r/>
      <w:bookmarkStart w:id="116" w:name="_Toc195842885"/>
      <w:r/>
      <w:bookmarkStart w:id="117" w:name="_Toc151193690"/>
      <w:r/>
      <w:bookmarkStart w:id="118" w:name="_Toc226965710"/>
      <w:r/>
      <w:bookmarkStart w:id="119" w:name="_Toc226309764"/>
      <w:r/>
      <w:bookmarkStart w:id="120" w:name="_Toc305158788"/>
      <w:r/>
      <w:bookmarkStart w:id="121" w:name="_Toc149720813"/>
      <w:r/>
      <w:bookmarkStart w:id="122" w:name="_Toc164229215"/>
      <w:r/>
      <w:bookmarkStart w:id="123" w:name="_Toc142311022"/>
      <w:r/>
      <w:bookmarkStart w:id="124" w:name="_Toc164608634"/>
      <w:r/>
      <w:bookmarkStart w:id="125" w:name="_Toc226965793"/>
      <w:r/>
      <w:bookmarkStart w:id="126" w:name="_Toc164229361"/>
      <w:r/>
      <w:bookmarkStart w:id="127" w:name="_Toc150774620"/>
      <w:r/>
      <w:bookmarkStart w:id="128" w:name="_Toc151190147"/>
      <w:r/>
      <w:bookmarkStart w:id="129" w:name="_Toc127161434"/>
      <w:r/>
      <w:bookmarkStart w:id="130" w:name="_Toc127151721"/>
      <w:r/>
      <w:bookmarkStart w:id="131" w:name="_Toc127151520"/>
      <w:r/>
      <w:bookmarkStart w:id="132" w:name="_Toc150774725"/>
      <w:r/>
      <w:bookmarkStart w:id="133" w:name="_Toc150480758"/>
      <w:r/>
      <w:bookmarkStart w:id="134" w:name="_Toc264969210"/>
      <w:r/>
      <w:bookmarkStart w:id="135" w:name="_Toc226337216"/>
      <w:r/>
      <w:bookmarkStart w:id="136" w:name="_Toc151193834"/>
      <w:r/>
      <w:bookmarkStart w:id="137" w:name="_Toc265228358"/>
      <w:r/>
      <w:bookmarkStart w:id="138" w:name="_Toc164351614"/>
      <w:r/>
      <w:bookmarkStart w:id="139" w:name="_Toc151193762"/>
      <w:r/>
      <w:bookmarkStart w:id="140" w:name="_Toc164608789"/>
      <w:r/>
      <w:bookmarkStart w:id="141" w:name="_Toc305158862"/>
      <w:r/>
      <w:bookmarkStart w:id="142" w:name="_Toc150509271"/>
      <w:r/>
      <w:bookmarkStart w:id="143" w:name="_Toc15119361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910"/>
      <w:r/>
      <w:bookmarkStart w:id="145" w:name="_Toc151193836"/>
      <w:r/>
      <w:bookmarkStart w:id="146" w:name="_Toc150774622"/>
      <w:r/>
      <w:bookmarkStart w:id="147" w:name="_Toc150480760"/>
      <w:r/>
      <w:bookmarkStart w:id="148" w:name="_Toc151193764"/>
      <w:r/>
      <w:bookmarkStart w:id="149" w:name="_Toc305158790"/>
      <w:r/>
      <w:bookmarkStart w:id="150" w:name="_Toc151193692"/>
      <w:r/>
      <w:bookmarkStart w:id="151" w:name="_Toc142311024"/>
      <w:r/>
      <w:bookmarkStart w:id="152" w:name="_Toc151190149"/>
      <w:r/>
      <w:bookmarkStart w:id="153" w:name="_Toc305158864"/>
      <w:r/>
      <w:bookmarkStart w:id="154" w:name="_Toc226965795"/>
      <w:r/>
      <w:bookmarkStart w:id="155" w:name="_Toc150509273"/>
      <w:r/>
      <w:bookmarkStart w:id="156" w:name="_Toc520356146"/>
      <w:r/>
      <w:bookmarkStart w:id="157" w:name="_Toc265228360"/>
      <w:r/>
      <w:bookmarkStart w:id="158" w:name="_Toc226309766"/>
      <w:r/>
      <w:bookmarkStart w:id="159" w:name="_Toc150774727"/>
      <w:r/>
      <w:bookmarkStart w:id="160" w:name="_Toc226965712"/>
      <w:r/>
      <w:bookmarkStart w:id="161" w:name="_Toc264969212"/>
      <w:r/>
      <w:bookmarkStart w:id="162" w:name="_Toc226337218"/>
      <w:r/>
      <w:bookmarkStart w:id="163" w:name="_Toc151193620"/>
      <w:r/>
      <w:bookmarkStart w:id="164" w:name="_Toc195842887"/>
      <w:r/>
      <w:bookmarkStart w:id="165" w:name="_Toc127151522"/>
      <w:r>
        <w:rPr>
          <w:rFonts w:hint="eastAsia" w:ascii="宋体" w:hAnsi="宋体" w:cs="宋体"/>
          <w:sz w:val="28"/>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8"/>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8"/>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8"/>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8"/>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7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8"/>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8"/>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8"/>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8"/>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8"/>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8"/>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8"/>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8"/>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8"/>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8"/>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80"/>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27161437"/>
      <w:r/>
      <w:bookmarkStart w:id="168" w:name="_Toc164351617"/>
      <w:r/>
      <w:bookmarkStart w:id="169" w:name="_Toc305158791"/>
      <w:r/>
      <w:bookmarkStart w:id="170" w:name="_Toc150480761"/>
      <w:r/>
      <w:bookmarkStart w:id="171" w:name="_Toc164608792"/>
      <w:r/>
      <w:bookmarkStart w:id="172" w:name="_Toc226965796"/>
      <w:r/>
      <w:bookmarkStart w:id="173" w:name="_Toc151193693"/>
      <w:r/>
      <w:bookmarkStart w:id="174" w:name="_Toc151193837"/>
      <w:r/>
      <w:bookmarkStart w:id="175" w:name="_Toc149720816"/>
      <w:r/>
      <w:bookmarkStart w:id="176" w:name="_Toc127151523"/>
      <w:r/>
      <w:bookmarkStart w:id="177" w:name="_Toc151193765"/>
      <w:r/>
      <w:bookmarkStart w:id="178" w:name="_Toc127151724"/>
      <w:r/>
      <w:bookmarkStart w:id="179" w:name="_Toc226337219"/>
      <w:r/>
      <w:bookmarkStart w:id="180" w:name="_Toc164229364"/>
      <w:r/>
      <w:bookmarkStart w:id="181" w:name="_Toc151193911"/>
      <w:r/>
      <w:bookmarkStart w:id="182" w:name="_Toc164608637"/>
      <w:r/>
      <w:bookmarkStart w:id="183" w:name="_Toc151193621"/>
      <w:r/>
      <w:bookmarkStart w:id="184" w:name="_Toc151190150"/>
      <w:r/>
      <w:bookmarkStart w:id="185" w:name="_Toc150509274"/>
      <w:r/>
      <w:bookmarkStart w:id="186" w:name="_Toc164229218"/>
      <w:r/>
      <w:bookmarkStart w:id="187" w:name="_Toc226309767"/>
      <w:r/>
      <w:bookmarkStart w:id="188" w:name="_Toc265228361"/>
      <w:r/>
      <w:bookmarkStart w:id="189" w:name="_Toc142311025"/>
      <w:r/>
      <w:bookmarkStart w:id="190" w:name="_Toc264969213"/>
      <w:r/>
      <w:bookmarkStart w:id="191" w:name="_Toc305158865"/>
      <w:r/>
      <w:bookmarkStart w:id="192" w:name="_Toc150774623"/>
      <w:r/>
      <w:bookmarkStart w:id="193" w:name="_Toc195842888"/>
      <w:r/>
      <w:bookmarkStart w:id="194" w:name="_Toc150774728"/>
      <w:r/>
      <w:bookmarkStart w:id="195" w:name="_Toc226965713"/>
      <w:r/>
      <w:bookmarkStart w:id="196" w:name="_Toc52035614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80"/>
        <w:ind w:firstLine="562"/>
        <w:spacing w:before="0" w:line="360" w:lineRule="auto"/>
        <w:rPr>
          <w:rFonts w:hint="eastAsia" w:ascii="宋体" w:hAnsi="宋体" w:eastAsia="宋体" w:cs="宋体"/>
          <w:sz w:val="28"/>
        </w:rPr>
      </w:pPr>
      <w:r/>
      <w:bookmarkStart w:id="197" w:name="_Toc195842891"/>
      <w:r/>
      <w:bookmarkStart w:id="198" w:name="_Toc142311028"/>
      <w:r/>
      <w:bookmarkStart w:id="199" w:name="_Toc150774626"/>
      <w:r/>
      <w:bookmarkStart w:id="200" w:name="_Toc226337222"/>
      <w:r/>
      <w:bookmarkStart w:id="201" w:name="_Toc226965716"/>
      <w:r/>
      <w:bookmarkStart w:id="202" w:name="_Toc151193696"/>
      <w:r/>
      <w:bookmarkStart w:id="203" w:name="_Toc150774731"/>
      <w:r/>
      <w:bookmarkStart w:id="204" w:name="_Toc226309770"/>
      <w:r/>
      <w:bookmarkStart w:id="205" w:name="_Toc150480764"/>
      <w:r/>
      <w:bookmarkStart w:id="206" w:name="_Toc151193840"/>
      <w:r/>
      <w:bookmarkStart w:id="207" w:name="_Toc151190153"/>
      <w:r/>
      <w:bookmarkStart w:id="208" w:name="_Toc520356150"/>
      <w:r/>
      <w:bookmarkStart w:id="209" w:name="_Toc127151526"/>
      <w:r/>
      <w:bookmarkStart w:id="210" w:name="_Toc516367020"/>
      <w:r/>
      <w:bookmarkStart w:id="211" w:name="_Toc150509277"/>
      <w:r/>
      <w:bookmarkStart w:id="212" w:name="_Toc226965799"/>
      <w:r/>
      <w:bookmarkStart w:id="213" w:name="_Toc305158794"/>
      <w:r/>
      <w:bookmarkStart w:id="214" w:name="_Toc151193624"/>
      <w:r/>
      <w:bookmarkStart w:id="215" w:name="_Toc151193768"/>
      <w:r/>
      <w:bookmarkStart w:id="216" w:name="_Toc265228364"/>
      <w:r/>
      <w:bookmarkStart w:id="217" w:name="_Toc305158868"/>
      <w:r/>
      <w:bookmarkStart w:id="218" w:name="_Toc264969216"/>
      <w:r/>
      <w:bookmarkStart w:id="219" w:name="_Toc15119391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0774732"/>
      <w:r/>
      <w:bookmarkStart w:id="221" w:name="_Toc151193841"/>
      <w:r/>
      <w:bookmarkStart w:id="222" w:name="_Toc142311029"/>
      <w:r/>
      <w:bookmarkStart w:id="223" w:name="_Toc149720820"/>
      <w:r/>
      <w:bookmarkStart w:id="224" w:name="_Toc226965717"/>
      <w:r/>
      <w:bookmarkStart w:id="225" w:name="_Toc151193697"/>
      <w:r/>
      <w:bookmarkStart w:id="226" w:name="_Toc164351621"/>
      <w:r/>
      <w:bookmarkStart w:id="227" w:name="_Toc151193625"/>
      <w:r/>
      <w:bookmarkStart w:id="228" w:name="_Toc265228365"/>
      <w:r/>
      <w:bookmarkStart w:id="229" w:name="_Toc305158869"/>
      <w:r/>
      <w:bookmarkStart w:id="230" w:name="_Toc151190154"/>
      <w:r/>
      <w:bookmarkStart w:id="231" w:name="_Toc164229368"/>
      <w:r/>
      <w:bookmarkStart w:id="232" w:name="_Toc150480765"/>
      <w:r/>
      <w:bookmarkStart w:id="233" w:name="_Toc520356151"/>
      <w:r/>
      <w:bookmarkStart w:id="234" w:name="_Toc516367021"/>
      <w:r/>
      <w:bookmarkStart w:id="235" w:name="_Toc226337223"/>
      <w:r/>
      <w:bookmarkStart w:id="236" w:name="_Toc127151527"/>
      <w:r/>
      <w:bookmarkStart w:id="237" w:name="_Toc150774627"/>
      <w:r/>
      <w:bookmarkStart w:id="238" w:name="_Toc226309771"/>
      <w:r/>
      <w:bookmarkStart w:id="239" w:name="_Toc195842892"/>
      <w:r/>
      <w:bookmarkStart w:id="240" w:name="_Toc151193769"/>
      <w:r/>
      <w:bookmarkStart w:id="241" w:name="_Toc164229222"/>
      <w:r/>
      <w:bookmarkStart w:id="242" w:name="_Toc305158795"/>
      <w:r/>
      <w:bookmarkStart w:id="243" w:name="_Toc264969217"/>
      <w:r/>
      <w:bookmarkStart w:id="244" w:name="_Toc226965800"/>
      <w:r/>
      <w:bookmarkStart w:id="245" w:name="_Toc150509278"/>
      <w:r/>
      <w:bookmarkStart w:id="246" w:name="_Toc151193915"/>
      <w:r/>
      <w:bookmarkStart w:id="247" w:name="_Toc127161441"/>
      <w:r/>
      <w:bookmarkStart w:id="248" w:name="_Toc164608641"/>
      <w:r/>
      <w:bookmarkStart w:id="249" w:name="_Toc164608796"/>
      <w:r/>
      <w:bookmarkStart w:id="250" w:name="_Toc127151728"/>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95842893"/>
      <w:r/>
      <w:bookmarkStart w:id="252" w:name="_Toc151193698"/>
      <w:r/>
      <w:bookmarkStart w:id="253" w:name="_Toc226965718"/>
      <w:r/>
      <w:bookmarkStart w:id="254" w:name="_Toc520356152"/>
      <w:r/>
      <w:bookmarkStart w:id="255" w:name="_Toc127161442"/>
      <w:r/>
      <w:bookmarkStart w:id="256" w:name="_Toc164351622"/>
      <w:r/>
      <w:bookmarkStart w:id="257" w:name="_Toc150509279"/>
      <w:r/>
      <w:bookmarkStart w:id="258" w:name="_Toc516367022"/>
      <w:r/>
      <w:bookmarkStart w:id="259" w:name="_Ref467306676"/>
      <w:r/>
      <w:bookmarkStart w:id="260" w:name="_Ref467306195"/>
      <w:r/>
      <w:bookmarkStart w:id="261" w:name="_Toc127151729"/>
      <w:r/>
      <w:bookmarkStart w:id="262" w:name="_Toc150774733"/>
      <w:r/>
      <w:bookmarkStart w:id="263" w:name="_Toc164608642"/>
      <w:r/>
      <w:bookmarkStart w:id="264" w:name="_Toc151193842"/>
      <w:r/>
      <w:bookmarkStart w:id="265" w:name="_Toc265228366"/>
      <w:r/>
      <w:bookmarkStart w:id="266" w:name="_Toc305158796"/>
      <w:r/>
      <w:bookmarkStart w:id="267" w:name="_Toc264969218"/>
      <w:r/>
      <w:bookmarkStart w:id="268" w:name="_Toc149720821"/>
      <w:r/>
      <w:bookmarkStart w:id="269" w:name="_Toc164229223"/>
      <w:r/>
      <w:bookmarkStart w:id="270" w:name="_Toc151193770"/>
      <w:r/>
      <w:bookmarkStart w:id="271" w:name="_Toc164229369"/>
      <w:r/>
      <w:bookmarkStart w:id="272" w:name="_Toc151193626"/>
      <w:r/>
      <w:bookmarkStart w:id="273" w:name="_Toc127151528"/>
      <w:r/>
      <w:bookmarkStart w:id="274" w:name="_Toc142311030"/>
      <w:r/>
      <w:bookmarkStart w:id="275" w:name="_Toc305158870"/>
      <w:r/>
      <w:bookmarkStart w:id="276" w:name="_Toc151193916"/>
      <w:r/>
      <w:bookmarkStart w:id="277" w:name="_Toc164608797"/>
      <w:r/>
      <w:bookmarkStart w:id="278" w:name="_Toc150480766"/>
      <w:r/>
      <w:bookmarkStart w:id="279" w:name="_Toc151190155"/>
      <w:r/>
      <w:bookmarkStart w:id="280" w:name="_Toc226337224"/>
      <w:r/>
      <w:bookmarkStart w:id="281" w:name="_Toc150774628"/>
      <w:r/>
      <w:bookmarkStart w:id="282" w:name="_Toc226965801"/>
      <w:r/>
      <w:bookmarkStart w:id="283" w:name="_Toc22630977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520356155"/>
      <w:r/>
      <w:bookmarkStart w:id="286" w:name="_Toc195842895"/>
      <w:r/>
      <w:bookmarkStart w:id="287" w:name="_Toc142311032"/>
      <w:r/>
      <w:bookmarkStart w:id="288" w:name="_Toc127151530"/>
      <w:r/>
      <w:bookmarkStart w:id="289" w:name="_Toc151193844"/>
      <w:r/>
      <w:bookmarkStart w:id="290" w:name="_Toc150480768"/>
      <w:r/>
      <w:bookmarkStart w:id="291" w:name="_Toc150509281"/>
      <w:r/>
      <w:bookmarkStart w:id="292" w:name="_Toc151193918"/>
      <w:r/>
      <w:bookmarkStart w:id="293" w:name="_Toc151193772"/>
      <w:r/>
      <w:bookmarkStart w:id="294" w:name="_Toc151193628"/>
      <w:r/>
      <w:bookmarkStart w:id="295" w:name="_Toc127151731"/>
      <w:r/>
      <w:bookmarkStart w:id="296" w:name="_Toc164608644"/>
      <w:r/>
      <w:bookmarkStart w:id="297" w:name="_Toc164351624"/>
      <w:r/>
      <w:bookmarkStart w:id="298" w:name="_Toc151193700"/>
      <w:r/>
      <w:bookmarkStart w:id="299" w:name="_Toc164229225"/>
      <w:r/>
      <w:bookmarkStart w:id="300" w:name="_Toc150774735"/>
      <w:r/>
      <w:bookmarkStart w:id="301" w:name="_Toc164229371"/>
      <w:r/>
      <w:bookmarkStart w:id="302" w:name="_Toc150774630"/>
      <w:r/>
      <w:bookmarkStart w:id="303" w:name="_Toc164608799"/>
      <w:r/>
      <w:bookmarkStart w:id="304" w:name="_Toc151190157"/>
      <w:r/>
      <w:bookmarkStart w:id="305" w:name="_Toc127161444"/>
      <w:r/>
      <w:bookmarkStart w:id="306" w:name="_Toc149720823"/>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42311033"/>
      <w:r/>
      <w:bookmarkStart w:id="308" w:name="_Toc305158873"/>
      <w:r/>
      <w:bookmarkStart w:id="309" w:name="_Toc226337227"/>
      <w:r/>
      <w:bookmarkStart w:id="310" w:name="_Toc149720824"/>
      <w:r/>
      <w:bookmarkStart w:id="311" w:name="_Toc520356156"/>
      <w:r/>
      <w:bookmarkStart w:id="312" w:name="_Toc164608645"/>
      <w:r/>
      <w:bookmarkStart w:id="313" w:name="_Toc226965804"/>
      <w:r/>
      <w:bookmarkStart w:id="314" w:name="_Toc150774631"/>
      <w:r/>
      <w:bookmarkStart w:id="315" w:name="_Toc164229372"/>
      <w:r/>
      <w:bookmarkStart w:id="316" w:name="_Toc151190158"/>
      <w:r/>
      <w:bookmarkStart w:id="317" w:name="_Toc305158799"/>
      <w:r/>
      <w:bookmarkStart w:id="318" w:name="_Toc150480769"/>
      <w:r/>
      <w:bookmarkStart w:id="319" w:name="_Ref467306513"/>
      <w:r/>
      <w:bookmarkStart w:id="320" w:name="_Toc127151732"/>
      <w:r/>
      <w:bookmarkStart w:id="321" w:name="_Toc151193845"/>
      <w:r/>
      <w:bookmarkStart w:id="322" w:name="_Toc151193773"/>
      <w:r/>
      <w:bookmarkStart w:id="323" w:name="_Toc264969221"/>
      <w:r/>
      <w:bookmarkStart w:id="324" w:name="_Toc127161445"/>
      <w:r/>
      <w:bookmarkStart w:id="325" w:name="_Toc226309775"/>
      <w:r/>
      <w:bookmarkStart w:id="326" w:name="_Toc164608800"/>
      <w:r/>
      <w:bookmarkStart w:id="327" w:name="_Toc265228369"/>
      <w:r/>
      <w:bookmarkStart w:id="328" w:name="_Toc150509282"/>
      <w:r/>
      <w:bookmarkStart w:id="329" w:name="_Toc226965721"/>
      <w:r/>
      <w:bookmarkStart w:id="330" w:name="_Toc151193629"/>
      <w:r/>
      <w:bookmarkStart w:id="331" w:name="_Toc151193701"/>
      <w:r/>
      <w:bookmarkStart w:id="332" w:name="_Toc164229226"/>
      <w:r/>
      <w:bookmarkStart w:id="333" w:name="_Toc195842896"/>
      <w:r/>
      <w:bookmarkStart w:id="334" w:name="_Toc164351625"/>
      <w:r/>
      <w:bookmarkStart w:id="335" w:name="_Toc127151531"/>
      <w:r/>
      <w:bookmarkStart w:id="336" w:name="_Toc151193919"/>
      <w:r/>
      <w:bookmarkStart w:id="337" w:name="_Toc150774736"/>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8"/>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608801"/>
      <w:r/>
      <w:bookmarkStart w:id="339" w:name="_Toc305158800"/>
      <w:r/>
      <w:bookmarkStart w:id="340" w:name="_Toc127151532"/>
      <w:r/>
      <w:bookmarkStart w:id="341" w:name="_Toc226309776"/>
      <w:r/>
      <w:bookmarkStart w:id="342" w:name="_Toc164608646"/>
      <w:r/>
      <w:bookmarkStart w:id="343" w:name="_Toc127161446"/>
      <w:r/>
      <w:bookmarkStart w:id="344" w:name="_Toc226965722"/>
      <w:r/>
      <w:bookmarkStart w:id="345" w:name="_Toc164351626"/>
      <w:r/>
      <w:bookmarkStart w:id="346" w:name="_Toc151193774"/>
      <w:r/>
      <w:bookmarkStart w:id="347" w:name="_Toc149720825"/>
      <w:r/>
      <w:bookmarkStart w:id="348" w:name="_Toc265228370"/>
      <w:r/>
      <w:bookmarkStart w:id="349" w:name="_Toc150774632"/>
      <w:r/>
      <w:bookmarkStart w:id="350" w:name="_Toc151193846"/>
      <w:r/>
      <w:bookmarkStart w:id="351" w:name="_Toc226965805"/>
      <w:r/>
      <w:bookmarkStart w:id="352" w:name="_Toc142311034"/>
      <w:r/>
      <w:bookmarkStart w:id="353" w:name="_Toc127151733"/>
      <w:r/>
      <w:bookmarkStart w:id="354" w:name="_Toc150774737"/>
      <w:r/>
      <w:bookmarkStart w:id="355" w:name="_Toc164229373"/>
      <w:r/>
      <w:bookmarkStart w:id="356" w:name="_Toc226337228"/>
      <w:r/>
      <w:bookmarkStart w:id="357" w:name="_Toc264969222"/>
      <w:r/>
      <w:bookmarkStart w:id="358" w:name="_Toc151190159"/>
      <w:r/>
      <w:bookmarkStart w:id="359" w:name="_Toc151193630"/>
      <w:r/>
      <w:bookmarkStart w:id="360" w:name="_Toc520356157"/>
      <w:r/>
      <w:bookmarkStart w:id="361" w:name="_Toc164229227"/>
      <w:r/>
      <w:bookmarkStart w:id="362" w:name="_Toc151193920"/>
      <w:r/>
      <w:bookmarkStart w:id="363" w:name="_Toc150480770"/>
      <w:r/>
      <w:bookmarkStart w:id="364" w:name="_Toc151193702"/>
      <w:r/>
      <w:bookmarkStart w:id="365" w:name="_Toc195842897"/>
      <w:r/>
      <w:bookmarkStart w:id="366" w:name="_Toc150509283"/>
      <w:r/>
      <w:bookmarkStart w:id="367" w:name="_Toc305158874"/>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351627"/>
      <w:r/>
      <w:bookmarkStart w:id="369" w:name="_Toc226337229"/>
      <w:r/>
      <w:bookmarkStart w:id="370" w:name="_Toc150774738"/>
      <w:r/>
      <w:bookmarkStart w:id="371" w:name="_Toc226965806"/>
      <w:r/>
      <w:bookmarkStart w:id="372" w:name="_Toc150509284"/>
      <w:r/>
      <w:bookmarkStart w:id="373" w:name="_Toc150774633"/>
      <w:r/>
      <w:bookmarkStart w:id="374" w:name="_Toc127151533"/>
      <w:r/>
      <w:bookmarkStart w:id="375" w:name="_Toc226965723"/>
      <w:r/>
      <w:bookmarkStart w:id="376" w:name="_Toc265228371"/>
      <w:r/>
      <w:bookmarkStart w:id="377" w:name="_Toc164608647"/>
      <w:r/>
      <w:bookmarkStart w:id="378" w:name="_Toc164608802"/>
      <w:r/>
      <w:bookmarkStart w:id="379" w:name="_Toc520356158"/>
      <w:r/>
      <w:bookmarkStart w:id="380" w:name="_Toc127151734"/>
      <w:r/>
      <w:bookmarkStart w:id="381" w:name="_Toc226309777"/>
      <w:r/>
      <w:bookmarkStart w:id="382" w:name="_Toc151193775"/>
      <w:r/>
      <w:bookmarkStart w:id="383" w:name="_Toc305158801"/>
      <w:r/>
      <w:bookmarkStart w:id="384" w:name="_Toc142311035"/>
      <w:r/>
      <w:bookmarkStart w:id="385" w:name="_Toc264969223"/>
      <w:r/>
      <w:bookmarkStart w:id="386" w:name="_Toc151190160"/>
      <w:r/>
      <w:bookmarkStart w:id="387" w:name="_Toc150480771"/>
      <w:r/>
      <w:bookmarkStart w:id="388" w:name="_Toc149720826"/>
      <w:r/>
      <w:bookmarkStart w:id="389" w:name="_Toc195842898"/>
      <w:r/>
      <w:bookmarkStart w:id="390" w:name="_Toc305158875"/>
      <w:r/>
      <w:bookmarkStart w:id="391" w:name="_Toc127161447"/>
      <w:r/>
      <w:bookmarkStart w:id="392" w:name="_Toc164229374"/>
      <w:r/>
      <w:bookmarkStart w:id="393" w:name="_Toc151193703"/>
      <w:r/>
      <w:bookmarkStart w:id="394" w:name="_Toc151193921"/>
      <w:r/>
      <w:bookmarkStart w:id="395" w:name="_Toc151193631"/>
      <w:r/>
      <w:bookmarkStart w:id="396" w:name="_Toc164229228"/>
      <w:r/>
      <w:bookmarkStart w:id="397" w:name="_Toc1511938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95842899"/>
      <w:r/>
      <w:bookmarkStart w:id="399" w:name="_Toc264969224"/>
      <w:r/>
      <w:bookmarkStart w:id="400" w:name="_Toc151193704"/>
      <w:r/>
      <w:bookmarkStart w:id="401" w:name="_Toc150480772"/>
      <w:r/>
      <w:bookmarkStart w:id="402" w:name="_Toc226965807"/>
      <w:r/>
      <w:bookmarkStart w:id="403" w:name="_Toc150509285"/>
      <w:r/>
      <w:bookmarkStart w:id="404" w:name="_Toc265228372"/>
      <w:r/>
      <w:bookmarkStart w:id="405" w:name="_Toc305158876"/>
      <w:r/>
      <w:bookmarkStart w:id="406" w:name="_Toc151193848"/>
      <w:r/>
      <w:bookmarkStart w:id="407" w:name="_Toc151193632"/>
      <w:r/>
      <w:bookmarkStart w:id="408" w:name="_Toc305158802"/>
      <w:r/>
      <w:bookmarkStart w:id="409" w:name="_Toc150774634"/>
      <w:r/>
      <w:bookmarkStart w:id="410" w:name="_Toc151190161"/>
      <w:r/>
      <w:bookmarkStart w:id="411" w:name="_Toc150774739"/>
      <w:r/>
      <w:bookmarkStart w:id="412" w:name="_Toc226965724"/>
      <w:r/>
      <w:bookmarkStart w:id="413" w:name="_Toc226337230"/>
      <w:r/>
      <w:bookmarkStart w:id="414" w:name="_Toc520356159"/>
      <w:r/>
      <w:bookmarkStart w:id="415" w:name="_Toc226309778"/>
      <w:r/>
      <w:bookmarkStart w:id="416" w:name="_Toc142311036"/>
      <w:r/>
      <w:bookmarkStart w:id="417" w:name="_Toc151193776"/>
      <w:r/>
      <w:bookmarkStart w:id="418" w:name="_Toc151193922"/>
      <w:r/>
      <w:bookmarkStart w:id="419" w:name="_Toc127151534"/>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8"/>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80"/>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849"/>
      <w:r/>
      <w:bookmarkStart w:id="421" w:name="_Toc226309779"/>
      <w:r/>
      <w:bookmarkStart w:id="422" w:name="_Toc127151535"/>
      <w:r/>
      <w:bookmarkStart w:id="423" w:name="_Toc226965725"/>
      <w:r/>
      <w:bookmarkStart w:id="424" w:name="_Toc151193705"/>
      <w:r/>
      <w:bookmarkStart w:id="425" w:name="_Toc151190162"/>
      <w:r/>
      <w:bookmarkStart w:id="426" w:name="_Toc164608649"/>
      <w:r/>
      <w:bookmarkStart w:id="427" w:name="_Toc150774635"/>
      <w:r/>
      <w:bookmarkStart w:id="428" w:name="_Toc265228373"/>
      <w:r/>
      <w:bookmarkStart w:id="429" w:name="_Toc305158803"/>
      <w:r/>
      <w:bookmarkStart w:id="430" w:name="_Toc150509286"/>
      <w:r/>
      <w:bookmarkStart w:id="431" w:name="_Toc150480773"/>
      <w:r/>
      <w:bookmarkStart w:id="432" w:name="_Toc142311037"/>
      <w:r/>
      <w:bookmarkStart w:id="433" w:name="_Toc226965808"/>
      <w:r/>
      <w:bookmarkStart w:id="434" w:name="_Toc195842900"/>
      <w:r/>
      <w:bookmarkStart w:id="435" w:name="_Toc127151736"/>
      <w:r/>
      <w:bookmarkStart w:id="436" w:name="_Toc305158877"/>
      <w:r/>
      <w:bookmarkStart w:id="437" w:name="_Toc164229230"/>
      <w:r/>
      <w:bookmarkStart w:id="438" w:name="_Toc264969225"/>
      <w:r/>
      <w:bookmarkStart w:id="439" w:name="_Toc164608804"/>
      <w:r/>
      <w:bookmarkStart w:id="440" w:name="_Toc149720828"/>
      <w:r/>
      <w:bookmarkStart w:id="441" w:name="_Toc151193633"/>
      <w:r/>
      <w:bookmarkStart w:id="442" w:name="_Toc127161449"/>
      <w:r/>
      <w:bookmarkStart w:id="443" w:name="_Toc226337231"/>
      <w:r/>
      <w:bookmarkStart w:id="444" w:name="_Toc520356160"/>
      <w:r/>
      <w:bookmarkStart w:id="445" w:name="_Toc164229376"/>
      <w:r/>
      <w:bookmarkStart w:id="446" w:name="_Toc164351629"/>
      <w:r/>
      <w:bookmarkStart w:id="447" w:name="_Toc151193923"/>
      <w:r/>
      <w:bookmarkStart w:id="448" w:name="_Toc150774740"/>
      <w:r/>
      <w:bookmarkStart w:id="449" w:name="_Toc151193777"/>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3850"/>
      <w:r/>
      <w:bookmarkStart w:id="451" w:name="_Toc164351630"/>
      <w:r/>
      <w:bookmarkStart w:id="452" w:name="_Toc164229231"/>
      <w:r/>
      <w:bookmarkStart w:id="453" w:name="_Toc127151737"/>
      <w:r/>
      <w:bookmarkStart w:id="454" w:name="_Toc226965809"/>
      <w:r/>
      <w:bookmarkStart w:id="455" w:name="_Toc164608805"/>
      <w:r/>
      <w:bookmarkStart w:id="456" w:name="_Toc265228374"/>
      <w:r/>
      <w:bookmarkStart w:id="457" w:name="_Toc151193706"/>
      <w:r/>
      <w:bookmarkStart w:id="458" w:name="_Toc150509287"/>
      <w:r/>
      <w:bookmarkStart w:id="459" w:name="_Toc127161450"/>
      <w:r/>
      <w:bookmarkStart w:id="460" w:name="_Toc520356161"/>
      <w:r/>
      <w:bookmarkStart w:id="461" w:name="_Toc142311038"/>
      <w:r/>
      <w:bookmarkStart w:id="462" w:name="_Toc151193924"/>
      <w:r/>
      <w:bookmarkStart w:id="463" w:name="_Toc149720829"/>
      <w:r/>
      <w:bookmarkStart w:id="464" w:name="_Toc226965726"/>
      <w:r/>
      <w:bookmarkStart w:id="465" w:name="_Toc305158878"/>
      <w:r/>
      <w:bookmarkStart w:id="466" w:name="_Toc151193778"/>
      <w:r/>
      <w:bookmarkStart w:id="467" w:name="_Toc151193634"/>
      <w:r/>
      <w:bookmarkStart w:id="468" w:name="_Toc151190163"/>
      <w:r/>
      <w:bookmarkStart w:id="469" w:name="_Toc264969226"/>
      <w:r/>
      <w:bookmarkStart w:id="470" w:name="_Toc226337232"/>
      <w:r/>
      <w:bookmarkStart w:id="471" w:name="_Toc150774636"/>
      <w:r/>
      <w:bookmarkStart w:id="472" w:name="_Toc195842901"/>
      <w:r/>
      <w:bookmarkStart w:id="473" w:name="_Toc305158804"/>
      <w:r/>
      <w:bookmarkStart w:id="474" w:name="_Toc150480774"/>
      <w:r/>
      <w:bookmarkStart w:id="475" w:name="_Toc150774741"/>
      <w:r/>
      <w:bookmarkStart w:id="476" w:name="_Toc164608650"/>
      <w:r/>
      <w:bookmarkStart w:id="477" w:name="_Toc127151536"/>
      <w:r/>
      <w:bookmarkStart w:id="478" w:name="_Toc164229377"/>
      <w:r/>
      <w:bookmarkStart w:id="479" w:name="_Toc22630978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707"/>
      <w:r/>
      <w:bookmarkStart w:id="481" w:name="_Toc164608651"/>
      <w:r/>
      <w:bookmarkStart w:id="482" w:name="_Toc150774742"/>
      <w:r/>
      <w:bookmarkStart w:id="483" w:name="_Toc151190164"/>
      <w:r/>
      <w:bookmarkStart w:id="484" w:name="_Toc226965727"/>
      <w:r/>
      <w:bookmarkStart w:id="485" w:name="_Toc305158805"/>
      <w:r/>
      <w:bookmarkStart w:id="486" w:name="_Toc142311039"/>
      <w:r/>
      <w:bookmarkStart w:id="487" w:name="_Toc151193925"/>
      <w:r/>
      <w:bookmarkStart w:id="488" w:name="_Toc150774637"/>
      <w:r/>
      <w:bookmarkStart w:id="489" w:name="_Toc195842902"/>
      <w:r/>
      <w:bookmarkStart w:id="490" w:name="_Toc305158879"/>
      <w:r/>
      <w:bookmarkStart w:id="491" w:name="_Toc264969227"/>
      <w:r/>
      <w:bookmarkStart w:id="492" w:name="_Toc151193779"/>
      <w:r/>
      <w:bookmarkStart w:id="493" w:name="_Toc127151537"/>
      <w:r/>
      <w:bookmarkStart w:id="494" w:name="_Toc226965810"/>
      <w:r/>
      <w:bookmarkStart w:id="495" w:name="_Toc127161451"/>
      <w:r/>
      <w:bookmarkStart w:id="496" w:name="_Toc164608806"/>
      <w:r/>
      <w:bookmarkStart w:id="497" w:name="_Toc164229378"/>
      <w:r/>
      <w:bookmarkStart w:id="498" w:name="_Toc151193851"/>
      <w:r/>
      <w:bookmarkStart w:id="499" w:name="_Toc164229232"/>
      <w:r/>
      <w:bookmarkStart w:id="500" w:name="_Toc265228375"/>
      <w:r/>
      <w:bookmarkStart w:id="501" w:name="_Toc226309781"/>
      <w:r/>
      <w:bookmarkStart w:id="502" w:name="_Toc226337233"/>
      <w:r/>
      <w:bookmarkStart w:id="503" w:name="_Toc149720830"/>
      <w:r/>
      <w:bookmarkStart w:id="504" w:name="_Toc520356162"/>
      <w:r/>
      <w:bookmarkStart w:id="505" w:name="_Toc164351631"/>
      <w:r/>
      <w:bookmarkStart w:id="506" w:name="_Toc150509288"/>
      <w:r/>
      <w:bookmarkStart w:id="507" w:name="_Toc150480775"/>
      <w:r/>
      <w:bookmarkStart w:id="508" w:name="_Toc127151738"/>
      <w:r/>
      <w:bookmarkStart w:id="509" w:name="_Toc151193635"/>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8"/>
        <w:ind w:firstLine="480"/>
        <w:spacing w:line="360" w:lineRule="auto"/>
        <w:rPr>
          <w:rFonts w:hint="eastAsia" w:ascii="宋体" w:hAnsi="宋体" w:cs="宋体"/>
          <w:sz w:val="24"/>
        </w:rPr>
      </w:pPr>
      <w:r>
        <w:rPr>
          <w:rFonts w:hint="eastAsia" w:ascii="宋体" w:hAnsi="宋体" w:cs="宋体"/>
          <w:sz w:val="24"/>
        </w:rPr>
      </w:r>
      <w:r/>
    </w:p>
    <w:p>
      <w:pPr>
        <w:pStyle w:val="1080"/>
        <w:ind w:firstLine="562"/>
        <w:spacing w:before="0" w:line="360" w:lineRule="auto"/>
        <w:rPr>
          <w:rFonts w:hint="eastAsia" w:ascii="宋体" w:hAnsi="宋体" w:eastAsia="宋体" w:cs="宋体"/>
          <w:sz w:val="28"/>
        </w:rPr>
      </w:pPr>
      <w:r/>
      <w:bookmarkStart w:id="510" w:name="_Toc195842903"/>
      <w:r/>
      <w:bookmarkStart w:id="511" w:name="_Toc226337234"/>
      <w:r/>
      <w:bookmarkStart w:id="512" w:name="_Toc150774638"/>
      <w:r/>
      <w:bookmarkStart w:id="513" w:name="_Toc151190165"/>
      <w:r/>
      <w:bookmarkStart w:id="514" w:name="_Toc150509289"/>
      <w:r/>
      <w:bookmarkStart w:id="515" w:name="_Toc127151538"/>
      <w:r/>
      <w:bookmarkStart w:id="516" w:name="_Toc226309782"/>
      <w:r/>
      <w:bookmarkStart w:id="517" w:name="_Toc151193926"/>
      <w:r/>
      <w:bookmarkStart w:id="518" w:name="_Toc150774743"/>
      <w:r/>
      <w:bookmarkStart w:id="519" w:name="_Toc226965811"/>
      <w:r/>
      <w:bookmarkStart w:id="520" w:name="_Toc520356163"/>
      <w:r/>
      <w:bookmarkStart w:id="521" w:name="_Toc305158806"/>
      <w:r/>
      <w:bookmarkStart w:id="522" w:name="_Toc150480776"/>
      <w:r/>
      <w:bookmarkStart w:id="523" w:name="_Toc142311040"/>
      <w:r/>
      <w:bookmarkStart w:id="524" w:name="_Toc151193852"/>
      <w:r/>
      <w:bookmarkStart w:id="525" w:name="_Toc265228376"/>
      <w:r/>
      <w:bookmarkStart w:id="526" w:name="_Toc305158880"/>
      <w:r/>
      <w:bookmarkStart w:id="527" w:name="_Toc151193708"/>
      <w:r/>
      <w:bookmarkStart w:id="528" w:name="_Toc264969228"/>
      <w:r/>
      <w:bookmarkStart w:id="529" w:name="_Toc151193636"/>
      <w:r/>
      <w:bookmarkStart w:id="530" w:name="_Toc226965728"/>
      <w:r/>
      <w:bookmarkStart w:id="531" w:name="_Toc1511937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26337235"/>
      <w:r/>
      <w:bookmarkStart w:id="533" w:name="_Toc150480777"/>
      <w:r/>
      <w:bookmarkStart w:id="534" w:name="_Toc151193853"/>
      <w:r/>
      <w:bookmarkStart w:id="535" w:name="_Toc151190166"/>
      <w:r/>
      <w:bookmarkStart w:id="536" w:name="_Toc164351633"/>
      <w:r/>
      <w:bookmarkStart w:id="537" w:name="_Toc265228377"/>
      <w:r/>
      <w:bookmarkStart w:id="538" w:name="_Toc195842904"/>
      <w:r/>
      <w:bookmarkStart w:id="539" w:name="_Toc226965729"/>
      <w:r/>
      <w:bookmarkStart w:id="540" w:name="_Toc226965812"/>
      <w:r/>
      <w:bookmarkStart w:id="541" w:name="_Toc164229234"/>
      <w:r/>
      <w:bookmarkStart w:id="542" w:name="_Toc150509290"/>
      <w:r/>
      <w:bookmarkStart w:id="543" w:name="_Toc151193637"/>
      <w:r/>
      <w:bookmarkStart w:id="544" w:name="_Toc127151539"/>
      <w:r/>
      <w:bookmarkStart w:id="545" w:name="_Toc164229380"/>
      <w:r/>
      <w:bookmarkStart w:id="546" w:name="_Toc127151740"/>
      <w:r/>
      <w:bookmarkStart w:id="547" w:name="_Toc151193709"/>
      <w:r/>
      <w:bookmarkStart w:id="548" w:name="_Toc150774744"/>
      <w:r/>
      <w:bookmarkStart w:id="549" w:name="_Toc164608653"/>
      <w:r/>
      <w:bookmarkStart w:id="550" w:name="_Toc226309783"/>
      <w:r/>
      <w:bookmarkStart w:id="551" w:name="_Toc151193781"/>
      <w:r/>
      <w:bookmarkStart w:id="552" w:name="_Toc142311041"/>
      <w:r/>
      <w:bookmarkStart w:id="553" w:name="_Toc127161453"/>
      <w:r/>
      <w:bookmarkStart w:id="554" w:name="_Toc149720832"/>
      <w:r/>
      <w:bookmarkStart w:id="555" w:name="_Toc305158881"/>
      <w:r/>
      <w:bookmarkStart w:id="556" w:name="_Toc520356164"/>
      <w:r/>
      <w:bookmarkStart w:id="557" w:name="_Toc264969229"/>
      <w:r/>
      <w:bookmarkStart w:id="558" w:name="_Toc305158807"/>
      <w:r/>
      <w:bookmarkStart w:id="559" w:name="_Toc151193927"/>
      <w:r/>
      <w:bookmarkStart w:id="560" w:name="_Toc164608808"/>
      <w:r/>
      <w:bookmarkStart w:id="561" w:name="_Toc15077463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8"/>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8"/>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608654"/>
      <w:r/>
      <w:bookmarkStart w:id="564" w:name="_Toc150509291"/>
      <w:r/>
      <w:bookmarkStart w:id="565" w:name="_Toc305158882"/>
      <w:r/>
      <w:bookmarkStart w:id="566" w:name="_Toc150774640"/>
      <w:r/>
      <w:bookmarkStart w:id="567" w:name="_Toc305158808"/>
      <w:r/>
      <w:bookmarkStart w:id="568" w:name="_Toc164229235"/>
      <w:r/>
      <w:bookmarkStart w:id="569" w:name="_Toc127161454"/>
      <w:r/>
      <w:bookmarkStart w:id="570" w:name="_Toc195842905"/>
      <w:r/>
      <w:bookmarkStart w:id="571" w:name="_Toc151190167"/>
      <w:r/>
      <w:bookmarkStart w:id="572" w:name="_Toc226309784"/>
      <w:r/>
      <w:bookmarkStart w:id="573" w:name="_Toc226965730"/>
      <w:r/>
      <w:bookmarkStart w:id="574" w:name="_Toc150480778"/>
      <w:r/>
      <w:bookmarkStart w:id="575" w:name="_Toc226337236"/>
      <w:r/>
      <w:bookmarkStart w:id="576" w:name="_Toc142311042"/>
      <w:r/>
      <w:bookmarkStart w:id="577" w:name="_Toc264969230"/>
      <w:r/>
      <w:bookmarkStart w:id="578" w:name="_Toc265228378"/>
      <w:r/>
      <w:bookmarkStart w:id="579" w:name="_Toc151193782"/>
      <w:r/>
      <w:bookmarkStart w:id="580" w:name="_Toc127151741"/>
      <w:r/>
      <w:bookmarkStart w:id="581" w:name="_Toc151193638"/>
      <w:r/>
      <w:bookmarkStart w:id="582" w:name="_Toc164351634"/>
      <w:r/>
      <w:bookmarkStart w:id="583" w:name="_Toc151193854"/>
      <w:r/>
      <w:bookmarkStart w:id="584" w:name="_Toc151193710"/>
      <w:r/>
      <w:bookmarkStart w:id="585" w:name="_Toc151193928"/>
      <w:r/>
      <w:bookmarkStart w:id="586" w:name="_Toc164229381"/>
      <w:r/>
      <w:bookmarkStart w:id="587" w:name="_Toc150774745"/>
      <w:r/>
      <w:bookmarkStart w:id="588" w:name="_Toc149720833"/>
      <w:r/>
      <w:bookmarkStart w:id="589" w:name="_Toc226965813"/>
      <w:r/>
      <w:bookmarkStart w:id="590" w:name="_Toc127151540"/>
      <w:r/>
      <w:bookmarkStart w:id="591" w:name="_Toc164608809"/>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8"/>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80"/>
        <w:ind w:firstLine="562"/>
        <w:spacing w:before="0" w:line="360" w:lineRule="auto"/>
        <w:rPr>
          <w:rFonts w:hint="eastAsia" w:ascii="宋体" w:hAnsi="宋体" w:eastAsia="宋体" w:cs="宋体"/>
          <w:sz w:val="28"/>
        </w:rPr>
      </w:pPr>
      <w:r/>
      <w:bookmarkStart w:id="594" w:name="_Toc150509296"/>
      <w:r/>
      <w:bookmarkStart w:id="595" w:name="_Toc305158887"/>
      <w:r/>
      <w:bookmarkStart w:id="596" w:name="_Toc226965818"/>
      <w:r/>
      <w:bookmarkStart w:id="597" w:name="_Toc150480783"/>
      <w:r/>
      <w:bookmarkStart w:id="598" w:name="_Toc151193643"/>
      <w:r/>
      <w:bookmarkStart w:id="599" w:name="_Toc226965735"/>
      <w:r/>
      <w:bookmarkStart w:id="600" w:name="_Toc127151545"/>
      <w:r/>
      <w:bookmarkStart w:id="601" w:name="_Toc151193787"/>
      <w:r/>
      <w:bookmarkStart w:id="602" w:name="_Toc226309789"/>
      <w:r/>
      <w:bookmarkStart w:id="603" w:name="_Toc265228383"/>
      <w:r/>
      <w:bookmarkStart w:id="604" w:name="_Toc150774645"/>
      <w:r/>
      <w:bookmarkStart w:id="605" w:name="_Toc151193859"/>
      <w:r/>
      <w:bookmarkStart w:id="606" w:name="_Toc151193715"/>
      <w:r/>
      <w:bookmarkStart w:id="607" w:name="_Toc305158813"/>
      <w:r/>
      <w:bookmarkStart w:id="608" w:name="_Toc151190172"/>
      <w:r/>
      <w:bookmarkStart w:id="609" w:name="_Toc151193933"/>
      <w:r/>
      <w:bookmarkStart w:id="610" w:name="_Toc195842910"/>
      <w:r/>
      <w:bookmarkStart w:id="611" w:name="_Toc150774750"/>
      <w:r/>
      <w:bookmarkStart w:id="612" w:name="_Toc264969235"/>
      <w:r/>
      <w:bookmarkStart w:id="613" w:name="_Toc226337241"/>
      <w:r/>
      <w:bookmarkStart w:id="614" w:name="_Toc14231104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861"/>
      <w:r/>
      <w:bookmarkStart w:id="616" w:name="_Toc305158815"/>
      <w:r/>
      <w:bookmarkStart w:id="617" w:name="_Toc151193645"/>
      <w:r/>
      <w:bookmarkStart w:id="618" w:name="_Toc226337243"/>
      <w:r/>
      <w:bookmarkStart w:id="619" w:name="_Toc151193789"/>
      <w:r/>
      <w:bookmarkStart w:id="620" w:name="_Toc127151748"/>
      <w:r/>
      <w:bookmarkStart w:id="621" w:name="_Toc226965737"/>
      <w:r/>
      <w:bookmarkStart w:id="622" w:name="_Toc151190174"/>
      <w:r/>
      <w:bookmarkStart w:id="623" w:name="_Toc226965820"/>
      <w:r/>
      <w:bookmarkStart w:id="624" w:name="_Toc164351641"/>
      <w:r/>
      <w:bookmarkStart w:id="625" w:name="_Toc142311049"/>
      <w:r/>
      <w:bookmarkStart w:id="626" w:name="_Toc150480785"/>
      <w:r/>
      <w:bookmarkStart w:id="627" w:name="_Toc305158889"/>
      <w:r/>
      <w:bookmarkStart w:id="628" w:name="_Toc164608816"/>
      <w:r/>
      <w:bookmarkStart w:id="629" w:name="_Toc151193717"/>
      <w:r/>
      <w:bookmarkStart w:id="630" w:name="_Toc226309791"/>
      <w:r/>
      <w:bookmarkStart w:id="631" w:name="_Toc264969237"/>
      <w:r/>
      <w:bookmarkStart w:id="632" w:name="_Toc150774752"/>
      <w:r/>
      <w:bookmarkStart w:id="633" w:name="_Toc265228385"/>
      <w:r/>
      <w:bookmarkStart w:id="634" w:name="_Toc127151547"/>
      <w:r/>
      <w:bookmarkStart w:id="635" w:name="_Toc150774647"/>
      <w:r/>
      <w:bookmarkStart w:id="636" w:name="_Toc164229242"/>
      <w:r/>
      <w:bookmarkStart w:id="637" w:name="_Toc164608661"/>
      <w:r/>
      <w:bookmarkStart w:id="638" w:name="_Toc151193935"/>
      <w:r/>
      <w:bookmarkStart w:id="639" w:name="_Toc150509298"/>
      <w:r/>
      <w:bookmarkStart w:id="640" w:name="_Toc149720840"/>
      <w:r/>
      <w:bookmarkStart w:id="641" w:name="_Toc164229388"/>
      <w:r/>
      <w:bookmarkStart w:id="642" w:name="_Toc127161461"/>
      <w:r/>
      <w:bookmarkStart w:id="643" w:name="_Toc195842912"/>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95842914"/>
      <w:r/>
      <w:bookmarkStart w:id="645" w:name="_Toc150774649"/>
      <w:r/>
      <w:bookmarkStart w:id="646" w:name="_Toc150774754"/>
      <w:r/>
      <w:bookmarkStart w:id="647" w:name="_Toc305158891"/>
      <w:r/>
      <w:bookmarkStart w:id="648" w:name="_Toc151193863"/>
      <w:r/>
      <w:bookmarkStart w:id="649" w:name="_Toc151193937"/>
      <w:r/>
      <w:bookmarkStart w:id="650" w:name="_Toc142311051"/>
      <w:r/>
      <w:bookmarkStart w:id="651" w:name="_Toc164608663"/>
      <w:r/>
      <w:bookmarkStart w:id="652" w:name="_Toc520356176"/>
      <w:r/>
      <w:bookmarkStart w:id="653" w:name="_Ref467306425"/>
      <w:r/>
      <w:bookmarkStart w:id="654" w:name="_Ref467307090"/>
      <w:r/>
      <w:bookmarkStart w:id="655" w:name="_Toc226965739"/>
      <w:r/>
      <w:bookmarkStart w:id="656" w:name="_Toc151193791"/>
      <w:r/>
      <w:bookmarkStart w:id="657" w:name="_Toc151193647"/>
      <w:r/>
      <w:bookmarkStart w:id="658" w:name="_Toc151193719"/>
      <w:r/>
      <w:bookmarkStart w:id="659" w:name="_Toc150509300"/>
      <w:r/>
      <w:bookmarkStart w:id="660" w:name="_Toc226309793"/>
      <w:r/>
      <w:bookmarkStart w:id="661" w:name="_Toc305158817"/>
      <w:r/>
      <w:bookmarkStart w:id="662" w:name="_Toc226965822"/>
      <w:r/>
      <w:bookmarkStart w:id="663" w:name="_Toc164229390"/>
      <w:r/>
      <w:bookmarkStart w:id="664" w:name="_Toc127161463"/>
      <w:r/>
      <w:bookmarkStart w:id="665" w:name="_Toc127151549"/>
      <w:r/>
      <w:bookmarkStart w:id="666" w:name="_Toc164229244"/>
      <w:r/>
      <w:bookmarkStart w:id="667" w:name="_Toc150480787"/>
      <w:r/>
      <w:bookmarkStart w:id="668" w:name="_Toc151190176"/>
      <w:r/>
      <w:bookmarkStart w:id="669" w:name="_Toc226337245"/>
      <w:r/>
      <w:bookmarkStart w:id="670" w:name="_Toc164608818"/>
      <w:r/>
      <w:bookmarkStart w:id="671" w:name="_Toc265228387"/>
      <w:r/>
      <w:bookmarkStart w:id="672" w:name="_Toc127151750"/>
      <w:r/>
      <w:bookmarkStart w:id="673" w:name="_Toc264969239"/>
      <w:r/>
      <w:bookmarkStart w:id="674" w:name="_Toc149720842"/>
      <w:r/>
      <w:bookmarkStart w:id="675" w:name="_Toc164351643"/>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8"/>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27151751"/>
      <w:r/>
      <w:bookmarkStart w:id="677" w:name="_Toc151193864"/>
      <w:r/>
      <w:bookmarkStart w:id="678" w:name="_Ref467307204"/>
      <w:r/>
      <w:bookmarkStart w:id="679" w:name="_Ref467306377"/>
      <w:r/>
      <w:bookmarkStart w:id="680" w:name="_Toc151193792"/>
      <w:r/>
      <w:bookmarkStart w:id="681" w:name="_Toc195842915"/>
      <w:r/>
      <w:bookmarkStart w:id="682" w:name="_Toc151193720"/>
      <w:r/>
      <w:bookmarkStart w:id="683" w:name="_Toc305158892"/>
      <w:r/>
      <w:bookmarkStart w:id="684" w:name="_Toc150774755"/>
      <w:r/>
      <w:bookmarkStart w:id="685" w:name="_Toc150509301"/>
      <w:r/>
      <w:bookmarkStart w:id="686" w:name="_Toc142311052"/>
      <w:r/>
      <w:bookmarkStart w:id="687" w:name="_Toc164229391"/>
      <w:r/>
      <w:bookmarkStart w:id="688" w:name="_Toc164351644"/>
      <w:r/>
      <w:bookmarkStart w:id="689" w:name="_Toc265228388"/>
      <w:r/>
      <w:bookmarkStart w:id="690" w:name="_Toc164608664"/>
      <w:r/>
      <w:bookmarkStart w:id="691" w:name="_Toc164608819"/>
      <w:r/>
      <w:bookmarkStart w:id="692" w:name="_Toc226337246"/>
      <w:r/>
      <w:bookmarkStart w:id="693" w:name="_Toc520356175"/>
      <w:r/>
      <w:bookmarkStart w:id="694" w:name="_Toc149720843"/>
      <w:r/>
      <w:bookmarkStart w:id="695" w:name="_Toc127151550"/>
      <w:r/>
      <w:bookmarkStart w:id="696" w:name="_Ref467307062"/>
      <w:r/>
      <w:bookmarkStart w:id="697" w:name="_Toc151190177"/>
      <w:r/>
      <w:bookmarkStart w:id="698" w:name="_Toc150774650"/>
      <w:r/>
      <w:bookmarkStart w:id="699" w:name="_Toc226965823"/>
      <w:r/>
      <w:bookmarkStart w:id="700" w:name="_Toc164229245"/>
      <w:r/>
      <w:bookmarkStart w:id="701" w:name="_Toc151193648"/>
      <w:r/>
      <w:bookmarkStart w:id="702" w:name="_Toc264969240"/>
      <w:r/>
      <w:bookmarkStart w:id="703" w:name="_Toc151193938"/>
      <w:r/>
      <w:bookmarkStart w:id="704" w:name="_Toc305158818"/>
      <w:r/>
      <w:bookmarkStart w:id="705" w:name="_Toc127161464"/>
      <w:r/>
      <w:bookmarkStart w:id="706" w:name="_Toc150480788"/>
      <w:r/>
      <w:bookmarkStart w:id="707" w:name="_Ref467306978"/>
      <w:r/>
      <w:bookmarkStart w:id="708" w:name="_Toc226965740"/>
      <w:r/>
      <w:bookmarkStart w:id="709" w:name="_Toc226309794"/>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8"/>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8"/>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54"/>
          <w:rFonts w:hint="eastAsia" w:ascii="宋体" w:hAnsi="宋体" w:cs="宋体"/>
          <w:color w:val="000000"/>
        </w:rPr>
        <w:t xml:space="preserve">http://gk</w:t>
      </w:r>
      <w:bookmarkStart w:id="710" w:name="_Hlt100654014"/>
      <w:r>
        <w:rPr>
          <w:rStyle w:val="1154"/>
          <w:rFonts w:hint="eastAsia" w:ascii="宋体" w:hAnsi="宋体" w:cs="宋体"/>
          <w:color w:val="000000"/>
        </w:rPr>
        <w:t xml:space="preserve">s</w:t>
      </w:r>
      <w:bookmarkEnd w:id="710"/>
      <w:r>
        <w:rPr>
          <w:rStyle w:val="1154"/>
          <w:rFonts w:hint="eastAsia" w:ascii="宋体" w:hAnsi="宋体" w:cs="宋体"/>
          <w:color w:val="000000"/>
        </w:rPr>
        <w:t xml:space="preserve">.m</w:t>
      </w:r>
      <w:bookmarkStart w:id="711" w:name="_Hlt100653994"/>
      <w:r/>
      <w:bookmarkStart w:id="712" w:name="_Hlt100653993"/>
      <w:r>
        <w:rPr>
          <w:rStyle w:val="1154"/>
          <w:rFonts w:hint="eastAsia" w:ascii="宋体" w:hAnsi="宋体" w:cs="宋体"/>
          <w:color w:val="000000"/>
        </w:rPr>
        <w:t xml:space="preserve">o</w:t>
      </w:r>
      <w:bookmarkEnd w:id="711"/>
      <w:r/>
      <w:bookmarkEnd w:id="712"/>
      <w:r>
        <w:rPr>
          <w:rStyle w:val="1154"/>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8"/>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8"/>
        <w:jc w:val="center"/>
        <w:spacing w:line="360" w:lineRule="auto"/>
        <w:rPr>
          <w:rFonts w:hint="eastAsia" w:ascii="宋体" w:hAnsi="宋体" w:cs="宋体"/>
          <w:b/>
          <w:sz w:val="36"/>
          <w:szCs w:val="36"/>
        </w:rPr>
        <w:outlineLvl w:val="0"/>
      </w:pPr>
      <w:r/>
      <w:bookmarkStart w:id="713" w:name="_Toc353873934"/>
      <w:r/>
      <w:bookmarkStart w:id="714" w:name="_Toc265228392"/>
      <w:r/>
      <w:bookmarkStart w:id="715" w:name="_Toc264969244"/>
      <w:r/>
      <w:bookmarkStart w:id="716" w:name="_Toc305158896"/>
      <w:r/>
      <w:bookmarkStart w:id="717" w:name="_Toc142311056"/>
      <w:r/>
      <w:bookmarkStart w:id="718" w:name="_Toc353825544"/>
      <w:r/>
      <w:bookmarkStart w:id="719" w:name="_Toc305158822"/>
      <w:r/>
      <w:bookmarkStart w:id="720" w:name="_Toc150480792"/>
      <w:r/>
      <w:bookmarkStart w:id="721" w:name="_Toc127151554"/>
      <w:r/>
      <w:bookmarkStart w:id="722" w:name="_Toc226337250"/>
      <w:r/>
      <w:bookmarkStart w:id="723" w:name="_Toc353873664"/>
      <w:r/>
      <w:bookmarkStart w:id="724" w:name="_Toc150774759"/>
      <w:r/>
      <w:bookmarkStart w:id="725" w:name="_Toc226965827"/>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8"/>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8"/>
        <w:jc w:val="left"/>
        <w:widowControl/>
        <w:rPr>
          <w:rFonts w:hint="eastAsia" w:ascii="宋体" w:hAnsi="宋体" w:cs="宋体"/>
          <w:sz w:val="24"/>
        </w:rPr>
      </w:pPr>
      <w:r>
        <w:rPr>
          <w:rFonts w:hint="eastAsia" w:ascii="宋体" w:hAnsi="宋体" w:cs="宋体"/>
          <w:sz w:val="24"/>
        </w:rPr>
      </w:r>
      <w:r/>
    </w:p>
    <w:p>
      <w:pPr>
        <w:pStyle w:val="1078"/>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8"/>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8"/>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8"/>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8"/>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8"/>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8"/>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8"/>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8"/>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127161490"/>
      <w:r/>
      <w:bookmarkStart w:id="733" w:name="_Toc353825550"/>
      <w:r/>
      <w:bookmarkStart w:id="734" w:name="_Toc127151779"/>
      <w:r>
        <w:rPr>
          <w:rFonts w:hint="eastAsia" w:ascii="宋体" w:hAnsi="宋体" w:cs="宋体"/>
          <w:sz w:val="24"/>
        </w:rPr>
        <w:br w:type="page" w:clear="all"/>
      </w:r>
      <w:r/>
    </w:p>
    <w:p>
      <w:pPr>
        <w:pStyle w:val="1078"/>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8"/>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8"/>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27151541"/>
      <w:r/>
      <w:bookmarkStart w:id="738" w:name="_Toc164229382"/>
      <w:r/>
      <w:bookmarkStart w:id="739" w:name="_Toc151190168"/>
      <w:r/>
      <w:bookmarkStart w:id="740" w:name="_Toc226337237"/>
      <w:r/>
      <w:bookmarkStart w:id="741" w:name="_Toc305158809"/>
      <w:r/>
      <w:bookmarkStart w:id="742" w:name="_Toc127151742"/>
      <w:r/>
      <w:bookmarkStart w:id="743" w:name="_Toc195842906"/>
      <w:r/>
      <w:bookmarkStart w:id="744" w:name="_Toc264969231"/>
      <w:r/>
      <w:bookmarkStart w:id="745" w:name="_Toc151193929"/>
      <w:r/>
      <w:bookmarkStart w:id="746" w:name="_Toc149720834"/>
      <w:r/>
      <w:bookmarkStart w:id="747" w:name="_Toc151193783"/>
      <w:r/>
      <w:bookmarkStart w:id="748" w:name="_Toc164351635"/>
      <w:r/>
      <w:bookmarkStart w:id="749" w:name="_Toc226309785"/>
      <w:r/>
      <w:bookmarkStart w:id="750" w:name="_Toc150509292"/>
      <w:r/>
      <w:bookmarkStart w:id="751" w:name="_Toc150480779"/>
      <w:r/>
      <w:bookmarkStart w:id="752" w:name="_Toc142311043"/>
      <w:r/>
      <w:bookmarkStart w:id="753" w:name="_Toc150774746"/>
      <w:r/>
      <w:bookmarkStart w:id="754" w:name="_Toc226965814"/>
      <w:r/>
      <w:bookmarkStart w:id="755" w:name="_Toc305158883"/>
      <w:r/>
      <w:bookmarkStart w:id="756" w:name="_Toc151193639"/>
      <w:r/>
      <w:bookmarkStart w:id="757" w:name="_Toc150774641"/>
      <w:r/>
      <w:bookmarkStart w:id="758" w:name="_Toc226965731"/>
      <w:r/>
      <w:bookmarkStart w:id="759" w:name="_Toc164608655"/>
      <w:r/>
      <w:bookmarkStart w:id="760" w:name="_Toc151193855"/>
      <w:r/>
      <w:bookmarkStart w:id="761" w:name="_Toc151193711"/>
      <w:r/>
      <w:bookmarkStart w:id="762" w:name="_Toc127161455"/>
      <w:r/>
      <w:bookmarkStart w:id="763" w:name="_Toc164608810"/>
      <w:r/>
      <w:bookmarkStart w:id="764" w:name="_Toc164229236"/>
      <w:r/>
      <w:bookmarkStart w:id="765" w:name="_Toc265228379"/>
      <w:r/>
      <w:bookmarkStart w:id="766" w:name="_Toc353873941"/>
      <w:r/>
      <w:bookmarkStart w:id="767" w:name="_Toc353825551"/>
      <w:r/>
      <w:bookmarkStart w:id="768" w:name="_Toc353873935"/>
      <w:r/>
      <w:bookmarkStart w:id="769" w:name="_Toc305158897"/>
      <w:r/>
      <w:bookmarkStart w:id="770" w:name="_Toc265228393"/>
      <w:r/>
      <w:bookmarkStart w:id="771" w:name="_Toc353873665"/>
      <w:r/>
      <w:bookmarkStart w:id="772" w:name="_Toc150774760"/>
      <w:r/>
      <w:bookmarkStart w:id="773" w:name="_Toc195842920"/>
      <w:r/>
      <w:bookmarkStart w:id="774" w:name="_Toc226965828"/>
      <w:r/>
      <w:bookmarkStart w:id="775" w:name="_Toc264969245"/>
      <w:r/>
      <w:bookmarkStart w:id="776" w:name="_Toc353825545"/>
      <w:r/>
      <w:bookmarkStart w:id="777" w:name="_Toc150480793"/>
      <w:r/>
      <w:bookmarkStart w:id="778" w:name="_Toc226337251"/>
      <w:r/>
      <w:bookmarkStart w:id="779" w:name="_Toc127151555"/>
      <w:r/>
      <w:bookmarkStart w:id="780" w:name="_Toc305158823"/>
      <w:r/>
      <w:bookmarkStart w:id="781" w:name="_Toc142311057"/>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8"/>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8"/>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8"/>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8"/>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8"/>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8"/>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分包意向协议</w:t>
            </w:r>
            <w:r/>
          </w:p>
          <w:p>
            <w:pPr>
              <w:pStyle w:val="107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进口产品</w:t>
            </w:r>
            <w:r/>
          </w:p>
          <w:p>
            <w:pPr>
              <w:pStyle w:val="107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8"/>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8"/>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78"/>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78"/>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8"/>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8"/>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8"/>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8"/>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8"/>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8"/>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8"/>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8"/>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w:t>
      </w:r>
      <w:r>
        <w:rPr>
          <w:rFonts w:hint="eastAsia" w:ascii="宋体" w:hAnsi="宋体" w:cs="宋体"/>
          <w:sz w:val="24"/>
        </w:rPr>
        <w:t xml:space="preserve">2.</w:t>
      </w:r>
      <w:r>
        <w:rPr>
          <w:rFonts w:ascii="宋体" w:hAnsi="宋体" w:cs="宋体"/>
          <w:sz w:val="24"/>
        </w:rPr>
        <w:t xml:space="preserve">9</w:t>
      </w:r>
      <w:r>
        <w:rPr>
          <w:rFonts w:hint="eastAsia" w:ascii="宋体" w:hAnsi="宋体" w:cs="宋体"/>
          <w:sz w:val="24"/>
        </w:rPr>
        <w:t xml:space="preserve">.2-2.</w:t>
      </w:r>
      <w:r>
        <w:rPr>
          <w:rFonts w:ascii="宋体" w:hAnsi="宋体" w:cs="宋体"/>
          <w:sz w:val="24"/>
        </w:rPr>
        <w:t xml:space="preserve">9</w:t>
      </w:r>
      <w:r>
        <w:rPr>
          <w:rFonts w:hint="eastAsia" w:ascii="宋体" w:hAnsi="宋体" w:cs="宋体"/>
          <w:sz w:val="24"/>
        </w:rPr>
        <w:t xml:space="preserve">.7项规定修正。</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934"/>
      <w:r/>
      <w:bookmarkStart w:id="784" w:name="_Toc151193716"/>
      <w:r/>
      <w:bookmarkStart w:id="785" w:name="_Toc151190173"/>
      <w:r/>
      <w:bookmarkStart w:id="786" w:name="_Toc226965819"/>
      <w:r/>
      <w:bookmarkStart w:id="787" w:name="_Toc150774646"/>
      <w:r/>
      <w:bookmarkStart w:id="788" w:name="_Toc305158888"/>
      <w:r/>
      <w:bookmarkStart w:id="789" w:name="_Toc226309790"/>
      <w:r/>
      <w:bookmarkStart w:id="790" w:name="_Toc164351640"/>
      <w:r/>
      <w:bookmarkStart w:id="791" w:name="_Toc305158814"/>
      <w:r/>
      <w:bookmarkStart w:id="792" w:name="_Toc151193788"/>
      <w:r/>
      <w:bookmarkStart w:id="793" w:name="_Toc151193860"/>
      <w:r/>
      <w:bookmarkStart w:id="794" w:name="_Toc520356170"/>
      <w:r/>
      <w:bookmarkStart w:id="795" w:name="_Toc142311048"/>
      <w:r/>
      <w:bookmarkStart w:id="796" w:name="_Toc164229241"/>
      <w:r/>
      <w:bookmarkStart w:id="797" w:name="_Toc150509297"/>
      <w:r/>
      <w:bookmarkStart w:id="798" w:name="_Toc149720839"/>
      <w:r/>
      <w:bookmarkStart w:id="799" w:name="_Toc151193644"/>
      <w:r/>
      <w:bookmarkStart w:id="800" w:name="_Toc127151546"/>
      <w:r/>
      <w:bookmarkStart w:id="801" w:name="_Toc164608815"/>
      <w:r/>
      <w:bookmarkStart w:id="802" w:name="_Toc226965736"/>
      <w:r/>
      <w:bookmarkStart w:id="803" w:name="_Toc127161460"/>
      <w:r/>
      <w:bookmarkStart w:id="804" w:name="_Ref467307010"/>
      <w:r/>
      <w:bookmarkStart w:id="805" w:name="_Toc264969236"/>
      <w:r/>
      <w:bookmarkStart w:id="806" w:name="_Toc127151747"/>
      <w:r/>
      <w:bookmarkStart w:id="807" w:name="_Toc195842911"/>
      <w:r/>
      <w:bookmarkStart w:id="808" w:name="_Toc164608660"/>
      <w:r/>
      <w:bookmarkStart w:id="809" w:name="_Toc226337242"/>
      <w:r/>
      <w:bookmarkStart w:id="810" w:name="_Toc150774751"/>
      <w:r/>
      <w:bookmarkStart w:id="811" w:name="_Toc164229387"/>
      <w:r/>
      <w:bookmarkStart w:id="812" w:name="_Toc150480784"/>
      <w:r/>
      <w:bookmarkStart w:id="813" w:name="_Toc26522838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8"/>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8"/>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序号</w:t>
            </w:r>
            <w:r/>
          </w:p>
        </w:tc>
        <w:tc>
          <w:tcPr>
            <w:tcW w:w="1462"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评分因素</w:t>
            </w:r>
            <w:r/>
          </w:p>
        </w:tc>
        <w:tc>
          <w:tcPr>
            <w:tcW w:w="913"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分值</w:t>
            </w:r>
            <w:r/>
          </w:p>
        </w:tc>
        <w:tc>
          <w:tcPr>
            <w:tcW w:w="3978"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评分标准</w:t>
            </w:r>
            <w:r/>
          </w:p>
        </w:tc>
        <w:tc>
          <w:tcPr>
            <w:tcW w:w="2440" w:type="dxa"/>
            <w:vAlign w:val="center"/>
            <w:textDirection w:val="lrTb"/>
            <w:noWrap w:val="false"/>
          </w:tcPr>
          <w:p>
            <w:pPr>
              <w:pStyle w:val="1323"/>
              <w:spacing w:before="0" w:after="0" w:line="400" w:lineRule="exact"/>
              <w:rPr>
                <w:rFonts w:hint="eastAsia" w:ascii="宋体" w:hAnsi="宋体" w:eastAsia="宋体" w:cs="宋体"/>
                <w:szCs w:val="24"/>
              </w:rPr>
            </w:pPr>
            <w:r>
              <w:rPr>
                <w:rFonts w:hint="eastAsia" w:ascii="宋体" w:hAnsi="宋体" w:eastAsia="宋体" w:cs="宋体"/>
                <w:szCs w:val="24"/>
              </w:rPr>
              <w:t xml:space="preserve">说明</w:t>
            </w:r>
            <w:r/>
          </w:p>
        </w:tc>
      </w:tr>
      <w:tr>
        <w:trPr>
          <w:trHeight w:val="631"/>
        </w:trPr>
        <w:tc>
          <w:tcPr>
            <w:tcW w:w="835"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1</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价格分</w:t>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15</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pStyle w:val="1078"/>
              <w:spacing w:line="400" w:lineRule="exact"/>
              <w:rPr>
                <w:rFonts w:hint="eastAsia" w:ascii="宋体" w:hAnsi="宋体" w:cs="宋体"/>
                <w:sz w:val="24"/>
              </w:rPr>
            </w:pPr>
            <w:r>
              <w:rPr>
                <w:rFonts w:hint="eastAsia" w:ascii="宋体" w:hAnsi="宋体" w:cs="宋体"/>
                <w:sz w:val="24"/>
              </w:rPr>
              <w:t xml:space="preserve">投标报价得分＝（评标基准价/投标报价）×分值。</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此处投标报价指</w:t>
            </w:r>
            <w:r>
              <w:rPr>
                <w:rFonts w:hint="eastAsia" w:ascii="宋体" w:hAnsi="宋体" w:cs="宋体"/>
                <w:sz w:val="24"/>
              </w:rPr>
              <w:t xml:space="preserve">经过报价修正，及因落实政府采购政策进行价格调整后的报价，详见第四</w:t>
            </w:r>
            <w:r>
              <w:rPr>
                <w:rFonts w:hint="eastAsia" w:ascii="宋体" w:hAnsi="宋体" w:cs="宋体"/>
                <w:sz w:val="24"/>
              </w:rPr>
              <w:t xml:space="preserve">章《评标方法和评标标准》。</w:t>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主观分</w:t>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54</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2.1</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整体服务方案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175"/>
              <w:ind w:firstLine="0"/>
              <w:jc w:val="left"/>
              <w:spacing w:line="400" w:lineRule="exact"/>
              <w:widowControl/>
              <w:rPr>
                <w:rFonts w:hint="eastAsia" w:ascii="宋体" w:hAnsi="宋体" w:cs="宋体"/>
                <w:sz w:val="24"/>
                <w:szCs w:val="24"/>
              </w:rPr>
            </w:pPr>
            <w:r>
              <w:rPr>
                <w:rFonts w:hint="eastAsia" w:ascii="宋体" w:hAnsi="宋体" w:cs="宋体"/>
                <w:sz w:val="24"/>
                <w:szCs w:val="24"/>
              </w:rPr>
              <w:t xml:space="preserve">投标人针对本项目内容，提供符合采购需求的整体服务方案，包括但不限于值守及安全运行管理方案、维修安装服务方案、资料整理和归档的工作方案等。</w:t>
            </w:r>
            <w:r/>
          </w:p>
          <w:p>
            <w:pPr>
              <w:pStyle w:val="1175"/>
              <w:ind w:firstLine="0"/>
              <w:jc w:val="left"/>
              <w:spacing w:line="400" w:lineRule="exact"/>
              <w:widowControl/>
              <w:rPr>
                <w:rFonts w:hint="eastAsia" w:ascii="宋体" w:hAnsi="宋体" w:cs="宋体"/>
                <w:sz w:val="24"/>
                <w:szCs w:val="24"/>
              </w:rPr>
            </w:pPr>
            <w:r>
              <w:rPr>
                <w:rFonts w:hint="eastAsia" w:ascii="宋体" w:hAnsi="宋体" w:cs="宋体"/>
                <w:bCs/>
                <w:sz w:val="24"/>
                <w:szCs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szCs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2.2</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管理制度与质量保证</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175"/>
              <w:ind w:firstLine="0"/>
              <w:jc w:val="left"/>
              <w:spacing w:line="400" w:lineRule="exact"/>
              <w:widowControl/>
              <w:rPr>
                <w:rFonts w:hint="eastAsia" w:ascii="宋体" w:hAnsi="宋体" w:cs="宋体"/>
                <w:sz w:val="24"/>
                <w:szCs w:val="24"/>
              </w:rPr>
            </w:pPr>
            <w:r>
              <w:rPr>
                <w:rFonts w:hint="eastAsia" w:ascii="宋体" w:hAnsi="宋体" w:cs="宋体"/>
                <w:sz w:val="24"/>
                <w:szCs w:val="24"/>
              </w:rPr>
              <w:t xml:space="preserve">投标人针对本项目内容，提供符合采购需求的设备设施运维管理制度、服务质量保证。</w:t>
            </w:r>
            <w:r/>
          </w:p>
          <w:p>
            <w:pPr>
              <w:pStyle w:val="1175"/>
              <w:ind w:firstLine="0"/>
              <w:jc w:val="left"/>
              <w:spacing w:line="400" w:lineRule="exact"/>
              <w:widowControl/>
              <w:rPr>
                <w:rFonts w:hint="eastAsia" w:ascii="宋体" w:hAnsi="宋体" w:cs="宋体"/>
                <w:sz w:val="24"/>
                <w:szCs w:val="24"/>
              </w:rPr>
            </w:pPr>
            <w:r>
              <w:rPr>
                <w:rFonts w:hint="eastAsia" w:ascii="宋体" w:hAnsi="宋体" w:cs="宋体"/>
                <w:sz w:val="24"/>
                <w:szCs w:val="24"/>
              </w:rPr>
              <w:t xml:space="preserve">①提供人员管理制度、设施设备管理制度、安全管理制度。</w:t>
            </w:r>
            <w:r>
              <w:rPr>
                <w:rFonts w:hint="eastAsia" w:ascii="宋体" w:hAnsi="宋体" w:cs="宋体"/>
                <w:bCs/>
                <w:sz w:val="24"/>
                <w:szCs w:val="24"/>
              </w:rPr>
              <w:t xml:space="preserve">内容详实、需求贴合度高且条理清晰的得5分；内容较为简单、可行、细节待完善的得3分；内容粗略、无针对性、基本满足采购需求的得1分；未提供不得分。</w:t>
            </w:r>
            <w:r>
              <w:rPr>
                <w:rFonts w:hint="eastAsia" w:ascii="宋体" w:hAnsi="宋体" w:cs="宋体"/>
                <w:sz w:val="24"/>
                <w:szCs w:val="24"/>
              </w:rPr>
            </w:r>
            <w:r/>
          </w:p>
          <w:p>
            <w:pPr>
              <w:pStyle w:val="1078"/>
              <w:spacing w:line="400" w:lineRule="exact"/>
              <w:rPr>
                <w:rFonts w:hint="eastAsia" w:ascii="宋体" w:hAnsi="宋体" w:cs="宋体"/>
                <w:sz w:val="24"/>
              </w:rPr>
            </w:pPr>
            <w:r>
              <w:rPr>
                <w:rFonts w:hint="eastAsia" w:ascii="宋体" w:hAnsi="宋体" w:cs="宋体"/>
                <w:sz w:val="24"/>
              </w:rPr>
              <w:t xml:space="preserve">②针对本项目，投标人提供较完善的组织架构、作业流程、服务质量标准、监督机制、信息反馈渠道及运用管理工具处理机制的评价方案。</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内容详实、需求贴合度高且条理清晰的得5分；内容较为简单、可行、细节待完善的得3分；内容粗略、无针对性、基本满足采购需求的得1分；未提供不得分。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2.3</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人员配置及培训考核方案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投标人根据本项目特点，提出符合采购需求的人员配置方案。</w:t>
            </w:r>
            <w:r/>
          </w:p>
          <w:p>
            <w:pPr>
              <w:pStyle w:val="1093"/>
              <w:ind w:firstLine="0"/>
              <w:spacing w:line="400" w:lineRule="exact"/>
              <w:rPr>
                <w:rFonts w:hint="eastAsia" w:hAnsi="宋体" w:cs="宋体"/>
              </w:rPr>
            </w:pPr>
            <w:r>
              <w:rPr>
                <w:rFonts w:hint="eastAsia" w:hAnsi="宋体" w:cs="宋体"/>
              </w:rPr>
              <w:t xml:space="preserve">①投标人有明确的组织架构及人员岗位配置表、持证上岗情况、专业能力、技术能力、工作经验等情况。</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p>
            <w:pPr>
              <w:pStyle w:val="1093"/>
              <w:ind w:firstLine="0"/>
              <w:spacing w:line="400" w:lineRule="exact"/>
              <w:rPr>
                <w:rFonts w:hint="eastAsia" w:hAnsi="宋体" w:cs="宋体"/>
              </w:rPr>
            </w:pPr>
            <w:r>
              <w:rPr>
                <w:rFonts w:hint="eastAsia" w:hAnsi="宋体" w:cs="宋体"/>
              </w:rPr>
              <w:t xml:space="preserve">②投标人为工作人员制定详细的培训计划，包括培训内容、方式、频次以及考核内容、考核方式、奖惩办法等。</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2.4</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应急预案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投标人根据本项目特点，提出符合采购需求的突发事件应急预案。</w:t>
            </w:r>
            <w:r/>
          </w:p>
          <w:p>
            <w:pPr>
              <w:pStyle w:val="1093"/>
              <w:ind w:firstLine="0"/>
              <w:spacing w:line="400" w:lineRule="exact"/>
              <w:rPr>
                <w:rFonts w:hint="eastAsia" w:hAnsi="宋体" w:cs="宋体"/>
              </w:rPr>
            </w:pPr>
            <w:r>
              <w:rPr>
                <w:rFonts w:hint="eastAsia" w:hAnsi="宋体" w:cs="宋体"/>
              </w:rPr>
              <w:t xml:space="preserve">①应对设备设施突发故障或技术性运行中断、各类纠纷、消防、台风、暴雨、冻雪等灾害性天气及其他突发事件，提供相应的应急预案或应急措施。</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p>
            <w:pPr>
              <w:pStyle w:val="1093"/>
              <w:ind w:firstLine="0"/>
              <w:spacing w:line="400" w:lineRule="exact"/>
              <w:rPr>
                <w:rFonts w:hint="eastAsia" w:hAnsi="宋体" w:cs="宋体"/>
              </w:rPr>
            </w:pPr>
            <w:r>
              <w:rPr>
                <w:rFonts w:hint="eastAsia" w:hAnsi="宋体" w:cs="宋体"/>
              </w:rPr>
              <w:t xml:space="preserve">②重点阐述如何快速调配应急所需人力、岗位分配情况、应急操作流程、公司支持力度以及防止事件再次发生的长效措施等。</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2.5</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物资配置</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投标人根据采购需求为本项目配置运维工具物资并形成配置表</w:t>
            </w:r>
            <w:r>
              <w:rPr>
                <w:rFonts w:hint="eastAsia" w:ascii="宋体" w:hAnsi="宋体" w:cs="宋体"/>
                <w:b/>
                <w:sz w:val="24"/>
              </w:rPr>
              <w:t xml:space="preserve">（提供具体设备图片及详细的技术参数，否则不得分）</w:t>
            </w:r>
            <w:r>
              <w:rPr>
                <w:rFonts w:hint="eastAsia" w:ascii="宋体" w:hAnsi="宋体" w:cs="宋体"/>
                <w:sz w:val="24"/>
              </w:rPr>
              <w:t xml:space="preserve">，投入器具种类和数量与本项目相适应且有物资管理制度。</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2.6</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进场交接方案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投标人提供进场交接方案，在交接过程保障项目的正常运行。方案中应包括进场工作安排、交接内容（工程、财务、档案、人事等）、接后管理与甲方工作沟通等内容，提供符合采购需求的内容。</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2.7</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项目重难点分析及解决措施</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针对本项目及采购人需求，分析项目实施的重难点，并提供解决措施。</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客观分</w:t>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31</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3.1</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管理体系认证</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投标人具有有效期内的质量管理体系认证证书、环境管理体系认证证书、职业健康安全管理体系认证证书、能源管理体系认证证书，每提供1项得1.5分，最高6分。</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提供证书扫描件和国家认证认可监督管理委员会网站查询证书状态为“有效”的截图，缺项不得分。</w:t>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3.2</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类似业绩</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投标人具有2023年1月1日（以合同签订日期为准）以来承接的类似设备运维业绩，每提供一项有效业绩合同得2分，最高得10分。</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提供业绩合同扫描件</w:t>
            </w:r>
            <w:r/>
          </w:p>
        </w:tc>
      </w:tr>
      <w:tr>
        <w:trPr>
          <w:cantSplit/>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3.3</w:t>
            </w:r>
            <w:r/>
          </w:p>
        </w:tc>
        <w:tc>
          <w:tcPr>
            <w:tcW w:w="1462" w:type="dxa"/>
            <w:vAlign w:val="center"/>
            <w:vMerge w:val="restart"/>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人员配备</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①投标人配备的水电维修人员在满足基本要求的前提下，每增配一名具备低压电工特种作业操作证的人员，得1分，最高得2分。</w:t>
            </w:r>
            <w:r/>
          </w:p>
        </w:tc>
        <w:tc>
          <w:tcPr>
            <w:tcW w:w="2440" w:type="dxa"/>
            <w:vAlign w:val="center"/>
            <w:vMerge w:val="restart"/>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提供证书扫描件和投标人近三个月内任意一个月为其缴纳的社保证明，缺项不得分</w:t>
            </w:r>
            <w:r/>
          </w:p>
        </w:tc>
      </w:tr>
      <w:tr>
        <w:trPr>
          <w:cantSplit/>
        </w:trPr>
        <w:tc>
          <w:tcPr>
            <w:tcW w:w="835"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3.4</w:t>
            </w:r>
            <w:r>
              <w:rPr>
                <w:rFonts w:ascii="宋体" w:hAnsi="宋体" w:cs="宋体"/>
                <w:sz w:val="24"/>
              </w:rPr>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②投标人配备的锅炉暖通值班人员中，持有</w:t>
            </w:r>
            <w:r>
              <w:rPr>
                <w:rFonts w:hint="eastAsia" w:ascii="宋体" w:hAnsi="宋体"/>
                <w:bCs/>
                <w:sz w:val="24"/>
              </w:rPr>
              <w:t xml:space="preserve">特种作业操作证(压力容器作业)R1或R2证书</w:t>
            </w:r>
            <w:r>
              <w:rPr>
                <w:rFonts w:hint="eastAsia" w:ascii="宋体" w:hAnsi="宋体" w:cs="宋体"/>
                <w:sz w:val="24"/>
              </w:rPr>
              <w:t xml:space="preserve">，每有1人加得2分，最高得4分。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90"/>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3.5</w:t>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③投标人配备的锅炉暖通值班人员中，持有</w:t>
            </w:r>
            <w:r>
              <w:rPr>
                <w:rFonts w:hint="eastAsia" w:ascii="宋体" w:hAnsi="宋体" w:cs="宋体"/>
                <w:bCs/>
                <w:sz w:val="24"/>
              </w:rPr>
              <w:t xml:space="preserve">熔化焊接与热切割作业证</w:t>
            </w:r>
            <w:r>
              <w:rPr>
                <w:rFonts w:hint="eastAsia" w:ascii="宋体" w:hAnsi="宋体" w:cs="宋体"/>
                <w:sz w:val="24"/>
              </w:rPr>
              <w:t xml:space="preserve">，得2分。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90"/>
        </w:trPr>
        <w:tc>
          <w:tcPr>
            <w:tcW w:w="835"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3.6</w:t>
            </w:r>
            <w:r>
              <w:rPr>
                <w:rFonts w:ascii="宋体" w:hAnsi="宋体" w:cs="宋体"/>
                <w:sz w:val="24"/>
              </w:rPr>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④投标人配备的锅炉暖通值班人员中，持有</w:t>
            </w:r>
            <w:r>
              <w:rPr>
                <w:rFonts w:hint="eastAsia" w:ascii="宋体" w:hAnsi="宋体" w:cs="宋体"/>
                <w:bCs/>
                <w:sz w:val="24"/>
              </w:rPr>
              <w:t xml:space="preserve">特种作业操作证(锅炉作业证)G1证</w:t>
            </w:r>
            <w:r>
              <w:rPr>
                <w:rFonts w:hint="eastAsia" w:ascii="宋体" w:hAnsi="宋体" w:cs="宋体"/>
                <w:sz w:val="24"/>
              </w:rPr>
              <w:t xml:space="preserve">，每有1人加得2分，最高得4分。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90"/>
        </w:trPr>
        <w:tc>
          <w:tcPr>
            <w:tcW w:w="835"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3.7</w:t>
            </w:r>
            <w:r>
              <w:rPr>
                <w:rFonts w:ascii="宋体" w:hAnsi="宋体" w:cs="宋体"/>
                <w:sz w:val="24"/>
              </w:rPr>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⑤投标人配备的运维人员中，持有特种作业操作证(制冷与空调作业证)R1或R2证书，每有1人加得1分，最高得2分。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3.8</w:t>
            </w:r>
            <w:r/>
          </w:p>
        </w:tc>
        <w:tc>
          <w:tcPr>
            <w:tcW w:w="1462"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信息化管理水平</w:t>
            </w:r>
            <w:r>
              <w:rPr>
                <w:rFonts w:ascii="宋体" w:hAnsi="宋体" w:cs="宋体"/>
                <w:sz w:val="24"/>
              </w:rPr>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bCs/>
                <w:sz w:val="24"/>
              </w:rPr>
              <w:t xml:space="preserve">对北院后勤运维托管采用信息化管理方式，拟投入管理软件包含报修、日常维修统计分析等功能，得1分。提供对应软件功能截图</w:t>
            </w:r>
            <w:r>
              <w:rPr>
                <w:rFonts w:hint="eastAsia" w:ascii="宋体" w:hAnsi="宋体" w:cs="宋体"/>
                <w:sz w:val="24"/>
              </w:rPr>
              <w:t xml:space="preserve">。</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bCs/>
                <w:sz w:val="24"/>
              </w:rPr>
              <w:t xml:space="preserve">提供对应软件功能截图</w:t>
            </w:r>
            <w:r>
              <w:rPr>
                <w:rFonts w:hint="eastAsia" w:ascii="宋体" w:hAnsi="宋体" w:cs="宋体"/>
                <w:sz w:val="24"/>
              </w:rPr>
            </w:r>
            <w:r/>
          </w:p>
        </w:tc>
      </w:tr>
      <w:tr>
        <w:trPr/>
        <w:tc>
          <w:tcPr>
            <w:gridSpan w:val="2"/>
            <w:tcW w:w="2297"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合计</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100</w:t>
            </w:r>
            <w:r/>
          </w:p>
        </w:tc>
        <w:tc>
          <w:tcPr>
            <w:gridSpan w:val="2"/>
            <w:tcW w:w="641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bl>
    <w:p>
      <w:pPr>
        <w:pStyle w:val="1078"/>
        <w:numPr>
          <w:ilvl w:val="0"/>
          <w:numId w:val="15"/>
        </w:numPr>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  采购需求</w:t>
      </w:r>
      <w:bookmarkEnd w:id="814"/>
      <w:r>
        <w:rPr>
          <w:rFonts w:ascii="宋体" w:hAnsi="宋体"/>
          <w:b/>
          <w:sz w:val="36"/>
          <w:szCs w:val="36"/>
        </w:rPr>
      </w:r>
      <w:r/>
    </w:p>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一、项目概况</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为不断提升三级甲等综合医院后勤保障能力，严格按照最新等级医院相关评审标准，并结合常州市武进人民医院日常运行实际情况，因地制宜的对武进人民医院北院后勤总务相关日常运行维护，引入社会化服务模式进行托管。以提高后勤管理效能，降低运行成本，确保医院安全正常运行为总体目标。</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运维服务地址：常州市天宁区永宁北路2号。</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二、运维服务要求</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（一）服务范围</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常州市武进人民医院北院后勤总务相关各专业日常运行维护等工作。具体范围如下：</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1.供电系统：从院各变压器后端开关至末端所有的线路、电箱（柜）、开关、插座等全系统维修维护。</w:t>
      </w:r>
      <w:r>
        <w:rPr>
          <w:rFonts w:hint="eastAsia" w:ascii="宋体" w:hAnsi="宋体" w:cs="宋体"/>
          <w:spacing w:val="2"/>
          <w:sz w:val="24"/>
        </w:rPr>
        <w:t xml:space="preserve">强电：从各建筑物电源进户点（含总开关）起至末端所有的线路、开关、插座等</w:t>
      </w:r>
      <w:r>
        <w:rPr>
          <w:rFonts w:hint="eastAsia" w:ascii="宋体" w:hAnsi="宋体" w:cs="宋体"/>
          <w:bCs/>
          <w:sz w:val="24"/>
        </w:rPr>
        <w:t xml:space="preserve">全系统维修维护</w:t>
      </w:r>
      <w:r>
        <w:rPr>
          <w:rFonts w:hint="eastAsia" w:ascii="宋体" w:hAnsi="宋体" w:cs="宋体"/>
          <w:spacing w:val="2"/>
          <w:sz w:val="24"/>
        </w:rPr>
        <w:t xml:space="preserve">。</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2.给水系统：从供水公司进户水表起至末端各用水点所有管线、阀门、各类洁具、马桶等全系统维修维护。包括不仅限于医院各生活水泵房二次供水设备设施、管线等正常运行维护，及各生活水箱的清冼消毒。</w:t>
      </w:r>
      <w:r>
        <w:rPr>
          <w:rFonts w:hint="eastAsia" w:ascii="宋体" w:hAnsi="宋体" w:cs="宋体"/>
          <w:b/>
          <w:sz w:val="24"/>
        </w:rPr>
        <w:t xml:space="preserve">并含水泵房的巡值服务。</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3.中央空调系统：全系统的维修维护，包括不仅限于室内外各供回水管线、风机盘管、各阀门、保温、末端控制面板以及末端中央空调机房的BA系统控制等维修维护，以及风口、盘管滤网等清冼。</w:t>
      </w:r>
      <w:r>
        <w:rPr>
          <w:rFonts w:hint="eastAsia" w:ascii="宋体" w:hAnsi="宋体" w:cs="宋体"/>
          <w:b/>
          <w:sz w:val="24"/>
        </w:rPr>
        <w:t xml:space="preserve">并含中央空调机房值班服务。</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4.新风系统：全系统维修维护，包括不仅限于各类新风机运行、管线、滤网清冼、电气与风管、保温等维修。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5.雨水系统：从各建筑物屋面收集口及各道路雨水篦子口至各市政雨水出口，全系统的维护维修，包括不仅限于各井、收集口部等清理疏通，以及雨水收集池、雨水应急池等全系统的运行维护。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6.污水系统：从各用水点起至污水站，各室内、外的管线、管井的全系统的清理疏通，包括隔油池清理疏通清运。</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7.外场灌溉系统：全系统的维护维修及运行，包括大小中庭灌溉等运行维护。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8.生活热水系统：全系统的维护维修，除热水锅炉等大型设备外，包括不仅限于各管线、阀门、电气控制、末端电磁阀、水控系统等。</w:t>
      </w:r>
      <w:r>
        <w:rPr>
          <w:rFonts w:hint="eastAsia" w:ascii="宋体" w:hAnsi="宋体" w:cs="宋体"/>
          <w:b/>
          <w:sz w:val="24"/>
        </w:rPr>
        <w:t xml:space="preserve">并含锅炉房的值班服务。</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9.弱电系统：电话系统从电信交换机至电话机运维，包括线路、跳线、号码分配；有线电视的线路、终端等。</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10.消防水系统：室内外消防、喷淋的各管线、阀门的维护维修（消防维保部分除外）。</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11.室外亮化:路灯及楼宇照明等全系统的维修维护。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12.氧气系统：</w:t>
      </w:r>
      <w:r>
        <w:rPr>
          <w:rFonts w:hint="eastAsia" w:ascii="宋体" w:hAnsi="宋体" w:cs="宋体"/>
          <w:b/>
          <w:sz w:val="24"/>
        </w:rPr>
        <w:t xml:space="preserve">液氧塔、气站的巡值管理服务</w:t>
      </w:r>
      <w:r>
        <w:rPr>
          <w:rFonts w:hint="eastAsia" w:ascii="宋体" w:hAnsi="宋体" w:cs="宋体"/>
          <w:bCs/>
          <w:sz w:val="24"/>
        </w:rPr>
        <w:t xml:space="preserve">。</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13.其它：不仅限于普通门、门锁、床、陪客椅、窗、窗帘、输液轨道、小电器等其他日常后勤总务维护维修以及零星人工服务。</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注：</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①防雷检测、生活水质检测、变电所电试检测、雨污水检测、各类阀门检测等涉及的各类检测，均由医院聘请相应资质的其他第三方负责。</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②各类维修材料，由医院根据维修需求采购提供。</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③相对大型设备设施，专业设备等由医院聘请专业公司维修。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④污水站、房屋改造、装饰、食堂、保洁等不在本次服务范围。</w:t>
      </w:r>
      <w:r/>
    </w:p>
    <w:p>
      <w:pPr>
        <w:pStyle w:val="1093"/>
        <w:spacing w:line="400" w:lineRule="exact"/>
        <w:rPr>
          <w:rFonts w:hint="eastAsia" w:hAnsi="宋体" w:cs="宋体"/>
          <w:b/>
        </w:rPr>
      </w:pPr>
      <w:r>
        <w:rPr>
          <w:rFonts w:hint="eastAsia" w:hAnsi="宋体" w:cs="宋体"/>
          <w:b/>
        </w:rPr>
        <w:t xml:space="preserve">（二）运维目标</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447"/>
        <w:gridCol w:w="1086"/>
        <w:gridCol w:w="2296"/>
        <w:gridCol w:w="2040"/>
        <w:gridCol w:w="2413"/>
      </w:tblGrid>
      <w:tr>
        <w:trPr>
          <w:cantSplit/>
          <w:trHeight w:val="400"/>
        </w:trPr>
        <w:tc>
          <w:tcPr>
            <w:tcBorders>
              <w:top w:val="single" w:color="000000" w:sz="4" w:space="0"/>
              <w:left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b/>
                <w:sz w:val="24"/>
              </w:rPr>
            </w:pPr>
            <w:r>
              <w:rPr>
                <w:rFonts w:hint="eastAsia" w:ascii="宋体" w:hAnsi="宋体" w:cs="宋体"/>
                <w:b/>
                <w:sz w:val="24"/>
                <w:lang w:bidi="ar"/>
              </w:rPr>
              <w:t xml:space="preserve">（一）基本要求</w:t>
            </w:r>
            <w:r>
              <w:rPr>
                <w:rFonts w:hint="eastAsia" w:ascii="宋体" w:hAnsi="宋体" w:cs="宋体"/>
                <w:b/>
                <w:sz w:val="24"/>
              </w:rPr>
            </w:r>
            <w:r/>
          </w:p>
        </w:tc>
        <w:tc>
          <w:tcPr>
            <w:tcBorders>
              <w:top w:val="single" w:color="000000" w:sz="4" w:space="0"/>
              <w:left w:val="single" w:color="000000" w:sz="4" w:space="0"/>
              <w:right w:val="single" w:color="000000" w:sz="4" w:space="0"/>
            </w:tcBorders>
            <w:tcW w:w="585" w:type="pct"/>
            <w:vAlign w:val="center"/>
            <w:vMerge w:val="restart"/>
            <w:textDirection w:val="lrTb"/>
            <w:noWrap w:val="false"/>
          </w:tcPr>
          <w:p>
            <w:pPr>
              <w:pStyle w:val="1078"/>
              <w:jc w:val="center"/>
              <w:spacing w:line="400" w:lineRule="exact"/>
              <w:widowControl/>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right w:val="single" w:color="000000" w:sz="4" w:space="0"/>
            </w:tcBorders>
            <w:tcW w:w="1236" w:type="pct"/>
            <w:vAlign w:val="center"/>
            <w:vMerge w:val="restart"/>
            <w:textDirection w:val="lrTb"/>
            <w:noWrap w:val="false"/>
          </w:tcPr>
          <w:p>
            <w:pPr>
              <w:pStyle w:val="1078"/>
              <w:spacing w:line="400" w:lineRule="exact"/>
              <w:widowControl/>
              <w:rPr>
                <w:rFonts w:hint="eastAsia" w:ascii="宋体" w:hAnsi="宋体" w:cs="宋体"/>
                <w:b/>
                <w:sz w:val="24"/>
              </w:rPr>
            </w:pPr>
            <w:r>
              <w:rPr>
                <w:rFonts w:hint="eastAsia" w:ascii="宋体" w:hAnsi="宋体" w:cs="宋体"/>
                <w:b/>
                <w:sz w:val="24"/>
                <w:lang w:bidi="ar"/>
              </w:rPr>
              <w:t xml:space="preserve">工作内容</w:t>
            </w:r>
            <w:r>
              <w:rPr>
                <w:rFonts w:hint="eastAsia" w:ascii="宋体" w:hAnsi="宋体" w:cs="宋体"/>
                <w:b/>
                <w:sz w:val="24"/>
              </w:rPr>
            </w:r>
            <w:r/>
          </w:p>
        </w:tc>
        <w:tc>
          <w:tcPr>
            <w:tcBorders>
              <w:top w:val="single" w:color="000000" w:sz="4" w:space="0"/>
              <w:left w:val="single" w:color="000000" w:sz="4" w:space="0"/>
              <w:right w:val="single" w:color="000000" w:sz="4" w:space="0"/>
            </w:tcBorders>
            <w:tcW w:w="1098" w:type="pct"/>
            <w:vAlign w:val="center"/>
            <w:vMerge w:val="restart"/>
            <w:textDirection w:val="lrTb"/>
            <w:noWrap w:val="false"/>
          </w:tcPr>
          <w:p>
            <w:pPr>
              <w:pStyle w:val="1078"/>
              <w:spacing w:line="400" w:lineRule="exact"/>
              <w:widowControl/>
              <w:rPr>
                <w:rFonts w:hint="eastAsia" w:ascii="宋体" w:hAnsi="宋体" w:cs="宋体"/>
                <w:b/>
                <w:sz w:val="24"/>
              </w:rPr>
            </w:pPr>
            <w:r>
              <w:rPr>
                <w:rFonts w:hint="eastAsia" w:ascii="宋体" w:hAnsi="宋体" w:cs="宋体"/>
                <w:b/>
                <w:sz w:val="24"/>
                <w:lang w:bidi="ar"/>
              </w:rPr>
              <w:t xml:space="preserve">执行标准</w:t>
            </w:r>
            <w:r>
              <w:rPr>
                <w:rFonts w:hint="eastAsia" w:ascii="宋体" w:hAnsi="宋体" w:cs="宋体"/>
                <w:b/>
                <w:sz w:val="24"/>
              </w:rPr>
            </w:r>
            <w:r/>
          </w:p>
        </w:tc>
        <w:tc>
          <w:tcPr>
            <w:tcBorders>
              <w:top w:val="single" w:color="000000" w:sz="4" w:space="0"/>
              <w:left w:val="single" w:color="000000" w:sz="4" w:space="0"/>
              <w:right w:val="single" w:color="000000" w:sz="4" w:space="0"/>
            </w:tcBorders>
            <w:tcW w:w="1299" w:type="pct"/>
            <w:vAlign w:val="center"/>
            <w:vMerge w:val="restart"/>
            <w:textDirection w:val="lrTb"/>
            <w:noWrap w:val="false"/>
          </w:tcPr>
          <w:p>
            <w:pPr>
              <w:pStyle w:val="1078"/>
              <w:jc w:val="left"/>
              <w:spacing w:line="400" w:lineRule="exact"/>
              <w:widowControl/>
              <w:rPr>
                <w:rFonts w:hint="eastAsia" w:ascii="宋体" w:hAnsi="宋体" w:cs="宋体"/>
                <w:b/>
                <w:sz w:val="24"/>
              </w:rPr>
            </w:pPr>
            <w:r>
              <w:rPr>
                <w:rFonts w:hint="eastAsia" w:ascii="宋体" w:hAnsi="宋体" w:cs="宋体"/>
                <w:b/>
                <w:sz w:val="24"/>
                <w:lang w:bidi="ar"/>
              </w:rPr>
              <w:t xml:space="preserve">达标要求</w:t>
            </w:r>
            <w:r>
              <w:rPr>
                <w:rFonts w:hint="eastAsia" w:ascii="宋体" w:hAnsi="宋体" w:cs="宋体"/>
                <w:b/>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建立月工作计划与总结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有详细书面方案或工作安排（月计划）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有明确时间、工作内容、编制人、责任人等</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每月召开工作例会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每月不少于一次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有具体可操作性的下月工作安排、总结当月不足</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有年度总作总结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书面方式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内容详实，要求有相关精准数据支撑</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建立运维工作组织构架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明确人员分工、责任人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人员到位、责职明确、岗位明确</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建立安全、业务学习日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每月不少于二次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有安全培训、业务学习、制度学习、现场交底或观摩等</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建立能耗报表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电子版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有月报、年报、同期对比图</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建立各类应急预案、有演练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结合各专业、工作实际制订或修订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每年不少于二次不同专业的演练（剧本、总结）</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岗位值班</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人员在岗在位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不脱岗，会操作会应急</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r>
      <w:tr>
        <w:trPr>
          <w:cantSplit/>
          <w:trHeight w:val="170"/>
        </w:trPr>
        <w:tc>
          <w:tcPr>
            <w:tcBorders>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（二）给水系统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外场给水全系统维修维护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每年巡查二次，其中维护一次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阀门完好；无跑冒滴漏；能轻松开启；如有过滤器应清冼等。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外场给水阀门井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每年巡查一次（含医院进户总井）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标识标牌清晰；井盖完好；井内无杂物</w:t>
            </w:r>
            <w:r>
              <w:rPr>
                <w:rStyle w:val="1334"/>
                <w:color w:val="000000"/>
                <w:sz w:val="24"/>
                <w:szCs w:val="24"/>
                <w:lang w:bidi="ar"/>
              </w:rPr>
              <w:t xml:space="preserve">等，确保井盖开启正常。</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按月建立水表用量数据台账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水表完好；读数清晰；无跑冒滴漏等。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无定期巡查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及时发现非正常跑冒滴漏</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室内给水全系统维修维护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给水泵房（3处）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水位是否正常；盖是否上锁；给水设备有无异常；有无渗漏水等。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给水管线（进户至各楼层管井）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生活热水全系统维修维护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要求无渗漏，供水温度满足要求</w:t>
            </w:r>
            <w:r>
              <w:rPr>
                <w:rFonts w:hint="eastAsia" w:ascii="宋体" w:hAnsi="宋体" w:cs="宋体"/>
                <w:b/>
                <w:bCs/>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热交换机房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水温是否正常；压力是否正常；换热等设备有无异常；有无渗漏水等。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安全阀定期校验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半年一次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报告合格</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生活热水管线（热交换至各楼层管井）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清洗管线中的过虑器；检查排阀门是否正常；控制阀门轻松开启；无跑冒滴漏；保温完好等。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（三）供电系统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电气全系统维修维护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正常供电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能满足使用需求</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无异响；卫生整洁；无发热过流；元器件功能正常；标识清晰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电气线路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线路规范整洁；无过热；外观良好无破损；标识清晰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无异响无漏液；散热良好；记录齐全；正常运行</w:t>
            </w:r>
            <w:r>
              <w:rPr>
                <w:rFonts w:hint="eastAsia" w:ascii="宋体" w:hAnsi="宋体" w:cs="宋体"/>
                <w:sz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柴油发电机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每月至少维护启动一次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能启动；台账记账齐全；卫生整洁；标识清晰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（四）中央空调系统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暖通（机房部分)</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分、集水器阀门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半年保养一次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冷却塔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每季保养一次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无异响；无跑冒滴漏；润滑到位；塔内无杂物垃圾</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设备运行记录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台账齐全；记录清晰；数据准确</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主机设备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遵循设备原厂建议的保养周期和操作规范。</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中央空调全系统</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半年不少于保养一次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一年不少于保养两次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无明显积灰；无脏堵；无异响；风口安装牢固</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新风空调系统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正常运行；无异响；机房及机组内干净整洁；出风符合要求</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事故排风机组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正常运行；无异响；出风符合要求；标识清晰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普通排风系统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无异味；无异响，正常运行；风口安装牢固</w:t>
            </w:r>
            <w:r>
              <w:rPr>
                <w:rFonts w:hint="eastAsia" w:ascii="宋体" w:hAnsi="宋体" w:cs="宋体"/>
                <w:sz w:val="24"/>
              </w:rPr>
            </w:r>
            <w:r/>
          </w:p>
        </w:tc>
      </w:tr>
    </w:tbl>
    <w:p>
      <w:pPr>
        <w:pStyle w:val="1093"/>
        <w:spacing w:line="400" w:lineRule="exact"/>
        <w:rPr>
          <w:rFonts w:hint="eastAsia" w:hAnsi="宋体" w:cs="宋体"/>
          <w:b/>
        </w:rPr>
      </w:pPr>
      <w:r>
        <w:rPr>
          <w:rFonts w:hint="eastAsia" w:hAnsi="宋体" w:cs="宋体"/>
          <w:b/>
        </w:rPr>
        <w:t xml:space="preserve">（三）服务标准</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1393"/>
        <w:gridCol w:w="1342"/>
        <w:gridCol w:w="5138"/>
      </w:tblGrid>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各给水系统操作细则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给水管道</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1.管道系统检查</w:t>
              <w:br w:type="textWrapping" w:clear="all"/>
              <w:t xml:space="preserve">o漏水检测：巡查供水管道（含冷水、热水、消防管道），重点检查接口、阀门、水表处是否存在渗漏或腐蚀。</w:t>
              <w:br w:type="textWrapping" w:clear="all"/>
              <w:t xml:space="preserve">o压力监测：记录供水压力数值，异常波动可能预示管道堵塞或泄漏。</w:t>
              <w:br w:type="textWrapping" w:clear="all"/>
              <w:t xml:space="preserve">o保温层检查：寒冷地区需确保管道保温层完好，防止冬季冻裂。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o检查阀门表面是否有锈蚀、裂纹、变形或涂层脱落。</w:t>
              <w:br w:type="textWrapping" w:clear="all"/>
              <w:t xml:space="preserve">o观察阀体、法兰、螺栓等连接部位是否渗漏或滴水。</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2.密封性检查</w:t>
              <w:br w:type="textWrapping" w:clear="all"/>
              <w:t xml:space="preserve">o检查阀门填料函（盘根）是否泄漏，压盖螺栓是否松动。</w:t>
              <w:br w:type="textWrapping" w:clear="all"/>
              <w:t xml:space="preserve">o通过听声音或使用检测仪器判断内漏（如关闭后下游仍有压力）。</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3.操作灵活性</w:t>
              <w:br w:type="textWrapping" w:clear="all"/>
              <w:t xml:space="preserve">o手动或电动操作阀门，检查开关是否顺畅，是否存在卡阻、过紧或异响。</w:t>
              <w:br w:type="textWrapping" w:clear="all"/>
              <w:t xml:space="preserve">o检查手轮、齿轮箱、电动执行器等传动部件是否正常。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半年度维护保养</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1.清洁与除锈</w:t>
              <w:br w:type="textWrapping" w:clear="all"/>
              <w:t xml:space="preserve">o清除阀门表面污垢、水垢或沉积物，对锈蚀部位打磨后补刷防锈漆。</w:t>
              <w:br w:type="textWrapping" w:clear="all"/>
              <w:t xml:space="preserve">o拆卸阀门内部组件（如阀芯、阀座、阀杆），清理杂质（适用于可拆卸阀门）。</w:t>
            </w:r>
            <w:r>
              <w:rPr>
                <w:rFonts w:hint="eastAsia" w:ascii="宋体" w:hAnsi="宋体" w:cs="宋体"/>
                <w:sz w:val="24"/>
                <w:lang w:bidi="ar"/>
              </w:rPr>
              <w:br/>
              <w:t xml:space="preserve">2.润滑保养</w:t>
              <w:br/>
              <w:t xml:space="preserve">o对阀杆螺纹、齿轮传动部件、轴承等部位加注润滑脂或润滑油（如食品级润滑脂适用于饮用水系统）。</w:t>
              <w:br/>
              <w:t xml:space="preserve">o检查电动或气动执行器的润滑系统是否需要补充或更换润滑油。</w:t>
              <w:br/>
              <w:t xml:space="preserve">3.密封件更换</w:t>
              <w:br/>
              <w:t xml:space="preserve">o定期更换老化、磨损的填料（盘根）、O型圈、阀座密封垫等。</w:t>
              <w:br/>
              <w:t xml:space="preserve">o检查阀瓣、阀座密封面是否磨损或划伤，必要时研磨修复或更换。</w:t>
              <w:br/>
              <w:t xml:space="preserve">4.功能性测试</w:t>
              <w:br/>
              <w:t xml:space="preserve">o开关测试：全开和全关阀门，确认行程到位且无卡阻。</w:t>
              <w:br/>
              <w:t xml:space="preserve">o密封测试：通过加压试验验证阀门关闭后的密封性能（如保压测试）。</w:t>
              <w:br/>
              <w:t xml:space="preserve">o安全阀校验：按规范定期送检安全阀，确保其起跳压力和回座压力符合要求。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1.防冻保护</w:t>
              <w:br w:type="textWrapping" w:clear="all"/>
              <w:t xml:space="preserve">o冬季对暴露在外的阀门添加保温层，排空管道积水，防止冻裂。</w:t>
              <w:br w:type="textWrapping" w:clear="all"/>
              <w:t xml:space="preserve">2.防腐处理</w:t>
              <w:br w:type="textWrapping" w:clear="all"/>
              <w:t xml:space="preserve">o潮湿或腐蚀性环境中，检查阀门材质是否耐腐蚀（如不锈钢、铜阀），必要时更换材质或增加防腐涂层。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排气阀检查</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o排气阀检查，避免气阻影响循环效率。</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维护记录</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o记录每次检查、维护、更换部件的时间、内容及发现的问题。</w:t>
              <w:br w:type="textWrapping" w:clear="all"/>
              <w:t xml:space="preserve">o建立阀门台账，标注阀门位置、型号、维护周期等信息。</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给水设备</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每周检查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2.设备运行状态</w:t>
              <w:br w:type="textWrapping" w:clear="all"/>
              <w:t xml:space="preserve">o水泵与水箱：每日检查水泵运行噪音、振动、温度是否正常；水箱水位、浮球阀功能是否可靠。</w:t>
              <w:br w:type="textWrapping" w:clear="all"/>
              <w:t xml:space="preserve">o减压阀与止回阀：验证阀门工作状态，防止水锤效应或压力异常导致设备损坏。</w:t>
              <w:br w:type="textWrapping" w:clear="all"/>
              <w:t xml:space="preserve">o热水系统：检查循环泵运行情况，确保热水持续供应，避免死水区滋生细菌。</w:t>
              <w:br w:type="textWrapping" w:clear="all"/>
              <w:t xml:space="preserve">o检查水位传感器、温度探头，确保信号准确。</w:t>
              <w:br w:type="textWrapping" w:clear="all"/>
              <w:t xml:space="preserve">o检查水箱及管道保温材料是否老化、脱落，及时修复以减少热量损失。</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循环泵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每周检查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1.循环泵</w:t>
              <w:br w:type="textWrapping" w:clear="all"/>
              <w:t xml:space="preserve">o检查电机运行电流、轴承润滑情况，更换磨损的密封件。</w:t>
              <w:br w:type="textWrapping" w:clear="all"/>
              <w:t xml:space="preserve">o清理泵体内部杂质，防止叶轮堵塞或卡死。</w:t>
              <w:br w:type="textWrapping" w:clear="all"/>
              <w:t xml:space="preserve">o测试变频器（如有）的调速功能，确保节能运行。</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每月检查与维护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检查机组外壳是否变形、锈蚀或渗漏。</w:t>
              <w:br w:type="textWrapping" w:clear="all"/>
              <w:t xml:space="preserve">清理设备周围的杂物，确保通风良好（避免遮挡进风口和出风口）。</w:t>
              <w:br w:type="textWrapping" w:clear="all"/>
              <w:t xml:space="preserve">2.运行状态监测</w:t>
              <w:br w:type="textWrapping" w:clear="all"/>
              <w:t xml:space="preserve">观察显示屏是否报错，记录运行参数（如压力、温度、电流等）。</w:t>
              <w:br w:type="textWrapping" w:clear="all"/>
              <w:t xml:space="preserve">听设备运行声音是否异常（如异响、振动过大）。</w:t>
              <w:br w:type="textWrapping" w:clear="all"/>
              <w:t xml:space="preserve">3.过滤网清洁</w:t>
              <w:br w:type="textWrapping" w:clear="all"/>
              <w:t xml:space="preserve">清洗或更换空气过滤网（若堵塞会影响制热/制冷效率）。</w:t>
              <w:br w:type="textWrapping" w:clear="all"/>
              <w:t xml:space="preserve">方法：用软毛刷或吸尘器除尘，清水冲洗后晾干再安装。</w:t>
              <w:br w:type="textWrapping" w:clear="all"/>
              <w:t xml:space="preserve">4.检查排水系统</w:t>
              <w:br w:type="textWrapping" w:clear="all"/>
              <w:t xml:space="preserve">确保冷凝水排水管畅通，避免堵塞导致积水。</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半年度检查与维护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1.蒸发器与冷凝器清洁</w:t>
              <w:br w:type="textWrapping" w:clear="all"/>
              <w:t xml:space="preserve">o用专用清洗剂或软毛刷清理翅片上的灰尘、油污（避免损坏翅片）。</w:t>
              <w:br w:type="textWrapping" w:clear="all"/>
              <w:t xml:space="preserve">o顽固污垢可用低压水枪冲洗，注意避开电路部分。</w:t>
              <w:br w:type="textWrapping" w:clear="all"/>
              <w:t xml:space="preserve">2.风扇与电机检查</w:t>
              <w:br w:type="textWrapping" w:clear="all"/>
              <w:t xml:space="preserve">o检查风扇叶片是否变形、积尘，清理后确保转动平衡。</w:t>
              <w:br w:type="textWrapping" w:clear="all"/>
              <w:t xml:space="preserve">o给电机轴承添加润滑脂（按厂家要求）。</w:t>
              <w:br w:type="textWrapping" w:clear="all"/>
              <w:t xml:space="preserve">3.冷媒系统检查</w:t>
              <w:br w:type="textWrapping" w:clear="all"/>
              <w:t xml:space="preserve">o通过压力表检测冷媒压力是否正常。</w:t>
              <w:br w:type="textWrapping" w:clear="all"/>
              <w:t xml:space="preserve">o检查管路、阀门是否有油渍（可能为冷媒泄漏迹象）。</w:t>
              <w:br w:type="textWrapping" w:clear="all"/>
              <w:t xml:space="preserve">4.电气系统检查</w:t>
              <w:br w:type="textWrapping" w:clear="all"/>
              <w:t xml:space="preserve">o紧固电源接线端子，检查电线绝缘层是否老化。</w:t>
              <w:br w:type="textWrapping" w:clear="all"/>
              <w:t xml:space="preserve">o测试接地是否可靠，漏电保护装置是否正常。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建议由专业人员操作</w:t>
              <w:br w:type="textWrapping" w:clear="all"/>
              <w:t xml:space="preserve">1.全面系统检测</w:t>
              <w:br w:type="textWrapping" w:clear="all"/>
              <w:t xml:space="preserve">o使用专业设备检测压缩机、四通阀、膨胀阀等核心部件。</w:t>
              <w:br w:type="textWrapping" w:clear="all"/>
              <w:t xml:space="preserve">o校准传感器（如温度、压力传感器），确保数据准确。</w:t>
              <w:br w:type="textWrapping" w:clear="all"/>
              <w:t xml:space="preserve">2.冷媒充注与泄漏修复</w:t>
              <w:br w:type="textWrapping" w:clear="all"/>
              <w:t xml:space="preserve">o补充或更换冷媒（需按厂家规定型号和充注量）。</w:t>
              <w:br w:type="textWrapping" w:clear="all"/>
              <w:t xml:space="preserve">o修复泄漏点，并进行保压测试。</w:t>
              <w:br w:type="textWrapping" w:clear="all"/>
              <w:t xml:space="preserve">3.水路系统维护（针对带水路机型）</w:t>
              <w:br w:type="textWrapping" w:clear="all"/>
              <w:t xml:space="preserve">o清洗水侧换热器，清除水垢（可添加除垢剂循环清洗）。</w:t>
              <w:br w:type="textWrapping" w:clear="all"/>
              <w:t xml:space="preserve">o检查水泵运行状态，润滑或更换磨损部件。</w:t>
              <w:br w:type="textWrapping" w:clear="all"/>
              <w:t xml:space="preserve">4.防冻与防腐处理</w:t>
              <w:br w:type="textWrapping" w:clear="all"/>
              <w:t xml:space="preserve">o检查防冻液浓度（寒冷地区需定期更换）。</w:t>
              <w:br w:type="textWrapping" w:clear="all"/>
              <w:t xml:space="preserve">o对金属部件做防锈处理，更换老化密封胶条。</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维保记录</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建议建立维护档案，记录每次检查时间、内容、更换部件及问题处理结果，便于追踪设备状态。</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水质管理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1.水质管理</w:t>
              <w:br w:type="textWrapping" w:clear="all"/>
              <w:t xml:space="preserve">o微生物检测：每月对生活热水、直饮水进行军团菌（Legionella）、大肠杆菌等检测，尤其关注ICU、血透室等高风险区域。</w:t>
              <w:br w:type="textWrapping" w:clear="all"/>
              <w:t xml:space="preserve">o化学指标检测：每季度检测余氯、pH值、硬度，防止管道结垢或腐蚀。</w:t>
              <w:br w:type="textWrapping" w:clear="all"/>
              <w:t xml:space="preserve">o水箱清洗消毒：每半年清洗一次储水箱，使用食品级消毒剂（如次氯酸钠），清洗后需第三方检测达标方可启用。</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给水设备维护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2.设备深度维护</w:t>
              <w:br w:type="textWrapping" w:clear="all"/>
              <w:t xml:space="preserve">o热水锅炉/换热器：每年除垢一次，检查换热效率，防止钙镁沉积影响热传导。</w:t>
              <w:br w:type="textWrapping" w:clear="all"/>
              <w:t xml:space="preserve">o过滤器更换：根据水质情况更换前置过滤器、活性炭滤芯（通常3-6个月）。</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控制系统维护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半年度检查维护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1.自动化控制</w:t>
              <w:br w:type="textWrapping" w:clear="all"/>
              <w:t xml:space="preserve">o校准温度、压力传感器，检查PLC/DDC控制器程序逻辑。</w:t>
              <w:br w:type="textWrapping" w:clear="all"/>
              <w:t xml:space="preserve">o清理控制柜内灰尘，检查接线端子是否松动。</w:t>
              <w:br w:type="textWrapping" w:clear="all"/>
              <w:t xml:space="preserve">o测试报警功能（如超温、缺水、低水位），确保联锁保护有效。</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给水机房消毒、终末水处理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按要求执行</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o紫外线消毒装置：每月清洁灯管表面水垢，每1-2年更换灯管以保证杀菌效率。</w:t>
              <w:br w:type="textWrapping" w:clear="all"/>
              <w:t xml:space="preserve">o臭氧/氯气投加系统：校准自动投加设备，避免消毒剂过量或不足。</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o管道破裂处置：明确不同区域（如手术室、检验科）停水时的临时供水方案（如移动储水罐）。</w:t>
              <w:br w:type="textWrapping" w:clear="all"/>
              <w:t xml:space="preserve">o污染事件响应：制定水质异常（如浊度突增、检出致病菌）时的封闭、冲洗、复检流程。</w:t>
              <w:br w:type="textWrapping" w:clear="all"/>
              <w:t xml:space="preserve">1.有完善的应急方案，组织半年度应急演练</w:t>
              <w:br w:type="textWrapping" w:clear="all"/>
              <w:t xml:space="preserve">2.突发事件发生后30min内有效响应，启动应急预案。</w:t>
              <w:br w:type="textWrapping" w:clear="all"/>
              <w:t xml:space="preserve">3.现场处置：应急指挥小组迅速赶赴现场，进行事故评估，制定处理方案。</w:t>
              <w:br w:type="textWrapping" w:clear="all"/>
              <w:t xml:space="preserve">4.恢复生产：在确保安全的前提下，尽快恢复正常生产，减少损失。</w:t>
              <w:br w:type="textWrapping" w:clear="all"/>
              <w:t xml:space="preserve">5.记录与总结：做好事故处理记录，总结经验教训，完善应急预案</w:t>
            </w:r>
            <w:r>
              <w:rPr>
                <w:rFonts w:hint="eastAsia" w:ascii="宋体" w:hAnsi="宋体" w:cs="宋体"/>
                <w:sz w:val="24"/>
              </w:rPr>
            </w:r>
            <w:r/>
          </w:p>
        </w:tc>
      </w:tr>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雨水管系统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日常巡检与检查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1.雨水口与排水沟检查</w:t>
              <w:br w:type="textWrapping" w:clear="all"/>
              <w:t xml:space="preserve">o检查雨水篦子、排水沟是否被树叶、垃圾堵塞，及时清理。</w:t>
              <w:br w:type="textWrapping" w:clear="all"/>
              <w:t xml:space="preserve">o观察排水流速是否正常，有无积水现象。</w:t>
              <w:br w:type="textWrapping" w:clear="all"/>
              <w:t xml:space="preserve">2.管道外观检查</w:t>
              <w:br w:type="textWrapping" w:clear="all"/>
              <w:t xml:space="preserve">o检查雨水管道（明管或暗管）有无裂缝、渗漏、变形或锈蚀。</w:t>
              <w:br w:type="textWrapping" w:clear="all"/>
              <w:t xml:space="preserve">o确认管道支架、吊架是否牢固，防止脱落。</w:t>
              <w:br w:type="textWrapping" w:clear="all"/>
              <w:t xml:space="preserve">3.屋顶排水系统检查</w:t>
              <w:br w:type="textWrapping" w:clear="all"/>
              <w:t xml:space="preserve">o检查屋顶雨水斗、落水管是否畅通，防止树叶或杂物堵塞。</w:t>
              <w:br w:type="textWrapping" w:clear="all"/>
              <w:t xml:space="preserve">o检查天沟、檐沟是否积水，清理淤泥和杂物。</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雨水管系统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每半年定期清理与疏通</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1.管道内部清理</w:t>
              <w:br w:type="textWrapping" w:clear="all"/>
              <w:t xml:space="preserve">o使用高压水枪或机械疏通工具清除管道内淤泥、砂石、树根等堵塞物。</w:t>
              <w:br w:type="textWrapping" w:clear="all"/>
              <w:t xml:space="preserve">o每季度至少清理一次，雨季前需加强频次。</w:t>
              <w:br w:type="textWrapping" w:clear="all"/>
              <w:t xml:space="preserve">2.检查井与沉淀池清理</w:t>
              <w:br w:type="textWrapping" w:clear="all"/>
              <w:t xml:space="preserve">o定期清理检查井、集水井内的沉积物，防止淤积影响排水能力。</w:t>
              <w:br w:type="textWrapping" w:clear="all"/>
              <w:t xml:space="preserve">o检查井内防渗措施是否完好，井盖是否密封。</w:t>
              <w:br w:type="textWrapping" w:clear="all"/>
              <w:t xml:space="preserve">3.屋顶与地面排水设施清理</w:t>
              <w:br w:type="textWrapping" w:clear="all"/>
              <w:t xml:space="preserve">o清理屋顶雨水篦子、过滤网，防止堵塞。</w:t>
              <w:br w:type="textWrapping" w:clear="all"/>
              <w:t xml:space="preserve">o清理地面排水沟、截水沟内的杂物和泥沙。</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雨水系统结构性维护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1.管道修复与更换</w:t>
              <w:br w:type="textWrapping" w:clear="all"/>
              <w:t xml:space="preserve">o对老化、破损、腐蚀的管道（如铸铁管、PVC管、混凝土管）进行修补或更换。</w:t>
              <w:br w:type="textWrapping" w:clear="all"/>
              <w:t xml:space="preserve">o修复管道接口处的渗漏问题，更换失效的密封胶圈。</w:t>
              <w:br w:type="textWrapping" w:clear="all"/>
              <w:t xml:space="preserve">2.检查井与集水井维护</w:t>
              <w:br w:type="textWrapping" w:clear="all"/>
              <w:t xml:space="preserve">o修复井壁裂缝、破损，防止塌陷或渗漏。</w:t>
              <w:br w:type="textWrapping" w:clear="all"/>
              <w:t xml:space="preserve">o更换破损或变形的井盖，确保其承重和防坠落功能。</w:t>
              <w:br w:type="textWrapping" w:clear="all"/>
              <w:t xml:space="preserve">3.防沉降与地基处理</w:t>
              <w:br w:type="textWrapping" w:clear="all"/>
              <w:t xml:space="preserve">o检查管道周围地基是否沉降，避免管道因受力不均而破裂。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雨水防倒灌与排水能力保障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保障措施</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1.防倒灌设施检查</w:t>
              <w:br w:type="textWrapping" w:clear="all"/>
              <w:t xml:space="preserve">o检查止回阀、防倒灌装置是否正常，防止暴雨时市政管网倒灌。</w:t>
              <w:br w:type="textWrapping" w:clear="all"/>
              <w:t xml:space="preserve">o确保地下室、设备层等低洼区域的排水泵正常运行。</w:t>
              <w:br w:type="textWrapping" w:clear="all"/>
              <w:t xml:space="preserve">2.排水能力评估</w:t>
              <w:br w:type="textWrapping" w:clear="all"/>
              <w:t xml:space="preserve">o定期测试雨水管网的排水能力，确保设计流量满足医院需求（尤其针对极端天气）。</w:t>
              <w:br w:type="textWrapping" w:clear="all"/>
              <w:t xml:space="preserve">o根据医院扩建情况升级管网容量。</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雨水应急准备与演练</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1.应急预案制定</w:t>
              <w:br w:type="textWrapping" w:clear="all"/>
              <w:t xml:space="preserve">o制定暴雨、台风等极端天气下的排水应急预案，明确责任分工。</w:t>
              <w:br w:type="textWrapping" w:clear="all"/>
              <w:t xml:space="preserve">o配备备用排水泵、发电机、沙袋等应急物资。</w:t>
              <w:br w:type="textWrapping" w:clear="all"/>
              <w:t xml:space="preserve">2.与市政排水系统联动</w:t>
              <w:br w:type="textWrapping" w:clear="all"/>
              <w:t xml:space="preserve">o定期与市政部门沟通，确保医院雨水排放口与市政管网衔接畅通。</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雨水系统季节性维护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•雨季前：全面检查管网、清理排水设施，测试应急设备。</w:t>
              <w:br w:type="textWrapping" w:clear="all"/>
              <w:t xml:space="preserve">•冬季：排空可能结冰的管道，防止冻裂；检查保温层是否完好。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记录与档案管理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维护记录存档</w:t>
              <w:br w:type="textWrapping" w:clear="all"/>
              <w:t xml:space="preserve">o详细记录每次巡检、清理、维修的内容、时间和结果。</w:t>
            </w:r>
            <w:r>
              <w:rPr>
                <w:rFonts w:hint="eastAsia" w:ascii="宋体" w:hAnsi="宋体" w:cs="宋体"/>
                <w:sz w:val="24"/>
              </w:rPr>
            </w:r>
            <w:r/>
          </w:p>
        </w:tc>
      </w:tr>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污水系统操作细则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日常巡检与监测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1.排水管道检查</w:t>
              <w:br w:type="textWrapping" w:clear="all"/>
              <w:t xml:space="preserve">o频率：每日巡查高风险区域（如手术室、检验科、病房）。</w:t>
              <w:br w:type="textWrapping" w:clear="all"/>
              <w:t xml:space="preserve">o内容：检</w:t>
            </w:r>
            <w:r>
              <w:rPr>
                <w:rFonts w:hint="eastAsia" w:ascii="宋体" w:hAnsi="宋体" w:cs="宋体"/>
                <w:sz w:val="24"/>
                <w:lang w:bidi="ar"/>
              </w:rPr>
              <w:t xml:space="preserve">查管道是否堵塞、漏水、渗水，观察排水流速是否正常。</w:t>
              <w:br/>
              <w:t xml:space="preserve">o重点区域：地漏、洗手池、卫生间等易堵塞点位。</w:t>
              <w:br/>
              <w:t xml:space="preserve">2.检查井与集水坑</w:t>
              <w:br/>
              <w:t xml:space="preserve">o频率：每周检查一次。</w:t>
              <w:br/>
              <w:t xml:space="preserve">o内容：观察井内是否有杂物淤积、异味或蚊虫滋生，水位是否异常升高。</w:t>
              <w:br/>
              <w:t xml:space="preserve">3.消毒设备运行监测</w:t>
              <w:br/>
              <w:t xml:space="preserve">o频率：每日检查。</w:t>
              <w:br/>
              <w:t xml:space="preserve">o内容：确认紫外线消毒器、臭氧发生器或化学加药装置是否正常运转，记录消毒剂余量或紫外线强度。</w:t>
              <w:br/>
              <w:t xml:space="preserve">o空气隔断检查：验证所有用水点（如洗手盆、地漏）是否存在虹吸倒流风险，确保空气隔断或防倒流阀有效。</w:t>
              <w:br/>
              <w:t xml:space="preserve">o排水系统气密性：定期检查排水管存水弯水位，防止下水道气体反渗。</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排水系统定期清理与疏通</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1.排水管道疏通</w:t>
              <w:br w:type="textWrapping" w:clear="all"/>
              <w:t xml:space="preserve">o频率：每季度一次（高使用区域如食堂、洗衣房每月一次）。</w:t>
              <w:br w:type="textWrapping" w:clear="all"/>
              <w:t xml:space="preserve">o方法：高压水枪冲洗、机械疏通，清除油脂、毛发等堵塞物。</w:t>
              <w:br w:type="textWrapping" w:clear="all"/>
              <w:t xml:space="preserve">2.检查井清理</w:t>
              <w:br w:type="textWrapping" w:clear="all"/>
              <w:t xml:space="preserve">o频率：每季度一次，雨季前加强检查。</w:t>
              <w:br w:type="textWrapping" w:clear="all"/>
              <w:t xml:space="preserve">o内容：清除淤泥、垃圾，检查井壁是否开裂。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排水系统定期清理与疏通</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不定期疏通</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隔油池清掏</w:t>
              <w:br w:type="textWrapping" w:clear="all"/>
              <w:t xml:space="preserve">o频率：隔油池每1-3个月清理。</w:t>
              <w:br w:type="textWrapping" w:clear="all"/>
              <w:t xml:space="preserve">o要求：由专业公司处理，防止沼气爆炸，清理后需消毒。</w:t>
              <w:br w:type="textWrapping" w:clear="all"/>
              <w:t xml:space="preserve">提污间</w:t>
              <w:br w:type="textWrapping" w:clear="all"/>
              <w:t xml:space="preserve">o频率：每天巡查一次。</w:t>
              <w:br w:type="textWrapping" w:clear="all"/>
              <w:t xml:space="preserve">o要求：及时通知专业公司清淤，确保分离设备正常运行。</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消毒灭菌管理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1.化学消毒</w:t>
              <w:br w:type="textWrapping" w:clear="all"/>
              <w:t xml:space="preserve">o药剂：含氯消毒剂（如次氯酸钠）、过氧乙酸等。</w:t>
              <w:br w:type="textWrapping" w:clear="all"/>
              <w:t xml:space="preserve">o频率：每日对传染科、检验科排水进行末端消毒，其他区域每周一次。</w:t>
              <w:br w:type="textWrapping" w:clear="all"/>
              <w:t xml:space="preserve">2.物理消毒</w:t>
              <w:br w:type="textWrapping" w:clear="all"/>
              <w:t xml:space="preserve">o紫外线/臭氧：持续运行，定期更换灯管或检查臭氧浓度。</w:t>
              <w:br w:type="textWrapping" w:clear="all"/>
              <w:t xml:space="preserve">3.水质检测</w:t>
              <w:br w:type="textWrapping" w:clear="all"/>
              <w:t xml:space="preserve">o频率：每月检测一次，传染病爆发期加密检测。</w:t>
              <w:br w:type="textWrapping" w:clear="all"/>
              <w:t xml:space="preserve">o指标：pH值、余氯、大肠杆菌、BOD/COD等，需符合《医疗机构水污染物排放标准》。</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设备维护与检修</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1.污水提升泵</w:t>
              <w:br w:type="textWrapping" w:clear="all"/>
              <w:t xml:space="preserve">o维护：每月检查电机绝缘性、轴承润滑，清理泵体杂物。</w:t>
              <w:br w:type="textWrapping" w:clear="all"/>
              <w:t xml:space="preserve">o测试：每季度模拟断电测试，确保自动切换备用泵。</w:t>
              <w:br w:type="textWrapping" w:clear="all"/>
              <w:t xml:space="preserve">2.控制系统维护</w:t>
              <w:br w:type="textWrapping" w:clear="all"/>
              <w:t xml:space="preserve">o PLC/传感器：每半年校准液位传感器、流量计，检查控制柜接线。</w:t>
              <w:br w:type="textWrapping" w:clear="all"/>
              <w:t xml:space="preserve">3.管道防腐与防漏</w:t>
              <w:br w:type="textWrapping" w:clear="all"/>
              <w:t xml:space="preserve">o检查：每年排查管道腐蚀、裂缝，重点检查埋地管道和接口处。</w:t>
              <w:br w:type="textWrapping" w:clear="all"/>
              <w:t xml:space="preserve">o处理：修补破损处，必要时更换耐腐蚀材质（如PVC-U、HDPE）。</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1.防倒灌措施</w:t>
              <w:br w:type="textWrapping" w:clear="all"/>
              <w:t xml:space="preserve">o安装止回阀、防水闸门，定期测试密封性。</w:t>
              <w:br w:type="textWrapping" w:clear="all"/>
              <w:t xml:space="preserve">o暴雨前检查屋顶雨水管和地下室排水泵。</w:t>
              <w:br w:type="textWrapping" w:clear="all"/>
              <w:t xml:space="preserve">2.备用电源</w:t>
              <w:br w:type="textWrapping" w:clear="all"/>
              <w:t xml:space="preserve">o确保污水泵、消毒设备接入UPS或柴油发电机，每月测试切换功能。</w:t>
              <w:br w:type="textWrapping" w:clear="all"/>
              <w:t xml:space="preserve">3.突发堵塞/泄漏处理</w:t>
              <w:br w:type="textWrapping" w:clear="all"/>
              <w:t xml:space="preserve">o预案：设立24小时应急小组，配备疏通机、吸污车。</w:t>
              <w:br w:type="textWrapping" w:clear="all"/>
              <w:t xml:space="preserve">o流程：立即隔离污染区→切断水源→疏散人员→清理消毒。</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记录与合规管理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1.维护档案</w:t>
              <w:br w:type="textWrapping" w:clear="all"/>
              <w:t xml:space="preserve">o记录每次巡检、清理、消毒、维修的时间和结果，保存至少3年。</w:t>
              <w:br w:type="textWrapping" w:clear="all"/>
              <w:t xml:space="preserve">2.人员培训</w:t>
              <w:br w:type="textWrapping" w:clear="all"/>
              <w:t xml:space="preserve">o维保人员需接受医院感染控制培训，掌握防护服穿戴和应急处理流程。</w:t>
              <w:br w:type="textWrapping" w:clear="all"/>
              <w:t xml:space="preserve">3.合规审查</w:t>
              <w:br w:type="textWrapping" w:clear="all"/>
              <w:t xml:space="preserve">o定期配合环保部门检查，确保排放达标，避免罚款或停业风险。</w:t>
            </w:r>
            <w:r>
              <w:rPr>
                <w:rFonts w:hint="eastAsia" w:ascii="宋体" w:hAnsi="宋体" w:cs="宋体"/>
                <w:sz w:val="24"/>
              </w:rPr>
            </w:r>
            <w:r/>
          </w:p>
        </w:tc>
      </w:tr>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电气系统操作细则</w:t>
            </w: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常规检查，月度检查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◦检查柜体是否变形、锈蚀，门锁、铰链是否完好。</w:t>
              <w:br w:type="textWrapping" w:clear="all"/>
              <w:t xml:space="preserve">◦观察指示灯、仪表显示是否正常，标识是否清晰。</w:t>
              <w:br w:type="textWrapping" w:clear="all"/>
              <w:t xml:space="preserve">◦检查通风散热孔是否堵塞。</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常规检查，月度检查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2.运行状态检查</w:t>
              <w:br w:type="textWrapping" w:clear="all"/>
              <w:t xml:space="preserve">◦听柜内有无异常声响（如放电声、振动声）。</w:t>
              <w:br w:type="textWrapping" w:clear="all"/>
              <w:t xml:space="preserve">◦闻是否有烧焦、过热异味。</w:t>
              <w:br w:type="textWrapping" w:clear="all"/>
            </w:r>
            <w:r>
              <w:rPr>
                <w:rFonts w:hint="eastAsia" w:ascii="宋体" w:hAnsi="宋体" w:cs="宋体"/>
                <w:sz w:val="24"/>
                <w:lang w:bidi="ar"/>
              </w:rPr>
              <w:t xml:space="preserve">◦检查温升情况，重点关注母排、电缆接头等部位。</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清洁与除尘，季度维保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1.使用吸尘器或干燥软布清除柜内灰尘（需停电操作）。</w:t>
              <w:br w:type="textWrapping" w:clear="all"/>
              <w:t xml:space="preserve">2.清洁绝缘子、母线、触头等导电部件，避免积灰导致短路或爬电。</w:t>
              <w:br w:type="textWrapping" w:clear="all"/>
              <w:t xml:space="preserve">3.检查并清理通风过滤网，确保散热良好。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电气连接检查，半年度维保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1.紧固件检查</w:t>
              <w:br w:type="textWrapping" w:clear="all"/>
              <w:t xml:space="preserve">◦使用力矩扳手检查母排、断路器、接触器、电缆端子的螺栓是否松动。</w:t>
              <w:br w:type="textWrapping" w:clear="all"/>
              <w:t xml:space="preserve">◦重点检查大电流回路连接点（如主开关进出线端）。</w:t>
              <w:br w:type="textWrapping" w:clear="all"/>
              <w:t xml:space="preserve">2.接触电阻测试</w:t>
              <w:br w:type="textWrapping" w:clear="all"/>
              <w:t xml:space="preserve">◦对关键连接点进行电阻测试，确保接触良好（阻值异常可能预示氧化或松动）。</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元器件检查，按照元器件要求检查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1.断路器/开关</w:t>
              <w:br w:type="textWrapping" w:clear="all"/>
              <w:t xml:space="preserve">◦检查分合闸动作是否灵活，储能机构是否正常。</w:t>
              <w:br w:type="textWrapping" w:clear="all"/>
              <w:t xml:space="preserve">◦测试脱扣器保护功能（如过载、短路保护）。</w:t>
              <w:br w:type="textWrapping" w:clear="all"/>
              <w:t xml:space="preserve">2.接触器与继电器</w:t>
              <w:br w:type="textWrapping" w:clear="all"/>
              <w:t xml:space="preserve">◦检查触点是否烧蚀、氧化，必要时清洁或更换。</w:t>
              <w:br w:type="textWrapping" w:clear="all"/>
              <w:t xml:space="preserve">◦测试线圈吸合电压是否符合要求。</w:t>
              <w:br w:type="textWrapping" w:clear="all"/>
              <w:t xml:space="preserve">3.熔断器</w:t>
              <w:br w:type="textWrapping" w:clear="all"/>
              <w:t xml:space="preserve">◦检查熔体是否完好，额定电流是否匹配。</w:t>
              <w:br w:type="textWrapping" w:clear="all"/>
              <w:t xml:space="preserve">4.检查电容器：检查电容器外壳是否良好，有无渗漏、膨胀情况，指示灯是否正常。</w:t>
              <w:br w:type="textWrapping" w:clear="all"/>
              <w:t xml:space="preserve">5.检查电流互感器：检查电流互感器、电流表、电度表的接线情况，紧固松动螺栓。</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绝缘性能检查，半年度检查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1.使用兆欧表（500V或1000V档）测量主回路对地绝缘电阻（标准值一般≥1MΩ）。</w:t>
              <w:br w:type="textWrapping" w:clear="all"/>
              <w:t xml:space="preserve">2.检查绝缘支撑件（如绝缘子、隔板）是否有裂纹、碳化痕迹。</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保护功能验证</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1.模拟故障测试保护装置（如剩余电流保护器RCD、过流保护）动作是否准确。</w:t>
              <w:br w:type="textWrapping" w:clear="all"/>
              <w:t xml:space="preserve">2.检查接地系统完整性，测量接地电阻（一般要求≤4Ω）</w:t>
              <w:br w:type="textWrapping" w:clear="all"/>
              <w:t xml:space="preserve">3.在每次维护和检修后，对开关柜进行功能测试，确保设备正常运行。特别是对接地系统、绝缘电阻等进行测试，确保符合安全标准。。</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记录与报告</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1.详细记录检查结果、测试数据及处理措施。</w:t>
              <w:br w:type="textWrapping" w:clear="all"/>
              <w:t xml:space="preserve">2.对发现的隐患及时整改，并跟踪验证。</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1.有完善的应急方案，组织半年度应急演练</w:t>
              <w:br w:type="textWrapping" w:clear="all"/>
              <w:t xml:space="preserve">2.突发事件发生后30min内有效响应，启动应急预案。</w:t>
              <w:br w:type="textWrapping" w:clear="all"/>
              <w:t xml:space="preserve">3.现场处置：应急指挥小组迅速赶赴现场，进行事故评估，制定处理方案。</w:t>
              <w:br w:type="textWrapping" w:clear="all"/>
              <w:t xml:space="preserve">4.恢复生产：在确保安全的前提下，尽快恢复正常生产，减少损失。</w:t>
              <w:br w:type="textWrapping" w:clear="all"/>
              <w:t xml:space="preserve">5.记录与总结：做好事故处理记录，总结经验教训，完善应急预案</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2766"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1.检查运行状态：每日检查UPS的运行状态指示灯是否正常，有无异常报警声音。</w:t>
              <w:br w:type="textWrapping" w:clear="all"/>
              <w:t xml:space="preserve">2.检查散热风扇：确认散热风扇是否正常运转，有无异常噪音。</w:t>
              <w:br w:type="textWrapping" w:clear="all"/>
              <w:t xml:space="preserve">3.环境检查：确保UPS安装环境通风良好，温度适宜，远离高温、潮湿和易燃物品，确保室内制冷空调运行正常。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月度检查与维护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1.电池外观检查：检查电池是否有变形、漏液等情况，测量电池电压和内阻。</w:t>
              <w:br w:type="textWrapping" w:clear="all"/>
              <w:t xml:space="preserve">2.输入输出参数：检查UPS的输入输出电压、电流是否在正常范围内。</w:t>
              <w:br w:type="textWrapping" w:clear="all"/>
              <w:t xml:space="preserve">3.清洁外壳：清洁UPS外壳，防止灰尘积累影响散热。</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1.深度清洁：清洁UPS的外壳、通风口和内部灰尘，确保散热良好￼。</w:t>
              <w:br w:type="textWrapping" w:clear="all"/>
              <w:t xml:space="preserve">2.连接点检查：检查所有电气连接点是否紧固，特别是电缆接头处，确保接触良好无氧化现象。</w:t>
              <w:br w:type="textWrapping" w:clear="all"/>
              <w:t xml:space="preserve">3.功能测试：执行负载切换测试，验证UPS从主电源到电池模式转换的功能是否正常。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年度保养</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1.全面功能测试：包括电池放电测试、逆变器切换测试等，确保UPS在市电中断时能够迅速切换到电池供电模式。</w:t>
              <w:br w:type="textWrapping" w:clear="all"/>
              <w:t xml:space="preserve">2.内部元件检查：检查内部电子元件是否有老化、损坏现象，必要时进行更换。</w:t>
              <w:br w:type="textWrapping" w:clear="all"/>
              <w:t xml:space="preserve">3.电池维护：根据电池类型制定合理的充放电周期，如每季度进行一次浅度放电，每年一次深度放电。</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电池管理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1.定期充放电：避免电池过度充电或过度放电，建议每三个月进行一次放电测试。</w:t>
              <w:br w:type="textWrapping" w:clear="all"/>
              <w:t xml:space="preserve">2.电池健康评估：利用电池管理系统（BMS）实时监控每块电池的状态参数，包括电压、电流、内阻等。</w:t>
              <w:br w:type="textWrapping" w:clear="all"/>
              <w:t xml:space="preserve">3.预防性更换：结合预期寿命和实际使用情况，制定科学合理的电池更换计划。</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安全措施、年度检查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1.接地保护：确保UPS设备及电力线路的接地可靠，避免接地不良导致漏电或触电事故。</w:t>
              <w:br w:type="textWrapping" w:clear="all"/>
              <w:t xml:space="preserve">2.过载保护：避免UPS超过其额定容量运行，定期检查负载是否稳定。</w:t>
              <w:br w:type="textWrapping" w:clear="all"/>
              <w:t xml:space="preserve">3.防火措施：保持UPS设备周围环境整洁，配备足够的灭火器，并定期检查其有效性。</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记录与文档</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1.维护记录：建立详细的维护记录，包括维护日期、内容和结果等，有助于追踪维护工作和故障排除。</w:t>
              <w:br w:type="textWrapping" w:clear="all"/>
              <w:t xml:space="preserve">2.故障处理记录：记录UPS电源的故障处理情况，包括故障时间、故障现象、处理措施等</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日常检查(建议月检查）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外观检查</w:t>
              <w:br w:type="textWrapping" w:clear="all"/>
              <w:t xml:space="preserve">•箱体状态：检查锈蚀、变形、裂纹，重点关注箱门闭合严密性及密封条完整性，上锁，防止进水或异物侵入。</w:t>
              <w:br w:type="textWrapping" w:clear="all"/>
              <w:t xml:space="preserve">•环境评估：周边是否堆放杂物，通风是否良好，湿度、温度是否在允许范围内（如湿度≤85%，温度-5℃~40℃）。</w:t>
              <w:br w:type="textWrapping" w:clear="all"/>
              <w:t xml:space="preserve">•检查箱体铭牌与系统图是否清晰完整，自控柜二次接线图是否清晰完整。</w:t>
              <w:br w:type="textWrapping" w:clear="all"/>
              <w:t xml:space="preserve">•户外型：关注UV防护层老化及防雷措施。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•接线端子与导线：</w:t>
              <w:br w:type="textWrapping" w:clear="all"/>
              <w:t xml:space="preserve">o观察颜色变化（发黑为过热迹象），使用红外测温仪检测温度（通常≤60℃）。</w:t>
              <w:br w:type="textWrapping" w:clear="all"/>
              <w:t xml:space="preserve">o检查导线绝缘层是否龟裂、老化，线径是否符合负载要求。</w:t>
              <w:br w:type="textWrapping" w:clear="all"/>
              <w:t xml:space="preserve">•电气元件：</w:t>
              <w:br w:type="textWrapping" w:clear="all"/>
              <w:t xml:space="preserve">o断路器、接触器触点是否烧蚀，动作机构是否灵活。</w:t>
              <w:br w:type="textWrapping" w:clear="all"/>
              <w:t xml:space="preserve">o检查熔断器额定电流是否匹配，熔体是否氧化。</w:t>
              <w:br w:type="textWrapping" w:clear="all"/>
              <w:t xml:space="preserve">o漏电保护器每月测试一次（按“试验按钮”验证脱扣功能）。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清洁与防尘</w:t>
              <w:br w:type="textWrapping" w:clear="all"/>
              <w:t xml:space="preserve">•断电操作：清洁前必须断电，验电确认无残留电压。</w:t>
              <w:br w:type="textWrapping" w:clear="all"/>
              <w:t xml:space="preserve">•除尘方法：使用吸尘器或干燥软布，避免扬尘进入元件内部；顽固污渍用绝缘清洁剂处理。</w:t>
              <w:br w:type="textWrapping" w:clear="all"/>
              <w:t xml:space="preserve">•防潮措施：箱内放置防潮剂（尤其雨季），检查排水孔是否堵塞。</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连接件紧固</w:t>
              <w:br w:type="textWrapping" w:clear="all"/>
              <w:t xml:space="preserve">•关键点位：主开关进出线、母排连接处、电容接线端子等大电流节点优先检查。</w:t>
              <w:br w:type="textWrapping" w:clear="all"/>
              <w:t xml:space="preserve">•工具选择：使用力矩扳手按厂家规定扭矩紧固（如断路器端子通常为2.5-3.5N·m）。</w:t>
              <w:br w:type="textWrapping" w:clear="all"/>
              <w:t xml:space="preserve">•防松措施：弹簧垫片、螺纹胶是否完好，必要时更换。</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绝缘与接地检测</w:t>
              <w:br w:type="textWrapping" w:clear="all"/>
              <w:t xml:space="preserve">•绝缘测试：</w:t>
              <w:br w:type="textWrapping" w:clear="all"/>
              <w:t xml:space="preserve">o使用500V兆欧表测量线路对地绝缘电阻（≥1MΩ为合格）。</w:t>
              <w:br w:type="textWrapping" w:clear="all"/>
              <w:t xml:space="preserve">o潮湿环境下需增加测试频次。</w:t>
              <w:br w:type="textWrapping" w:clear="all"/>
              <w:t xml:space="preserve">•接地系统：</w:t>
              <w:br w:type="textWrapping" w:clear="all"/>
              <w:t xml:space="preserve">o接地线截面积是否符合规范（如TN-S系统≥相线的1/2）。</w:t>
              <w:br w:type="textWrapping" w:clear="all"/>
              <w:t xml:space="preserve">o测量接地电阻（一般≤4Ω，防雷接地≤10Ω），使用接地电阻测试仪。</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保护功能验证</w:t>
              <w:br w:type="textWrapping" w:clear="all"/>
              <w:t xml:space="preserve">•模拟测试：</w:t>
              <w:br w:type="textWrapping" w:clear="all"/>
              <w:t xml:space="preserve">o过载测试：逐步增加负载至额定值110%，观察断路器脱扣时间。</w:t>
              <w:br w:type="textWrapping" w:clear="all"/>
              <w:t xml:space="preserve">o短路测试：需专业人员模拟，验证分断能力（注意安全防护）。</w:t>
              <w:br w:type="textWrapping" w:clear="all"/>
              <w:t xml:space="preserve">•熔断器匹配：核对熔体额定电流是否与线路保护要求一致，禁止用铜丝替代。</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记录与专业维护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•维护日志：详细记录测试数据（如绝缘电阻值、接地电阻值）、更换部件型号及异常处理措施。</w:t>
              <w:br w:type="textWrapping" w:clear="all"/>
              <w:t xml:space="preserve">•年度检测：委托专业机构进行耐压试验、继电保护校验等，出具检测报告。</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2766"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灯具</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1.灯具检查</w:t>
              <w:br w:type="textWrapping" w:clear="all"/>
              <w:t xml:space="preserve">o检查所有区域（病房、走廊、手术室、检查室等）的灯具是否正常工作，是否存在闪烁、亮度不足或损坏。</w:t>
              <w:br w:type="textWrapping" w:clear="all"/>
              <w:t xml:space="preserve">o重点区域（如手术室、ICU、急诊室）需确保无频闪、色温符合医疗要求。</w:t>
              <w:br w:type="textWrapping" w:clear="all"/>
              <w:t xml:space="preserve">o检查灯具表面清洁度，避免灰尘或污渍影响光照效果。</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灯具</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3.控制系统检查</w:t>
              <w:br w:type="textWrapping" w:clear="all"/>
              <w:t xml:space="preserve">o测试智能照明控制系统的开关、调光、定时功能是否正常（如病房走廊灯带夜间模式），普通开关是否正常。</w:t>
              <w:br w:type="textWrapping" w:clear="all"/>
              <w:t xml:space="preserve">o检查传感器（如人体感应、光照度传感器）的灵敏度。</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每季度深度维护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1.清洁与消毒</w:t>
              <w:br w:type="textWrapping" w:clear="all"/>
              <w:t xml:space="preserve">o定期清洁灯具表面及内部（如手术室需使用防尘、防菌灯具，清洁时需符合院感要求）。</w:t>
              <w:br w:type="textWrapping" w:clear="all"/>
              <w:t xml:space="preserve">o清理灯罩、反射器等部件，避免积灰导致光照效率下降。</w:t>
              <w:br w:type="textWrapping" w:clear="all"/>
              <w:t xml:space="preserve">2.灯具更换与升级</w:t>
              <w:br w:type="textWrapping" w:clear="all"/>
              <w:t xml:space="preserve">o及时更换老化或损坏的灯管、LED模块、镇流器等部件。</w:t>
              <w:br w:type="textWrapping" w:clear="all"/>
              <w:t xml:space="preserve">o逐步替换高耗能灯具为节能型LED灯具，优化能耗。</w:t>
              <w:br w:type="textWrapping" w:clear="all"/>
              <w:t xml:space="preserve">o手术室、检查室等特殊区域需按标准更换专业医疗照明设备。</w:t>
              <w:br w:type="textWrapping" w:clear="all"/>
              <w:t xml:space="preserve">3.线路与接地检测</w:t>
              <w:br w:type="textWrapping" w:clear="all"/>
              <w:t xml:space="preserve">o每年检测照明线路的绝缘电阻、接地电阻，确保符合安全规范（如GB 50034）。</w:t>
              <w:br w:type="textWrapping" w:clear="all"/>
              <w:t xml:space="preserve">o检查防雷装置是否有效，防止雷击损坏。</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特殊区域照明维保</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2.病房与公共区域</w:t>
              <w:br w:type="textWrapping" w:clear="all"/>
              <w:t xml:space="preserve">o检查病房灯光色温和亮度，避免夜间强光干扰患者休息。</w:t>
              <w:br w:type="textWrapping" w:clear="all"/>
              <w:t xml:space="preserve">o检查走廊、楼梯间照明是否均匀，防止跌倒风险。</w:t>
              <w:br w:type="textWrapping" w:clear="all"/>
              <w:t xml:space="preserve">3.室外照明</w:t>
              <w:br w:type="textWrapping" w:clear="all"/>
              <w:t xml:space="preserve">o维护医院外围路灯、停车场照明，确保夜间安全。</w:t>
              <w:br w:type="textWrapping" w:clear="all"/>
              <w:t xml:space="preserve">o检查防水、防尘性能，避免恶劣天气导致故障。</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记录与报告</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o建立维保台账，记录每次检查时间、问题及处理措施。</w:t>
              <w:br w:type="textWrapping" w:clear="all"/>
              <w:t xml:space="preserve">o对频发故障进行统计分析，提出系统优化建议。</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o制定照明系统突发故障的应急方案（如备用灯具储备、快速响应机制）。</w:t>
              <w:br w:type="textWrapping" w:clear="all"/>
              <w:t xml:space="preserve">o定期组织停电应急演练，确保关键区域照明不间断。</w:t>
              <w:br w:type="textWrapping" w:clear="all"/>
              <w:t xml:space="preserve">o发生应急事件有记录有报告。</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2766"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o检查插座面板是否完整、无破损、烧焦或变色痕迹。</w:t>
              <w:br w:type="textWrapping" w:clear="all"/>
              <w:t xml:space="preserve">o确认插座固定牢固，无松动或脱落现象。</w:t>
              <w:br w:type="textWrapping" w:clear="all"/>
              <w:t xml:space="preserve">o检查插孔是否清洁，避免灰尘或异物导致接触不良。</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2.电气性能检测</w:t>
              <w:br w:type="textWrapping" w:clear="all"/>
              <w:t xml:space="preserve">o使用万用表或电压检测仪测量电压稳定性（如220V±10%）。</w:t>
              <w:br w:type="textWrapping" w:clear="all"/>
              <w:t xml:space="preserve">o测试接地是否可靠（接地电阻≤4Ω），避免漏电风险。</w:t>
              <w:br w:type="textWrapping" w:clear="all"/>
              <w:t xml:space="preserve">o检查负载电流是否在插座额定范围内（如10A/16A），避免过载。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每日检查检测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3.专项区域重点检查</w:t>
              <w:br w:type="textWrapping" w:clear="all"/>
              <w:t xml:space="preserve">o关键科室：手术室、ICU、急诊室、影像科等区域的插座需每日巡检。</w:t>
              <w:br w:type="textWrapping" w:clear="all"/>
              <w:t xml:space="preserve">o生命支持设备插座：呼吸机、监护仪等设备的插座需标记并高频次检查。</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1.定期清洁与紧固</w:t>
              <w:br w:type="textWrapping" w:clear="all"/>
              <w:t xml:space="preserve">o断电后清洁插座内部积灰，避免短路或电弧风险。</w:t>
              <w:br w:type="textWrapping" w:clear="all"/>
              <w:t xml:space="preserve">o紧固接线端子和螺丝，防止接触不良导致过热。</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应急维护与预案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1.备用电源系统验证</w:t>
              <w:br w:type="textWrapping" w:clear="all"/>
              <w:t xml:space="preserve">o每月测试UPS（不间断电源）和柴油发电机的自动切换功能。</w:t>
              <w:br w:type="textWrapping" w:clear="all"/>
              <w:t xml:space="preserve">o确保手术室、ICU等区域插座在停电后30秒内恢复供电。</w:t>
              <w:br w:type="textWrapping" w:clear="all"/>
              <w:t xml:space="preserve">2.快速响应机制</w:t>
              <w:br w:type="textWrapping" w:clear="all"/>
              <w:t xml:space="preserve">o设立24小时电力应急小组，接到报修后15分钟内响应。</w:t>
              <w:br w:type="textWrapping" w:clear="all"/>
              <w:t xml:space="preserve">o备用插座库存储备，优先替换故障插座而非现场维修。</w:t>
              <w:br w:type="textWrapping" w:clear="all"/>
              <w:t xml:space="preserve">3.过载与短路保护</w:t>
              <w:br w:type="textWrapping" w:clear="all"/>
              <w:t xml:space="preserve">o检查断路器、漏电保护器（RCD）动作灵敏度，确保及时切断故障电路。</w:t>
              <w:br w:type="textWrapping" w:clear="all"/>
              <w:t xml:space="preserve">o禁止串联插座或多设备共用一个插座。</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合规与记录管理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1.标准化标识</w:t>
              <w:br w:type="textWrapping" w:clear="all"/>
              <w:t xml:space="preserve">o区分普通插座与医疗专用插座（红色标识），注明最大负载。</w:t>
              <w:br w:type="textWrapping" w:clear="all"/>
              <w:t xml:space="preserve">o标明电路编号及所属配电箱，便于快速定位故障。</w:t>
              <w:br w:type="textWrapping" w:clear="all"/>
              <w:t xml:space="preserve">2.维护档案管理</w:t>
              <w:br w:type="textWrapping" w:clear="all"/>
              <w:t xml:space="preserve">o记录每次巡检时间、问题、处理措施及负责人。</w:t>
              <w:br w:type="textWrapping" w:clear="all"/>
              <w:t xml:space="preserve">o留存测试报告（如接地电阻、绝缘测试）备查。</w:t>
              <w:br w:type="textWrapping" w:clear="all"/>
              <w:t xml:space="preserve">3.法规与标准遵循</w:t>
              <w:br w:type="textWrapping" w:clear="all"/>
              <w:t xml:space="preserve">o符合《医疗电气设备安全通用要求》（GB 9706.1）及医院内部电气管理制度。</w:t>
              <w:br w:type="textWrapping" w:clear="all"/>
              <w:t xml:space="preserve">o定期邀请第三方机构进行电气安全评估。</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空调机房操作细则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•检查分集水器表面是否清洁，有无锈蚀、渗漏或结露现象。</w:t>
              <w:br w:type="textWrapping" w:clear="all"/>
              <w:t xml:space="preserve">•观察压力表、温度计等仪表显示是否正常。</w:t>
              <w:br w:type="textWrapping" w:clear="all"/>
              <w:t xml:space="preserve">•检查阀门、法兰连接处是否密封良好，有无松动或泄漏。</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2.运行状态监测</w:t>
              <w:br w:type="textWrapping" w:clear="all"/>
              <w:t xml:space="preserve">•听辨阀门、管道运行中是否有异常振动或噪音。</w:t>
              <w:br w:type="textWrapping" w:clear="all"/>
              <w:t xml:space="preserve">•检查电动阀、温控阀等执行机构是否动作灵活，无卡滞。</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定期维护（半年度）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1.清洗与排污</w:t>
              <w:br w:type="textWrapping" w:clear="all"/>
              <w:t xml:space="preserve">•过滤器清洗：定期拆洗分集水器入口处的过滤器（Y型过滤器），清除杂质、水垢，防止堵塞。</w:t>
              <w:br w:type="textWrapping" w:clear="all"/>
              <w:t xml:space="preserve">•内部冲洗：关闭系统后，打开排污阀对分集水器内部进行冲洗，排出沉积物。</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定期维护（半年度）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2.阀门维护</w:t>
              <w:br w:type="textWrapping" w:clear="all"/>
              <w:t xml:space="preserve">•检查手动阀门、平衡阀的开关是否灵活，润滑阀杆和螺纹。</w:t>
              <w:br w:type="textWrapping" w:clear="all"/>
              <w:t xml:space="preserve">•对电动阀进行功能测试，确保其与控制信号同步动作。</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定期维护（半年度）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3.密封性检查</w:t>
              <w:br w:type="textWrapping" w:clear="all"/>
              <w:t xml:space="preserve">•检查法兰、螺纹接口的密封垫片是否老化或破损，必要时更换。</w:t>
              <w:br w:type="textWrapping" w:clear="all"/>
              <w:t xml:space="preserve">•对渗漏点进行紧固或密封处理（如涂抹密封胶）。</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季节性维护（换季时）</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1.系统启停操作</w:t>
              <w:br w:type="textWrapping" w:clear="all"/>
              <w:t xml:space="preserve">•夏季/冬季启用前，检查分集水器各支路阀门是否处于正确开闭状态。</w:t>
              <w:br w:type="textWrapping" w:clear="all"/>
              <w:t xml:space="preserve">•停机期间排空管道存水（尤其是冬季），防止冻裂。</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季节性维护（换季时）</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2.保温层检查</w:t>
              <w:br w:type="textWrapping" w:clear="all"/>
              <w:t xml:space="preserve">•检查分集水器及管道的保温层是否完整，修复破损处以减少能量损失。</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季节性维护（换季时）</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3.系统排气</w:t>
              <w:br w:type="textWrapping" w:clear="all"/>
              <w:t xml:space="preserve">•开启排气阀排出管道内空气，避免气堵影响水流分配。</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1.防锈防腐处理</w:t>
              <w:br w:type="textWrapping" w:clear="all"/>
              <w:t xml:space="preserve">•对锈蚀部位进行打磨、除锈，并补刷防锈漆或防腐涂层。</w:t>
              <w:br w:type="textWrapping" w:clear="all"/>
              <w:t xml:space="preserve">•检查支架、吊杆是否牢固，避免因锈蚀导致脱落。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2.密封件更换</w:t>
              <w:br w:type="textWrapping" w:clear="all"/>
              <w:t xml:space="preserve">•更换老化、硬化的密封垫片（如橡胶垫、聚四氟乙烯垫）。</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3.水质管理</w:t>
              <w:br w:type="textWrapping" w:clear="all"/>
              <w:t xml:space="preserve">•检测系统水质，添加缓蚀剂、阻垢剂，防止管道内壁结垢或腐蚀。</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4.系统平衡调试</w:t>
              <w:br w:type="textWrapping" w:clear="all"/>
              <w:t xml:space="preserve">•通过调节平衡阀，确保各支路水流分配均匀，避免末端设备冷热不均。</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注意事项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遵循设备原厂建议的保养周期和操作规范。每次维护后应详细记录以下内容：</w:t>
              <w:br w:type="textWrapping" w:clear="all"/>
              <w:t xml:space="preserve">•维护日期、人员、操作内容。</w:t>
              <w:br w:type="textWrapping" w:clear="all"/>
              <w:t xml:space="preserve">•发现的问题及处理措施（如更换部件、修复泄漏点）。</w:t>
              <w:br w:type="textWrapping" w:clear="all"/>
              <w:t xml:space="preserve">•仪表校验数据、水质检测结果等。</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1.运行参数监控</w:t>
              <w:br w:type="textWrapping" w:clear="all"/>
              <w:t xml:space="preserve">•检查压缩机运行电流、电压是否正常。</w:t>
              <w:br w:type="textWrapping" w:clear="all"/>
              <w:t xml:space="preserve">•监测蒸发器与冷凝器的进出水温度、压力。</w:t>
              <w:br w:type="textWrapping" w:clear="all"/>
              <w:t xml:space="preserve">•观察冷媒压力（高压、低压）是否在正常范围内。</w:t>
              <w:br w:type="textWrapping" w:clear="all"/>
              <w:t xml:space="preserve">•记录运行数据，分析是否存在异常波动。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2.外观与基础检查</w:t>
              <w:br w:type="textWrapping" w:clear="all"/>
              <w:t xml:space="preserve">•检查机组是否有冷媒、润滑油或冷却水泄漏。</w:t>
              <w:br w:type="textWrapping" w:clear="all"/>
              <w:t xml:space="preserve">•观察机组振动、噪音是否异常。</w:t>
              <w:br w:type="textWrapping" w:clear="all"/>
              <w:t xml:space="preserve">•清洁机组表面油污、灰尘，保持通风散热良好。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3.辅助设备检查</w:t>
              <w:br w:type="textWrapping" w:clear="all"/>
              <w:t xml:space="preserve">•检查冷却塔、水泵、水阀是否正常工作。</w:t>
              <w:br w:type="textWrapping" w:clear="all"/>
              <w:t xml:space="preserve">•确认过滤网、Y型过滤器是否堵塞，及时清理。</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2.润滑系统</w:t>
              <w:br w:type="textWrapping" w:clear="all"/>
              <w:t xml:space="preserve">•更换压缩机润滑油（根据厂家要求周期）。</w:t>
              <w:br w:type="textWrapping" w:clear="all"/>
              <w:t xml:space="preserve">•清理油过滤器，检查油位、油质（是否乳化或含杂质）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3.换热器维护</w:t>
              <w:br w:type="textWrapping" w:clear="all"/>
              <w:t xml:space="preserve">•化学清洗冷凝器、蒸发器的水侧管路（去除水垢、生物污泥）。</w:t>
              <w:br w:type="textWrapping" w:clear="all"/>
              <w:t xml:space="preserve">•风冷机组需清理翅片表面的灰尘、杂物，保持散热效率。</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4.电气与控制部分</w:t>
              <w:br w:type="textWrapping" w:clear="all"/>
              <w:t xml:space="preserve">•检查电机绝缘电阻、接线端子紧固情况。</w:t>
              <w:br w:type="textWrapping" w:clear="all"/>
              <w:t xml:space="preserve">•校准温度、压力传感器及控制模块参数。</w:t>
              <w:br w:type="textWrapping" w:clear="all"/>
              <w:t xml:space="preserve">•测试安全保护装置（如高压开关、低压开关、过载保护）。</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5.水系统维护</w:t>
              <w:br w:type="textWrapping" w:clear="all"/>
              <w:t xml:space="preserve">•检查冷却水、冷冻水的pH值、水质，添加缓蚀剂或杀菌剂。</w:t>
              <w:br w:type="textWrapping" w:clear="all"/>
              <w:t xml:space="preserve">•清理水系统管道内的杂质，检查软接头是否老化。</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1.压缩机深度维护</w:t>
              <w:br w:type="textWrapping" w:clear="all"/>
              <w:t xml:space="preserve">•检查压缩机轴承、活塞、涡旋盘等核心部件磨损情况。</w:t>
              <w:br w:type="textWrapping" w:clear="all"/>
              <w:t xml:space="preserve">•更换密封件、阀片等易损件。</w:t>
              <w:br w:type="textWrapping" w:clear="all"/>
              <w:t xml:space="preserve">•对螺杆式压缩机进行轴对中校准</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2.系统性能检测</w:t>
              <w:br w:type="textWrapping" w:clear="all"/>
              <w:t xml:space="preserve">•测试机组制冷量、能效比（COP），对比设计参数。</w:t>
              <w:br w:type="textWrapping" w:clear="all"/>
              <w:t xml:space="preserve">•排查系统是否存在“跑冒滴漏”导致的效率下降。</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3.压力容器与安全阀检测</w:t>
              <w:br w:type="textWrapping" w:clear="all"/>
              <w:t xml:space="preserve">•按法规要求对压力容器（如冷凝器、蒸发器）进行定期检测。</w:t>
              <w:br w:type="textWrapping" w:clear="all"/>
              <w:t xml:space="preserve">•校验安全阀、泄压装置的动作可靠性。</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4.控制系统升级</w:t>
              <w:br w:type="textWrapping" w:clear="all"/>
              <w:t xml:space="preserve">•更新控制程序或更换老化控制模块。</w:t>
              <w:br w:type="textWrapping" w:clear="all"/>
              <w:t xml:space="preserve">•优化启停逻辑和负载调节策略</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•停机维护：长期停用时，排空水系统存水，切断电源，遮盖防尘。</w:t>
              <w:br w:type="textWrapping" w:clear="all"/>
              <w:t xml:space="preserve">•开机前检查：重新启动前需检漏、补充冷媒、测试控制系统。</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br w:type="textWrapping" w:clear="all"/>
              <w:t xml:space="preserve">需有报告记录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•水位检查：确保水位正常，补水系统无故障。</w:t>
              <w:br w:type="textWrapping" w:clear="all"/>
              <w:t xml:space="preserve">•水质检查：定期检测水质，防止结垢和腐蚀。</w:t>
              <w:br w:type="textWrapping" w:clear="all"/>
              <w:t xml:space="preserve">•风机检查：观察风机运行是否平稳，有无异常噪音或振动。</w:t>
              <w:br w:type="textWrapping" w:clear="all"/>
              <w:t xml:space="preserve">•电机检查：检查电机温度、电流是否正常，接线是否牢固。</w:t>
              <w:br w:type="textWrapping" w:clear="all"/>
              <w:t xml:space="preserve">•填料检查：查看填料有无堵塞或损坏，确保通风良好。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定期清洁（季度）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•清洗填料：定期清除填料上的污垢和藻类，保持通风和散热效率。</w:t>
              <w:br w:type="textWrapping" w:clear="all"/>
              <w:t xml:space="preserve">•清洗水盘：清理水盘中的淤泥和杂物，防止堵塞。</w:t>
              <w:br w:type="textWrapping" w:clear="all"/>
              <w:t xml:space="preserve">•清洗喷嘴：清除喷嘴内的杂质，确保水流均匀。</w:t>
              <w:br w:type="textWrapping" w:clear="all"/>
              <w:t xml:space="preserve">•清洗过滤器：定期清洗或更换过滤器，保证水质清洁。</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润滑保养（季度）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•风机轴承润滑：定期添加或更换润滑脂，减少磨损。</w:t>
              <w:br w:type="textWrapping" w:clear="all"/>
              <w:t xml:space="preserve">•电机轴承润滑：按需润滑电机轴承，确保运行顺畅。</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电气系统检查（季度）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•接线检查：检查电气接线是否牢固，有无老化或损坏。</w:t>
              <w:br w:type="textWrapping" w:clear="all"/>
              <w:t xml:space="preserve">•控制柜检查：检查控制柜内元件是否正常，接线是否松动。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机械部件检查（季度）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•皮带检查：检查风机皮带的松紧度和磨损情况，必要时调整或更换。</w:t>
              <w:br w:type="textWrapping" w:clear="all"/>
              <w:t xml:space="preserve">•螺栓检查：检查并紧固各部件的螺栓，防止松动。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冷却水泵（冷却系统）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•检查泵体和电机运行状态，确保无异常噪音和振动。</w:t>
              <w:br w:type="textWrapping" w:clear="all"/>
              <w:t xml:space="preserve">•检查密封件，防止泄漏。</w:t>
              <w:br w:type="textWrapping" w:clear="all"/>
              <w:t xml:space="preserve">•检查进出口阀门和压力表，确保正常。</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冷却水管路（冷却系统）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•检查管道和接头，防止泄漏和腐蚀。</w:t>
              <w:br w:type="textWrapping" w:clear="all"/>
              <w:t xml:space="preserve">•清洗过滤器，确保水流畅通。</w:t>
              <w:br w:type="textWrapping" w:clear="all"/>
              <w:t xml:space="preserve">•检查保温层，确保完好。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冷冻水泵（冷冻水系统）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•检查泵体和电机运行状态，确保无异常噪音和振动。</w:t>
              <w:br w:type="textWrapping" w:clear="all"/>
              <w:t xml:space="preserve">•检查密封件，防止泄漏。</w:t>
              <w:br w:type="textWrapping" w:clear="all"/>
              <w:t xml:space="preserve">•检查进出口阀门和压力表，确保正常。</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冷冻水管路（冷冻水系统）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•检查管道和接头，防止泄漏和腐蚀。</w:t>
              <w:br w:type="textWrapping" w:clear="all"/>
              <w:t xml:space="preserve">•清洗过滤器，确保水流畅通。</w:t>
              <w:br w:type="textWrapping" w:clear="all"/>
              <w:t xml:space="preserve">•检查保温层，确保完好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膨胀水箱（冷冻水系统）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•检查水位，确保正常。</w:t>
              <w:br w:type="textWrapping" w:clear="all"/>
              <w:t xml:space="preserve">•检查水箱内部，防止腐蚀和杂物堆积。</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水质管理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1水质检测：</w:t>
              <w:br w:type="textWrapping" w:clear="all"/>
              <w:t xml:space="preserve">•定期检测冷却水和冷冻水的pH值、电导率、硬度等指标。</w:t>
              <w:br w:type="textWrapping" w:clear="all"/>
              <w:t xml:space="preserve">•根据检测结果调整水处理药剂，防止结垢和腐蚀。</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水质管理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2水处理设备：</w:t>
              <w:br w:type="textWrapping" w:clear="all"/>
              <w:t xml:space="preserve">•检查加药装置，确保正常运行。</w:t>
              <w:br w:type="textWrapping" w:clear="all"/>
              <w:t xml:space="preserve">•检查过滤器和软化水设备，确保有效。</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控制系统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1传感器和仪表：</w:t>
              <w:br w:type="textWrapping" w:clear="all"/>
              <w:t xml:space="preserve">•检查温度、压力、流量等传感器，确保准确。</w:t>
              <w:br w:type="textWrapping" w:clear="all"/>
              <w:t xml:space="preserve">•检查控制面板和仪表，确保正常运行。</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控制系统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2自动控制系统：</w:t>
              <w:br w:type="textWrapping" w:clear="all"/>
              <w:t xml:space="preserve">•检查PLC、DDC等控制设备，确保正常运行。</w:t>
              <w:br w:type="textWrapping" w:clear="all"/>
              <w:t xml:space="preserve">•检查控制程序，确保逻辑正确。</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•检查电机、电缆和接线端子，确保无过热和松动。</w:t>
              <w:br w:type="textWrapping" w:clear="all"/>
              <w:t xml:space="preserve">•检查接地和绝缘，确保安全。</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中央空调操作细则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日常检查:•运行状态：检查风机盘管运行是否正常，有无异常噪音或振动。</w:t>
              <w:br w:type="textWrapping" w:clear="all"/>
              <w:t xml:space="preserve">•温度控制：确认温控器工作正常，温度调节准确。</w:t>
              <w:br w:type="textWrapping" w:clear="all"/>
              <w:t xml:space="preserve">•过滤网：检查过滤网是否堵塞，必要时清洁或更换。</w:t>
              <w:br w:type="textWrapping" w:clear="all"/>
              <w:t xml:space="preserve">需有每日台账记录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季节性维护，清洁要求：</w:t>
              <w:br w:type="textWrapping" w:clear="all"/>
              <w:t xml:space="preserve">•过滤网（过滤器）：定期清洗或更换，防止灰尘和细菌堆积。</w:t>
              <w:br w:type="textWrapping" w:clear="all"/>
              <w:t xml:space="preserve">•盘管：清洁盘管表面，去除灰尘和污垢，确保换热效率。</w:t>
              <w:br w:type="textWrapping" w:clear="all"/>
              <w:t xml:space="preserve">•冷凝水盘：清理冷凝水盘，防止积水滋生细菌。</w:t>
              <w:br w:type="textWrapping" w:clear="all"/>
              <w:t xml:space="preserve">•风机叶轮：清洁风机叶轮，确保空气流通顺畅。</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季节性维护，电气检查</w:t>
              <w:br w:type="textWrapping" w:clear="all"/>
              <w:t xml:space="preserve">•接线：检查电气接线是否牢固，有无松动或老化。</w:t>
              <w:br w:type="textWrapping" w:clear="all"/>
              <w:t xml:space="preserve">•电机：检测电机绝缘电阻，确保电气安全。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季节性维护，风量调节</w:t>
              <w:br w:type="textWrapping" w:clear="all"/>
              <w:t xml:space="preserve">•风量：检查并调节风量，确保符合设计要求。</w:t>
              <w:br w:type="textWrapping" w:clear="all"/>
              <w:t xml:space="preserve">•风速：使用风速仪检测风速，确保均匀分布。</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季节性维护，冷凝水系统</w:t>
              <w:br w:type="textWrapping" w:clear="all"/>
              <w:t xml:space="preserve">•排水管：检查排水管是否畅通，防止堵塞。</w:t>
              <w:br w:type="textWrapping" w:clear="all"/>
              <w:t xml:space="preserve">•水盘：检查冷凝水盘有无漏水或腐蚀，必要时修复或更换。</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季节性维护，送回风口</w:t>
              <w:br w:type="textWrapping" w:clear="all"/>
              <w:t xml:space="preserve">清洗消毒完毕后风机盘管送风口与回风口应安装牢固，风口无掉落风险。软连接管道连接严密，无孔洞无缝隙，固定牢固无脱落风险。</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1.目视检查</w:t>
              <w:br w:type="textWrapping" w:clear="all"/>
              <w:t xml:space="preserve">•检查机组外壳是否变形、锈蚀，面板密封条是否老化（漏风率增加5%可能使能耗上升15%）。</w:t>
              <w:br w:type="textWrapping" w:clear="all"/>
              <w:t xml:space="preserve">•观察运行指示灯状态，异常闪烁可能预示电路故障。</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日常维护（每周）</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2.过滤器维护</w:t>
              <w:br w:type="textWrapping" w:clear="all"/>
              <w:t xml:space="preserve">•粗效过滤器：每周用吸尘器清理，压差≥150Pa时必须更换（正常压差50-80Pa）。一年至少更换4次</w:t>
              <w:br w:type="textWrapping" w:clear="all"/>
              <w:t xml:space="preserve">•中效袋式过滤器：每月拆下反向拍打清洁，破损率超过20%需整体更换。一年至少更换2次</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1.传动系统保养</w:t>
              <w:br w:type="textWrapping" w:clear="all"/>
              <w:t xml:space="preserve">•皮带传动：用张力计检测，挠度应为10-15mm/1000mm跨距，老化裂纹超过3条需更换。</w:t>
              <w:br w:type="textWrapping" w:clear="all"/>
              <w:t xml:space="preserve">•直连电机：使用激光对中仪校准，径向偏差应≤0.05mm。</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2.热交换器清洗</w:t>
              <w:br w:type="textWrapping" w:clear="all"/>
              <w:t xml:space="preserve">•板式换热器：用0.2MPa高压水枪45°角冲洗，翅片间距＜2mm时需专用清洗梳整理。</w:t>
              <w:br w:type="textWrapping" w:clear="all"/>
              <w:t xml:space="preserve">•清洗后通风阻力应恢复至设计值的±10%以内。</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1.夏季模式切换</w:t>
              <w:br w:type="textWrapping" w:clear="all"/>
              <w:t xml:space="preserve">•表冷器排水坡度检查：1%坡度确保排水顺畅，积水会导致军团菌滋生。</w:t>
              <w:br w:type="textWrapping" w:clear="all"/>
              <w:t xml:space="preserve">•冷凝水盘投放缓蚀型杀菌剂，浓度维持在100-200ppm。</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2.冬季防护</w:t>
              <w:br w:type="textWrapping" w:clear="all"/>
              <w:t xml:space="preserve">•预热段检查：PTC加热器阻值偏差＞15%需更换，防止局部过热。</w:t>
              <w:br w:type="textWrapping" w:clear="all"/>
              <w:t xml:space="preserve">•超声波加湿器：每季用柠檬酸循环清洗，水垢厚度＞0.5mm影响雾化效率30%以上。</w:t>
              <w:br w:type="textWrapping" w:clear="all"/>
              <w:t xml:space="preserve">需有台账记录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2.控制系统校准</w:t>
              <w:br w:type="textWrapping" w:clear="all"/>
              <w:t xml:space="preserve">•压差开关：在0-500Pa范围内逐点测试，回差应＜设定值的5%。</w:t>
              <w:br w:type="textWrapping" w:clear="all"/>
              <w:t xml:space="preserve">需有台账记录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新风风口</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季节性维护，送回风口</w:t>
              <w:br w:type="textWrapping" w:clear="all"/>
              <w:t xml:space="preserve">清洗消毒完毕后送风口应安装牢固，风口无掉落风险。软连接管道连接严密，无孔洞无缝隙，固定牢固无脱落风险。需有台账记录</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厨房暖通系统操作细则（HVAC）</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排风管道</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br w:type="textWrapping" w:clear="all"/>
              <w:t xml:space="preserve">•清理管道内壁油垢（需专业清洗，防止火灾隐患）。</w:t>
              <w:br w:type="textWrapping" w:clear="all"/>
              <w:t xml:space="preserve">•检查管道连接处密封性，防止漏风或油污渗漏。</w:t>
              <w:br w:type="textWrapping" w:clear="all"/>
              <w:t xml:space="preserve">•检查管道支架是否稳固，避免变形或脱落。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厨房排烟风机</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•检查风机电机运行状态（振动、噪音、温升）。</w:t>
              <w:br w:type="textWrapping" w:clear="all"/>
              <w:t xml:space="preserve">•清理风机叶轮上的油污积垢，防止失衡。</w:t>
              <w:br w:type="textWrapping" w:clear="all"/>
              <w:t xml:space="preserve">•检查皮带张紧度（如有皮带传动）或联轴器是否磨损。</w:t>
              <w:br w:type="textWrapping" w:clear="all"/>
              <w:t xml:space="preserve">•定期润滑轴承，确保转动灵活。</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防火阀与止回阀</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br w:type="textWrapping" w:clear="all"/>
              <w:t xml:space="preserve">•测试防火阀的熔断片是否正常，确保火灾时自动关闭。</w:t>
              <w:br w:type="textWrapping" w:clear="all"/>
              <w:t xml:space="preserve">•清洁止回阀叶片，防止油污粘连导致无法闭合。</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补风系统维护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1.新风机组</w:t>
              <w:br w:type="textWrapping" w:clear="all"/>
              <w:t xml:space="preserve">•清洁新风过滤网，防止灰尘和油污堵塞。</w:t>
              <w:br w:type="textWrapping" w:clear="all"/>
              <w:t xml:space="preserve">•检查新风量是否满足厨房负压要求（避免油烟倒灌）。</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补风系统维护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2.风阀与风量调节</w:t>
              <w:br w:type="textWrapping" w:clear="all"/>
              <w:t xml:space="preserve">•校准补风风阀开度，确保与排风系统联动匹配。</w:t>
              <w:br w:type="textWrapping" w:clear="all"/>
              <w:t xml:space="preserve">•检查风阀执行器是否灵活，无卡滞。</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厨房电气系统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1.电气部件</w:t>
              <w:br w:type="textWrapping" w:clear="all"/>
              <w:t xml:space="preserve">•检查电机、变频器、控制柜的接线是否松动或腐蚀。</w:t>
              <w:br w:type="textWrapping" w:clear="all"/>
              <w:t xml:space="preserve">•测试过载保护装置和接地系统。</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厨房控制系统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2.控制系统</w:t>
              <w:br w:type="textWrapping" w:clear="all"/>
              <w:t xml:space="preserve">•校准温湿度传感器、风压传感器。</w:t>
              <w:br w:type="textWrapping" w:clear="all"/>
              <w:t xml:space="preserve">•检查PLC或BA系统程序是否正常运行。</w:t>
            </w:r>
            <w:r>
              <w:rPr>
                <w:rFonts w:hint="eastAsia" w:ascii="宋体" w:hAnsi="宋体" w:cs="宋体"/>
                <w:sz w:val="24"/>
              </w:rPr>
            </w:r>
            <w:r/>
          </w:p>
        </w:tc>
      </w:tr>
      <w:tr>
        <w:trPr>
          <w:trHeight w:val="170"/>
        </w:trPr>
        <w:tc>
          <w:tcPr>
            <w:tcW w:w="758" w:type="pct"/>
            <w:vAlign w:val="center"/>
            <w:textDirection w:val="lrTb"/>
            <w:noWrap/>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事故排风与普通排风系统操作细则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•检查风机外壳、支架、固定螺栓是否锈蚀、松动或变形。</w:t>
              <w:br w:type="textWrapping" w:clear="all"/>
              <w:t xml:space="preserve">•确认防护网、风管连接处无破损或异物堵塞。</w:t>
              <w:br w:type="textWrapping" w:clear="all"/>
              <w:t xml:space="preserve">•观察电机、控制箱表面是否清洁，避免积尘影响散热。</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2.清洁保养</w:t>
              <w:br w:type="textWrapping" w:clear="all"/>
              <w:t xml:space="preserve">•清理风机叶轮、壳体内部积尘（使用软毛刷或压缩空气）。</w:t>
              <w:br w:type="textWrapping" w:clear="all"/>
              <w:t xml:space="preserve">•擦拭电机散热片和控制柜内部灰尘，确保通风良好。</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3.运行测试</w:t>
              <w:br w:type="textWrapping" w:clear="all"/>
              <w:t xml:space="preserve">•短时启动风机，观察启动是否平稳，有无异常噪音（如摩擦、碰撞声）。</w:t>
              <w:br w:type="textWrapping" w:clear="all"/>
              <w:t xml:space="preserve">•监听轴承运转声音，判断是否存在干磨或磨损。</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4.传动部件检查</w:t>
              <w:br w:type="textWrapping" w:clear="all"/>
              <w:t xml:space="preserve">•皮带传动：检查皮带磨损、裂纹，调整张紧度（下垂量＜10-15mm）。</w:t>
              <w:br w:type="textWrapping" w:clear="all"/>
              <w:t xml:space="preserve">•联轴器传动：检查对中偏差，螺栓紧固情况，弹性垫片老化程度。</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5.轴承维护</w:t>
              <w:br w:type="textWrapping" w:clear="all"/>
              <w:t xml:space="preserve">•补充润滑脂（如锂基脂），注油量不超过轴承腔容积的2/3。</w:t>
              <w:br w:type="textWrapping" w:clear="all"/>
              <w:t xml:space="preserve">•检查轴承温升（正常＜70℃），异常升温需停机排查。</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6.电气系统检查</w:t>
              <w:br w:type="textWrapping" w:clear="all"/>
              <w:t xml:space="preserve">•紧固电机接线端子，检查电缆绝缘层是否破损。</w:t>
              <w:br w:type="textWrapping" w:clear="all"/>
              <w:t xml:space="preserve">•测试控制柜内接触器触点是否烧蚀，继电器动作是否灵敏。</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7.机械部件深度检查</w:t>
              <w:br w:type="textWrapping" w:clear="all"/>
              <w:t xml:space="preserve">•拆检轴承，测量游隙，若超标（如径向游隙＞0.1mm）需更换。</w:t>
              <w:br w:type="textWrapping" w:clear="all"/>
              <w:t xml:space="preserve">•检查叶轮叶片有无裂纹、变形，动平衡校准（振动值≤4.5mm/s）。</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8.电机维护</w:t>
              <w:br w:type="textWrapping" w:clear="all"/>
              <w:t xml:space="preserve">•使用兆欧表测量电机绕组绝缘电阻（≥1MΩ），低于标准需烘干处理。</w:t>
              <w:br w:type="textWrapping" w:clear="all"/>
              <w:t xml:space="preserve">•检查电机风扇叶片是否完好，平衡块有无脱落。</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9.风管系统检查</w:t>
              <w:br w:type="textWrapping" w:clear="all"/>
              <w:t xml:space="preserve">•用烟雾法或压力测试检测风管漏风率（一般要求≤10%）。</w:t>
              <w:br w:type="textWrapping" w:clear="all"/>
              <w:t xml:space="preserve">•清理防火阀、止回阀活动部件，确保启闭灵活。</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1.全面拆解检修</w:t>
              <w:br w:type="textWrapping" w:clear="all"/>
              <w:t xml:space="preserve">o拆卸叶轮、轴承、密封件等核心部件，清洗后检查磨损情况。</w:t>
              <w:br w:type="textWrapping" w:clear="all"/>
              <w:t xml:space="preserve">o更换老化密封圈、减震垫等易损件</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2.性能测试</w:t>
              <w:br w:type="textWrapping" w:clear="all"/>
              <w:t xml:space="preserve">o使用风速仪测量风口风量，对比设计值（偏差≤10%）。</w:t>
              <w:br w:type="textWrapping" w:clear="all"/>
              <w:t xml:space="preserve">o噪音测试（≤85dB(A)），超标需排查隔音措施或机械故障</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3.控制系统</w:t>
              <w:br w:type="textWrapping" w:clear="all"/>
              <w:t xml:space="preserve">o校准温湿度、压力传感器精度。</w:t>
              <w:br w:type="textWrapping" w:clear="all"/>
              <w:t xml:space="preserve">o测试备用电源（如UPS）或双电源切换时间，确保持续运行。</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注意事项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•防爆环境：使用防爆工具，避免火花；定期检查防爆接合面完整性。</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注意事项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•润滑管理：按设备手册选择润滑脂型号</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风口</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br w:type="textWrapping" w:clear="all"/>
              <w:t xml:space="preserve">清洗消毒完毕后送风口应安装牢固，风口无掉落风险。管道连接严密，无孔洞无缝隙，固定牢固无脱落风险。需有台账记录</w:t>
            </w:r>
            <w:r>
              <w:rPr>
                <w:rFonts w:hint="eastAsia" w:ascii="宋体" w:hAnsi="宋体" w:cs="宋体"/>
                <w:sz w:val="24"/>
              </w:rPr>
            </w:r>
            <w:r/>
          </w:p>
        </w:tc>
      </w:tr>
    </w:tbl>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三、运维工作要求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因医院后勤保障的特殊性要求，为确保医院后勤保障的安全性、可靠性、稳定性，服务单位应认真做好日常维护维保工作，确保各专业系统正常运行。</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1.建全运维服务组织架构，针对不同岗位要建立建全各项规章制度（可参照结合医院制度）。</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各岗位人员应符合相应岗位基本的要求，必须着装整齐、举止端庄、挂牌上岗，具备相关的上岗证书和资质。对所有的员工和管理人员应进行必要的职业道德培训及相关岗位的技术培训，以确保其良好的技术状态，能完成相应的技术工作。定期召开例会，总结设备维护与巡检情况，并针对设备运行情况向院方提出建设性意见和建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3.计划性维护保养。建立起以每日巡检、计划性定期保养和供应商的联合维护管理。对于在日常巡检过程中发现的设备和设施在运行过程中的事故苗头将及时通过自身和联系供应商提前解决。如技术性运行中断（如检修），应提前向院方管理部门提出预报和应急方案。事故和险情出现时第一时间告知客户。每月向院方报送运行及维护情况月报，并提出工作建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4.应有各类突发情况的应急预案，每年不少于2次切实有效的应急演练，有一定应急处置能力。</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5.每月上报完整的工作总结计划，以及当月各岗位的工作台账资料，并符合三甲评审要求。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6.服从医院相应管理部门的工作安排，接受管理部门的考评（见具体考核表）。</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7.运维人员的服务质量标准化，服务过程进行实时监控和评估，不断提升服务质量。</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8.需要有高度的责任心和敬业精神，具备良好的沟通能力和团队合作精神，能够与不同部门或同事有效协调和配合。</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9.应能够遵守各安全规定和操作规程，确保在维修中不造成任何安全事故。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10.需要具备解决问题的能力，能够在遇到技术难题时迅速找到解决方案，确保设备能够尽快恢复正常运行。</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11.应定期接受培训和学习，不断提高业务的技术水平和专业素养，以适应医院发展的需要。</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12.在维修维保过程中，应本着节约、利旧原则，做到工完场清。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13.维修维护人员接到指令后，原则上15分钟内必须到达故障现场进行处理。</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14.服务单位在服务过程中，应自行提供必要合格的维修工具、设施及各必要的防护器具等。</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四、岗位配置要求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w:t>
      </w:r>
      <w:r>
        <w:rPr>
          <w:rFonts w:hint="eastAsia" w:ascii="宋体" w:hAnsi="宋体" w:cs="宋体"/>
          <w:b/>
          <w:sz w:val="24"/>
        </w:rPr>
        <w:t xml:space="preserve">岗位</w:t>
      </w:r>
      <w:r>
        <w:rPr>
          <w:rFonts w:hint="eastAsia" w:ascii="宋体" w:hAnsi="宋体" w:cs="宋体"/>
          <w:bCs/>
          <w:sz w:val="24"/>
        </w:rPr>
        <w:t xml:space="preserve">配置</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投标人应根据采购人的服务内容要求，按岗位合理配置人员，确保医院后勤保障的安全性、可靠性、稳定性，确保各专业系统正常运行。</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4704"/>
        <w:gridCol w:w="1724"/>
        <w:gridCol w:w="1882"/>
      </w:tblGrid>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b/>
                <w:bCs/>
                <w:sz w:val="24"/>
              </w:rPr>
            </w:pPr>
            <w:r>
              <w:rPr>
                <w:rFonts w:hint="eastAsia" w:ascii="宋体" w:hAnsi="宋体" w:cs="宋体"/>
                <w:b/>
                <w:bCs/>
                <w:sz w:val="24"/>
              </w:rPr>
              <w:t xml:space="preserve">岗位</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center"/>
              <w:spacing w:line="400" w:lineRule="exact"/>
              <w:rPr>
                <w:rFonts w:hint="eastAsia" w:ascii="宋体" w:hAnsi="宋体" w:cs="宋体"/>
                <w:b/>
                <w:bCs/>
                <w:sz w:val="24"/>
              </w:rPr>
            </w:pPr>
            <w:r>
              <w:rPr>
                <w:rFonts w:hint="eastAsia" w:ascii="宋体" w:hAnsi="宋体" w:cs="宋体"/>
                <w:b/>
                <w:bCs/>
                <w:sz w:val="24"/>
              </w:rPr>
              <w:t xml:space="preserve">配置说明</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ascii="宋体" w:hAnsi="宋体" w:cs="宋体"/>
                <w:b/>
                <w:bCs/>
                <w:sz w:val="24"/>
              </w:rPr>
            </w:pPr>
            <w:r>
              <w:rPr>
                <w:rFonts w:hint="eastAsia" w:ascii="宋体" w:hAnsi="宋体" w:cs="宋体"/>
                <w:b/>
                <w:bCs/>
                <w:sz w:val="24"/>
              </w:rPr>
              <w:t xml:space="preserve">参考配置人数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pStyle w:val="1093"/>
              <w:ind w:firstLine="0"/>
              <w:jc w:val="center"/>
              <w:spacing w:line="400" w:lineRule="exact"/>
              <w:rPr>
                <w:rFonts w:hint="eastAsia" w:hAnsi="宋体" w:cs="宋体"/>
                <w:b/>
                <w:bCs/>
              </w:rPr>
            </w:pPr>
            <w:r>
              <w:rPr>
                <w:rFonts w:hint="eastAsia" w:hAnsi="宋体" w:cs="宋体"/>
                <w:b/>
                <w:bCs/>
              </w:rPr>
              <w:t xml:space="preserve">备注</w:t>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项目负责人，要求有类似设备维护项目管理经验。8小时制。</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运行主管</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协助项目负责人进行设备运维管理，项目负责人休假时应在岗，负责设备运行安全、综合维修品质、能耗、特种设备安全管理及部分沟通协调工作。负责锅炉、空调、配电值班、供冷热水、雨污水等岗位人员日常工作安排、培训、操作、巡查监督及维护保养跟进。8小时制。</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1</w:t>
            </w:r>
            <w:r/>
          </w:p>
        </w:tc>
        <w:tc>
          <w:tcPr>
            <w:tcBorders>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内勤</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要求白天在岗，负责工程技术资料、运行资料的收集整理，负责工程材料库房的日常管理。8小时制。</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1</w:t>
            </w:r>
            <w:r/>
          </w:p>
        </w:tc>
        <w:tc>
          <w:tcPr>
            <w:tcBorders>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水电维修人员</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93"/>
              <w:ind w:firstLine="0"/>
              <w:spacing w:line="400" w:lineRule="exact"/>
              <w:rPr>
                <w:rFonts w:hint="eastAsia" w:hAnsi="宋体" w:cs="宋体"/>
              </w:rPr>
            </w:pPr>
            <w:r>
              <w:rPr>
                <w:rFonts w:hint="eastAsia" w:hAnsi="宋体" w:cs="宋体"/>
              </w:rPr>
              <w:t xml:space="preserve">1.负责院区内水电日常零星维修、抢修，负责水电</w:t>
            </w:r>
            <w:r>
              <w:rPr>
                <w:rFonts w:hint="eastAsia" w:hAnsi="宋体" w:cs="宋体"/>
                <w:bCs/>
              </w:rPr>
              <w:t xml:space="preserve">系统</w:t>
            </w:r>
            <w:r>
              <w:rPr>
                <w:rFonts w:hint="eastAsia" w:hAnsi="宋体" w:cs="宋体"/>
              </w:rPr>
              <w:t xml:space="preserve">巡视、维护、日常</w:t>
            </w:r>
            <w:r>
              <w:rPr>
                <w:rFonts w:hint="eastAsia" w:hAnsi="宋体" w:cs="宋体"/>
                <w:bCs/>
              </w:rPr>
              <w:t xml:space="preserve">维修</w:t>
            </w:r>
            <w:r>
              <w:rPr>
                <w:rFonts w:hint="eastAsia" w:hAnsi="宋体" w:cs="宋体"/>
              </w:rPr>
              <w:t xml:space="preserve">等。</w:t>
            </w:r>
            <w:r/>
          </w:p>
          <w:p>
            <w:pPr>
              <w:pStyle w:val="1093"/>
              <w:ind w:firstLine="0"/>
              <w:spacing w:line="400" w:lineRule="exact"/>
              <w:rPr>
                <w:rFonts w:hint="eastAsia" w:hAnsi="宋体" w:cs="宋体"/>
              </w:rPr>
            </w:pPr>
            <w:r>
              <w:rPr>
                <w:rFonts w:hint="eastAsia" w:hAnsi="宋体" w:cs="宋体"/>
                <w:bCs/>
              </w:rPr>
              <w:t xml:space="preserve">★</w:t>
            </w:r>
            <w:r>
              <w:rPr>
                <w:rFonts w:hint="eastAsia" w:hAnsi="宋体" w:cs="宋体"/>
              </w:rPr>
              <w:t xml:space="preserve">2.配备人员中至少4人持低压电工证上岗。</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left w:val="single" w:color="000000" w:sz="4" w:space="0"/>
              <w:right w:val="single" w:color="000000" w:sz="4" w:space="0"/>
            </w:tcBorders>
            <w:tcW w:w="1012"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bCs/>
                <w:sz w:val="24"/>
              </w:rPr>
              <w:t xml:space="preserve">★投标文件中提供拟派人员</w:t>
            </w:r>
            <w:r>
              <w:rPr>
                <w:rFonts w:hint="eastAsia" w:ascii="宋体" w:hAnsi="宋体" w:cs="宋体"/>
                <w:sz w:val="24"/>
              </w:rPr>
              <w:t xml:space="preserve">低压电工证</w:t>
            </w:r>
            <w:r>
              <w:rPr>
                <w:rFonts w:hint="eastAsia" w:ascii="宋体" w:hAnsi="宋体" w:cs="宋体"/>
                <w:bCs/>
                <w:sz w:val="24"/>
              </w:rPr>
              <w:t xml:space="preserve">扫描件和</w:t>
            </w:r>
            <w:r>
              <w:rPr>
                <w:rFonts w:hint="eastAsia" w:ascii="宋体" w:hAnsi="宋体" w:cs="宋体"/>
                <w:sz w:val="24"/>
              </w:rPr>
              <w:t xml:space="preserve">投标人近三个月内任意一个月为其缴纳的社保证明。</w:t>
            </w:r>
            <w:r/>
          </w:p>
        </w:tc>
      </w:tr>
      <w:tr>
        <w:trPr>
          <w:trHeight w:val="170"/>
        </w:trPr>
        <w:tc>
          <w:tcPr>
            <w:tcBorders>
              <w:top w:val="single" w:color="000000" w:sz="4" w:space="0"/>
              <w:left w:val="single" w:color="000000" w:sz="4" w:space="0"/>
              <w:right w:val="single" w:color="000000" w:sz="4" w:space="0"/>
            </w:tcBorders>
            <w:tcW w:w="523"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锅炉暖通值班</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ascii="宋体" w:hAnsi="宋体" w:cs="宋体"/>
                <w:bCs/>
                <w:sz w:val="24"/>
              </w:rPr>
            </w:pPr>
            <w:r>
              <w:rPr>
                <w:rFonts w:hint="eastAsia" w:ascii="宋体" w:hAnsi="宋体" w:cs="宋体"/>
                <w:bCs/>
                <w:sz w:val="24"/>
              </w:rPr>
              <w:t xml:space="preserve">1.要求24小时值班，负责锅炉、暖通运行管理，巡视、值班操作，符合特种设备操作规范要求。</w:t>
            </w:r>
            <w:r>
              <w:rPr>
                <w:rFonts w:ascii="宋体" w:hAnsi="宋体" w:cs="宋体"/>
                <w:bCs/>
                <w:sz w:val="24"/>
              </w:rPr>
            </w:r>
            <w:r/>
          </w:p>
          <w:p>
            <w:pPr>
              <w:pStyle w:val="1078"/>
              <w:jc w:val="left"/>
              <w:spacing w:line="400" w:lineRule="exact"/>
              <w:rPr>
                <w:rFonts w:hint="eastAsia" w:ascii="宋体" w:hAnsi="宋体" w:cs="宋体"/>
                <w:bCs/>
                <w:sz w:val="24"/>
              </w:rPr>
            </w:pPr>
            <w:r>
              <w:rPr>
                <w:rFonts w:hint="eastAsia" w:ascii="宋体" w:hAnsi="宋体" w:cs="宋体"/>
                <w:bCs/>
                <w:sz w:val="24"/>
              </w:rPr>
              <w:t xml:space="preserve">★2.投标人承诺</w:t>
            </w:r>
            <w:r>
              <w:rPr>
                <w:rFonts w:hint="eastAsia" w:ascii="宋体" w:hAnsi="宋体" w:cs="宋体"/>
                <w:sz w:val="24"/>
              </w:rPr>
              <w:t xml:space="preserve">配备人员</w:t>
            </w:r>
            <w:r>
              <w:rPr>
                <w:rFonts w:hint="eastAsia" w:hAnsi="宋体" w:cs="宋体"/>
                <w:sz w:val="24"/>
              </w:rPr>
              <w:t xml:space="preserve">中</w:t>
            </w:r>
            <w:r>
              <w:rPr>
                <w:rFonts w:hint="eastAsia" w:ascii="宋体" w:hAnsi="宋体" w:cs="宋体"/>
                <w:bCs/>
                <w:sz w:val="24"/>
              </w:rPr>
              <w:t xml:space="preserve">至少1人持熔化焊接与热切割作业证</w:t>
            </w:r>
            <w:r>
              <w:rPr>
                <w:rFonts w:hint="eastAsia" w:hAnsi="宋体" w:cs="宋体"/>
                <w:sz w:val="24"/>
              </w:rPr>
              <w:t xml:space="preserve">上岗</w:t>
            </w:r>
            <w:r>
              <w:rPr>
                <w:rFonts w:hint="eastAsia" w:ascii="宋体" w:hAnsi="宋体" w:cs="宋体"/>
                <w:bCs/>
                <w:sz w:val="24"/>
              </w:rPr>
              <w:t xml:space="preserve">。</w:t>
            </w:r>
            <w:r/>
          </w:p>
          <w:p>
            <w:pPr>
              <w:pStyle w:val="1078"/>
              <w:jc w:val="left"/>
              <w:spacing w:line="400" w:lineRule="exact"/>
              <w:rPr>
                <w:rFonts w:hint="eastAsia" w:ascii="宋体" w:hAnsi="宋体" w:cs="宋体"/>
                <w:bCs/>
                <w:sz w:val="24"/>
              </w:rPr>
            </w:pPr>
            <w:r>
              <w:rPr>
                <w:rFonts w:hint="eastAsia" w:ascii="宋体" w:hAnsi="宋体" w:cs="宋体"/>
                <w:bCs/>
                <w:sz w:val="24"/>
              </w:rPr>
              <w:t xml:space="preserve">★3.投标人承诺</w:t>
            </w:r>
            <w:r>
              <w:rPr>
                <w:rFonts w:hint="eastAsia" w:ascii="宋体" w:hAnsi="宋体" w:cs="宋体"/>
                <w:sz w:val="24"/>
              </w:rPr>
              <w:t xml:space="preserve">配备人员</w:t>
            </w:r>
            <w:r>
              <w:rPr>
                <w:rFonts w:hint="eastAsia" w:hAnsi="宋体" w:cs="宋体"/>
                <w:sz w:val="24"/>
              </w:rPr>
              <w:t xml:space="preserve">中</w:t>
            </w:r>
            <w:r>
              <w:rPr>
                <w:rFonts w:hint="eastAsia" w:ascii="宋体" w:hAnsi="宋体" w:cs="宋体"/>
                <w:bCs/>
                <w:sz w:val="24"/>
              </w:rPr>
              <w:t xml:space="preserve">至少1人持特种作业操作证(压力容器作业)R1或R2证</w:t>
            </w:r>
            <w:r>
              <w:rPr>
                <w:rFonts w:hint="eastAsia" w:hAnsi="宋体" w:cs="宋体"/>
                <w:sz w:val="24"/>
              </w:rPr>
              <w:t xml:space="preserve">上岗</w:t>
            </w:r>
            <w:r>
              <w:rPr>
                <w:rFonts w:hint="eastAsia" w:ascii="宋体" w:hAnsi="宋体" w:cs="宋体"/>
                <w:bCs/>
                <w:sz w:val="24"/>
              </w:rPr>
              <w:t xml:space="preserve">。</w:t>
            </w:r>
            <w:r/>
          </w:p>
          <w:p>
            <w:pPr>
              <w:pStyle w:val="1078"/>
              <w:jc w:val="left"/>
              <w:spacing w:line="400" w:lineRule="exact"/>
              <w:rPr>
                <w:rFonts w:hint="eastAsia" w:ascii="宋体" w:hAnsi="宋体" w:cs="宋体"/>
                <w:bCs/>
                <w:sz w:val="24"/>
              </w:rPr>
            </w:pPr>
            <w:r>
              <w:rPr>
                <w:rFonts w:hint="eastAsia" w:ascii="宋体" w:hAnsi="宋体" w:cs="宋体"/>
                <w:bCs/>
                <w:sz w:val="24"/>
              </w:rPr>
              <w:t xml:space="preserve">★4.投标人承诺</w:t>
            </w:r>
            <w:r>
              <w:rPr>
                <w:rFonts w:hint="eastAsia" w:ascii="宋体" w:hAnsi="宋体" w:cs="宋体"/>
                <w:sz w:val="24"/>
              </w:rPr>
              <w:t xml:space="preserve">配备人员</w:t>
            </w:r>
            <w:r>
              <w:rPr>
                <w:rFonts w:hint="eastAsia" w:hAnsi="宋体" w:cs="宋体"/>
                <w:sz w:val="24"/>
              </w:rPr>
              <w:t xml:space="preserve">中</w:t>
            </w:r>
            <w:r>
              <w:rPr>
                <w:rFonts w:hint="eastAsia" w:ascii="宋体" w:hAnsi="宋体" w:cs="宋体"/>
                <w:bCs/>
                <w:sz w:val="24"/>
              </w:rPr>
              <w:t xml:space="preserve">至少1人持特种作业操作证(锅炉作业证)G1证</w:t>
            </w:r>
            <w:r>
              <w:rPr>
                <w:rFonts w:hint="eastAsia" w:hAnsi="宋体" w:cs="宋体"/>
                <w:sz w:val="24"/>
              </w:rPr>
              <w:t xml:space="preserve">上岗</w:t>
            </w:r>
            <w:r>
              <w:rPr>
                <w:rFonts w:hint="eastAsia"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5</w:t>
            </w:r>
            <w:r/>
          </w:p>
        </w:tc>
        <w:tc>
          <w:tcPr>
            <w:tcBorders>
              <w:left w:val="single" w:color="000000" w:sz="4" w:space="0"/>
              <w:right w:val="single" w:color="000000" w:sz="4" w:space="0"/>
            </w:tcBorders>
            <w:tcW w:w="1012" w:type="pct"/>
            <w:vAlign w:val="center"/>
            <w:textDirection w:val="lrTb"/>
            <w:noWrap w:val="false"/>
          </w:tcPr>
          <w:p>
            <w:pPr>
              <w:pStyle w:val="1078"/>
              <w:jc w:val="left"/>
              <w:spacing w:line="400" w:lineRule="exact"/>
              <w:rPr>
                <w:rFonts w:ascii="宋体" w:hAnsi="宋体" w:cs="宋体"/>
                <w:sz w:val="24"/>
              </w:rPr>
            </w:pPr>
            <w:r>
              <w:rPr>
                <w:rFonts w:hint="eastAsia" w:ascii="宋体" w:hAnsi="宋体" w:cs="宋体"/>
                <w:bCs/>
                <w:sz w:val="24"/>
              </w:rPr>
              <w:t xml:space="preserve">★投标文件中提供承诺书（承诺上岗人员中至少1人持特种作业操作证(压力容器作业)R1或R2证、至少1人持熔化焊接与热切割作业证上岗、至少1人持特种作业操作证(锅炉作业证)G1证</w:t>
            </w:r>
            <w:r>
              <w:rPr>
                <w:rFonts w:hint="eastAsia" w:hAnsi="宋体" w:cs="宋体"/>
                <w:sz w:val="24"/>
              </w:rPr>
              <w:t xml:space="preserve">上岗</w:t>
            </w:r>
            <w:r>
              <w:rPr>
                <w:rFonts w:hint="eastAsia" w:ascii="宋体" w:hAnsi="宋体" w:cs="宋体"/>
                <w:bCs/>
                <w:sz w:val="24"/>
              </w:rPr>
              <w:t xml:space="preserve">）。</w:t>
            </w:r>
            <w:r>
              <w:rPr>
                <w:rFonts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综合维修</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其中1人兼任综合维修组长，24小时处理院区各类后勤设备设施维修、应急保障工作，满足院区日常运行工作需要。</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ascii="宋体" w:hAnsi="宋体" w:cs="宋体"/>
                <w:sz w:val="24"/>
              </w:rPr>
            </w:pPr>
            <w:r>
              <w:rPr>
                <w:rFonts w:hint="eastAsia" w:ascii="宋体" w:hAnsi="宋体" w:cs="宋体"/>
                <w:sz w:val="24"/>
              </w:rPr>
              <w:t xml:space="preserve">11</w:t>
            </w:r>
            <w:r>
              <w:rPr>
                <w:rFonts w:ascii="宋体" w:hAnsi="宋体" w:cs="宋体"/>
                <w:sz w:val="24"/>
              </w:rPr>
            </w:r>
            <w:r/>
          </w:p>
        </w:tc>
        <w:tc>
          <w:tcPr>
            <w:tcBorders>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gridSpan w:val="4"/>
            <w:tcBorders>
              <w:top w:val="single" w:color="000000" w:sz="4" w:space="0"/>
              <w:left w:val="single" w:color="000000" w:sz="4" w:space="0"/>
              <w:right w:val="single" w:color="000000" w:sz="4" w:space="0"/>
            </w:tcBorders>
            <w:tcW w:w="5000"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b/>
                <w:bCs/>
                <w:sz w:val="24"/>
              </w:rPr>
              <w:t xml:space="preserve">注：人员配置</w:t>
            </w:r>
            <w:r>
              <w:rPr>
                <w:rFonts w:hint="eastAsia" w:ascii="宋体" w:hAnsi="宋体" w:cs="宋体"/>
                <w:b/>
                <w:bCs/>
                <w:sz w:val="24"/>
              </w:rPr>
              <w:t xml:space="preserve">中★号条款要求为实质性要求，必须满足，如有任意一项不满足，投标无效。</w:t>
            </w:r>
            <w:r>
              <w:rPr>
                <w:rFonts w:hint="eastAsia" w:ascii="宋体" w:hAnsi="宋体" w:cs="宋体"/>
                <w:sz w:val="24"/>
              </w:rPr>
            </w:r>
            <w:r/>
          </w:p>
        </w:tc>
      </w:tr>
    </w:tbl>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2.岗位要求</w:t>
      </w:r>
      <w:r/>
    </w:p>
    <w:p>
      <w:pPr>
        <w:pStyle w:val="1078"/>
        <w:contextualSpacing/>
        <w:ind w:firstLine="480"/>
        <w:spacing w:line="400" w:lineRule="exact"/>
        <w:tabs>
          <w:tab w:val="left" w:pos="567" w:leader="none"/>
        </w:tabs>
        <w:rPr>
          <w:rFonts w:hint="eastAsia" w:ascii="宋体" w:hAnsi="宋体" w:cs="宋体"/>
          <w:bCs/>
          <w:sz w:val="24"/>
        </w:rPr>
      </w:pPr>
      <w:r/>
      <w:bookmarkStart w:id="815" w:name="_Hlk82519304"/>
      <w:r>
        <w:rPr>
          <w:rFonts w:hint="eastAsia" w:ascii="宋体" w:hAnsi="宋体" w:cs="宋体"/>
          <w:bCs/>
          <w:sz w:val="24"/>
        </w:rPr>
        <w:t xml:space="preserve">2.1项目经理：要求大专及以上学历，年龄50周岁（含）以下，</w:t>
      </w:r>
      <w:bookmarkEnd w:id="815"/>
      <w:r>
        <w:rPr>
          <w:rFonts w:hint="eastAsia" w:ascii="宋体" w:hAnsi="宋体" w:cs="宋体"/>
          <w:sz w:val="24"/>
        </w:rPr>
        <w:t xml:space="preserve">要求有类似设备维护项目管理经验</w:t>
      </w:r>
      <w:r>
        <w:rPr>
          <w:rFonts w:hint="eastAsia" w:ascii="宋体" w:hAnsi="宋体" w:cs="宋体"/>
          <w:bCs/>
          <w:sz w:val="24"/>
        </w:rPr>
        <w:t xml:space="preserve">，能够配合医院做好各项后勤运维保障工作。</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2.2运行主管：要求大专及以上学历，年龄50周岁（含）以下，至少有1年及以上的类似项目管理经验，能协助工程负责人做好项目的内部管理工作。</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2.3内勤员：要求中专及以上学历，年龄50周岁（含）以下，至少有1年及以上的项目管理经验，具有一定管理沟通协调能力，负责综合内勤管理工作，包括图纸资料的整理归档、报修系统的数据统计汇总、能耗台账、特种设备台账、环保台账等工作。</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2.4技术工种，须持证上岗。</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2.5项目服务人员总体要求：平均年龄在50周岁以下，必须全员缴纳社保。工程服务人员不得在院内赌博、吸毒、偷盗、酗酒等，不得私自收取患者及家属钱物，不得与患者及家属发生争吵，不得在非吸烟区吸烟，不得私自收集废品买卖等不良行为。需对上岗员工进行公安系统身份安全审查。非本地户籍人员须在当地公安部门取得居住证。</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2.6 其他要求：成交供应商需保持服务团队稳定，服务团队人员信息报采购人备案，包括但不限于身份证、证书、学历等复印件。服务期内，如有人员变更需提前15个工作日申请并获采购人书面同意，新人员资质不得低于原标准；采购人有权要求更换不合格人员，成交供应商需在7个工作日内完成。</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五、运维管理要求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院方工程部监管人员直接参与运管单位的运行管理，在日常运管工作和安全生产质控标准条例下，院方的安监专职人员有责任、有权利监督运管单位所有工程技术人员的工作情况，审核运管单位人员个人技术素质，严格实施动态标准化管理程序；</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2.中标人提供工作用房需求（房间数量，面积），由院方评估后给出具体用房的房间数及面积；</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3.合同期间，院方认为工作人员不能胜任工作岗位的，向中标人提出，中标人必须及时更换合适的人员；</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4.服从和遵守院方制定各项安全制度、工作管理制度、考核制度及其他现行的规章制度。供应商的服务人员应积极主动学习院方的有关规章制度和管理规定，主动学习有关的安全规定、安全标准、维保规程和标准，学习必要的、最新的与工作有关的资料、文件和手册，严格按照院方规定的工作规范、标准、程序和权限开展工作，供应商的常驻工作人员必须服从院方统一的日常管理，包括日常的考勤、考核，服从工作安排；</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5.中标人必须建立和完善安全责任制度，建立安全服务保证体系，保障医院安全、稳定的运营和服务，防止责任事故发生；所有设施及工作均不得对运营服务造成影响；</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6.中标人要加强医院工程运管服务的安全巡检，消除安全隐患，对危及医院的隐患应及时制止并上报院方；</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7.安全责任的承担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医院工程运管服务过程中产生的所有安全责任事故的后果由中标人承担，中标人应严格执行各项国家地方有关规定，实施严格的各类安全防护保证措施，做好安全工作，在服务期间，若发生安全事故，一切法律和经济责任均由中标人承担，院方概不负责。安全事故包括但不限于以下情况：</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7.1.1对第三人造成安全事故的；如因工作不当引起的病人跌倒等伤害事件，由中标人负责纠纷处置及经济赔偿。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7.1.2在服务期内，设备或物品意外被盗或损失、人为损坏的赔偿；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7.1.3中标人所属员工在工作期间发生的各类受伤、致残、身亡等事故的一切责任及费用由中标人全部负责。</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7.1.4在服务期内，因员工安全意识欠缺、安全技能培训不到位从而造成事故的，所有损失由中标人承担。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7.2中标人与员工之间的各种纠纷，由中标人自行解决。</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7.3中标人因违规操作或失职等造成院方设备、设施损坏以及中标人员工工伤事故发生的，一切责任由中标人负责，并承担由此给院方造成的全部经济损失，负责受损设备的检修安装，保证设施的正常运行。</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7.4责任事故造成人身伤亡或第三方财产损失引起争议、产生诉讼的，中标人应独立应诉，并承担一切诉讼后果，如应上述原因导致院方受到追诉而遭受损失，中标人应予全部赔偿。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8.中标人的工作人员在工作时间违反院方的管理制度造成安全事故、综治事件、造成甲方的名誉和形象受损的，供应商应立即采取有效措施，恢复院方的名誉，并按合同约定向院方支付违约金，若造成院方损失的，应予赔偿。违约金和赔偿金由院方依据安全事故的性质、程度以及院方的名誉、形象受损的范围和程度确定，并在支付合同款时在合同款中扣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9.社会保险（除必须的各种社保外，还应包括第三者责任保险和员工人身意外保险）</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9.1第三者责任保险：中标人应为承包区域的设备运行维护工作人员投保，以保证在承包期间人员和财产以外遭受损失时得到补偿。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9.2员工人身意外保险：在承包期内，中标人应为其员工投保人身意外险，以保证采购人在中标人工作人员索偿时不受任何责任的约束。</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10.在服务期内，中标人应密切注意气象预报，及时采取防范措施，防止暴风雨、洪水、雷电、冰冻、高温等造成人身损害，供应商不得以除地震等不可抗力以外的自然灾害为由提出索赔要求。</w:t>
      </w:r>
      <w:r/>
    </w:p>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六、考核要求</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1.中标人试用三个月，如不能满足医院实际运行需求，院方有权提出终止合同。</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2.中标人应当与医院签定服务合同，并严格执行合同中的各项考核条款。根据每月考核结果发放服务费用。</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3.考核表中的操作细则为院方对中标人考核内容的具体说明，服务内容包括且不仅限于考核表中内容。在服务过程中院方将根据实际情况，对考核表进行持续优化。</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4.因本次运维托管服务，涉及医院运行安全，以及病患人身财产安全等，故要求中标服务公司切实认真负责，确保安全。要求中标人在合同签订时，应当向医院缴纳中标价的5%，作为合同履约安全保证金，至合同期履约结束无息退还。同时，医院保留因出现重大安全事故追诉刑事民事的权利。</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5.为提高设备安全运行或节能降耗，鼓励中标人在服务过程中，结合实际情况，可以提供改造方案，但须争得院方相关部门同意，方可实施。</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6.中标人应配合院方接受各类上级主管部门的检查，积极对照综合三级甲等医院后勤评审条款，持续改进。</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7.北院总务后勤的保障服务均委托于中标人，其中考核表中的工作内容，仅对中标人的服务工作质量作基本要求。考核罚款在当月服务费中扣除，以提高服务质量满意度。</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8.具体考核要求</w:t>
      </w:r>
      <w:r/>
    </w:p>
    <w:tbl>
      <w:tblPr>
        <w:tblW w:w="49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51"/>
        <w:gridCol w:w="716"/>
        <w:gridCol w:w="1510"/>
        <w:gridCol w:w="1341"/>
        <w:gridCol w:w="1585"/>
        <w:gridCol w:w="1585"/>
        <w:gridCol w:w="1593"/>
      </w:tblGrid>
      <w:tr>
        <w:trPr>
          <w:cantSplit/>
          <w:trHeight w:val="170"/>
        </w:trPr>
        <w:tc>
          <w:tcPr>
            <w:tcBorders>
              <w:top w:val="single" w:color="000000" w:sz="4" w:space="0"/>
              <w:left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（一）基本要求</w:t>
            </w:r>
            <w:r>
              <w:rPr>
                <w:rFonts w:hint="eastAsia" w:ascii="宋体" w:hAnsi="宋体" w:cs="宋体"/>
                <w:sz w:val="24"/>
              </w:rPr>
            </w:r>
            <w:r/>
          </w:p>
        </w:tc>
        <w:tc>
          <w:tcPr>
            <w:tcBorders>
              <w:top w:val="single" w:color="000000" w:sz="4" w:space="0"/>
              <w:left w:val="single" w:color="000000" w:sz="4" w:space="0"/>
              <w:right w:val="single" w:color="000000" w:sz="4" w:space="0"/>
            </w:tcBorders>
            <w:tcW w:w="385"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right w:val="single" w:color="000000" w:sz="4" w:space="0"/>
            </w:tcBorders>
            <w:tcW w:w="813"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工作内容</w:t>
            </w:r>
            <w:r>
              <w:rPr>
                <w:rFonts w:hint="eastAsia" w:ascii="宋体" w:hAnsi="宋体" w:cs="宋体"/>
                <w:b/>
                <w:bCs/>
                <w:sz w:val="24"/>
              </w:rPr>
            </w:r>
            <w:r/>
          </w:p>
        </w:tc>
        <w:tc>
          <w:tcPr>
            <w:tcBorders>
              <w:top w:val="single" w:color="000000" w:sz="4" w:space="0"/>
              <w:left w:val="single" w:color="000000" w:sz="4" w:space="0"/>
              <w:right w:val="single" w:color="000000" w:sz="4" w:space="0"/>
            </w:tcBorders>
            <w:tcW w:w="722"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执行标准</w:t>
            </w:r>
            <w:r>
              <w:rPr>
                <w:rFonts w:hint="eastAsia" w:ascii="宋体" w:hAnsi="宋体" w:cs="宋体"/>
                <w:b/>
                <w:bCs/>
                <w:sz w:val="24"/>
              </w:rPr>
            </w:r>
            <w:r/>
          </w:p>
        </w:tc>
        <w:tc>
          <w:tcPr>
            <w:tcBorders>
              <w:top w:val="single" w:color="000000" w:sz="4" w:space="0"/>
              <w:left w:val="single" w:color="000000" w:sz="4" w:space="0"/>
              <w:right w:val="single" w:color="000000" w:sz="4" w:space="0"/>
            </w:tcBorders>
            <w:tcW w:w="854"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达标要求</w:t>
            </w: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712" w:type="pct"/>
            <w:vAlign w:val="center"/>
            <w:textDirection w:val="lrTb"/>
            <w:noWrap w:val="false"/>
          </w:tcPr>
          <w:p>
            <w:pPr>
              <w:pStyle w:val="1078"/>
              <w:jc w:val="center"/>
              <w:spacing w:line="400" w:lineRule="exact"/>
              <w:widowControl/>
              <w:rPr>
                <w:rFonts w:hint="eastAsia" w:ascii="宋体" w:hAnsi="宋体" w:cs="宋体"/>
                <w:b/>
                <w:bCs/>
                <w:sz w:val="24"/>
                <w:lang w:bidi="ar"/>
              </w:rPr>
            </w:pPr>
            <w:r>
              <w:rPr>
                <w:rFonts w:hint="eastAsia" w:ascii="宋体" w:hAnsi="宋体" w:cs="宋体"/>
                <w:b/>
                <w:bCs/>
                <w:sz w:val="24"/>
                <w:lang w:bidi="ar"/>
              </w:rPr>
              <w:t xml:space="preserve">考核结论</w:t>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385"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813"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722"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854"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t xml:space="preserve">处罚</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t xml:space="preserve">奖励</w:t>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建立月工作计划与总结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有详细书面方案或工作安排（月计划）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有明确时间、工作内容、编制人、责任人等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每月召开工作例会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每月不少于一次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有具体可操作性的下月工作安排、总结当月不足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有年度工作总结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书面方式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内容详实，要求有相关精准数据支撑</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建立运维工作组织构架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明确人员分工、责任人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人员到位、责职明确、岗位明确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缺岗300元/人/天</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建立安全、业务学习日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每月不少于二次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有安全培训、业务学习、制度学习、现场交底或观摩等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建立能耗报表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电子版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有月报、年报、同期对比图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建立各类应急预案、有演练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结合各专业、工作实际制订或修订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每年不少于二次不同专业的演练（剧本、总结）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缺预案200元/次，缺演练500/次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岗位值班</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人员在岗在位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不脱岗，会操作会应急</w:t>
            </w:r>
            <w:r/>
          </w:p>
          <w:p>
            <w:pPr>
              <w:pStyle w:val="1078"/>
              <w:jc w:val="left"/>
              <w:spacing w:line="400" w:lineRule="exact"/>
              <w:widowControl/>
              <w:rPr>
                <w:rFonts w:hint="eastAsia" w:ascii="宋体" w:hAnsi="宋体" w:cs="宋体"/>
                <w:sz w:val="24"/>
                <w:lang w:bidi="ar"/>
              </w:rPr>
            </w:pPr>
            <w:r>
              <w:rPr>
                <w:rFonts w:hint="eastAsia" w:ascii="宋体" w:hAnsi="宋体" w:cs="宋体"/>
                <w:bCs/>
                <w:sz w:val="24"/>
              </w:rPr>
              <w:t xml:space="preserve">擅自变更或逾期执行的</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脱岗500元/次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申诉未成的100元/次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奖励500-1000元/项</w:t>
            </w:r>
            <w:r/>
          </w:p>
        </w:tc>
      </w:tr>
      <w:tr>
        <w:trPr>
          <w:cantSplit/>
          <w:trHeight w:val="170"/>
        </w:trPr>
        <w:tc>
          <w:tcPr>
            <w:tcBorders>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（二）给水系统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外场给水全系统维修维护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每年巡查二次，其中维护一次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阀门完好；无跑冒滴漏；能轻松开启；如有过滤器应清冼等。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外场给水阀门井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每年巡查一次（含医院进户总井）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标识标牌清晰；井盖完好；井内无杂物</w:t>
            </w:r>
            <w:r>
              <w:rPr>
                <w:rStyle w:val="1334"/>
                <w:color w:val="000000"/>
                <w:sz w:val="24"/>
                <w:szCs w:val="24"/>
                <w:lang w:bidi="ar"/>
              </w:rPr>
              <w:t xml:space="preserve">等，确保井盖开启正常。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Style w:val="1333"/>
                <w:color w:val="000000"/>
                <w:sz w:val="24"/>
                <w:szCs w:val="24"/>
                <w:lang w:bidi="ar"/>
              </w:rPr>
            </w:pPr>
            <w:r>
              <w:rPr>
                <w:rFonts w:hint="eastAsia" w:ascii="宋体" w:hAnsi="宋体" w:cs="宋体"/>
                <w:sz w:val="24"/>
                <w:lang w:bidi="ar"/>
              </w:rPr>
              <w:t xml:space="preserve">未达标50元/处</w:t>
            </w:r>
            <w:r>
              <w:rPr>
                <w:rStyle w:val="1333"/>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Style w:val="1333"/>
                <w:color w:val="000000"/>
                <w:sz w:val="24"/>
                <w:szCs w:val="24"/>
                <w:lang w:bidi="ar"/>
              </w:rPr>
            </w:pPr>
            <w:r>
              <w:rPr>
                <w:rStyle w:val="1333"/>
                <w:color w:val="000000"/>
                <w:sz w:val="24"/>
                <w:szCs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按月建立水表用量数据台账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水表完好；读数清晰；无跑冒滴漏等。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418"/>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无定期巡查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及时发现非正常跑冒滴漏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奖励500元/次</w:t>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室内给水全系统维修维护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给水泵房（3处）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水位是否正常；盖是否上锁；给水设备有无异常；有无渗漏水等。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给水管线（进户至各楼层管井）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生活热水全系统维修维护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要求无渗漏，供水温度满足要求</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热交换机房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水温是否正常；压力是否正常；换热等设备有无异常；有无渗漏水等。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安全阀定期校验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报告合格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遗漏1000元/次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生活热水管线（热交换至各楼层管井）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清洗管线中的过虑器；检查排阀门是否正常；控制阀门轻松开启；无跑冒滴漏；保温完好等。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（三）供电系统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电气全系统维修维护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正常供电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能满足使用需求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无异响；卫生整洁；无发热过流；元器件功能正常；标识清晰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电气线路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线路规范整洁；无过热；外观良好无破损；标识清晰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无异响无漏液；散热良好；记录齐全；正常运行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柴油发电机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每月至少维护启动一次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能启动；台账记账齐全；卫生整洁；标识清晰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（四）中央空调系统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暖通（机房部分)</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Style w:val="1333"/>
                <w:color w:val="000000"/>
                <w:sz w:val="24"/>
                <w:szCs w:val="24"/>
                <w:lang w:bidi="ar"/>
              </w:rPr>
            </w:pPr>
            <w:r>
              <w:rPr>
                <w:rFonts w:hint="eastAsia" w:ascii="宋体" w:hAnsi="宋体" w:cs="宋体"/>
                <w:sz w:val="24"/>
                <w:lang w:bidi="ar"/>
              </w:rPr>
              <w:t xml:space="preserve">缺漏或未达标200元/处</w:t>
            </w:r>
            <w:r>
              <w:rPr>
                <w:rStyle w:val="1333"/>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Style w:val="1333"/>
                <w:color w:val="000000"/>
                <w:sz w:val="24"/>
                <w:szCs w:val="24"/>
                <w:lang w:bidi="ar"/>
              </w:rPr>
            </w:pPr>
            <w:r>
              <w:rPr>
                <w:rStyle w:val="1333"/>
                <w:color w:val="000000"/>
                <w:sz w:val="24"/>
                <w:szCs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无异响；无跑冒滴漏；润滑到位；塔内无杂物垃圾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设备运行记录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台账齐全；记录清晰；数据准确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主机设备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遵循设备原厂建议的保养周期和操作规范。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中央空调全系统</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半年不少于保养一次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Style w:val="1333"/>
                <w:color w:val="000000"/>
                <w:sz w:val="24"/>
                <w:szCs w:val="24"/>
                <w:lang w:bidi="ar"/>
              </w:rPr>
            </w:pPr>
            <w:r>
              <w:rPr>
                <w:rFonts w:hint="eastAsia" w:ascii="宋体" w:hAnsi="宋体" w:cs="宋体"/>
                <w:sz w:val="24"/>
                <w:lang w:bidi="ar"/>
              </w:rPr>
              <w:t xml:space="preserve">缺漏或未达标100元/处</w:t>
            </w:r>
            <w:r>
              <w:rPr>
                <w:rStyle w:val="1333"/>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Style w:val="1333"/>
                <w:color w:val="000000"/>
                <w:sz w:val="24"/>
                <w:szCs w:val="24"/>
                <w:lang w:bidi="ar"/>
              </w:rPr>
            </w:pPr>
            <w:r>
              <w:rPr>
                <w:rStyle w:val="1333"/>
                <w:color w:val="000000"/>
                <w:sz w:val="24"/>
                <w:szCs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一年不少于保养两次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无明显积灰；无脏堵；无异响；风口安装牢固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正常运行；无异响；机房及机组内干净整洁；出风符合要求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正常运行；无异响；出风符合要求；标识清晰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缺漏或未达标300元/处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普通排风系统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无异味；无异响，正常运行；风口安装牢固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bl>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七、报价方式</w:t>
      </w:r>
      <w:r/>
    </w:p>
    <w:p>
      <w:pPr>
        <w:pStyle w:val="1175"/>
        <w:contextualSpacing/>
        <w:ind w:firstLine="480"/>
        <w:spacing w:line="400" w:lineRule="exact"/>
        <w:tabs>
          <w:tab w:val="left" w:pos="567" w:leader="none"/>
        </w:tabs>
        <w:rPr>
          <w:rFonts w:hint="eastAsia" w:ascii="宋体" w:hAnsi="宋体" w:cs="宋体"/>
          <w:sz w:val="24"/>
          <w:szCs w:val="24"/>
        </w:rPr>
      </w:pPr>
      <w:r>
        <w:rPr>
          <w:rFonts w:hint="eastAsia" w:ascii="宋体" w:hAnsi="宋体" w:cs="宋体"/>
          <w:sz w:val="24"/>
          <w:szCs w:val="24"/>
        </w:rPr>
        <w:t xml:space="preserve">本项目投标报价为</w:t>
      </w:r>
      <w:r>
        <w:rPr>
          <w:rFonts w:hint="eastAsia" w:ascii="宋体" w:hAnsi="宋体" w:cs="宋体"/>
          <w:b/>
          <w:sz w:val="24"/>
          <w:szCs w:val="24"/>
          <w:u w:val="single"/>
        </w:rPr>
        <w:t xml:space="preserve">固定总价</w:t>
      </w:r>
      <w:r>
        <w:rPr>
          <w:rFonts w:hint="eastAsia" w:ascii="宋体" w:hAnsi="宋体" w:cs="宋体"/>
          <w:sz w:val="24"/>
          <w:szCs w:val="24"/>
        </w:rPr>
        <w:t xml:space="preserve">，磋商总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75"/>
        <w:contextualSpacing/>
        <w:ind w:firstLine="480"/>
        <w:spacing w:line="400" w:lineRule="exact"/>
        <w:tabs>
          <w:tab w:val="left" w:pos="567" w:leader="none"/>
        </w:tabs>
        <w:rPr>
          <w:rFonts w:hint="eastAsia" w:ascii="宋体" w:hAnsi="宋体" w:cs="宋体"/>
          <w:sz w:val="24"/>
          <w:szCs w:val="24"/>
        </w:rPr>
      </w:pPr>
      <w:r>
        <w:rPr>
          <w:rFonts w:hint="eastAsia" w:ascii="宋体" w:hAnsi="宋体" w:cs="宋体"/>
          <w:sz w:val="24"/>
          <w:szCs w:val="24"/>
        </w:rPr>
        <w:t xml:space="preserve">报价货币为人民币，评标时以人民币为准。</w:t>
      </w:r>
      <w:r/>
    </w:p>
    <w:p>
      <w:pPr>
        <w:pStyle w:val="1175"/>
        <w:contextualSpacing/>
        <w:ind w:firstLine="562"/>
        <w:spacing w:line="400" w:lineRule="exact"/>
        <w:tabs>
          <w:tab w:val="left" w:pos="567" w:leader="none"/>
        </w:tabs>
        <w:rPr>
          <w:rFonts w:hint="eastAsia" w:ascii="宋体" w:hAnsi="宋体" w:cs="宋体"/>
          <w:b/>
          <w:bCs/>
          <w:i/>
          <w:sz w:val="28"/>
          <w:szCs w:val="24"/>
        </w:rPr>
      </w:pPr>
      <w:r>
        <w:rPr>
          <w:rFonts w:hint="eastAsia" w:ascii="宋体" w:hAnsi="宋体" w:cs="宋体"/>
          <w:b/>
          <w:i/>
          <w:sz w:val="28"/>
          <w:szCs w:val="24"/>
        </w:rPr>
        <w:t xml:space="preserve">★注：①本合同合同期内费用一律不予调整，中标人已考虑合同期内的物价、政策等所有风险因素，在投标时已预测并纳入成交总价中。合同期内如果因紧急维修工作增派人员的，</w:t>
      </w:r>
      <w:r>
        <w:rPr>
          <w:rFonts w:hint="eastAsia" w:ascii="宋体" w:hAnsi="宋体" w:cs="宋体"/>
          <w:b/>
          <w:bCs/>
          <w:i/>
          <w:sz w:val="28"/>
          <w:szCs w:val="24"/>
        </w:rPr>
        <w:t xml:space="preserve">中标人必须无条件服从并在维修时限内完成维修工作。</w:t>
      </w:r>
      <w:r/>
    </w:p>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（投标人应在投标文件中提供承诺函，未提供视为无效响应）</w:t>
      </w:r>
      <w:r/>
    </w:p>
    <w:p>
      <w:pPr>
        <w:pStyle w:val="1078"/>
        <w:ind w:firstLine="482"/>
        <w:spacing w:line="400" w:lineRule="exact"/>
        <w:rPr>
          <w:rFonts w:hint="eastAsia" w:ascii="宋体" w:hAnsi="宋体" w:cs="宋体"/>
          <w:sz w:val="24"/>
        </w:rPr>
      </w:pPr>
      <w:r>
        <w:rPr>
          <w:rFonts w:hint="eastAsia" w:ascii="宋体" w:hAnsi="宋体" w:cs="宋体"/>
          <w:b/>
          <w:bCs/>
          <w:sz w:val="24"/>
        </w:rPr>
        <w:t xml:space="preserve">八、服务期限：</w:t>
      </w:r>
      <w:r>
        <w:rPr>
          <w:rFonts w:hint="eastAsia" w:ascii="宋体" w:hAnsi="宋体" w:cs="宋体"/>
          <w:sz w:val="24"/>
        </w:rPr>
        <w:t xml:space="preserve">三年，合同一年一签。其中：前三个月为试用期，试用期满须经甲方考核，考核不合格，甲方有权解除合同。</w:t>
      </w:r>
      <w:r/>
    </w:p>
    <w:p>
      <w:pPr>
        <w:pStyle w:val="1175"/>
        <w:contextualSpacing/>
        <w:ind w:firstLine="482"/>
        <w:spacing w:line="400" w:lineRule="exact"/>
        <w:tabs>
          <w:tab w:val="left" w:pos="567" w:leader="none"/>
        </w:tabs>
        <w:rPr>
          <w:rFonts w:hint="eastAsia" w:ascii="宋体" w:hAnsi="宋体" w:cs="宋体"/>
          <w:b/>
          <w:bCs/>
          <w:sz w:val="24"/>
          <w:szCs w:val="24"/>
        </w:rPr>
      </w:pPr>
      <w:r>
        <w:rPr>
          <w:rFonts w:hint="eastAsia" w:ascii="宋体" w:hAnsi="宋体" w:cs="宋体"/>
          <w:b/>
          <w:bCs/>
          <w:sz w:val="24"/>
          <w:szCs w:val="24"/>
        </w:rPr>
        <w:t xml:space="preserve">九、付款方式</w:t>
      </w:r>
      <w:r/>
    </w:p>
    <w:p>
      <w:pPr>
        <w:pStyle w:val="1078"/>
        <w:ind w:firstLine="482"/>
        <w:jc w:val="left"/>
        <w:spacing w:line="400" w:lineRule="exact"/>
        <w:rPr>
          <w:rFonts w:hint="eastAsia" w:ascii="宋体" w:hAnsi="宋体" w:cs="宋体"/>
          <w:b/>
          <w:bCs/>
          <w:sz w:val="24"/>
        </w:rPr>
      </w:pPr>
      <w:r>
        <w:rPr>
          <w:rFonts w:hint="eastAsia" w:ascii="宋体" w:hAnsi="宋体" w:cs="宋体"/>
          <w:b/>
          <w:bCs/>
          <w:sz w:val="24"/>
        </w:rPr>
        <w:t xml:space="preserve">（一）履约保证金</w:t>
      </w:r>
      <w:r/>
    </w:p>
    <w:p>
      <w:pPr>
        <w:pStyle w:val="1078"/>
        <w:ind w:firstLine="480"/>
        <w:jc w:val="left"/>
        <w:spacing w:line="400" w:lineRule="exact"/>
        <w:rPr>
          <w:rFonts w:hint="eastAsia" w:ascii="宋体" w:hAnsi="宋体" w:cs="宋体"/>
          <w:sz w:val="24"/>
        </w:rPr>
      </w:pPr>
      <w:r>
        <w:rPr>
          <w:rFonts w:hint="eastAsia" w:ascii="宋体" w:hAnsi="宋体" w:cs="宋体"/>
          <w:sz w:val="24"/>
        </w:rPr>
        <w:t xml:space="preserve">履约保证金的缴纳：签订合同前，中标人向采购人支付中标金额5%的履约保证金（可提供金融机构、担保机构出具的保函）。</w:t>
      </w:r>
      <w:r/>
    </w:p>
    <w:p>
      <w:pPr>
        <w:pStyle w:val="1078"/>
        <w:ind w:firstLine="480"/>
        <w:jc w:val="left"/>
        <w:spacing w:line="400" w:lineRule="exact"/>
        <w:rPr>
          <w:rFonts w:hint="eastAsia" w:ascii="宋体" w:hAnsi="宋体" w:cs="宋体"/>
          <w:sz w:val="24"/>
        </w:rPr>
      </w:pPr>
      <w:r>
        <w:rPr>
          <w:rFonts w:hint="eastAsia" w:ascii="宋体" w:hAnsi="宋体" w:cs="宋体"/>
          <w:sz w:val="24"/>
        </w:rPr>
        <w:t xml:space="preserve">履约保证金（履约保函）的退还：在履约结束后15日内，采购人将履约保证金（履约保函）退还中标人（无息）。</w:t>
      </w:r>
      <w:r/>
    </w:p>
    <w:p>
      <w:pPr>
        <w:pStyle w:val="1078"/>
        <w:ind w:firstLine="482"/>
        <w:jc w:val="left"/>
        <w:spacing w:line="400" w:lineRule="exact"/>
        <w:rPr>
          <w:rFonts w:hint="eastAsia" w:ascii="宋体" w:hAnsi="宋体" w:cs="宋体"/>
          <w:b/>
          <w:bCs/>
          <w:sz w:val="24"/>
        </w:rPr>
      </w:pPr>
      <w:r>
        <w:rPr>
          <w:rFonts w:hint="eastAsia" w:ascii="宋体" w:hAnsi="宋体" w:cs="宋体"/>
          <w:b/>
          <w:bCs/>
          <w:sz w:val="24"/>
        </w:rPr>
        <w:t xml:space="preserve">（二）费用结算</w:t>
      </w:r>
      <w:r/>
    </w:p>
    <w:p>
      <w:pPr>
        <w:pStyle w:val="1078"/>
        <w:ind w:firstLine="480"/>
        <w:jc w:val="left"/>
        <w:spacing w:line="400" w:lineRule="exact"/>
        <w:rPr>
          <w:rFonts w:hint="eastAsia" w:ascii="宋体" w:hAnsi="宋体" w:cs="宋体"/>
          <w:sz w:val="24"/>
        </w:rPr>
      </w:pPr>
      <w:r>
        <w:rPr>
          <w:rFonts w:hint="eastAsia" w:ascii="宋体" w:hAnsi="宋体" w:cs="宋体"/>
          <w:sz w:val="24"/>
        </w:rPr>
        <w:t xml:space="preserve">服务费用按月结算，采购人于每月结束后10日内对中标人考核，并依据考核结果支付上月服务费，中标人持相关材料至医院管理部门结算上月管理费用，中标人需出具税务部门认可的发票。</w:t>
      </w:r>
      <w:r/>
    </w:p>
    <w:p>
      <w:pPr>
        <w:pStyle w:val="1078"/>
        <w:contextualSpacing/>
        <w:ind w:firstLine="480"/>
        <w:spacing w:line="360" w:lineRule="auto"/>
        <w:rPr>
          <w:rFonts w:ascii="宋体" w:hAnsi="宋体"/>
          <w:sz w:val="24"/>
        </w:rPr>
      </w:pPr>
      <w:r>
        <w:rPr>
          <w:rFonts w:ascii="宋体" w:hAnsi="宋体"/>
          <w:sz w:val="24"/>
        </w:rPr>
      </w:r>
      <w:r/>
    </w:p>
    <w:p>
      <w:pPr>
        <w:pStyle w:val="1078"/>
        <w:jc w:val="left"/>
        <w:widowControl/>
        <w:rPr>
          <w:rFonts w:ascii="宋体" w:hAnsi="宋体"/>
          <w:b/>
          <w:sz w:val="36"/>
          <w:szCs w:val="36"/>
        </w:rPr>
      </w:pPr>
      <w:r>
        <w:rPr>
          <w:rFonts w:ascii="宋体" w:hAnsi="宋体"/>
          <w:b/>
          <w:sz w:val="36"/>
          <w:szCs w:val="36"/>
        </w:rPr>
      </w:r>
      <w:r/>
    </w:p>
    <w:p>
      <w:pPr>
        <w:pStyle w:val="1078"/>
        <w:jc w:val="center"/>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bookmarkStart w:id="816" w:name="_Toc99301425"/>
      <w:r>
        <w:rPr>
          <w:rFonts w:ascii="宋体" w:hAnsi="宋体"/>
          <w:b/>
          <w:sz w:val="36"/>
          <w:szCs w:val="36"/>
        </w:rPr>
      </w:r>
      <w:r/>
    </w:p>
    <w:p>
      <w:pPr>
        <w:pStyle w:val="1078"/>
        <w:jc w:val="center"/>
        <w:spacing w:line="360" w:lineRule="auto"/>
        <w:rPr>
          <w:rFonts w:ascii="宋体" w:hAnsi="宋体"/>
          <w:b/>
          <w:sz w:val="36"/>
          <w:szCs w:val="36"/>
        </w:rPr>
        <w:outlineLvl w:val="0"/>
      </w:pPr>
      <w:r>
        <w:rPr>
          <w:rFonts w:ascii="宋体" w:hAnsi="宋体"/>
          <w:b/>
          <w:sz w:val="36"/>
          <w:szCs w:val="36"/>
        </w:rPr>
        <w:t xml:space="preserve">第六章   拟签订的合同文本</w:t>
      </w:r>
      <w:bookmarkEnd w:id="816"/>
      <w:r>
        <w:rPr>
          <w:rFonts w:ascii="宋体" w:hAnsi="宋体"/>
          <w:b/>
          <w:sz w:val="36"/>
          <w:szCs w:val="36"/>
        </w:rPr>
      </w:r>
      <w:r/>
    </w:p>
    <w:p>
      <w:pPr>
        <w:pStyle w:val="1118"/>
        <w:spacing w:line="400" w:lineRule="exact"/>
        <w:rPr>
          <w:rFonts w:cs="宋体"/>
          <w:sz w:val="24"/>
          <w:szCs w:val="24"/>
        </w:rPr>
      </w:pPr>
      <w:r>
        <w:rPr>
          <w:rFonts w:cs="宋体"/>
          <w:b/>
          <w:sz w:val="24"/>
          <w:szCs w:val="24"/>
          <w:lang w:val="zh-CN"/>
        </w:rPr>
        <w:t xml:space="preserve">采购人（以下称甲</w:t>
      </w:r>
      <w:r>
        <w:rPr>
          <w:rFonts w:cs="宋体"/>
          <w:b/>
          <w:sz w:val="24"/>
          <w:szCs w:val="24"/>
        </w:rPr>
        <w:t xml:space="preserve">方）:                       </w:t>
      </w:r>
      <w:r>
        <w:rPr>
          <w:rFonts w:cs="宋体"/>
          <w:sz w:val="24"/>
          <w:szCs w:val="24"/>
        </w:rPr>
        <w:t xml:space="preserve">合同编号：</w:t>
      </w:r>
      <w:r/>
    </w:p>
    <w:p>
      <w:pPr>
        <w:pStyle w:val="1118"/>
        <w:spacing w:line="400" w:lineRule="exact"/>
        <w:rPr>
          <w:rFonts w:cs="宋体"/>
          <w:sz w:val="24"/>
          <w:szCs w:val="24"/>
          <w:u w:val="single"/>
        </w:rPr>
      </w:pPr>
      <w:r>
        <w:rPr>
          <w:rFonts w:cs="宋体"/>
          <w:b/>
          <w:sz w:val="24"/>
          <w:szCs w:val="24"/>
        </w:rPr>
        <w:t xml:space="preserve">供应商（</w:t>
      </w:r>
      <w:r>
        <w:rPr>
          <w:rFonts w:cs="宋体"/>
          <w:b/>
          <w:sz w:val="24"/>
          <w:szCs w:val="24"/>
          <w:lang w:val="zh-CN"/>
        </w:rPr>
        <w:t xml:space="preserve">以下称</w:t>
      </w:r>
      <w:r>
        <w:rPr>
          <w:rFonts w:cs="宋体"/>
          <w:b/>
          <w:sz w:val="24"/>
          <w:szCs w:val="24"/>
        </w:rPr>
        <w:t xml:space="preserve">乙方）:                       </w:t>
      </w:r>
      <w:r>
        <w:rPr>
          <w:rFonts w:cs="宋体"/>
          <w:sz w:val="24"/>
          <w:szCs w:val="24"/>
        </w:rPr>
        <w:t xml:space="preserve">签订地点：</w:t>
      </w:r>
      <w:r>
        <w:rPr>
          <w:rFonts w:cs="宋体"/>
          <w:sz w:val="24"/>
          <w:szCs w:val="24"/>
          <w:u w:val="single"/>
        </w:rPr>
      </w:r>
      <w:r/>
    </w:p>
    <w:p>
      <w:pPr>
        <w:pStyle w:val="1093"/>
        <w:ind w:firstLine="5280"/>
        <w:spacing w:line="400" w:lineRule="exact"/>
        <w:rPr>
          <w:rFonts w:hAnsi="宋体" w:cs="宋体"/>
          <w:b/>
        </w:rPr>
      </w:pPr>
      <w:r>
        <w:rPr>
          <w:rFonts w:hint="eastAsia" w:hAnsi="宋体" w:cs="宋体"/>
        </w:rPr>
        <w:t xml:space="preserve">合同时间</w:t>
      </w:r>
      <w:r>
        <w:rPr>
          <w:rFonts w:hint="eastAsia" w:cs="宋体"/>
        </w:rPr>
        <w:t xml:space="preserve">：</w:t>
      </w:r>
      <w:r>
        <w:rPr>
          <w:rFonts w:hint="eastAsia" w:hAnsi="宋体" w:cs="宋体"/>
          <w:u w:val="single"/>
        </w:rPr>
        <w:t xml:space="preserve">    年   月   日</w:t>
      </w:r>
      <w:r>
        <w:rPr>
          <w:rFonts w:hAnsi="宋体" w:cs="宋体"/>
          <w:b/>
        </w:rPr>
      </w:r>
      <w:r/>
    </w:p>
    <w:p>
      <w:pPr>
        <w:pStyle w:val="1118"/>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1118"/>
        <w:ind w:firstLine="482"/>
        <w:spacing w:line="360" w:lineRule="auto"/>
        <w:rPr>
          <w:rFonts w:hAnsi="宋体" w:cs="宋体"/>
          <w:b/>
          <w:sz w:val="24"/>
          <w:szCs w:val="24"/>
        </w:rPr>
      </w:pPr>
      <w:r>
        <w:rPr>
          <w:rFonts w:hAnsi="宋体" w:cs="宋体"/>
          <w:b/>
          <w:sz w:val="24"/>
          <w:szCs w:val="24"/>
        </w:rPr>
        <w:t xml:space="preserve">第一条 合同标的</w:t>
      </w:r>
      <w:r/>
    </w:p>
    <w:p>
      <w:pPr>
        <w:pStyle w:val="1078"/>
        <w:ind w:firstLine="480"/>
        <w:jc w:val="left"/>
        <w:spacing w:line="360" w:lineRule="auto"/>
        <w:widowControl/>
        <w:rPr>
          <w:rFonts w:hint="eastAsia" w:ascii="宋体" w:hAnsi="宋体" w:cs="宋体"/>
          <w:sz w:val="24"/>
        </w:rPr>
      </w:pPr>
      <w:r>
        <w:rPr>
          <w:rFonts w:hint="eastAsia" w:ascii="宋体" w:hAnsi="宋体" w:cs="宋体"/>
          <w:sz w:val="24"/>
          <w:lang w:val="zh-CN"/>
        </w:rPr>
        <w:t xml:space="preserve">乙方根据甲方需求提供</w:t>
      </w:r>
      <w:r>
        <w:rPr>
          <w:rFonts w:hint="eastAsia" w:ascii="宋体" w:hAnsi="宋体" w:cs="宋体"/>
          <w:b/>
          <w:bCs/>
          <w:sz w:val="24"/>
          <w:u w:val="single"/>
        </w:rPr>
        <w:t xml:space="preserve"> 北院</w:t>
      </w:r>
      <w:r>
        <w:rPr>
          <w:rFonts w:hint="eastAsia" w:ascii="宋体" w:hAnsi="宋体" w:cs="宋体"/>
          <w:b/>
          <w:bCs/>
          <w:sz w:val="24"/>
          <w:u w:val="single"/>
          <w:lang w:val="zh-CN"/>
        </w:rPr>
        <w:t xml:space="preserve">后勤运维托管服务</w:t>
      </w:r>
      <w:r>
        <w:rPr>
          <w:rFonts w:hint="eastAsia" w:ascii="宋体" w:hAnsi="宋体" w:cs="宋体"/>
          <w:b/>
          <w:bCs/>
          <w:sz w:val="24"/>
          <w:u w:val="single"/>
        </w:rPr>
        <w:t xml:space="preserve"> </w:t>
      </w:r>
      <w:r>
        <w:rPr>
          <w:rFonts w:hint="eastAsia" w:ascii="宋体" w:hAnsi="宋体" w:cs="宋体"/>
          <w:sz w:val="24"/>
          <w:lang w:val="zh-CN"/>
        </w:rPr>
        <w:t xml:space="preserve">，</w:t>
      </w:r>
      <w:r>
        <w:rPr>
          <w:rFonts w:hint="eastAsia" w:ascii="宋体" w:hAnsi="宋体" w:cs="宋体"/>
          <w:sz w:val="24"/>
        </w:rPr>
        <w:t xml:space="preserve">包含北院</w:t>
      </w:r>
      <w:r>
        <w:rPr>
          <w:rFonts w:hint="eastAsia" w:ascii="宋体" w:hAnsi="宋体" w:cs="宋体"/>
          <w:sz w:val="24"/>
          <w:lang w:val="zh-CN"/>
        </w:rPr>
        <w:t xml:space="preserve">后勤总务相关各专业日常运行维护等工作，</w:t>
      </w:r>
      <w:r>
        <w:rPr>
          <w:rFonts w:hint="eastAsia" w:ascii="宋体" w:hAnsi="宋体" w:cs="宋体"/>
          <w:sz w:val="24"/>
        </w:rPr>
        <w:t xml:space="preserve">具体范围如下：</w:t>
      </w:r>
      <w:r/>
    </w:p>
    <w:p>
      <w:pPr>
        <w:pStyle w:val="1078"/>
        <w:ind w:firstLine="480"/>
        <w:jc w:val="left"/>
        <w:spacing w:line="360" w:lineRule="auto"/>
        <w:widowControl/>
        <w:rPr>
          <w:rFonts w:ascii="宋体" w:hAnsi="宋体" w:cs="宋体"/>
          <w:sz w:val="24"/>
        </w:rPr>
      </w:pPr>
      <w:r>
        <w:rPr>
          <w:rFonts w:ascii="宋体" w:hAnsi="宋体" w:cs="宋体"/>
          <w:sz w:val="24"/>
        </w:rPr>
        <w:t xml:space="preserve">1.供电系统：从院各变压器后端开关至末端所有的线路、电箱（柜）、开关、插座等全系统维修维护。强电：从各建筑物电源进户点（含总开关）起至末端所有的线路、开关、插座等全系统维修维护。</w:t>
      </w:r>
      <w:r/>
    </w:p>
    <w:p>
      <w:pPr>
        <w:pStyle w:val="1078"/>
        <w:ind w:firstLine="480"/>
        <w:jc w:val="left"/>
        <w:spacing w:line="360" w:lineRule="auto"/>
        <w:widowControl/>
        <w:rPr>
          <w:rFonts w:ascii="宋体" w:hAnsi="宋体" w:cs="宋体"/>
          <w:sz w:val="24"/>
        </w:rPr>
      </w:pPr>
      <w:r>
        <w:rPr>
          <w:rFonts w:ascii="宋体" w:hAnsi="宋体" w:cs="宋体"/>
          <w:sz w:val="24"/>
        </w:rPr>
        <w:t xml:space="preserve">2.给水系统：从供水公司进户水表起至末端各用水点所有管线、阀门、各类洁具、马桶等全系统维修维护。包括不仅限于医院各生活水泵房二次供水设备设施、管线等正常运行维护，及各生活水箱的清冼消毒。</w:t>
      </w:r>
      <w:r>
        <w:rPr>
          <w:rFonts w:ascii="宋体" w:hAnsi="宋体" w:cs="宋体"/>
          <w:b/>
          <w:bCs/>
          <w:sz w:val="24"/>
        </w:rPr>
        <w:t xml:space="preserve">并含水泵房的巡值服务。</w:t>
      </w:r>
      <w:r>
        <w:rPr>
          <w:rFonts w:ascii="宋体" w:hAnsi="宋体" w:cs="宋体"/>
          <w:sz w:val="24"/>
        </w:rPr>
      </w:r>
      <w:r/>
    </w:p>
    <w:p>
      <w:pPr>
        <w:pStyle w:val="1078"/>
        <w:ind w:firstLine="480"/>
        <w:jc w:val="left"/>
        <w:spacing w:line="360" w:lineRule="auto"/>
        <w:widowControl/>
        <w:rPr>
          <w:rFonts w:ascii="宋体" w:hAnsi="宋体" w:cs="宋体"/>
          <w:sz w:val="24"/>
        </w:rPr>
      </w:pPr>
      <w:r>
        <w:rPr>
          <w:rFonts w:ascii="宋体" w:hAnsi="宋体" w:cs="宋体"/>
          <w:sz w:val="24"/>
        </w:rPr>
        <w:t xml:space="preserve">3.中央空调系统：全系统的维修维护，包括不仅限于室内外各供回水管线、风机盘管、各阀门、保温、末端控制面板以及末端中央空调机房的BA系统控制等维修维护，以及风口、盘管滤网等清冼。</w:t>
      </w:r>
      <w:r>
        <w:rPr>
          <w:rFonts w:ascii="宋体" w:hAnsi="宋体" w:cs="宋体"/>
          <w:b/>
          <w:bCs/>
          <w:sz w:val="24"/>
        </w:rPr>
        <w:t xml:space="preserve">并含中央空调机房值班服务。</w:t>
      </w:r>
      <w:r>
        <w:rPr>
          <w:rFonts w:ascii="宋体" w:hAnsi="宋体" w:cs="宋体"/>
          <w:sz w:val="24"/>
        </w:rPr>
      </w:r>
      <w:r/>
    </w:p>
    <w:p>
      <w:pPr>
        <w:pStyle w:val="1078"/>
        <w:ind w:firstLine="480"/>
        <w:jc w:val="left"/>
        <w:spacing w:line="360" w:lineRule="auto"/>
        <w:widowControl/>
        <w:rPr>
          <w:rFonts w:ascii="宋体" w:hAnsi="宋体" w:cs="宋体"/>
          <w:sz w:val="24"/>
        </w:rPr>
      </w:pPr>
      <w:r>
        <w:rPr>
          <w:rFonts w:ascii="宋体" w:hAnsi="宋体" w:cs="宋体"/>
          <w:sz w:val="24"/>
        </w:rPr>
        <w:t xml:space="preserve">4.新风系统：全系统维修维护，包括不仅限于各类新风机运行、管线、滤网清冼、电气与风管、保温等维修。</w:t>
      </w:r>
      <w:r/>
    </w:p>
    <w:p>
      <w:pPr>
        <w:pStyle w:val="1078"/>
        <w:ind w:firstLine="480"/>
        <w:jc w:val="left"/>
        <w:spacing w:line="360" w:lineRule="auto"/>
        <w:widowControl/>
        <w:rPr>
          <w:rFonts w:ascii="宋体" w:hAnsi="宋体" w:cs="宋体"/>
          <w:sz w:val="24"/>
        </w:rPr>
      </w:pPr>
      <w:r>
        <w:rPr>
          <w:rFonts w:ascii="宋体" w:hAnsi="宋体" w:cs="宋体"/>
          <w:sz w:val="24"/>
        </w:rPr>
        <w:t xml:space="preserve">5.雨水系统：从各建筑物屋面收集口及各道路雨水篦子口至各市政雨水出口，全系统的维护维修，包括不仅限于各井、收集口部等清理疏通，以及雨水收集池、雨水应急池等全系统的运行维护。</w:t>
      </w:r>
      <w:r/>
    </w:p>
    <w:p>
      <w:pPr>
        <w:pStyle w:val="1078"/>
        <w:ind w:firstLine="480"/>
        <w:jc w:val="left"/>
        <w:spacing w:line="360" w:lineRule="auto"/>
        <w:widowControl/>
        <w:rPr>
          <w:rFonts w:ascii="宋体" w:hAnsi="宋体" w:cs="宋体"/>
          <w:sz w:val="24"/>
        </w:rPr>
      </w:pPr>
      <w:r>
        <w:rPr>
          <w:rFonts w:ascii="宋体" w:hAnsi="宋体" w:cs="宋体"/>
          <w:sz w:val="24"/>
        </w:rPr>
        <w:t xml:space="preserve">6.污水系统：从各用水点起至污水站，各室内、外的管线、管井的全系统的清理疏通，包括隔油池清理疏通清运。</w:t>
      </w:r>
      <w:r/>
    </w:p>
    <w:p>
      <w:pPr>
        <w:pStyle w:val="1078"/>
        <w:ind w:firstLine="480"/>
        <w:jc w:val="left"/>
        <w:spacing w:line="360" w:lineRule="auto"/>
        <w:widowControl/>
        <w:rPr>
          <w:rFonts w:ascii="宋体" w:hAnsi="宋体" w:cs="宋体"/>
          <w:sz w:val="24"/>
        </w:rPr>
      </w:pPr>
      <w:r>
        <w:rPr>
          <w:rFonts w:ascii="宋体" w:hAnsi="宋体" w:cs="宋体"/>
          <w:sz w:val="24"/>
        </w:rPr>
        <w:t xml:space="preserve">7.外场灌溉系统：全系统的维护维修及运行，包括大小中庭灌溉等运行维护。</w:t>
      </w:r>
      <w:r/>
    </w:p>
    <w:p>
      <w:pPr>
        <w:pStyle w:val="1078"/>
        <w:ind w:firstLine="480"/>
        <w:jc w:val="left"/>
        <w:spacing w:line="360" w:lineRule="auto"/>
        <w:widowControl/>
        <w:rPr>
          <w:rFonts w:ascii="宋体" w:hAnsi="宋体" w:cs="宋体"/>
          <w:sz w:val="24"/>
        </w:rPr>
      </w:pPr>
      <w:r>
        <w:rPr>
          <w:rFonts w:ascii="宋体" w:hAnsi="宋体" w:cs="宋体"/>
          <w:sz w:val="24"/>
        </w:rPr>
        <w:t xml:space="preserve">8.生活热水系统：全系统的维护维修，除热水锅炉等大型设备外，包括不仅限于各管线、阀门、电气控制、末端电磁阀、水控系统等。</w:t>
      </w:r>
      <w:r>
        <w:rPr>
          <w:rFonts w:ascii="宋体" w:hAnsi="宋体" w:cs="宋体"/>
          <w:b/>
          <w:bCs/>
          <w:sz w:val="24"/>
        </w:rPr>
        <w:t xml:space="preserve">并含锅炉房的值班服务。</w:t>
      </w:r>
      <w:r>
        <w:rPr>
          <w:rFonts w:ascii="宋体" w:hAnsi="宋体" w:cs="宋体"/>
          <w:sz w:val="24"/>
        </w:rPr>
      </w:r>
      <w:r/>
    </w:p>
    <w:p>
      <w:pPr>
        <w:pStyle w:val="1078"/>
        <w:ind w:firstLine="480"/>
        <w:jc w:val="left"/>
        <w:spacing w:line="360" w:lineRule="auto"/>
        <w:widowControl/>
        <w:rPr>
          <w:rFonts w:ascii="宋体" w:hAnsi="宋体" w:cs="宋体"/>
          <w:sz w:val="24"/>
        </w:rPr>
      </w:pPr>
      <w:r>
        <w:rPr>
          <w:rFonts w:ascii="宋体" w:hAnsi="宋体" w:cs="宋体"/>
          <w:sz w:val="24"/>
        </w:rPr>
        <w:t xml:space="preserve">9.弱电系统：电话系统从电信交换机至电话机运维，包括线路、跳线、号码分配；有线电视的线路、终端等。</w:t>
      </w:r>
      <w:r/>
    </w:p>
    <w:p>
      <w:pPr>
        <w:pStyle w:val="1078"/>
        <w:ind w:firstLine="480"/>
        <w:jc w:val="left"/>
        <w:spacing w:line="360" w:lineRule="auto"/>
        <w:widowControl/>
        <w:rPr>
          <w:rFonts w:ascii="宋体" w:hAnsi="宋体" w:cs="宋体"/>
          <w:sz w:val="24"/>
        </w:rPr>
      </w:pPr>
      <w:r>
        <w:rPr>
          <w:rFonts w:ascii="宋体" w:hAnsi="宋体" w:cs="宋体"/>
          <w:sz w:val="24"/>
        </w:rPr>
        <w:t xml:space="preserve">10.消防水系统：室内外消防、喷淋的各管线、阀门的维护维修（消防维保部分除外）。</w:t>
      </w:r>
      <w:r/>
    </w:p>
    <w:p>
      <w:pPr>
        <w:pStyle w:val="1078"/>
        <w:ind w:firstLine="480"/>
        <w:jc w:val="left"/>
        <w:spacing w:line="360" w:lineRule="auto"/>
        <w:widowControl/>
        <w:rPr>
          <w:rFonts w:ascii="宋体" w:hAnsi="宋体" w:cs="宋体"/>
          <w:sz w:val="24"/>
        </w:rPr>
      </w:pPr>
      <w:r>
        <w:rPr>
          <w:rFonts w:ascii="宋体" w:hAnsi="宋体" w:cs="宋体"/>
          <w:sz w:val="24"/>
        </w:rPr>
        <w:t xml:space="preserve">11.室外亮化:路灯及楼宇照明等全系统的维修维护。</w:t>
      </w:r>
      <w:r/>
    </w:p>
    <w:p>
      <w:pPr>
        <w:pStyle w:val="1078"/>
        <w:ind w:firstLine="480"/>
        <w:jc w:val="left"/>
        <w:spacing w:line="360" w:lineRule="auto"/>
        <w:widowControl/>
        <w:rPr>
          <w:rFonts w:ascii="宋体" w:hAnsi="宋体" w:cs="宋体"/>
          <w:sz w:val="24"/>
        </w:rPr>
      </w:pPr>
      <w:r>
        <w:rPr>
          <w:rFonts w:ascii="宋体" w:hAnsi="宋体" w:cs="宋体"/>
          <w:sz w:val="24"/>
        </w:rPr>
        <w:t xml:space="preserve">12.氧气系统：液氧塔、气站的</w:t>
      </w:r>
      <w:r>
        <w:rPr>
          <w:rFonts w:ascii="宋体" w:hAnsi="宋体" w:cs="宋体"/>
          <w:b/>
          <w:bCs/>
          <w:sz w:val="24"/>
        </w:rPr>
        <w:t xml:space="preserve">巡值管理服务</w:t>
      </w:r>
      <w:r>
        <w:rPr>
          <w:rFonts w:ascii="宋体" w:hAnsi="宋体" w:cs="宋体"/>
          <w:sz w:val="24"/>
        </w:rPr>
        <w:t xml:space="preserve">。</w:t>
      </w:r>
      <w:r/>
    </w:p>
    <w:p>
      <w:pPr>
        <w:pStyle w:val="1078"/>
        <w:ind w:firstLine="480"/>
        <w:jc w:val="left"/>
        <w:spacing w:line="360" w:lineRule="auto"/>
        <w:widowControl/>
        <w:rPr>
          <w:rFonts w:ascii="宋体" w:hAnsi="宋体" w:cs="宋体"/>
          <w:sz w:val="24"/>
        </w:rPr>
      </w:pPr>
      <w:r>
        <w:rPr>
          <w:rFonts w:ascii="宋体" w:hAnsi="宋体" w:cs="宋体"/>
          <w:sz w:val="24"/>
        </w:rPr>
        <w:t xml:space="preserve">13.其它：不仅限于普通门、门锁、床、陪客椅、窗、窗帘、输液轨道、小电器等其他日常后勤总务维护维修以及零星人工服务。</w:t>
      </w:r>
      <w:r/>
    </w:p>
    <w:p>
      <w:pPr>
        <w:pStyle w:val="1078"/>
        <w:ind w:firstLine="480"/>
        <w:jc w:val="left"/>
        <w:spacing w:line="360" w:lineRule="auto"/>
        <w:widowControl/>
        <w:rPr>
          <w:rFonts w:ascii="宋体" w:hAnsi="宋体" w:cs="宋体"/>
          <w:sz w:val="24"/>
        </w:rPr>
      </w:pPr>
      <w:r>
        <w:rPr>
          <w:rFonts w:ascii="宋体" w:hAnsi="宋体" w:cs="宋体"/>
          <w:sz w:val="24"/>
        </w:rPr>
        <w:t xml:space="preserve">注：</w:t>
      </w:r>
      <w:r/>
    </w:p>
    <w:p>
      <w:pPr>
        <w:pStyle w:val="1078"/>
        <w:ind w:firstLine="480"/>
        <w:jc w:val="left"/>
        <w:spacing w:line="360" w:lineRule="auto"/>
        <w:widowControl/>
        <w:rPr>
          <w:rFonts w:ascii="宋体" w:hAnsi="宋体" w:cs="宋体"/>
          <w:sz w:val="24"/>
        </w:rPr>
      </w:pPr>
      <w:r>
        <w:rPr>
          <w:rFonts w:ascii="宋体" w:hAnsi="宋体" w:cs="宋体"/>
          <w:sz w:val="24"/>
        </w:rPr>
        <w:t xml:space="preserve">①防雷检测、生活水质检测、变电所电试检测、雨污水检测、各类阀门检测等涉及的各类检测，均由医院聘请相应资质的其他第三方负责。</w:t>
      </w:r>
      <w:r/>
    </w:p>
    <w:p>
      <w:pPr>
        <w:pStyle w:val="1078"/>
        <w:ind w:firstLine="480"/>
        <w:jc w:val="left"/>
        <w:spacing w:line="360" w:lineRule="auto"/>
        <w:widowControl/>
        <w:rPr>
          <w:rFonts w:ascii="宋体" w:hAnsi="宋体" w:cs="宋体"/>
          <w:sz w:val="24"/>
        </w:rPr>
      </w:pPr>
      <w:r>
        <w:rPr>
          <w:rFonts w:ascii="宋体" w:hAnsi="宋体" w:cs="宋体"/>
          <w:sz w:val="24"/>
        </w:rPr>
        <w:t xml:space="preserve">②各类维修材料，由医院根据维修需求采购提供。</w:t>
      </w:r>
      <w:r/>
    </w:p>
    <w:p>
      <w:pPr>
        <w:pStyle w:val="1078"/>
        <w:ind w:firstLine="480"/>
        <w:jc w:val="left"/>
        <w:spacing w:line="360" w:lineRule="auto"/>
        <w:widowControl/>
        <w:rPr>
          <w:rFonts w:ascii="宋体" w:hAnsi="宋体" w:cs="宋体"/>
          <w:sz w:val="24"/>
        </w:rPr>
      </w:pPr>
      <w:r>
        <w:rPr>
          <w:rFonts w:ascii="宋体" w:hAnsi="宋体" w:cs="宋体"/>
          <w:sz w:val="24"/>
        </w:rPr>
        <w:t xml:space="preserve">③相对大型设备设施，专业设备等由医院聘请专业公司维修。</w:t>
      </w:r>
      <w:r/>
    </w:p>
    <w:p>
      <w:pPr>
        <w:pStyle w:val="1078"/>
        <w:ind w:firstLine="480"/>
        <w:jc w:val="left"/>
        <w:spacing w:line="360" w:lineRule="auto"/>
        <w:widowControl/>
        <w:rPr>
          <w:rFonts w:ascii="宋体" w:hAnsi="宋体" w:cs="宋体"/>
          <w:sz w:val="24"/>
        </w:rPr>
      </w:pPr>
      <w:r>
        <w:rPr>
          <w:rFonts w:ascii="宋体" w:hAnsi="宋体" w:cs="宋体"/>
          <w:sz w:val="24"/>
        </w:rPr>
        <w:t xml:space="preserve">④污水站、房屋改造、装饰、食堂、保洁等不在本次服务范围。</w:t>
      </w:r>
      <w:r/>
    </w:p>
    <w:p>
      <w:pPr>
        <w:pStyle w:val="1118"/>
        <w:ind w:firstLine="482"/>
        <w:spacing w:line="360" w:lineRule="auto"/>
        <w:rPr>
          <w:rFonts w:hAnsi="宋体" w:cs="宋体"/>
          <w:b/>
          <w:sz w:val="24"/>
          <w:szCs w:val="24"/>
        </w:rPr>
      </w:pPr>
      <w:r>
        <w:rPr>
          <w:rFonts w:hAnsi="宋体" w:cs="宋体"/>
          <w:b/>
          <w:sz w:val="24"/>
          <w:szCs w:val="24"/>
        </w:rPr>
        <w:t xml:space="preserve">第二条 合同价格</w:t>
      </w:r>
      <w:r/>
    </w:p>
    <w:p>
      <w:pPr>
        <w:pStyle w:val="1118"/>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p>
    <w:p>
      <w:pPr>
        <w:pStyle w:val="1118"/>
        <w:ind w:firstLine="480"/>
        <w:spacing w:line="360" w:lineRule="auto"/>
        <w:rPr>
          <w:rFonts w:hAnsi="宋体" w:cs="宋体"/>
          <w:sz w:val="24"/>
          <w:szCs w:val="24"/>
        </w:rPr>
      </w:pPr>
      <w:r>
        <w:rPr>
          <w:rFonts w:hAnsi="宋体" w:cs="宋体"/>
          <w:sz w:val="24"/>
          <w:szCs w:val="24"/>
        </w:rPr>
        <w:t xml:space="preserve">1.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175"/>
        <w:contextualSpacing/>
        <w:ind w:firstLine="480"/>
        <w:spacing w:line="360" w:lineRule="auto"/>
        <w:tabs>
          <w:tab w:val="left" w:pos="567" w:leader="none"/>
        </w:tabs>
        <w:rPr>
          <w:rFonts w:hint="eastAsia" w:ascii="宋体" w:hAnsi="宋体" w:cs="宋体"/>
          <w:bCs/>
          <w:sz w:val="24"/>
          <w:szCs w:val="24"/>
        </w:rPr>
      </w:pPr>
      <w:r>
        <w:rPr>
          <w:rFonts w:hint="eastAsia" w:ascii="宋体" w:hAnsi="宋体" w:cs="宋体"/>
          <w:sz w:val="24"/>
          <w:szCs w:val="24"/>
        </w:rPr>
        <w:t xml:space="preserve">2.本合同合同期内费用一律不予调整，乙方已考虑合同期内的物价、政策等所有风险因素，在投标时已预测并纳入成交总价中。合同期内如果因紧急维修工作需要增派人员的，</w:t>
      </w:r>
      <w:r>
        <w:rPr>
          <w:rFonts w:hint="eastAsia" w:ascii="宋体" w:hAnsi="宋体" w:cs="宋体"/>
          <w:bCs/>
          <w:sz w:val="24"/>
          <w:szCs w:val="24"/>
        </w:rPr>
        <w:t xml:space="preserve">乙方必须无条件服从并在维修时限内完成维修工作。</w:t>
      </w:r>
      <w:r/>
    </w:p>
    <w:p>
      <w:pPr>
        <w:pStyle w:val="1118"/>
        <w:ind w:firstLine="482"/>
        <w:spacing w:line="360" w:lineRule="auto"/>
        <w:rPr>
          <w:rFonts w:hAnsi="宋体" w:cs="宋体"/>
          <w:b/>
          <w:sz w:val="24"/>
          <w:szCs w:val="24"/>
        </w:rPr>
      </w:pPr>
      <w:r>
        <w:rPr>
          <w:rFonts w:hAnsi="宋体" w:cs="宋体"/>
          <w:b/>
          <w:sz w:val="24"/>
          <w:szCs w:val="24"/>
        </w:rPr>
        <w:t xml:space="preserve">第三条 合同履行期限</w:t>
      </w:r>
      <w:r/>
    </w:p>
    <w:p>
      <w:pPr>
        <w:pStyle w:val="1078"/>
        <w:ind w:firstLine="480"/>
        <w:spacing w:line="360" w:lineRule="auto"/>
        <w:rPr>
          <w:rFonts w:ascii="宋体" w:hAnsi="宋体" w:cs="宋体"/>
          <w:sz w:val="24"/>
        </w:rPr>
      </w:pPr>
      <w:r>
        <w:rPr>
          <w:rFonts w:hint="eastAsia" w:ascii="宋体" w:hAnsi="宋体" w:cs="宋体"/>
          <w:sz w:val="24"/>
        </w:rPr>
        <w:t xml:space="preserve">本项目服务期限为三年（   年  月   日-   年  月  日），合同一年一签。本合同履行期限自    年  月  日至   年  月  日。其中：前三个月为试用期，试用期满须经甲方考核，考核不合格，甲方有权解除合同。</w:t>
      </w:r>
      <w:r>
        <w:rPr>
          <w:rFonts w:ascii="宋体" w:hAnsi="宋体" w:cs="宋体"/>
          <w:sz w:val="24"/>
        </w:rPr>
      </w:r>
      <w:r/>
    </w:p>
    <w:p>
      <w:pPr>
        <w:pStyle w:val="1118"/>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1118"/>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1118"/>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1118"/>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1118"/>
        <w:ind w:firstLine="482"/>
        <w:spacing w:line="360" w:lineRule="auto"/>
        <w:rPr>
          <w:rFonts w:hAnsi="宋体" w:cs="宋体"/>
          <w:b/>
          <w:sz w:val="24"/>
          <w:szCs w:val="24"/>
        </w:rPr>
      </w:pPr>
      <w:r>
        <w:rPr>
          <w:rFonts w:hAnsi="宋体" w:cs="宋体"/>
          <w:b/>
          <w:sz w:val="24"/>
          <w:szCs w:val="24"/>
        </w:rPr>
        <w:t xml:space="preserve">第五条 履约保证金</w:t>
      </w:r>
      <w:r>
        <w:rPr>
          <w:rFonts w:hAnsi="宋体" w:cs="宋体"/>
          <w:b/>
          <w:sz w:val="24"/>
          <w:szCs w:val="24"/>
        </w:rPr>
      </w:r>
      <w:r/>
    </w:p>
    <w:p>
      <w:pPr>
        <w:pStyle w:val="1118"/>
        <w:ind w:firstLine="480"/>
        <w:spacing w:line="360" w:lineRule="auto"/>
        <w:rPr>
          <w:rFonts w:hAnsi="宋体" w:cs="宋体"/>
          <w:sz w:val="24"/>
          <w:szCs w:val="24"/>
        </w:rPr>
      </w:pPr>
      <w:r>
        <w:rPr>
          <w:rFonts w:hAnsi="宋体" w:cs="宋体"/>
          <w:sz w:val="24"/>
          <w:szCs w:val="24"/>
        </w:rPr>
        <w:t xml:space="preserve">履约保证金的缴纳：签订合同前，乙方向甲方支付中标金额5%的履约保证金（可提供金融机构、担保机构出具的保函）。</w:t>
      </w:r>
      <w:r/>
    </w:p>
    <w:p>
      <w:pPr>
        <w:pStyle w:val="1118"/>
        <w:ind w:firstLine="480"/>
        <w:spacing w:line="360" w:lineRule="auto"/>
        <w:rPr>
          <w:rFonts w:hAnsi="宋体" w:cs="宋体"/>
          <w:sz w:val="24"/>
          <w:szCs w:val="24"/>
        </w:rPr>
      </w:pPr>
      <w:r>
        <w:rPr>
          <w:rFonts w:hAnsi="宋体" w:cs="宋体"/>
          <w:sz w:val="24"/>
          <w:szCs w:val="24"/>
        </w:rPr>
        <w:t xml:space="preserve">履约保证金（履约保函）的退还：在履约结束后15日内，甲方将履约保证金（履约保函）退还乙方（无息）。</w:t>
      </w:r>
      <w:r/>
    </w:p>
    <w:p>
      <w:pPr>
        <w:pStyle w:val="1078"/>
        <w:ind w:firstLine="482"/>
        <w:spacing w:line="360" w:lineRule="auto"/>
        <w:rPr>
          <w:rFonts w:ascii="宋体" w:hAnsi="宋体" w:cs="宋体"/>
          <w:b/>
          <w:sz w:val="24"/>
        </w:rPr>
      </w:pPr>
      <w:r>
        <w:rPr>
          <w:rFonts w:hint="eastAsia" w:ascii="宋体" w:hAnsi="宋体" w:cs="宋体"/>
          <w:b/>
          <w:sz w:val="24"/>
        </w:rPr>
        <w:t xml:space="preserve">第六条 合同款结算及支付</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78"/>
        <w:ind w:firstLine="482"/>
        <w:spacing w:line="360" w:lineRule="auto"/>
        <w:rPr>
          <w:rFonts w:ascii="宋体" w:hAnsi="宋体" w:cs="宋体"/>
          <w:b/>
          <w:bCs/>
          <w:sz w:val="24"/>
        </w:rPr>
      </w:pPr>
      <w:r>
        <w:rPr>
          <w:rFonts w:hint="eastAsia" w:ascii="宋体" w:hAnsi="宋体" w:cs="宋体"/>
          <w:b/>
          <w:bCs/>
          <w:sz w:val="24"/>
        </w:rPr>
        <w:t xml:space="preserve">3.结算原则：固定总价</w:t>
      </w:r>
      <w:r>
        <w:rPr>
          <w:rFonts w:ascii="宋体" w:hAnsi="宋体" w:cs="宋体"/>
          <w:b/>
          <w:bCs/>
          <w:sz w:val="24"/>
        </w:rPr>
      </w:r>
      <w:r/>
    </w:p>
    <w:p>
      <w:pPr>
        <w:pStyle w:val="1078"/>
        <w:ind w:firstLine="482"/>
        <w:spacing w:line="360" w:lineRule="auto"/>
        <w:rPr>
          <w:rFonts w:hint="eastAsia" w:ascii="宋体" w:hAnsi="宋体" w:cs="宋体"/>
          <w:b/>
          <w:bCs/>
          <w:sz w:val="24"/>
        </w:rPr>
      </w:pPr>
      <w:r>
        <w:rPr>
          <w:rFonts w:hint="eastAsia" w:ascii="宋体" w:hAnsi="宋体" w:cs="宋体"/>
          <w:b/>
          <w:bCs/>
          <w:sz w:val="24"/>
        </w:rPr>
        <w:t xml:space="preserve">4.付款方式：</w:t>
      </w:r>
      <w:r>
        <w:rPr>
          <w:rFonts w:hint="eastAsia" w:ascii="宋体" w:hAnsi="宋体" w:cs="楷体"/>
          <w:b/>
          <w:bCs/>
          <w:sz w:val="24"/>
        </w:rPr>
        <w:t xml:space="preserve">服务费用按月结算，甲方于每月结束后10日内对乙方考核，并依据</w:t>
      </w:r>
      <w:r>
        <w:rPr>
          <w:rFonts w:ascii="宋体" w:hAnsi="宋体" w:cs="楷体"/>
          <w:b/>
          <w:bCs/>
          <w:sz w:val="24"/>
        </w:rPr>
        <w:t xml:space="preserve">考核</w:t>
      </w:r>
      <w:r>
        <w:rPr>
          <w:rFonts w:hint="eastAsia" w:ascii="宋体" w:hAnsi="宋体" w:cs="楷体"/>
          <w:b/>
          <w:bCs/>
          <w:sz w:val="24"/>
        </w:rPr>
        <w:t xml:space="preserve">结果</w:t>
      </w:r>
      <w:r>
        <w:rPr>
          <w:rFonts w:ascii="宋体" w:hAnsi="宋体" w:cs="楷体"/>
          <w:b/>
          <w:bCs/>
          <w:sz w:val="24"/>
        </w:rPr>
        <w:t xml:space="preserve">支付上月服务</w:t>
      </w:r>
      <w:r>
        <w:rPr>
          <w:rFonts w:hint="eastAsia" w:ascii="宋体" w:hAnsi="宋体" w:cs="楷体"/>
          <w:b/>
          <w:bCs/>
          <w:sz w:val="24"/>
        </w:rPr>
        <w:t xml:space="preserve">费，乙方持相关材料至医院管理</w:t>
      </w:r>
      <w:r>
        <w:rPr>
          <w:rFonts w:ascii="宋体" w:hAnsi="宋体" w:cs="楷体"/>
          <w:b/>
          <w:bCs/>
          <w:sz w:val="24"/>
        </w:rPr>
        <w:t xml:space="preserve">部门</w:t>
      </w:r>
      <w:r>
        <w:rPr>
          <w:rFonts w:hint="eastAsia" w:ascii="宋体" w:hAnsi="宋体" w:cs="楷体"/>
          <w:b/>
          <w:bCs/>
          <w:sz w:val="24"/>
        </w:rPr>
        <w:t xml:space="preserve">结算上月管理费用，乙方需出具税务部门认可的发票。</w:t>
      </w:r>
      <w:r>
        <w:rPr>
          <w:rFonts w:hint="eastAsia" w:ascii="宋体" w:hAnsi="宋体" w:cs="宋体"/>
          <w:b/>
          <w:bCs/>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第七条 违约责任</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1.如乙方不能按约定进行服务的，甲方有权解除合同，乙方交纳的全部履约保证金不予退还，同时有权要求乙方按照合同总价5%的标准支付违约金，解除合同的通知自发出之日生效。</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2.乙方未按本合同规定向甲方交付履约保证金的，甲方有权拒绝签订本合同，同时乙方应按应交付履约保证金的100%向甲方支付违约金。</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bCs/>
          <w:sz w:val="24"/>
        </w:rPr>
        <w:t xml:space="preserve">4.</w:t>
      </w:r>
      <w:r>
        <w:rPr>
          <w:rFonts w:hint="eastAsia" w:ascii="宋体" w:hAnsi="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5.乙方投标属虚假承诺，或是由于乙方的过错造成合同无法继续履行的，除乙方已交履约保证金不予退还外，还应向甲方支付不少于合同总价30%违约金，若该违约金不足以弥补甲方损失，则应当赔偿甲方所有损失。</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6.其他未尽事宜，以《民法典》等有关法律法规规定为准，无相关规定的，双方协商解决。</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第八条 合同的变更和终止</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第九条 合同的转让</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第十条 不可抗力</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第十一条 争议的解决</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第十二条 诚实信用 </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第十三条 合同生效及其他</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1078"/>
        <w:jc w:val="left"/>
        <w:spacing w:line="360" w:lineRule="auto"/>
        <w:rPr>
          <w:rFonts w:ascii="宋体" w:hAnsi="宋体" w:cs="宋体"/>
          <w:b/>
          <w:bCs/>
          <w:sz w:val="24"/>
        </w:rPr>
      </w:pPr>
      <w:r>
        <w:rPr>
          <w:rFonts w:ascii="宋体" w:hAnsi="宋体" w:cs="宋体"/>
          <w:b/>
          <w:bCs/>
          <w:sz w:val="24"/>
        </w:rPr>
      </w:r>
      <w:r/>
    </w:p>
    <w:p>
      <w:pPr>
        <w:pStyle w:val="1078"/>
        <w:jc w:val="left"/>
        <w:spacing w:line="360" w:lineRule="auto"/>
        <w:rPr>
          <w:rFonts w:ascii="宋体" w:hAnsi="宋体" w:cs="宋体"/>
          <w:b/>
          <w:bCs/>
          <w:sz w:val="24"/>
        </w:rPr>
      </w:pPr>
      <w:r>
        <w:rPr>
          <w:rFonts w:ascii="宋体" w:hAnsi="宋体" w:cs="宋体"/>
          <w:b/>
          <w:bCs/>
          <w:sz w:val="24"/>
        </w:rPr>
      </w:r>
      <w:r/>
    </w:p>
    <w:p>
      <w:pPr>
        <w:pStyle w:val="1078"/>
        <w:spacing w:line="360" w:lineRule="auto"/>
        <w:rPr>
          <w:rFonts w:hint="eastAsia" w:ascii="宋体" w:hAnsi="宋体" w:cs="宋体"/>
          <w:sz w:val="24"/>
        </w:rPr>
      </w:pPr>
      <w:r>
        <w:rPr>
          <w:rFonts w:hint="eastAsia" w:ascii="宋体" w:hAnsi="宋体" w:cs="宋体"/>
          <w:sz w:val="24"/>
        </w:rPr>
        <w:t xml:space="preserve">甲    方：                               乙    方：</w:t>
      </w:r>
      <w:r/>
    </w:p>
    <w:p>
      <w:pPr>
        <w:pStyle w:val="1078"/>
        <w:spacing w:line="360" w:lineRule="auto"/>
        <w:rPr>
          <w:rFonts w:hint="eastAsia" w:ascii="宋体" w:hAnsi="宋体" w:cs="宋体"/>
          <w:sz w:val="24"/>
        </w:rPr>
      </w:pPr>
      <w:r>
        <w:rPr>
          <w:rFonts w:hint="eastAsia" w:ascii="宋体" w:hAnsi="宋体" w:cs="宋体"/>
          <w:sz w:val="24"/>
        </w:rPr>
        <w:t xml:space="preserve">单位名称（章）：                         单位名称（章）：</w:t>
      </w:r>
      <w:r/>
    </w:p>
    <w:p>
      <w:pPr>
        <w:pStyle w:val="1078"/>
        <w:spacing w:line="360" w:lineRule="auto"/>
        <w:rPr>
          <w:rFonts w:hint="eastAsia" w:ascii="宋体" w:hAnsi="宋体" w:cs="宋体"/>
          <w:sz w:val="24"/>
        </w:rPr>
      </w:pPr>
      <w:r>
        <w:rPr>
          <w:rFonts w:hint="eastAsia" w:ascii="宋体" w:hAnsi="宋体" w:cs="宋体"/>
          <w:sz w:val="24"/>
        </w:rPr>
        <w:t xml:space="preserve">单位地址：                               单位地址：</w:t>
      </w:r>
      <w:r/>
    </w:p>
    <w:p>
      <w:pPr>
        <w:pStyle w:val="1078"/>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pStyle w:val="1078"/>
        <w:spacing w:line="360" w:lineRule="auto"/>
        <w:rPr>
          <w:rFonts w:hint="eastAsia" w:ascii="宋体" w:hAnsi="宋体" w:cs="宋体"/>
          <w:sz w:val="24"/>
        </w:rPr>
      </w:pPr>
      <w:r>
        <w:rPr>
          <w:rFonts w:hint="eastAsia" w:ascii="宋体" w:hAnsi="宋体" w:cs="宋体"/>
          <w:sz w:val="24"/>
        </w:rPr>
        <w:t xml:space="preserve">电话：                                   电话：            传真：</w:t>
      </w:r>
      <w:r/>
    </w:p>
    <w:p>
      <w:pPr>
        <w:pStyle w:val="1078"/>
        <w:spacing w:line="360" w:lineRule="auto"/>
        <w:rPr>
          <w:rFonts w:ascii="宋体" w:hAnsi="宋体" w:cs="宋体"/>
          <w:sz w:val="24"/>
        </w:rPr>
      </w:pPr>
      <w:r>
        <w:rPr>
          <w:rFonts w:hint="eastAsia" w:ascii="宋体" w:hAnsi="宋体" w:cs="宋体"/>
          <w:sz w:val="24"/>
        </w:rPr>
        <w:t xml:space="preserve">传真：                                   开户银行：        账号：</w:t>
      </w:r>
      <w:r>
        <w:rPr>
          <w:rFonts w:ascii="宋体" w:hAnsi="宋体" w:cs="宋体"/>
          <w:sz w:val="24"/>
        </w:rPr>
      </w:r>
      <w:r/>
    </w:p>
    <w:p>
      <w:pPr>
        <w:pStyle w:val="1078"/>
        <w:jc w:val="center"/>
        <w:spacing w:line="360" w:lineRule="auto"/>
        <w:rPr>
          <w:rFonts w:ascii="宋体" w:hAnsi="宋体"/>
          <w:b/>
          <w:sz w:val="36"/>
          <w:szCs w:val="36"/>
        </w:rPr>
        <w:outlineLvl w:val="0"/>
      </w:pPr>
      <w:r>
        <w:rPr>
          <w:rFonts w:hAnsi="宋体"/>
        </w:rPr>
        <w:br w:type="page" w:clear="all"/>
      </w:r>
      <w:bookmarkStart w:id="817" w:name="_Toc99301426"/>
      <w:r>
        <w:rPr>
          <w:rFonts w:ascii="宋体" w:hAnsi="宋体"/>
          <w:b/>
          <w:sz w:val="36"/>
          <w:szCs w:val="36"/>
        </w:rPr>
        <w:t xml:space="preserve">第七章   投标文件格式</w:t>
      </w:r>
      <w:bookmarkEnd w:id="817"/>
      <w:r>
        <w:rPr>
          <w:rFonts w:ascii="宋体" w:hAnsi="宋体"/>
          <w:b/>
          <w:sz w:val="36"/>
          <w:szCs w:val="36"/>
        </w:rPr>
      </w:r>
      <w:r/>
    </w:p>
    <w:p>
      <w:pPr>
        <w:pStyle w:val="107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8"/>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8"/>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8"/>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8"/>
        <w:jc w:val="left"/>
        <w:widowControl/>
        <w:rPr>
          <w:rFonts w:ascii="宋体" w:hAnsi="宋体"/>
          <w:sz w:val="24"/>
        </w:rPr>
      </w:pPr>
      <w:r>
        <w:rPr>
          <w:rFonts w:ascii="宋体" w:hAnsi="宋体"/>
          <w:sz w:val="24"/>
        </w:rPr>
        <w:br w:type="page" w:clear="all"/>
      </w:r>
      <w:r/>
    </w:p>
    <w:p>
      <w:pPr>
        <w:pStyle w:val="1078"/>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8"/>
        <w:rPr>
          <w:rFonts w:ascii="宋体" w:hAnsi="宋体"/>
          <w:b/>
          <w:spacing w:val="20"/>
          <w:szCs w:val="21"/>
        </w:rPr>
      </w:pPr>
      <w:r>
        <w:rPr>
          <w:rFonts w:ascii="宋体" w:hAnsi="宋体"/>
          <w:b/>
          <w:spacing w:val="20"/>
          <w:szCs w:val="21"/>
        </w:rPr>
      </w:r>
      <w:r/>
    </w:p>
    <w:p>
      <w:pPr>
        <w:pStyle w:val="1078"/>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8"/>
        <w:jc w:val="center"/>
        <w:rPr>
          <w:rFonts w:ascii="宋体" w:hAnsi="宋体"/>
          <w:szCs w:val="21"/>
        </w:rPr>
      </w:pPr>
      <w:r>
        <w:rPr>
          <w:rFonts w:ascii="宋体" w:hAnsi="宋体"/>
          <w:szCs w:val="21"/>
        </w:rPr>
      </w:r>
      <w:r/>
    </w:p>
    <w:p>
      <w:pPr>
        <w:pStyle w:val="1078"/>
        <w:jc w:val="center"/>
        <w:rPr>
          <w:rFonts w:ascii="宋体" w:hAnsi="宋体"/>
          <w:b/>
          <w:spacing w:val="60"/>
          <w:sz w:val="84"/>
          <w:szCs w:val="84"/>
        </w:rPr>
      </w:pPr>
      <w:r>
        <w:rPr>
          <w:rFonts w:ascii="宋体" w:hAnsi="宋体"/>
          <w:b/>
          <w:spacing w:val="60"/>
          <w:sz w:val="84"/>
          <w:szCs w:val="84"/>
        </w:rPr>
        <w:t xml:space="preserve">投 标 文 件</w:t>
      </w:r>
      <w:r/>
    </w:p>
    <w:p>
      <w:pPr>
        <w:pStyle w:val="1078"/>
        <w:ind w:firstLine="963"/>
        <w:rPr>
          <w:rFonts w:hint="eastAsia" w:ascii="宋体" w:hAnsi="宋体"/>
          <w:b/>
          <w:spacing w:val="60"/>
          <w:sz w:val="52"/>
          <w:szCs w:val="52"/>
        </w:rPr>
      </w:pPr>
      <w:r>
        <w:rPr>
          <w:rFonts w:hint="eastAsia" w:ascii="宋体" w:hAnsi="宋体"/>
          <w:b/>
          <w:spacing w:val="60"/>
          <w:sz w:val="52"/>
          <w:szCs w:val="52"/>
        </w:rPr>
      </w:r>
      <w:r/>
    </w:p>
    <w:p>
      <w:pPr>
        <w:pStyle w:val="1078"/>
        <w:ind w:firstLine="963"/>
        <w:rPr>
          <w:rFonts w:hint="eastAsia" w:ascii="宋体" w:hAnsi="宋体"/>
          <w:b/>
          <w:spacing w:val="60"/>
          <w:sz w:val="52"/>
          <w:szCs w:val="52"/>
        </w:rPr>
      </w:pPr>
      <w:r>
        <w:rPr>
          <w:rFonts w:hint="eastAsia" w:ascii="宋体" w:hAnsi="宋体"/>
          <w:b/>
          <w:spacing w:val="60"/>
          <w:sz w:val="52"/>
          <w:szCs w:val="52"/>
        </w:rPr>
      </w:r>
      <w:r/>
    </w:p>
    <w:p>
      <w:pPr>
        <w:pStyle w:val="1078"/>
        <w:ind w:firstLine="542"/>
        <w:rPr>
          <w:rFonts w:ascii="宋体" w:hAnsi="宋体"/>
          <w:b/>
          <w:spacing w:val="20"/>
          <w:sz w:val="32"/>
          <w:szCs w:val="32"/>
        </w:rPr>
      </w:pPr>
      <w:r>
        <w:rPr>
          <w:rFonts w:ascii="宋体" w:hAnsi="宋体"/>
          <w:b/>
          <w:spacing w:val="20"/>
          <w:sz w:val="32"/>
          <w:szCs w:val="32"/>
        </w:rPr>
      </w:r>
      <w:r/>
    </w:p>
    <w:p>
      <w:pPr>
        <w:pStyle w:val="1078"/>
        <w:ind w:firstLine="542"/>
        <w:rPr>
          <w:rFonts w:ascii="宋体" w:hAnsi="宋体"/>
          <w:b/>
          <w:spacing w:val="20"/>
          <w:sz w:val="32"/>
          <w:szCs w:val="32"/>
        </w:rPr>
      </w:pPr>
      <w:r>
        <w:rPr>
          <w:rFonts w:ascii="宋体" w:hAnsi="宋体"/>
          <w:b/>
          <w:spacing w:val="20"/>
          <w:sz w:val="32"/>
          <w:szCs w:val="32"/>
        </w:rPr>
      </w:r>
      <w:r/>
    </w:p>
    <w:p>
      <w:pPr>
        <w:pStyle w:val="107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8"/>
        <w:jc w:val="center"/>
        <w:rPr>
          <w:rFonts w:ascii="宋体" w:hAnsi="宋体"/>
          <w:b/>
          <w:sz w:val="32"/>
          <w:szCs w:val="32"/>
        </w:rPr>
      </w:pPr>
      <w:r>
        <w:rPr>
          <w:rFonts w:ascii="宋体" w:hAnsi="宋体"/>
          <w:b/>
          <w:sz w:val="32"/>
          <w:szCs w:val="32"/>
        </w:rPr>
      </w:r>
      <w:r/>
    </w:p>
    <w:p>
      <w:pPr>
        <w:pStyle w:val="1078"/>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8"/>
        <w:rPr>
          <w:rFonts w:ascii="宋体" w:hAnsi="宋体"/>
          <w:b/>
        </w:rPr>
      </w:pPr>
      <w:r>
        <w:rPr>
          <w:rFonts w:ascii="宋体" w:hAnsi="宋体"/>
          <w:b/>
        </w:rPr>
      </w:r>
      <w:r/>
    </w:p>
    <w:p>
      <w:pPr>
        <w:pStyle w:val="1078"/>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81"/>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8"/>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int="eastAsia" w:hAnsi="宋体"/>
        </w:rPr>
        <w:t xml:space="preserve">致：常州市城投建设工程招标有限公司</w:t>
      </w:r>
      <w:r>
        <w:rPr>
          <w:rFonts w:hAnsi="宋体"/>
        </w:rPr>
      </w:r>
      <w:r/>
    </w:p>
    <w:p>
      <w:pPr>
        <w:pStyle w:val="1093"/>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93"/>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93"/>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93"/>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93"/>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93"/>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93"/>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93"/>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93"/>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93"/>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93"/>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93"/>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93"/>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93"/>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93"/>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93"/>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93"/>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93"/>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Ansi="宋体"/>
        </w:rPr>
      </w:r>
      <w:r/>
    </w:p>
    <w:p>
      <w:pPr>
        <w:pStyle w:val="1093"/>
        <w:ind w:firstLine="840"/>
        <w:spacing w:line="460" w:lineRule="exact"/>
        <w:rPr>
          <w:rFonts w:hAnsi="宋体"/>
        </w:rPr>
      </w:pPr>
      <w:r>
        <w:rPr>
          <w:rFonts w:hint="eastAsia" w:hAnsi="宋体"/>
        </w:rPr>
        <w:t xml:space="preserve">投标人：（加盖公章）</w:t>
      </w:r>
      <w:r>
        <w:rPr>
          <w:rFonts w:hAnsi="宋体"/>
        </w:rPr>
      </w:r>
      <w:r/>
    </w:p>
    <w:p>
      <w:pPr>
        <w:pStyle w:val="1093"/>
        <w:ind w:firstLine="840"/>
        <w:spacing w:line="460" w:lineRule="exact"/>
        <w:rPr>
          <w:rFonts w:hAnsi="宋体"/>
        </w:rPr>
      </w:pPr>
      <w:r>
        <w:rPr>
          <w:rFonts w:hint="eastAsia" w:hAnsi="宋体"/>
        </w:rPr>
        <w:t xml:space="preserve">法定代表人（或单位负责人）签字或盖章：</w:t>
      </w:r>
      <w:r>
        <w:rPr>
          <w:rFonts w:hAnsi="宋体"/>
        </w:rPr>
      </w:r>
      <w:r/>
    </w:p>
    <w:p>
      <w:pPr>
        <w:pStyle w:val="1093"/>
        <w:ind w:firstLine="840"/>
        <w:spacing w:line="460" w:lineRule="exact"/>
        <w:rPr>
          <w:rFonts w:hint="eastAsia" w:hAnsi="宋体"/>
        </w:rPr>
      </w:pPr>
      <w:r>
        <w:rPr>
          <w:rFonts w:hint="eastAsia" w:hAnsi="宋体"/>
        </w:rPr>
        <w:t xml:space="preserve">日期：    年    月    日</w:t>
      </w:r>
      <w:r/>
    </w:p>
    <w:p>
      <w:pPr>
        <w:pStyle w:val="1078"/>
        <w:spacing w:line="360" w:lineRule="auto"/>
        <w:rPr>
          <w:rFonts w:hint="eastAsia" w:ascii="宋体" w:hAnsi="宋体"/>
          <w:sz w:val="24"/>
        </w:rPr>
      </w:pPr>
      <w:r>
        <w:rPr>
          <w:rFonts w:hint="eastAsia" w:ascii="宋体" w:hAnsi="宋体"/>
          <w:sz w:val="24"/>
        </w:rPr>
      </w:r>
      <w:r/>
    </w:p>
    <w:p>
      <w:pPr>
        <w:pStyle w:val="1078"/>
        <w:spacing w:line="360" w:lineRule="auto"/>
        <w:rPr>
          <w:rFonts w:hint="eastAsia" w:ascii="宋体" w:hAnsi="宋体"/>
          <w:sz w:val="24"/>
        </w:rPr>
      </w:pPr>
      <w:r>
        <w:rPr>
          <w:rFonts w:hint="eastAsia" w:ascii="宋体" w:hAnsi="宋体"/>
          <w:sz w:val="24"/>
        </w:rPr>
      </w:r>
      <w:r/>
    </w:p>
    <w:p>
      <w:pPr>
        <w:pStyle w:val="1078"/>
        <w:spacing w:line="360" w:lineRule="auto"/>
        <w:rPr>
          <w:rFonts w:hint="eastAsia" w:ascii="宋体" w:hAnsi="宋体"/>
          <w:sz w:val="24"/>
        </w:rPr>
      </w:pPr>
      <w:r>
        <w:rPr>
          <w:rFonts w:hint="eastAsia" w:ascii="宋体" w:hAnsi="宋体"/>
          <w:sz w:val="24"/>
        </w:rPr>
      </w:r>
      <w:r/>
    </w:p>
    <w:p>
      <w:pPr>
        <w:pStyle w:val="1078"/>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8"/>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8"/>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8"/>
        <w:jc w:val="left"/>
        <w:widowControl/>
        <w:rPr>
          <w:rFonts w:ascii="宋体" w:hAnsi="宋体"/>
          <w:b/>
          <w:sz w:val="24"/>
          <w:szCs w:val="20"/>
        </w:rPr>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078"/>
        <w:spacing w:line="360" w:lineRule="auto"/>
        <w:rPr>
          <w:rFonts w:ascii="宋体" w:hAnsi="宋体"/>
          <w:b/>
          <w:sz w:val="24"/>
          <w:szCs w:val="20"/>
        </w:rPr>
        <w:outlineLvl w:val="2"/>
      </w:pPr>
      <w:r>
        <w:rPr>
          <w:rFonts w:ascii="宋体" w:hAnsi="宋体"/>
          <w:b/>
          <w:sz w:val="24"/>
          <w:szCs w:val="20"/>
        </w:rPr>
      </w:r>
      <w:r/>
    </w:p>
    <w:p>
      <w:pPr>
        <w:pStyle w:val="1078"/>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8"/>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8" w:name="_Ref467988698"/>
      <w:r/>
      <w:bookmarkStart w:id="819" w:name="_Toc150480794"/>
      <w:r/>
      <w:bookmarkStart w:id="820" w:name="_Toc480942349"/>
      <w:r/>
      <w:bookmarkStart w:id="821" w:name="_Toc226965829"/>
      <w:r/>
      <w:bookmarkStart w:id="822" w:name="_Toc226965746"/>
      <w:r/>
      <w:bookmarkStart w:id="823" w:name="_Toc127151556"/>
      <w:r/>
      <w:bookmarkStart w:id="824" w:name="_Toc226337252"/>
      <w:r/>
      <w:bookmarkStart w:id="825" w:name="_Toc226309800"/>
      <w:r/>
      <w:bookmarkStart w:id="826" w:name="_Toc520356217"/>
      <w:r/>
      <w:bookmarkStart w:id="827" w:name="_Toc195842921"/>
      <w:r/>
      <w:bookmarkStart w:id="828" w:name="_Toc142311058"/>
      <w:r/>
      <w:bookmarkStart w:id="829" w:name="_Toc150774761"/>
      <w:r>
        <w:rPr>
          <w:rFonts w:hint="eastAsia" w:ascii="宋体" w:hAnsi="宋体"/>
          <w:b/>
          <w:sz w:val="32"/>
          <w:szCs w:val="32"/>
        </w:rPr>
      </w:r>
      <w:r/>
    </w:p>
    <w:p>
      <w:pPr>
        <w:pStyle w:val="1078"/>
        <w:jc w:val="center"/>
        <w:widowControl/>
        <w:rPr>
          <w:rFonts w:hint="eastAsia" w:ascii="宋体" w:hAnsi="宋体"/>
          <w:b/>
          <w:sz w:val="32"/>
          <w:szCs w:val="32"/>
        </w:rPr>
      </w:pPr>
      <w:r>
        <w:rPr>
          <w:rFonts w:hint="eastAsia" w:ascii="宋体" w:hAnsi="宋体"/>
          <w:b/>
          <w:sz w:val="32"/>
          <w:szCs w:val="32"/>
        </w:rPr>
      </w:r>
      <w:r/>
    </w:p>
    <w:p>
      <w:pPr>
        <w:pStyle w:val="1078"/>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sz w:val="24"/>
        </w:rPr>
        <w:t xml:space="preserve">函</w:t>
      </w:r>
      <w:r>
        <w:rPr>
          <w:rFonts w:ascii="宋体" w:hAnsi="宋体"/>
          <w:b/>
          <w:sz w:val="24"/>
          <w:szCs w:val="20"/>
        </w:rPr>
        <w:t xml:space="preserve">（实质性格式）</w:t>
      </w:r>
      <w:r/>
    </w:p>
    <w:p>
      <w:pPr>
        <w:pStyle w:val="1078"/>
        <w:spacing w:line="360" w:lineRule="auto"/>
        <w:tabs>
          <w:tab w:val="left" w:pos="5580" w:leader="none"/>
        </w:tabs>
        <w:rPr>
          <w:rFonts w:ascii="宋体" w:hAnsi="宋体"/>
          <w:sz w:val="24"/>
        </w:rPr>
      </w:pPr>
      <w:r>
        <w:rPr>
          <w:rFonts w:ascii="宋体" w:hAnsi="宋体"/>
          <w:sz w:val="24"/>
        </w:rPr>
      </w:r>
      <w:r/>
    </w:p>
    <w:p>
      <w:pPr>
        <w:pStyle w:val="1078"/>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8"/>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8"/>
        <w:spacing w:line="360" w:lineRule="auto"/>
        <w:tabs>
          <w:tab w:val="left" w:pos="5580" w:leader="none"/>
        </w:tabs>
        <w:rPr>
          <w:rFonts w:ascii="宋体" w:hAnsi="宋体"/>
          <w:sz w:val="24"/>
          <w:szCs w:val="20"/>
        </w:rPr>
      </w:pPr>
      <w:r>
        <w:rPr>
          <w:rFonts w:ascii="宋体" w:hAnsi="宋体"/>
          <w:sz w:val="24"/>
          <w:szCs w:val="20"/>
        </w:rPr>
      </w:r>
      <w:r/>
    </w:p>
    <w:p>
      <w:pPr>
        <w:pStyle w:val="1078"/>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8"/>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8"/>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8"/>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8"/>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8"/>
        <w:ind w:firstLine="480"/>
        <w:spacing w:line="360" w:lineRule="auto"/>
        <w:rPr>
          <w:rFonts w:ascii="宋体" w:hAnsi="宋体"/>
          <w:sz w:val="24"/>
        </w:rPr>
      </w:pPr>
      <w:r>
        <w:rPr>
          <w:rFonts w:ascii="宋体" w:hAnsi="宋体"/>
          <w:sz w:val="24"/>
        </w:rPr>
        <w:t xml:space="preserve">与本投标有关的一切正式往来信函请寄：</w:t>
      </w:r>
      <w:r/>
    </w:p>
    <w:p>
      <w:pPr>
        <w:pStyle w:val="1078"/>
        <w:ind w:left="420"/>
        <w:spacing w:line="360" w:lineRule="auto"/>
        <w:tabs>
          <w:tab w:val="left" w:pos="5580" w:leader="none"/>
        </w:tabs>
        <w:rPr>
          <w:rFonts w:ascii="宋体" w:hAnsi="宋体"/>
          <w:sz w:val="24"/>
          <w:szCs w:val="20"/>
        </w:rPr>
      </w:pPr>
      <w:r>
        <w:rPr>
          <w:rFonts w:ascii="宋体" w:hAnsi="宋体"/>
          <w:sz w:val="24"/>
          <w:szCs w:val="20"/>
        </w:rPr>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8"/>
        <w:ind w:left="420"/>
        <w:spacing w:line="360" w:lineRule="auto"/>
        <w:tabs>
          <w:tab w:val="left" w:pos="5580" w:leader="none"/>
        </w:tabs>
        <w:rPr>
          <w:rFonts w:ascii="宋体" w:hAnsi="宋体"/>
          <w:sz w:val="24"/>
          <w:szCs w:val="20"/>
        </w:rPr>
      </w:pPr>
      <w:r>
        <w:rPr>
          <w:rFonts w:ascii="宋体" w:hAnsi="宋体"/>
          <w:sz w:val="24"/>
          <w:szCs w:val="20"/>
        </w:rPr>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8"/>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8"/>
        <w:jc w:val="left"/>
        <w:widowControl/>
        <w:rPr>
          <w:rFonts w:hint="eastAsia" w:ascii="宋体" w:hAnsi="宋体"/>
          <w:b/>
          <w:sz w:val="24"/>
        </w:rPr>
      </w:pPr>
      <w:r/>
      <w:bookmarkStart w:id="830" w:name="_Hlt520355938"/>
      <w:r/>
      <w:bookmarkEnd w:id="830"/>
      <w:r/>
      <w:bookmarkStart w:id="831" w:name="_Hlt520356243"/>
      <w:r/>
      <w:bookmarkEnd w:id="831"/>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8"/>
        <w:jc w:val="center"/>
        <w:spacing w:line="360" w:lineRule="auto"/>
        <w:rPr>
          <w:rFonts w:hint="eastAsia" w:ascii="宋体" w:hAnsi="宋体"/>
          <w:b/>
          <w:sz w:val="32"/>
          <w:szCs w:val="32"/>
        </w:rPr>
      </w:pPr>
      <w:r>
        <w:rPr>
          <w:rFonts w:hint="eastAsia" w:ascii="宋体" w:hAnsi="宋体"/>
          <w:b/>
          <w:sz w:val="32"/>
          <w:szCs w:val="32"/>
        </w:rPr>
      </w:r>
      <w:r/>
    </w:p>
    <w:p>
      <w:pPr>
        <w:pStyle w:val="107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8"/>
        <w:spacing w:line="560" w:lineRule="exact"/>
        <w:rPr>
          <w:rFonts w:ascii="宋体" w:hAnsi="宋体"/>
          <w:sz w:val="24"/>
        </w:rPr>
      </w:pPr>
      <w:r>
        <w:rPr>
          <w:rFonts w:ascii="宋体" w:hAnsi="宋体"/>
          <w:sz w:val="24"/>
        </w:rPr>
      </w:r>
      <w:r/>
    </w:p>
    <w:p>
      <w:pPr>
        <w:pStyle w:val="111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8"/>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8"/>
        <w:jc w:val="left"/>
        <w:widowControl/>
        <w:rPr>
          <w:rFonts w:hint="eastAsia" w:ascii="宋体" w:hAnsi="宋体"/>
          <w:sz w:val="24"/>
        </w:rPr>
      </w:pPr>
      <w:r>
        <w:rPr>
          <w:rFonts w:hint="eastAsia"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spacing w:line="360" w:lineRule="auto"/>
        <w:rPr>
          <w:rFonts w:ascii="宋体" w:hAnsi="宋体"/>
          <w:b/>
          <w:sz w:val="24"/>
        </w:rPr>
        <w:outlineLvl w:val="2"/>
      </w:pPr>
      <w:r>
        <w:rPr>
          <w:rFonts w:ascii="宋体" w:hAnsi="宋体"/>
          <w:b/>
          <w:sz w:val="24"/>
        </w:rPr>
      </w:r>
      <w:r/>
    </w:p>
    <w:p>
      <w:pPr>
        <w:pStyle w:val="1078"/>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8"/>
        <w:jc w:val="center"/>
        <w:rPr>
          <w:rFonts w:hint="eastAsia" w:ascii="宋体" w:hAnsi="宋体"/>
          <w:b/>
          <w:sz w:val="32"/>
          <w:szCs w:val="32"/>
        </w:rPr>
      </w:pPr>
      <w:r>
        <w:rPr>
          <w:rFonts w:hint="eastAsia" w:ascii="宋体" w:hAnsi="宋体"/>
          <w:b/>
          <w:sz w:val="32"/>
          <w:szCs w:val="32"/>
        </w:rPr>
      </w:r>
      <w:r/>
    </w:p>
    <w:p>
      <w:pPr>
        <w:pStyle w:val="1331"/>
        <w:jc w:val="center"/>
        <w:spacing w:line="480" w:lineRule="auto"/>
        <w:rPr>
          <w:rFonts w:cs="宋体"/>
          <w:sz w:val="24"/>
        </w:rPr>
      </w:pPr>
      <w:r>
        <w:rPr>
          <w:rFonts w:hint="eastAsia"/>
          <w:b/>
          <w:sz w:val="36"/>
          <w:szCs w:val="36"/>
        </w:rPr>
        <w:t xml:space="preserve">授权委托书</w:t>
      </w:r>
      <w:r>
        <w:rPr>
          <w:rFonts w:cs="宋体"/>
          <w:sz w:val="24"/>
        </w:rPr>
      </w:r>
      <w:r/>
    </w:p>
    <w:p>
      <w:pPr>
        <w:pStyle w:val="107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8"/>
        <w:spacing w:line="400" w:lineRule="exact"/>
        <w:rPr>
          <w:rFonts w:hint="eastAsia" w:ascii="宋体" w:hAnsi="宋体" w:cs="宋体"/>
          <w:szCs w:val="21"/>
        </w:rPr>
      </w:pPr>
      <w:r>
        <w:rPr>
          <w:rFonts w:hint="eastAsia" w:ascii="宋体" w:hAnsi="宋体" w:cs="宋体"/>
          <w:szCs w:val="21"/>
        </w:rPr>
      </w:r>
      <w:r/>
    </w:p>
    <w:p>
      <w:pPr>
        <w:pStyle w:val="1078"/>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8"/>
        <w:spacing w:line="400" w:lineRule="exact"/>
        <w:rPr>
          <w:rFonts w:ascii="宋体" w:hAnsi="宋体" w:cs="宋体"/>
          <w:sz w:val="24"/>
        </w:rPr>
      </w:pPr>
      <w:r>
        <w:rPr>
          <w:rFonts w:ascii="宋体" w:hAnsi="宋体" w:cs="宋体"/>
          <w:sz w:val="24"/>
        </w:rPr>
      </w:r>
      <w:r/>
    </w:p>
    <w:p>
      <w:pPr>
        <w:pStyle w:val="1110"/>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tc>
      </w:tr>
    </w:tbl>
    <w:p>
      <w:pPr>
        <w:pStyle w:val="1110"/>
        <w:ind w:right="-46"/>
        <w:spacing w:line="583" w:lineRule="auto"/>
        <w:rPr>
          <w:rFonts w:hint="eastAsia"/>
          <w:b/>
          <w:bCs/>
        </w:rPr>
      </w:pPr>
      <w:r>
        <w:rPr>
          <w:rFonts w:hint="eastAsia"/>
          <w:b/>
          <w:bCs/>
        </w:rPr>
        <w:t xml:space="preserve">投标人近三个月内任意一个月（自开标之日往前推）为其缴纳社保的记录</w:t>
      </w:r>
      <w:r/>
    </w:p>
    <w:p>
      <w:pPr>
        <w:pStyle w:val="1078"/>
        <w:spacing w:line="360" w:lineRule="auto"/>
        <w:rPr>
          <w:rFonts w:hint="eastAsia" w:ascii="宋体" w:hAnsi="宋体" w:cs="宋体"/>
          <w:szCs w:val="21"/>
        </w:rPr>
      </w:pPr>
      <w:r>
        <w:rPr>
          <w:rFonts w:hint="eastAsia" w:ascii="宋体" w:hAnsi="宋体" w:cs="宋体"/>
          <w:szCs w:val="21"/>
        </w:rPr>
      </w:r>
      <w:r/>
    </w:p>
    <w:p>
      <w:pPr>
        <w:pStyle w:val="107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8"/>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31"/>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8"/>
        <w:jc w:val="left"/>
        <w:widowControl/>
        <w:rPr>
          <w:rFonts w:hint="eastAsia" w:ascii="宋体" w:hAnsi="宋体"/>
          <w:sz w:val="24"/>
        </w:rPr>
      </w:pPr>
      <w:r>
        <w:rPr>
          <w:rFonts w:hint="eastAsia" w:ascii="宋体" w:hAnsi="宋体"/>
          <w:sz w:val="24"/>
        </w:rPr>
      </w:r>
      <w:r/>
    </w:p>
    <w:p>
      <w:pPr>
        <w:pStyle w:val="1078"/>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8"/>
        <w:ind w:firstLine="321"/>
        <w:jc w:val="center"/>
        <w:spacing w:line="560" w:lineRule="exact"/>
        <w:rPr>
          <w:rFonts w:hint="eastAsia" w:ascii="宋体" w:hAnsi="宋体"/>
          <w:b/>
          <w:sz w:val="32"/>
          <w:szCs w:val="32"/>
        </w:rPr>
      </w:pPr>
      <w:r>
        <w:rPr>
          <w:rFonts w:hint="eastAsia" w:ascii="宋体" w:hAnsi="宋体"/>
          <w:b/>
          <w:sz w:val="32"/>
          <w:szCs w:val="32"/>
        </w:rPr>
      </w:r>
      <w:r/>
    </w:p>
    <w:p>
      <w:pPr>
        <w:pStyle w:val="1078"/>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8"/>
        <w:ind w:firstLine="640"/>
        <w:rPr>
          <w:rFonts w:ascii="宋体" w:hAnsi="宋体"/>
        </w:rPr>
      </w:pPr>
      <w:r>
        <w:rPr>
          <w:rFonts w:ascii="宋体" w:hAnsi="宋体"/>
        </w:rPr>
      </w:r>
      <w:r/>
    </w:p>
    <w:p>
      <w:pPr>
        <w:pStyle w:val="107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bookmarkStart w:id="832" w:name="_Hlt520271212"/>
      <w:r/>
      <w:bookmarkEnd w:id="832"/>
      <w:r/>
      <w:bookmarkStart w:id="833" w:name="_Hlt520343000"/>
      <w:r/>
      <w:bookmarkEnd w:id="833"/>
      <w:r/>
      <w:bookmarkStart w:id="834" w:name="_Hlt520274407"/>
      <w:r/>
      <w:bookmarkEnd w:id="834"/>
      <w:r/>
      <w:bookmarkStart w:id="835" w:name="_Hlt520274065"/>
      <w:r/>
      <w:bookmarkEnd w:id="835"/>
      <w:r/>
      <w:bookmarkStart w:id="836" w:name="_Hlt520350918"/>
      <w:r/>
      <w:bookmarkEnd w:id="836"/>
      <w:r/>
      <w:bookmarkStart w:id="837" w:name="_Hlt520274393"/>
      <w:r/>
      <w:bookmarkEnd w:id="837"/>
      <w:r/>
      <w:bookmarkStart w:id="838" w:name="_Hlt520274121"/>
      <w:r/>
      <w:bookmarkEnd w:id="838"/>
      <w:r/>
      <w:bookmarkStart w:id="839" w:name="_Hlt520343392"/>
      <w:r/>
      <w:bookmarkEnd w:id="839"/>
      <w:r/>
      <w:bookmarkStart w:id="840" w:name="_Hlt520355504"/>
      <w:r/>
      <w:bookmarkEnd w:id="840"/>
      <w:r/>
      <w:bookmarkStart w:id="841" w:name="_Hlt520273711"/>
      <w:r/>
      <w:bookmarkEnd w:id="841"/>
      <w:r/>
      <w:bookmarkStart w:id="842" w:name="_Toc226309801"/>
      <w:r/>
      <w:bookmarkStart w:id="843" w:name="_Toc150774762"/>
      <w:r/>
      <w:bookmarkStart w:id="844" w:name="_Toc480942350"/>
      <w:r/>
      <w:bookmarkStart w:id="845" w:name="_Ref467988705"/>
      <w:r/>
      <w:bookmarkStart w:id="846" w:name="_Toc305158825"/>
      <w:r/>
      <w:bookmarkStart w:id="847" w:name="_Toc150480795"/>
      <w:r/>
      <w:bookmarkStart w:id="848" w:name="_Toc265228395"/>
      <w:r/>
      <w:bookmarkStart w:id="849" w:name="_Toc520356218"/>
      <w:r/>
      <w:bookmarkStart w:id="850" w:name="_Toc195842922"/>
      <w:r/>
      <w:bookmarkStart w:id="851" w:name="_Toc226965747"/>
      <w:r/>
      <w:bookmarkStart w:id="852" w:name="_Toc127151557"/>
      <w:r/>
      <w:bookmarkStart w:id="853" w:name="_Toc305158899"/>
      <w:r/>
      <w:bookmarkStart w:id="854" w:name="_Toc264969247"/>
      <w:r/>
      <w:bookmarkStart w:id="855" w:name="_Toc142311059"/>
      <w:r/>
      <w:bookmarkStart w:id="856" w:name="_Toc226337253"/>
      <w:r/>
      <w:bookmarkStart w:id="857" w:name="_Toc226965830"/>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sz w:val="24"/>
        </w:rPr>
        <w:t xml:space="preserve">（实质性格式）</w:t>
      </w:r>
      <w:r>
        <w:rPr>
          <w:rFonts w:ascii="宋体" w:hAnsi="宋体"/>
          <w:b/>
          <w:sz w:val="24"/>
          <w:szCs w:val="20"/>
        </w:rPr>
      </w:r>
      <w:r/>
    </w:p>
    <w:p>
      <w:pPr>
        <w:pStyle w:val="1078"/>
        <w:jc w:val="center"/>
        <w:spacing w:line="360" w:lineRule="exact"/>
        <w:rPr>
          <w:rFonts w:ascii="宋体" w:hAnsi="宋体"/>
          <w:b/>
          <w:sz w:val="36"/>
          <w:szCs w:val="36"/>
        </w:rPr>
      </w:pPr>
      <w:r/>
      <w:bookmarkStart w:id="858" w:name="_Toc226337254"/>
      <w:r/>
      <w:bookmarkStart w:id="859" w:name="_Toc195842923"/>
      <w:r/>
      <w:bookmarkStart w:id="860" w:name="_Toc305158826"/>
      <w:r/>
      <w:bookmarkStart w:id="861" w:name="_Toc226309802"/>
      <w:r/>
      <w:bookmarkStart w:id="862" w:name="_Toc264969248"/>
      <w:r/>
      <w:bookmarkStart w:id="863" w:name="_Toc305158900"/>
      <w:r/>
      <w:bookmarkStart w:id="864" w:name="_Toc164608827"/>
      <w:r/>
      <w:bookmarkStart w:id="865" w:name="_Toc226965748"/>
      <w:r/>
      <w:bookmarkStart w:id="866" w:name="_Toc265228396"/>
      <w:r/>
      <w:bookmarkStart w:id="867" w:name="_Toc226965831"/>
      <w:r/>
      <w:bookmarkStart w:id="868" w:name="_Toc164608672"/>
      <w:r>
        <w:rPr>
          <w:rFonts w:hint="eastAsia" w:ascii="宋体" w:hAnsi="宋体"/>
          <w:b/>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sz w:val="36"/>
          <w:szCs w:val="36"/>
        </w:rPr>
      </w:r>
      <w:r/>
    </w:p>
    <w:p>
      <w:pPr>
        <w:pStyle w:val="1078"/>
        <w:ind w:firstLine="24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8"/>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8"/>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8"/>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8"/>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8"/>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8"/>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r>
    </w:tbl>
    <w:p>
      <w:pPr>
        <w:pStyle w:val="1078"/>
        <w:jc w:val="left"/>
        <w:rPr>
          <w:rFonts w:ascii="宋体" w:hAnsi="宋体"/>
          <w:sz w:val="24"/>
        </w:rPr>
      </w:pPr>
      <w:r>
        <w:rPr>
          <w:rFonts w:ascii="宋体" w:hAnsi="宋体"/>
          <w:sz w:val="24"/>
        </w:rPr>
      </w:r>
      <w:r/>
    </w:p>
    <w:p>
      <w:pPr>
        <w:pStyle w:val="1078"/>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78"/>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78"/>
        <w:ind w:firstLine="482"/>
        <w:tabs>
          <w:tab w:val="left" w:pos="5580" w:leader="none"/>
        </w:tabs>
        <w:rPr>
          <w:rFonts w:ascii="宋体" w:hAnsi="宋体"/>
          <w:sz w:val="24"/>
          <w:szCs w:val="20"/>
        </w:rPr>
      </w:pPr>
      <w:r>
        <w:rPr>
          <w:rFonts w:hint="eastAsia" w:ascii="宋体" w:hAnsi="宋体"/>
          <w:b/>
          <w:bCs/>
          <w:sz w:val="24"/>
          <w:szCs w:val="20"/>
        </w:rPr>
        <w:t xml:space="preserve">3.投标报价为三年度总价。</w:t>
      </w:r>
      <w:r>
        <w:rPr>
          <w:rFonts w:ascii="宋体" w:hAnsi="宋体"/>
          <w:sz w:val="24"/>
          <w:szCs w:val="20"/>
        </w:rPr>
      </w:r>
      <w:r/>
    </w:p>
    <w:p>
      <w:pPr>
        <w:pStyle w:val="1078"/>
        <w:spacing w:before="25" w:after="25" w:line="360" w:lineRule="auto"/>
        <w:rPr>
          <w:rFonts w:ascii="宋体" w:hAnsi="宋体"/>
          <w:sz w:val="24"/>
          <w:lang w:val="zh-CN"/>
        </w:rPr>
      </w:pPr>
      <w:r>
        <w:rPr>
          <w:rFonts w:ascii="宋体" w:hAnsi="宋体"/>
          <w:sz w:val="24"/>
          <w:lang w:val="zh-CN"/>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bookmarkStart w:id="869" w:name="_Toc226309803"/>
      <w:r/>
      <w:bookmarkStart w:id="870" w:name="_Toc127151558"/>
      <w:r/>
      <w:bookmarkStart w:id="871" w:name="_Toc142311060"/>
      <w:r/>
      <w:bookmarkStart w:id="872" w:name="_Toc265228397"/>
      <w:r/>
      <w:bookmarkStart w:id="873" w:name="_Toc150774763"/>
      <w:r/>
      <w:bookmarkStart w:id="874" w:name="_Toc226965749"/>
      <w:r/>
      <w:bookmarkStart w:id="875" w:name="_Toc195842924"/>
      <w:r/>
      <w:bookmarkStart w:id="876" w:name="_Toc264969249"/>
      <w:r/>
      <w:bookmarkStart w:id="877" w:name="_Toc226965832"/>
      <w:r/>
      <w:bookmarkStart w:id="878" w:name="_Toc305158827"/>
      <w:r/>
      <w:bookmarkStart w:id="879" w:name="_Toc150480796"/>
      <w:r/>
      <w:bookmarkStart w:id="880" w:name="_Toc226337255"/>
      <w:r/>
      <w:bookmarkStart w:id="881" w:name="_Toc305158901"/>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sz w:val="24"/>
        </w:rPr>
        <w:t xml:space="preserve">（实质性格式）</w:t>
      </w:r>
      <w:r>
        <w:rPr>
          <w:rFonts w:ascii="宋体" w:hAnsi="宋体"/>
          <w:b/>
          <w:sz w:val="24"/>
          <w:szCs w:val="20"/>
        </w:rPr>
      </w:r>
      <w:r/>
    </w:p>
    <w:p>
      <w:pPr>
        <w:pStyle w:val="1078"/>
        <w:jc w:val="center"/>
        <w:spacing w:line="360" w:lineRule="exact"/>
        <w:rPr>
          <w:rFonts w:ascii="宋体" w:hAnsi="宋体"/>
          <w:sz w:val="36"/>
          <w:szCs w:val="36"/>
        </w:rPr>
      </w:pPr>
      <w:r>
        <w:rPr>
          <w:rFonts w:ascii="宋体" w:hAnsi="宋体"/>
          <w:sz w:val="36"/>
          <w:szCs w:val="36"/>
        </w:rPr>
      </w:r>
      <w:r/>
    </w:p>
    <w:p>
      <w:pPr>
        <w:pStyle w:val="1078"/>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8"/>
        <w:jc w:val="center"/>
        <w:spacing w:line="260" w:lineRule="exact"/>
        <w:rPr>
          <w:rFonts w:ascii="宋体" w:hAnsi="宋体"/>
          <w:sz w:val="36"/>
          <w:szCs w:val="36"/>
        </w:rPr>
      </w:pPr>
      <w:r>
        <w:rPr>
          <w:rFonts w:ascii="宋体" w:hAnsi="宋体"/>
          <w:sz w:val="36"/>
          <w:szCs w:val="36"/>
        </w:rPr>
      </w:r>
      <w:r/>
    </w:p>
    <w:p>
      <w:pPr>
        <w:pStyle w:val="1078"/>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8650" w:type="dxa"/>
            <w:vAlign w:val="center"/>
            <w:textDirection w:val="lrTb"/>
            <w:noWrap w:val="false"/>
          </w:tcPr>
          <w:p>
            <w:pPr>
              <w:pStyle w:val="1078"/>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78"/>
        <w:jc w:val="left"/>
        <w:tabs>
          <w:tab w:val="left" w:pos="1800" w:leader="none"/>
          <w:tab w:val="left" w:pos="5580" w:leader="none"/>
        </w:tabs>
        <w:rPr>
          <w:rFonts w:hint="eastAsia" w:ascii="宋体" w:hAnsi="宋体"/>
          <w:sz w:val="24"/>
        </w:rPr>
      </w:pPr>
      <w:r/>
      <w:bookmarkStart w:id="882" w:name="_Toc150480798"/>
      <w:r/>
      <w:bookmarkStart w:id="883" w:name="_Toc150774765"/>
      <w:r/>
      <w:bookmarkStart w:id="884" w:name="_Toc265228400"/>
      <w:r/>
      <w:bookmarkStart w:id="885" w:name="_Toc195842927"/>
      <w:r/>
      <w:bookmarkStart w:id="886" w:name="_Toc127151562"/>
      <w:r/>
      <w:bookmarkStart w:id="887" w:name="_Toc226965752"/>
      <w:r/>
      <w:bookmarkStart w:id="888" w:name="_Toc305158904"/>
      <w:r/>
      <w:bookmarkStart w:id="889" w:name="_Toc264969252"/>
      <w:r/>
      <w:bookmarkStart w:id="890" w:name="_Toc226965835"/>
      <w:r/>
      <w:bookmarkStart w:id="891" w:name="_Toc142311062"/>
      <w:r/>
      <w:bookmarkStart w:id="892" w:name="_Toc226337258"/>
      <w:r/>
      <w:bookmarkStart w:id="893" w:name="_Toc305158830"/>
      <w:r/>
      <w:bookmarkStart w:id="894" w:name="_Toc226309806"/>
      <w:r/>
      <w:bookmarkStart w:id="895" w:name="_Toc150480797"/>
      <w:r/>
      <w:bookmarkStart w:id="896" w:name="_Toc195842926"/>
      <w:r/>
      <w:bookmarkStart w:id="897" w:name="_Toc226965834"/>
      <w:r/>
      <w:bookmarkStart w:id="898" w:name="_Toc142311061"/>
      <w:r/>
      <w:bookmarkStart w:id="899" w:name="_Toc305158903"/>
      <w:r/>
      <w:bookmarkStart w:id="900" w:name="_Toc226337257"/>
      <w:r/>
      <w:bookmarkStart w:id="901" w:name="_Toc305158829"/>
      <w:r/>
      <w:bookmarkStart w:id="902" w:name="_Toc265228399"/>
      <w:r/>
      <w:bookmarkStart w:id="903" w:name="_Toc226965751"/>
      <w:r/>
      <w:bookmarkStart w:id="904" w:name="_Toc226309805"/>
      <w:r/>
      <w:bookmarkStart w:id="905" w:name="_Toc150774764"/>
      <w:r/>
      <w:bookmarkStart w:id="906" w:name="_Toc127151561"/>
      <w:r/>
      <w:bookmarkStart w:id="907" w:name="_Toc264969251"/>
      <w:r>
        <w:rPr>
          <w:rFonts w:hint="eastAsia" w:ascii="宋体" w:hAnsi="宋体"/>
          <w:sz w:val="24"/>
        </w:rPr>
      </w:r>
      <w:r/>
    </w:p>
    <w:p>
      <w:pPr>
        <w:pStyle w:val="1078"/>
        <w:jc w:val="left"/>
        <w:tabs>
          <w:tab w:val="left" w:pos="1800" w:leader="none"/>
          <w:tab w:val="left" w:pos="5580" w:leader="none"/>
        </w:tabs>
        <w:rPr>
          <w:rFonts w:hint="eastAsia" w:ascii="宋体" w:hAnsi="宋体"/>
          <w:sz w:val="24"/>
        </w:rPr>
      </w:pPr>
      <w:r>
        <w:rPr>
          <w:rFonts w:hint="eastAsia" w:ascii="宋体" w:hAnsi="宋体"/>
          <w:sz w:val="24"/>
        </w:rPr>
      </w:r>
      <w:r/>
    </w:p>
    <w:p>
      <w:pPr>
        <w:pStyle w:val="1078"/>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8"/>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8"/>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8"/>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8"/>
        <w:ind w:firstLine="480"/>
        <w:jc w:val="left"/>
        <w:tabs>
          <w:tab w:val="left" w:pos="1800" w:leader="none"/>
          <w:tab w:val="left" w:pos="5580" w:leader="none"/>
        </w:tabs>
        <w:rPr>
          <w:rFonts w:hint="eastAsia" w:ascii="宋体" w:hAnsi="宋体"/>
          <w:sz w:val="24"/>
        </w:rPr>
      </w:pPr>
      <w:r>
        <w:rPr>
          <w:rFonts w:ascii="宋体" w:hAnsi="宋体"/>
          <w:sz w:val="24"/>
        </w:rPr>
        <w:t xml:space="preserve">5</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sz w:val="24"/>
        </w:rPr>
        <w:t xml:space="preserve">（实质性格式）</w:t>
      </w:r>
      <w:r>
        <w:rPr>
          <w:rFonts w:ascii="宋体" w:hAnsi="宋体"/>
          <w:b/>
          <w:sz w:val="24"/>
          <w:szCs w:val="20"/>
        </w:rPr>
      </w:r>
      <w:r/>
    </w:p>
    <w:p>
      <w:pPr>
        <w:pStyle w:val="1078"/>
        <w:spacing w:line="360" w:lineRule="auto"/>
        <w:rPr>
          <w:rFonts w:ascii="宋体" w:hAnsi="宋体"/>
          <w:sz w:val="24"/>
          <w:szCs w:val="20"/>
        </w:rPr>
      </w:pPr>
      <w:r>
        <w:rPr>
          <w:rFonts w:ascii="宋体" w:hAnsi="宋体"/>
          <w:sz w:val="24"/>
          <w:szCs w:val="20"/>
        </w:rPr>
      </w:r>
      <w:r/>
    </w:p>
    <w:p>
      <w:pPr>
        <w:pStyle w:val="1078"/>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8"/>
        <w:spacing w:line="360" w:lineRule="auto"/>
        <w:rPr>
          <w:rFonts w:ascii="宋体" w:hAnsi="宋体"/>
          <w:sz w:val="24"/>
          <w:szCs w:val="20"/>
        </w:rPr>
      </w:pPr>
      <w:r>
        <w:rPr>
          <w:rFonts w:ascii="宋体" w:hAnsi="宋体"/>
          <w:sz w:val="24"/>
          <w:szCs w:val="20"/>
        </w:rPr>
      </w:r>
      <w:r/>
    </w:p>
    <w:p>
      <w:pPr>
        <w:pStyle w:val="1078"/>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8"/>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8"/>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8"/>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8"/>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8"/>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8"/>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8"/>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bl>
    <w:p>
      <w:pPr>
        <w:pStyle w:val="1078"/>
        <w:jc w:val="left"/>
        <w:tabs>
          <w:tab w:val="left" w:pos="1800" w:leader="none"/>
          <w:tab w:val="left" w:pos="5580" w:leader="none"/>
        </w:tabs>
        <w:rPr>
          <w:rFonts w:ascii="宋体" w:hAnsi="宋体"/>
          <w:sz w:val="24"/>
        </w:rPr>
      </w:pPr>
      <w:r>
        <w:rPr>
          <w:rFonts w:ascii="宋体" w:hAnsi="宋体"/>
          <w:sz w:val="24"/>
        </w:rPr>
      </w:r>
      <w:r/>
    </w:p>
    <w:p>
      <w:pPr>
        <w:pStyle w:val="1078"/>
        <w:jc w:val="left"/>
        <w:tabs>
          <w:tab w:val="left" w:pos="1800" w:leader="none"/>
          <w:tab w:val="left" w:pos="5580" w:leader="none"/>
        </w:tabs>
        <w:rPr>
          <w:rFonts w:ascii="宋体" w:hAnsi="宋体"/>
          <w:sz w:val="24"/>
        </w:rPr>
      </w:pPr>
      <w:r>
        <w:rPr>
          <w:rFonts w:ascii="宋体" w:hAnsi="宋体"/>
          <w:sz w:val="24"/>
        </w:rPr>
        <w:t xml:space="preserve">注：</w:t>
      </w:r>
      <w:r/>
    </w:p>
    <w:p>
      <w:pPr>
        <w:pStyle w:val="107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8"/>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8"/>
        <w:spacing w:line="360" w:lineRule="auto"/>
        <w:rPr>
          <w:rFonts w:ascii="宋体" w:hAnsi="宋体"/>
          <w:sz w:val="24"/>
          <w:szCs w:val="20"/>
        </w:rPr>
      </w:pPr>
      <w:r>
        <w:rPr>
          <w:rFonts w:ascii="宋体" w:hAnsi="宋体"/>
          <w:sz w:val="24"/>
          <w:szCs w:val="20"/>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sz w:val="24"/>
          <w:szCs w:val="20"/>
        </w:rPr>
        <w:t xml:space="preserve">采购需求偏离表（实质性格式）</w:t>
      </w:r>
      <w:r/>
    </w:p>
    <w:p>
      <w:pPr>
        <w:pStyle w:val="1078"/>
        <w:jc w:val="center"/>
        <w:spacing w:line="360" w:lineRule="auto"/>
        <w:rPr>
          <w:rFonts w:hint="eastAsia" w:ascii="宋体" w:hAnsi="宋体"/>
          <w:b/>
          <w:sz w:val="36"/>
          <w:szCs w:val="36"/>
        </w:rPr>
      </w:pPr>
      <w:r>
        <w:rPr>
          <w:rFonts w:hint="eastAsia" w:ascii="宋体" w:hAnsi="宋体"/>
          <w:b/>
          <w:sz w:val="36"/>
          <w:szCs w:val="36"/>
        </w:rPr>
      </w:r>
      <w:r/>
    </w:p>
    <w:p>
      <w:pPr>
        <w:pStyle w:val="1078"/>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8"/>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8"/>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7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8"/>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78"/>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8"/>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8"/>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8"/>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8"/>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8"/>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bl>
    <w:p>
      <w:pPr>
        <w:pStyle w:val="1078"/>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8"/>
        <w:jc w:val="left"/>
        <w:tabs>
          <w:tab w:val="left" w:pos="1800" w:leader="none"/>
          <w:tab w:val="left" w:pos="5580" w:leader="none"/>
        </w:tabs>
        <w:rPr>
          <w:rFonts w:ascii="宋体" w:hAnsi="宋体"/>
          <w:sz w:val="24"/>
        </w:rPr>
      </w:pPr>
      <w:r>
        <w:rPr>
          <w:rFonts w:ascii="宋体" w:hAnsi="宋体"/>
          <w:sz w:val="24"/>
        </w:rPr>
        <w:t xml:space="preserve">注：</w:t>
      </w:r>
      <w:r/>
    </w:p>
    <w:p>
      <w:pPr>
        <w:pStyle w:val="107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8"/>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8"/>
        <w:jc w:val="left"/>
        <w:tabs>
          <w:tab w:val="left" w:pos="1800" w:leader="none"/>
          <w:tab w:val="left" w:pos="5580" w:leader="none"/>
        </w:tabs>
        <w:rPr>
          <w:rFonts w:ascii="宋体" w:hAnsi="宋体"/>
          <w:sz w:val="24"/>
        </w:rPr>
      </w:pPr>
      <w:r>
        <w:rPr>
          <w:rFonts w:ascii="宋体" w:hAnsi="宋体"/>
          <w:sz w:val="24"/>
        </w:rPr>
      </w:r>
      <w:r/>
    </w:p>
    <w:p>
      <w:pPr>
        <w:pStyle w:val="1078"/>
        <w:rPr>
          <w:rFonts w:ascii="宋体" w:hAnsi="宋体"/>
          <w:sz w:val="24"/>
          <w:szCs w:val="20"/>
        </w:rPr>
      </w:pPr>
      <w:r>
        <w:rPr>
          <w:rFonts w:ascii="宋体" w:hAnsi="宋体"/>
          <w:sz w:val="24"/>
          <w:szCs w:val="20"/>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8"/>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8"/>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8"/>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8"/>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8"/>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8"/>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54"/>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8"/>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8"/>
        <w:jc w:val="left"/>
        <w:widowControl/>
        <w:rPr>
          <w:rFonts w:ascii="宋体" w:hAnsi="宋体"/>
          <w:b/>
          <w:bCs/>
          <w:sz w:val="24"/>
        </w:rPr>
      </w:pPr>
      <w:r>
        <w:rPr>
          <w:rFonts w:ascii="宋体" w:hAnsi="宋体"/>
          <w:b/>
          <w:bCs/>
          <w:sz w:val="24"/>
        </w:rPr>
        <w:br w:type="page" w:clear="all"/>
      </w:r>
      <w:r/>
    </w:p>
    <w:p>
      <w:pPr>
        <w:pStyle w:val="1078"/>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1078"/>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8"/>
        <w:numPr>
          <w:ilvl w:val="0"/>
          <w:numId w:val="18"/>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cs="宋体"/>
          <w:sz w:val="24"/>
        </w:rPr>
        <w:t xml:space="preserve">租赁和商务服务业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8"/>
        <w:numPr>
          <w:ilvl w:val="0"/>
          <w:numId w:val="18"/>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cs="宋体"/>
          <w:sz w:val="24"/>
        </w:rPr>
        <w:t xml:space="preserve">租赁和商务服务业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8"/>
        <w:ind w:left="860"/>
        <w:jc w:val="left"/>
        <w:spacing w:line="360" w:lineRule="auto"/>
        <w:rPr>
          <w:rFonts w:ascii="宋体" w:hAnsi="宋体"/>
          <w:sz w:val="24"/>
        </w:rPr>
      </w:pPr>
      <w:r>
        <w:rPr>
          <w:rFonts w:ascii="宋体" w:hAnsi="宋体"/>
          <w:sz w:val="24"/>
        </w:rPr>
        <w:t xml:space="preserve">……</w:t>
      </w:r>
      <w:r/>
    </w:p>
    <w:p>
      <w:pPr>
        <w:pStyle w:val="1078"/>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8"/>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8"/>
        <w:ind w:firstLine="504"/>
        <w:spacing w:line="360" w:lineRule="auto"/>
        <w:rPr>
          <w:rFonts w:ascii="宋体" w:hAnsi="宋体"/>
          <w:spacing w:val="6"/>
          <w:sz w:val="24"/>
        </w:rPr>
      </w:pPr>
      <w:r>
        <w:rPr>
          <w:rFonts w:ascii="宋体" w:hAnsi="宋体"/>
          <w:spacing w:val="6"/>
          <w:sz w:val="24"/>
        </w:rPr>
      </w:r>
      <w:r/>
    </w:p>
    <w:p>
      <w:pPr>
        <w:pStyle w:val="1078"/>
        <w:ind w:right="360" w:firstLine="480"/>
        <w:jc w:val="right"/>
        <w:spacing w:line="360" w:lineRule="auto"/>
        <w:rPr>
          <w:rFonts w:ascii="宋体" w:hAnsi="宋体"/>
          <w:sz w:val="24"/>
        </w:rPr>
      </w:pPr>
      <w:r>
        <w:rPr>
          <w:rFonts w:ascii="宋体" w:hAnsi="宋体"/>
          <w:sz w:val="24"/>
        </w:rPr>
      </w:r>
      <w:r/>
    </w:p>
    <w:p>
      <w:pPr>
        <w:pStyle w:val="1078"/>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8"/>
        <w:ind w:right="360" w:firstLine="480"/>
        <w:jc w:val="right"/>
        <w:spacing w:line="360" w:lineRule="auto"/>
        <w:rPr>
          <w:rFonts w:ascii="宋体" w:hAnsi="宋体"/>
          <w:sz w:val="24"/>
        </w:rPr>
      </w:pPr>
      <w:r>
        <w:rPr>
          <w:rFonts w:ascii="宋体" w:hAnsi="宋体"/>
          <w:sz w:val="24"/>
        </w:rPr>
        <w:t xml:space="preserve">日 期：________</w:t>
      </w:r>
      <w:r/>
    </w:p>
    <w:p>
      <w:pPr>
        <w:pStyle w:val="1078"/>
        <w:ind w:right="360" w:firstLine="480"/>
        <w:jc w:val="right"/>
        <w:spacing w:line="360" w:lineRule="auto"/>
        <w:rPr>
          <w:rFonts w:ascii="宋体" w:hAnsi="宋体"/>
          <w:sz w:val="24"/>
        </w:rPr>
      </w:pPr>
      <w:r>
        <w:rPr>
          <w:rFonts w:ascii="宋体" w:hAnsi="宋体"/>
          <w:sz w:val="24"/>
        </w:rPr>
      </w:r>
      <w:r/>
    </w:p>
    <w:p>
      <w:pPr>
        <w:pStyle w:val="1078"/>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8"/>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8"/>
        <w:jc w:val="left"/>
        <w:rPr>
          <w:rFonts w:ascii="宋体" w:hAnsi="宋体"/>
          <w:szCs w:val="21"/>
          <w:vertAlign w:val="superscript"/>
        </w:rPr>
      </w:pPr>
      <w:r>
        <w:rPr>
          <w:rFonts w:ascii="宋体" w:hAnsi="宋体"/>
          <w:szCs w:val="21"/>
          <w:vertAlign w:val="superscript"/>
        </w:rPr>
      </w:r>
      <w:r/>
    </w:p>
    <w:p>
      <w:pPr>
        <w:pStyle w:val="1078"/>
        <w:ind w:right="360" w:firstLine="480"/>
        <w:jc w:val="right"/>
        <w:spacing w:line="360" w:lineRule="auto"/>
        <w:rPr>
          <w:rFonts w:ascii="宋体" w:hAnsi="宋体"/>
          <w:sz w:val="24"/>
        </w:rPr>
      </w:pPr>
      <w:r>
        <w:rPr>
          <w:rFonts w:ascii="宋体" w:hAnsi="宋体"/>
          <w:sz w:val="24"/>
        </w:rPr>
      </w:r>
      <w:r/>
    </w:p>
    <w:p>
      <w:pPr>
        <w:pStyle w:val="1078"/>
        <w:ind w:right="360" w:firstLine="480"/>
        <w:jc w:val="right"/>
        <w:spacing w:line="360" w:lineRule="auto"/>
        <w:rPr>
          <w:rFonts w:ascii="宋体" w:hAnsi="宋体"/>
          <w:sz w:val="24"/>
        </w:rPr>
      </w:pPr>
      <w:r>
        <w:rPr>
          <w:rFonts w:ascii="宋体" w:hAnsi="宋体"/>
          <w:sz w:val="24"/>
        </w:rPr>
      </w:r>
      <w:r/>
    </w:p>
    <w:p>
      <w:pPr>
        <w:pStyle w:val="1078"/>
        <w:jc w:val="center"/>
        <w:spacing w:before="240" w:after="240" w:line="360" w:lineRule="auto"/>
        <w:rPr>
          <w:rFonts w:ascii="宋体" w:hAnsi="宋体"/>
          <w:sz w:val="36"/>
          <w:szCs w:val="36"/>
        </w:rPr>
      </w:pPr>
      <w:r>
        <w:rPr>
          <w:rFonts w:ascii="宋体" w:hAnsi="宋体"/>
          <w:b/>
          <w:bCs/>
          <w:sz w:val="36"/>
          <w:szCs w:val="36"/>
        </w:rPr>
        <w:br w:type="page" w:clear="all"/>
        <w:t xml:space="preserve">残疾人福利性单位声明函格式</w:t>
      </w:r>
      <w:r>
        <w:rPr>
          <w:rFonts w:ascii="宋体" w:hAnsi="宋体"/>
          <w:sz w:val="36"/>
          <w:szCs w:val="36"/>
        </w:rPr>
        <w:t xml:space="preserve"> </w:t>
      </w:r>
      <w:r/>
    </w:p>
    <w:p>
      <w:pPr>
        <w:pStyle w:val="107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8"/>
        <w:ind w:firstLine="504"/>
        <w:spacing w:line="588" w:lineRule="exact"/>
        <w:rPr>
          <w:rFonts w:ascii="宋体" w:hAnsi="宋体"/>
          <w:spacing w:val="6"/>
          <w:sz w:val="24"/>
        </w:rPr>
      </w:pPr>
      <w:r>
        <w:rPr>
          <w:rFonts w:ascii="宋体" w:hAnsi="宋体"/>
          <w:spacing w:val="6"/>
          <w:sz w:val="24"/>
        </w:rPr>
      </w:r>
      <w:r/>
    </w:p>
    <w:p>
      <w:pPr>
        <w:pStyle w:val="1078"/>
        <w:ind w:firstLine="504"/>
        <w:spacing w:line="588" w:lineRule="exact"/>
        <w:rPr>
          <w:rFonts w:ascii="宋体" w:hAnsi="宋体"/>
          <w:spacing w:val="6"/>
          <w:sz w:val="24"/>
        </w:rPr>
      </w:pPr>
      <w:r>
        <w:rPr>
          <w:rFonts w:ascii="宋体" w:hAnsi="宋体"/>
          <w:spacing w:val="6"/>
          <w:sz w:val="24"/>
        </w:rPr>
      </w:r>
      <w:r/>
    </w:p>
    <w:p>
      <w:pPr>
        <w:pStyle w:val="107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8"/>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8"/>
        <w:spacing w:line="360" w:lineRule="auto"/>
        <w:rPr>
          <w:rFonts w:ascii="宋体" w:hAnsi="宋体"/>
          <w:b/>
          <w:sz w:val="24"/>
          <w:szCs w:val="20"/>
        </w:rPr>
        <w:outlineLvl w:val="2"/>
      </w:pPr>
      <w:r>
        <w:rPr>
          <w:rFonts w:ascii="宋体" w:hAnsi="宋体"/>
          <w:b/>
          <w:sz w:val="24"/>
          <w:szCs w:val="20"/>
        </w:rPr>
        <w:br w:type="page" w:clear="all"/>
        <w:t xml:space="preserve">10</w:t>
      </w:r>
      <w:r>
        <w:rPr>
          <w:rFonts w:ascii="宋体" w:hAnsi="宋体"/>
          <w:b/>
          <w:sz w:val="24"/>
          <w:szCs w:val="20"/>
        </w:rPr>
        <w:t xml:space="preserve">  </w:t>
      </w:r>
      <w:r>
        <w:rPr>
          <w:rFonts w:hint="eastAsia" w:ascii="宋体" w:hAnsi="宋体"/>
          <w:b/>
          <w:sz w:val="24"/>
          <w:szCs w:val="20"/>
        </w:rPr>
        <w:t xml:space="preserve">关于符合本国产品标准的声明函</w:t>
      </w:r>
      <w:r>
        <w:rPr>
          <w:rFonts w:hint="eastAsia" w:ascii="方正魏碑_GBK" w:hAnsi="方正魏碑_GBK" w:eastAsia="方正魏碑_GBK" w:cs="方正魏碑_GBK"/>
          <w:b/>
          <w:sz w:val="24"/>
        </w:rPr>
        <w:t xml:space="preserve">（采购包号：**）</w:t>
      </w:r>
      <w:r>
        <w:rPr>
          <w:rFonts w:ascii="宋体" w:hAnsi="宋体"/>
          <w:b/>
          <w:sz w:val="24"/>
          <w:szCs w:val="20"/>
        </w:rPr>
      </w:r>
      <w:r/>
    </w:p>
    <w:p>
      <w:pPr>
        <w:pStyle w:val="114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4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53"/>
          <w:rFonts w:hint="eastAsia" w:ascii="方正魏碑_GBK" w:hAnsi="方正魏碑_GBK" w:eastAsia="方正魏碑_GBK" w:cs="方正魏碑_GBK"/>
          <w:color w:val="000000"/>
          <w:u w:val="single"/>
          <w:shd w:val="clear" w:color="auto" w:fill="ffffff"/>
        </w:rPr>
        <w:t xml:space="preserve">（产品名称1）</w:t>
      </w:r>
      <w:r>
        <w:rPr>
          <w:rStyle w:val="1153"/>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53"/>
          <w:rFonts w:hint="eastAsia" w:ascii="方正魏碑_GBK" w:hAnsi="方正魏碑_GBK" w:eastAsia="方正魏碑_GBK" w:cs="方正魏碑_GBK"/>
          <w:color w:val="000000"/>
          <w:u w:val="single"/>
          <w:shd w:val="clear" w:color="auto" w:fill="ffffff"/>
        </w:rPr>
        <w:t xml:space="preserve">（厂名）</w:t>
      </w:r>
      <w:r>
        <w:rPr>
          <w:rStyle w:val="1153"/>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5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53"/>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53"/>
          <w:rFonts w:hint="eastAsia" w:ascii="方正魏碑_GBK" w:hAnsi="方正魏碑_GBK" w:eastAsia="方正魏碑_GBK" w:cs="方正魏碑_GBK"/>
          <w:color w:val="000000"/>
          <w:u w:val="single"/>
          <w:shd w:val="clear" w:color="auto" w:fill="ffffff"/>
        </w:rPr>
        <w:t xml:space="preserve">（规定</w:t>
      </w:r>
      <w:r>
        <w:rPr>
          <w:rStyle w:val="1153"/>
          <w:rFonts w:ascii="方正魏碑_GBK" w:hAnsi="方正魏碑_GBK" w:eastAsia="方正魏碑_GBK" w:cs="方正魏碑_GBK"/>
          <w:color w:val="000000"/>
          <w:u w:val="single"/>
          <w:shd w:val="clear" w:color="auto" w:fill="ffffff"/>
        </w:rPr>
        <w:t xml:space="preserve">比例</w:t>
      </w:r>
      <w:r>
        <w:rPr>
          <w:rStyle w:val="1153"/>
          <w:rFonts w:hint="eastAsia" w:ascii="方正魏碑_GBK" w:hAnsi="方正魏碑_GBK" w:eastAsia="方正魏碑_GBK" w:cs="方正魏碑_GBK"/>
          <w:color w:val="000000"/>
          <w:u w:val="single"/>
          <w:shd w:val="clear" w:color="auto" w:fill="ffffff"/>
        </w:rPr>
        <w:t xml:space="preserve">）</w:t>
      </w:r>
      <w:r>
        <w:rPr>
          <w:rStyle w:val="1153"/>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5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w:t>
      </w:r>
      <w:r>
        <w:rPr>
          <w:rStyle w:val="1153"/>
          <w:rFonts w:ascii="方正魏碑_GBK" w:hAnsi="方正魏碑_GBK" w:eastAsia="方正魏碑_GBK" w:cs="方正魏碑_GBK"/>
          <w:color w:val="000000"/>
          <w:u w:val="single"/>
          <w:shd w:val="clear" w:color="auto" w:fill="ffffff"/>
        </w:rPr>
        <w:t xml:space="preserve">组件</w:t>
      </w:r>
      <w:r>
        <w:rPr>
          <w:rStyle w:val="1153"/>
          <w:rFonts w:hint="eastAsia" w:ascii="方正魏碑_GBK" w:hAnsi="方正魏碑_GBK" w:eastAsia="方正魏碑_GBK" w:cs="方正魏碑_GBK"/>
          <w:color w:val="000000"/>
          <w:u w:val="single"/>
          <w:shd w:val="clear" w:color="auto" w:fill="ffffff"/>
        </w:rPr>
        <w:t xml:space="preserve">）</w:t>
      </w:r>
      <w:r>
        <w:rPr>
          <w:rStyle w:val="1153"/>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5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（关键工序）</w:t>
      </w:r>
      <w:r>
        <w:rPr>
          <w:rStyle w:val="1153"/>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53"/>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5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53"/>
          <w:rFonts w:hint="eastAsia" w:ascii="方正魏碑_GBK" w:hAnsi="方正魏碑_GBK" w:eastAsia="方正魏碑_GBK" w:cs="方正魏碑_GBK"/>
          <w:color w:val="000000"/>
          <w:u w:val="single"/>
          <w:shd w:val="clear" w:color="auto" w:fill="ffffff"/>
        </w:rPr>
        <w:t xml:space="preserve">（规定</w:t>
      </w:r>
      <w:r>
        <w:rPr>
          <w:rStyle w:val="1153"/>
          <w:rFonts w:ascii="方正魏碑_GBK" w:hAnsi="方正魏碑_GBK" w:eastAsia="方正魏碑_GBK" w:cs="方正魏碑_GBK"/>
          <w:color w:val="000000"/>
          <w:u w:val="single"/>
          <w:shd w:val="clear" w:color="auto" w:fill="ffffff"/>
        </w:rPr>
        <w:t xml:space="preserve">比例</w:t>
      </w:r>
      <w:r>
        <w:rPr>
          <w:rStyle w:val="115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w:t>
      </w:r>
      <w:r>
        <w:rPr>
          <w:rStyle w:val="1153"/>
          <w:rFonts w:ascii="方正魏碑_GBK" w:hAnsi="方正魏碑_GBK" w:eastAsia="方正魏碑_GBK" w:cs="方正魏碑_GBK"/>
          <w:color w:val="000000"/>
          <w:u w:val="single"/>
          <w:shd w:val="clear" w:color="auto" w:fill="ffffff"/>
        </w:rPr>
        <w:t xml:space="preserve">组件</w:t>
      </w:r>
      <w:r>
        <w:rPr>
          <w:rStyle w:val="115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4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40"/>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4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4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8"/>
        <w:rPr>
          <w:rFonts w:ascii="方正魏碑_GBK" w:hAnsi="方正魏碑_GBK" w:eastAsia="方正魏碑_GBK" w:cs="方正魏碑_GBK"/>
        </w:rPr>
      </w:pPr>
      <w:r>
        <w:rPr>
          <w:rFonts w:hint="eastAsia" w:ascii="宋体" w:hAnsi="宋体"/>
          <w:b/>
          <w:sz w:val="24"/>
        </w:rPr>
        <w:br w:type="page" w:clear="all"/>
        <w:t xml:space="preserve">1</w:t>
      </w:r>
      <w:r>
        <w:rPr>
          <w:rFonts w:ascii="宋体" w:hAnsi="宋体"/>
          <w:b/>
          <w:sz w:val="24"/>
        </w:rPr>
        <w:t xml:space="preserve">1</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078"/>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8"/>
        <w:ind w:firstLine="480"/>
        <w:spacing w:line="560" w:lineRule="exact"/>
        <w:rPr>
          <w:rFonts w:hint="eastAsia" w:ascii="宋体" w:hAnsi="宋体"/>
          <w:sz w:val="24"/>
          <w:szCs w:val="20"/>
        </w:rPr>
      </w:pPr>
      <w:r>
        <w:rPr>
          <w:rFonts w:hint="eastAsia" w:ascii="宋体" w:hAnsi="宋体"/>
          <w:sz w:val="24"/>
          <w:szCs w:val="20"/>
        </w:rPr>
      </w:r>
      <w:r/>
    </w:p>
    <w:p>
      <w:pPr>
        <w:pStyle w:val="1078"/>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参加本项目人员一览表</w:t>
      </w:r>
      <w:r>
        <w:rPr>
          <w:rFonts w:ascii="宋体" w:hAnsi="宋体"/>
          <w:b/>
          <w:sz w:val="24"/>
        </w:rPr>
      </w:r>
      <w:r/>
    </w:p>
    <w:p>
      <w:pPr>
        <w:pStyle w:val="1078"/>
        <w:jc w:val="center"/>
        <w:spacing w:line="360" w:lineRule="auto"/>
        <w:rPr>
          <w:rFonts w:hint="eastAsia" w:ascii="宋体" w:hAnsi="宋体"/>
          <w:b/>
          <w:sz w:val="32"/>
          <w:szCs w:val="32"/>
        </w:rPr>
      </w:pPr>
      <w:r>
        <w:rPr>
          <w:rFonts w:hint="eastAsia" w:ascii="宋体" w:hAnsi="宋体"/>
          <w:b/>
          <w:sz w:val="32"/>
          <w:szCs w:val="32"/>
        </w:rPr>
      </w:r>
      <w:r/>
    </w:p>
    <w:p>
      <w:pPr>
        <w:pStyle w:val="107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8"/>
        <w:spacing w:line="360" w:lineRule="auto"/>
        <w:rPr>
          <w:rFonts w:ascii="宋体" w:hAnsi="宋体"/>
          <w:sz w:val="22"/>
        </w:rPr>
      </w:pPr>
      <w:r>
        <w:rPr>
          <w:rFonts w:ascii="宋体" w:hAnsi="宋体"/>
          <w:sz w:val="22"/>
        </w:rPr>
      </w:r>
      <w:r/>
    </w:p>
    <w:p>
      <w:pPr>
        <w:pStyle w:val="107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8"/>
        <w:tabs>
          <w:tab w:val="left" w:pos="9765" w:leader="none"/>
        </w:tabs>
        <w:rPr>
          <w:rFonts w:ascii="宋体" w:hAnsi="宋体" w:cs="宋体"/>
          <w:b/>
          <w:sz w:val="24"/>
          <w:lang w:val="zh-CN"/>
        </w:rPr>
      </w:pPr>
      <w:r>
        <w:rPr>
          <w:rFonts w:ascii="宋体" w:hAnsi="宋体" w:cs="宋体"/>
          <w:b/>
          <w:sz w:val="24"/>
          <w:lang w:val="zh-CN"/>
        </w:rPr>
      </w:r>
      <w:r/>
    </w:p>
    <w:p>
      <w:pPr>
        <w:pStyle w:val="107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8"/>
        <w:spacing w:line="360" w:lineRule="auto"/>
        <w:rPr>
          <w:rFonts w:ascii="宋体" w:hAnsi="宋体"/>
          <w:sz w:val="24"/>
        </w:rPr>
      </w:pPr>
      <w:r>
        <w:rPr>
          <w:rFonts w:ascii="宋体" w:hAnsi="宋体"/>
          <w:sz w:val="24"/>
        </w:rPr>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2"/>
        </w:rPr>
        <w:br w:type="page" w:clear="all"/>
      </w:r>
      <w:bookmarkStart w:id="908" w:name="_Toc288738839"/>
      <w:r/>
      <w:bookmarkStart w:id="909" w:name="_Toc288738397"/>
      <w:r>
        <w:rPr>
          <w:rFonts w:hint="eastAsia" w:ascii="宋体" w:hAnsi="宋体"/>
          <w:b/>
          <w:sz w:val="24"/>
        </w:rPr>
        <w:t xml:space="preserve">1</w:t>
      </w:r>
      <w:r>
        <w:rPr>
          <w:rFonts w:ascii="宋体" w:hAnsi="宋体"/>
          <w:b/>
          <w:sz w:val="24"/>
        </w:rPr>
        <w:t xml:space="preserve">3</w:t>
      </w:r>
      <w:r>
        <w:rPr>
          <w:rFonts w:hint="eastAsia" w:ascii="宋体" w:hAnsi="宋体"/>
          <w:b/>
          <w:sz w:val="24"/>
        </w:rPr>
        <w:t xml:space="preserve">  相关业绩案例一览表</w:t>
      </w:r>
      <w:r>
        <w:rPr>
          <w:rFonts w:ascii="宋体" w:hAnsi="宋体"/>
          <w:b/>
          <w:sz w:val="24"/>
          <w:szCs w:val="20"/>
        </w:rPr>
      </w:r>
      <w:r/>
    </w:p>
    <w:p>
      <w:pPr>
        <w:pStyle w:val="1078"/>
        <w:rPr>
          <w:rFonts w:ascii="宋体" w:hAnsi="宋体"/>
          <w:sz w:val="24"/>
          <w:szCs w:val="20"/>
        </w:rPr>
      </w:pPr>
      <w:r>
        <w:rPr>
          <w:rFonts w:ascii="宋体" w:hAnsi="宋体"/>
          <w:sz w:val="24"/>
          <w:szCs w:val="20"/>
        </w:rPr>
      </w:r>
      <w:r/>
    </w:p>
    <w:p>
      <w:pPr>
        <w:pStyle w:val="1078"/>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Pr>
          <w:rFonts w:ascii="宋体" w:hAnsi="宋体"/>
          <w:b/>
          <w:sz w:val="32"/>
          <w:szCs w:val="32"/>
        </w:rPr>
      </w:r>
      <w:r/>
    </w:p>
    <w:p>
      <w:pPr>
        <w:pStyle w:val="1078"/>
        <w:jc w:val="center"/>
        <w:spacing w:line="360" w:lineRule="auto"/>
        <w:rPr>
          <w:rFonts w:ascii="宋体" w:hAnsi="宋体"/>
          <w:b/>
          <w:sz w:val="28"/>
          <w:szCs w:val="30"/>
        </w:rPr>
      </w:pPr>
      <w:r>
        <w:rPr>
          <w:rFonts w:ascii="宋体" w:hAnsi="宋体"/>
          <w:b/>
          <w:sz w:val="28"/>
          <w:szCs w:val="30"/>
        </w:rPr>
      </w:r>
      <w:r/>
    </w:p>
    <w:p>
      <w:pPr>
        <w:pStyle w:val="107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bl>
    <w:p>
      <w:pPr>
        <w:pStyle w:val="1078"/>
        <w:tabs>
          <w:tab w:val="left" w:pos="9765" w:leader="none"/>
        </w:tabs>
        <w:rPr>
          <w:rFonts w:ascii="宋体" w:hAnsi="宋体" w:cs="宋体"/>
          <w:sz w:val="24"/>
          <w:lang w:val="zh-CN"/>
        </w:rPr>
      </w:pPr>
      <w:r>
        <w:rPr>
          <w:rFonts w:ascii="宋体" w:hAnsi="宋体" w:cs="宋体"/>
          <w:sz w:val="24"/>
          <w:lang w:val="zh-CN"/>
        </w:rPr>
      </w:r>
      <w:r/>
    </w:p>
    <w:p>
      <w:pPr>
        <w:pStyle w:val="1078"/>
        <w:spacing w:line="360" w:lineRule="auto"/>
        <w:rPr>
          <w:rFonts w:ascii="宋体" w:hAnsi="宋体" w:cs="宋体"/>
          <w:sz w:val="24"/>
        </w:rPr>
      </w:pPr>
      <w:r>
        <w:rPr>
          <w:rFonts w:ascii="宋体" w:hAnsi="宋体" w:cs="宋体"/>
          <w:sz w:val="24"/>
        </w:rPr>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rPr>
        <w:outlineLvl w:val="2"/>
      </w:pPr>
      <w:r>
        <w:rPr>
          <w:rFonts w:ascii="宋体" w:hAnsi="宋体"/>
        </w:rPr>
      </w:r>
      <w:r/>
    </w:p>
    <w:p>
      <w:pPr>
        <w:pStyle w:val="1078"/>
        <w:spacing w:line="360" w:lineRule="auto"/>
        <w:rPr>
          <w:rFonts w:ascii="宋体" w:hAnsi="宋体"/>
        </w:rPr>
        <w:outlineLvl w:val="2"/>
      </w:pPr>
      <w:r>
        <w:rPr>
          <w:rFonts w:ascii="宋体" w:hAnsi="宋体"/>
        </w:rPr>
      </w:r>
      <w:r/>
    </w:p>
    <w:p>
      <w:pPr>
        <w:pStyle w:val="1078"/>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4</w:t>
      </w:r>
      <w:r>
        <w:rPr>
          <w:rFonts w:ascii="宋体" w:hAnsi="宋体"/>
          <w:b/>
          <w:sz w:val="24"/>
        </w:rPr>
        <w:t xml:space="preserve">  招标文件要求提供或投标人认为应附的其他材料</w:t>
      </w:r>
      <w:r/>
    </w:p>
    <w:p>
      <w:pPr>
        <w:pStyle w:val="1078"/>
        <w:jc w:val="left"/>
        <w:widowControl/>
        <w:rPr>
          <w:rFonts w:ascii="宋体" w:hAnsi="宋体"/>
          <w:b/>
          <w:sz w:val="36"/>
          <w:szCs w:val="36"/>
        </w:rPr>
      </w:pPr>
      <w:r>
        <w:rPr>
          <w:rFonts w:ascii="宋体" w:hAnsi="宋体"/>
          <w:b/>
          <w:sz w:val="36"/>
          <w:szCs w:val="36"/>
        </w:rPr>
      </w:r>
      <w:r/>
    </w:p>
    <w:p>
      <w:pPr>
        <w:pStyle w:val="1078"/>
        <w:jc w:val="left"/>
        <w:widowControl/>
        <w:rPr>
          <w:rFonts w:ascii="宋体" w:hAnsi="宋体"/>
          <w:b/>
          <w:sz w:val="36"/>
          <w:szCs w:val="36"/>
        </w:rPr>
      </w:pPr>
      <w:r>
        <w:rPr>
          <w:rFonts w:ascii="宋体" w:hAnsi="宋体"/>
          <w:b/>
          <w:sz w:val="36"/>
          <w:szCs w:val="36"/>
        </w:rPr>
      </w:r>
      <w:r/>
    </w:p>
    <w:p>
      <w:pPr>
        <w:pStyle w:val="1078"/>
        <w:jc w:val="left"/>
        <w:widowControl/>
        <w:rPr>
          <w:rFonts w:ascii="宋体" w:hAnsi="宋体"/>
          <w:b/>
          <w:sz w:val="36"/>
          <w:szCs w:val="36"/>
        </w:rPr>
      </w:pPr>
      <w:r>
        <w:rPr>
          <w:rFonts w:ascii="宋体" w:hAnsi="宋体"/>
          <w:b/>
          <w:sz w:val="36"/>
          <w:szCs w:val="36"/>
        </w:rPr>
      </w:r>
      <w:r/>
    </w:p>
    <w:p>
      <w:pPr>
        <w:pStyle w:val="1078"/>
        <w:jc w:val="left"/>
        <w:widowControl/>
        <w:rPr>
          <w:rFonts w:hint="eastAsia" w:ascii="宋体" w:hAnsi="宋体"/>
          <w:b/>
          <w:sz w:val="36"/>
          <w:szCs w:val="36"/>
        </w:rPr>
      </w:pPr>
      <w:r>
        <w:rPr>
          <w:rFonts w:hint="eastAsia" w:ascii="宋体" w:hAnsi="宋体"/>
          <w:b/>
          <w:sz w:val="36"/>
          <w:szCs w:val="36"/>
        </w:rPr>
      </w:r>
      <w:r/>
    </w:p>
    <w:p>
      <w:pPr>
        <w:pStyle w:val="1078"/>
        <w:rPr>
          <w:rFonts w:ascii="宋体" w:hAnsi="宋体"/>
          <w:sz w:val="36"/>
          <w:szCs w:val="36"/>
        </w:rPr>
      </w:pPr>
      <w:r>
        <w:rPr>
          <w:rFonts w:ascii="宋体" w:hAnsi="宋体"/>
          <w:sz w:val="36"/>
          <w:szCs w:val="36"/>
        </w:rPr>
      </w:r>
      <w:r/>
    </w:p>
    <w:p>
      <w:pPr>
        <w:pStyle w:val="1078"/>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8"/>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Wingdings 2">
    <w:panose1 w:val="05020102010507070707"/>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right="360"/>
      <w:rPr>
        <w:rStyle w:val="1151"/>
      </w:rPr>
      <w:framePr w:wrap="around" w:vAnchor="text" w:hAnchor="margin" w:y="1"/>
    </w:pPr>
    <w:r>
      <w:rPr>
        <w:rStyle w:val="1151"/>
      </w:rPr>
    </w:r>
    <w:r/>
  </w:p>
  <w:p>
    <w:pPr>
      <w:pStyle w:val="112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center" w:y="1"/>
    </w:pPr>
    <w:r>
      <w:fldChar w:fldCharType="begin"/>
    </w:r>
    <w:r>
      <w:rPr>
        <w:rStyle w:val="1151"/>
      </w:rPr>
      <w:instrText xml:space="preserve">PAGE  </w:instrText>
    </w:r>
    <w:r>
      <w:fldChar w:fldCharType="end"/>
    </w:r>
    <w:r>
      <w:rPr>
        <w:rStyle w:val="1151"/>
      </w:rPr>
    </w:r>
    <w:r/>
  </w:p>
  <w:p>
    <w:pPr>
      <w:pStyle w:val="112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r>
    <w:r/>
  </w:p>
  <w:p>
    <w:pPr>
      <w:pStyle w:val="112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fldChar w:fldCharType="begin"/>
    </w:r>
    <w:r>
      <w:rPr>
        <w:rStyle w:val="1151"/>
      </w:rPr>
      <w:instrText xml:space="preserve">PAGE  </w:instrText>
    </w:r>
    <w:r>
      <w:rPr>
        <w:rStyle w:val="1151"/>
      </w:rPr>
      <w:fldChar w:fldCharType="end"/>
    </w:r>
    <w:r>
      <w:rPr>
        <w:rStyle w:val="1151"/>
      </w:rPr>
    </w:r>
    <w:r/>
  </w:p>
  <w:p>
    <w:pPr>
      <w:pStyle w:val="112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fldChar w:fldCharType="begin"/>
    </w:r>
    <w:r>
      <w:rPr>
        <w:rStyle w:val="1151"/>
      </w:rPr>
      <w:instrText xml:space="preserve">PAGE  </w:instrText>
    </w:r>
    <w:r>
      <w:rPr>
        <w:rStyle w:val="1151"/>
      </w:rPr>
      <w:fldChar w:fldCharType="end"/>
    </w:r>
    <w:r>
      <w:rPr>
        <w:rStyle w:val="1151"/>
      </w:rPr>
    </w:r>
    <w:r/>
  </w:p>
  <w:p>
    <w:pPr>
      <w:pStyle w:val="1127"/>
      <w:ind w:right="360"/>
    </w:pPr>
    <w:r/>
    <w:r/>
  </w:p>
  <w:p>
    <w:pPr>
      <w:pStyle w:val="107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p>
    <w:pPr>
      <w:pStyle w:val="107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8"/>
        <w:ind w:left="4941" w:hanging="1140"/>
        <w:tabs>
          <w:tab w:val="num" w:pos="4941" w:leader="none"/>
        </w:tabs>
      </w:pPr>
      <w:rPr>
        <w:rFonts w:hint="eastAsia"/>
      </w:rPr>
    </w:lvl>
    <w:lvl w:ilvl="1">
      <w:start w:val="1"/>
      <w:numFmt w:val="lowerLetter"/>
      <w:isLgl w:val="false"/>
      <w:suff w:val="tab"/>
      <w:lvlText w:val="%2)"/>
      <w:lvlJc w:val="left"/>
      <w:pPr>
        <w:pStyle w:val="1078"/>
        <w:ind w:left="4641" w:hanging="420"/>
        <w:tabs>
          <w:tab w:val="num" w:pos="4641" w:leader="none"/>
        </w:tabs>
      </w:pPr>
    </w:lvl>
    <w:lvl w:ilvl="2">
      <w:start w:val="1"/>
      <w:numFmt w:val="lowerRoman"/>
      <w:isLgl w:val="false"/>
      <w:suff w:val="tab"/>
      <w:lvlText w:val="%3."/>
      <w:lvlJc w:val="right"/>
      <w:pPr>
        <w:pStyle w:val="1078"/>
        <w:ind w:left="5061" w:hanging="420"/>
        <w:tabs>
          <w:tab w:val="num" w:pos="5061" w:leader="none"/>
        </w:tabs>
      </w:pPr>
    </w:lvl>
    <w:lvl w:ilvl="3">
      <w:start w:val="1"/>
      <w:numFmt w:val="decimal"/>
      <w:isLgl w:val="false"/>
      <w:suff w:val="tab"/>
      <w:lvlText w:val="%4."/>
      <w:lvlJc w:val="left"/>
      <w:pPr>
        <w:pStyle w:val="1078"/>
        <w:ind w:left="5481" w:hanging="420"/>
        <w:tabs>
          <w:tab w:val="num" w:pos="5481" w:leader="none"/>
        </w:tabs>
      </w:pPr>
    </w:lvl>
    <w:lvl w:ilvl="4">
      <w:start w:val="1"/>
      <w:numFmt w:val="lowerLetter"/>
      <w:isLgl w:val="false"/>
      <w:suff w:val="tab"/>
      <w:lvlText w:val="%5)"/>
      <w:lvlJc w:val="left"/>
      <w:pPr>
        <w:pStyle w:val="1078"/>
        <w:ind w:left="5901" w:hanging="420"/>
        <w:tabs>
          <w:tab w:val="num" w:pos="5901" w:leader="none"/>
        </w:tabs>
      </w:pPr>
    </w:lvl>
    <w:lvl w:ilvl="5">
      <w:start w:val="1"/>
      <w:numFmt w:val="lowerRoman"/>
      <w:isLgl w:val="false"/>
      <w:suff w:val="tab"/>
      <w:lvlText w:val="%6."/>
      <w:lvlJc w:val="right"/>
      <w:pPr>
        <w:pStyle w:val="1078"/>
        <w:ind w:left="6321" w:hanging="420"/>
        <w:tabs>
          <w:tab w:val="num" w:pos="6321" w:leader="none"/>
        </w:tabs>
      </w:pPr>
    </w:lvl>
    <w:lvl w:ilvl="6">
      <w:start w:val="1"/>
      <w:numFmt w:val="decimal"/>
      <w:isLgl w:val="false"/>
      <w:suff w:val="tab"/>
      <w:lvlText w:val="%7."/>
      <w:lvlJc w:val="left"/>
      <w:pPr>
        <w:pStyle w:val="1078"/>
        <w:ind w:left="6741" w:hanging="420"/>
        <w:tabs>
          <w:tab w:val="num" w:pos="6741" w:leader="none"/>
        </w:tabs>
      </w:pPr>
    </w:lvl>
    <w:lvl w:ilvl="7">
      <w:start w:val="1"/>
      <w:numFmt w:val="lowerLetter"/>
      <w:isLgl w:val="false"/>
      <w:suff w:val="tab"/>
      <w:lvlText w:val="%8)"/>
      <w:lvlJc w:val="left"/>
      <w:pPr>
        <w:pStyle w:val="1078"/>
        <w:ind w:left="7161" w:hanging="420"/>
        <w:tabs>
          <w:tab w:val="num" w:pos="7161" w:leader="none"/>
        </w:tabs>
      </w:pPr>
    </w:lvl>
    <w:lvl w:ilvl="8">
      <w:start w:val="1"/>
      <w:numFmt w:val="lowerRoman"/>
      <w:isLgl w:val="false"/>
      <w:suff w:val="tab"/>
      <w:lvlText w:val="%9."/>
      <w:lvlJc w:val="right"/>
      <w:pPr>
        <w:pStyle w:val="1078"/>
        <w:ind w:left="7581" w:hanging="420"/>
        <w:tabs>
          <w:tab w:val="num" w:pos="7581" w:leader="none"/>
        </w:tabs>
      </w:pPr>
    </w:lvl>
  </w:abstractNum>
  <w:abstractNum w:abstractNumId="2">
    <w:multiLevelType w:val="hybridMultilevel"/>
    <w:lvl w:ilvl="0">
      <w:start w:val="1"/>
      <w:numFmt w:val="decimal"/>
      <w:pStyle w:val="1189"/>
      <w:isLgl w:val="false"/>
      <w:suff w:val="tab"/>
      <w:lvlText w:val="%1."/>
      <w:lvlJc w:val="left"/>
      <w:pPr>
        <w:pStyle w:val="1078"/>
        <w:ind w:left="420" w:hanging="420"/>
      </w:pPr>
    </w:lvl>
    <w:lvl w:ilvl="1">
      <w:start w:val="1"/>
      <w:numFmt w:val="decimal"/>
      <w:isLgl w:val="false"/>
      <w:suff w:val="tab"/>
      <w:lvlText w:val="（%2）"/>
      <w:lvlJc w:val="left"/>
      <w:pPr>
        <w:pStyle w:val="1078"/>
        <w:ind w:left="1140" w:hanging="720"/>
        <w:tabs>
          <w:tab w:val="num" w:pos="1140" w:leader="none"/>
        </w:tabs>
      </w:pPr>
      <w:rPr>
        <w:rFonts w:hint="eastAsia"/>
      </w:r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3">
    <w:multiLevelType w:val="hybridMultilevel"/>
    <w:lvl w:ilvl="0">
      <w:start w:val="1"/>
      <w:numFmt w:val="lowerLetter"/>
      <w:pStyle w:val="1264"/>
      <w:isLgl w:val="false"/>
      <w:suff w:val="tab"/>
      <w:lvlText w:val="%1)"/>
      <w:lvlJc w:val="left"/>
      <w:pPr>
        <w:pStyle w:val="1078"/>
        <w:ind w:left="902" w:hanging="420"/>
      </w:pPr>
      <w:rPr>
        <w:color w:val="000000"/>
      </w:rPr>
    </w:lvl>
    <w:lvl w:ilvl="1">
      <w:start w:val="1"/>
      <w:numFmt w:val="lowerLetter"/>
      <w:isLgl w:val="false"/>
      <w:suff w:val="tab"/>
      <w:lvlText w:val="%2)"/>
      <w:lvlJc w:val="left"/>
      <w:pPr>
        <w:pStyle w:val="1078"/>
        <w:ind w:left="1322" w:hanging="420"/>
      </w:pPr>
    </w:lvl>
    <w:lvl w:ilvl="2">
      <w:start w:val="1"/>
      <w:numFmt w:val="lowerRoman"/>
      <w:isLgl w:val="false"/>
      <w:suff w:val="tab"/>
      <w:lvlText w:val="%3."/>
      <w:lvlJc w:val="right"/>
      <w:pPr>
        <w:pStyle w:val="1078"/>
        <w:ind w:left="1742" w:hanging="420"/>
      </w:pPr>
    </w:lvl>
    <w:lvl w:ilvl="3">
      <w:start w:val="1"/>
      <w:numFmt w:val="decimal"/>
      <w:isLgl w:val="false"/>
      <w:suff w:val="tab"/>
      <w:lvlText w:val="%4."/>
      <w:lvlJc w:val="left"/>
      <w:pPr>
        <w:pStyle w:val="1078"/>
        <w:ind w:left="2162" w:hanging="420"/>
      </w:pPr>
    </w:lvl>
    <w:lvl w:ilvl="4">
      <w:start w:val="1"/>
      <w:numFmt w:val="lowerLetter"/>
      <w:isLgl w:val="false"/>
      <w:suff w:val="tab"/>
      <w:lvlText w:val="%5)"/>
      <w:lvlJc w:val="left"/>
      <w:pPr>
        <w:pStyle w:val="1078"/>
        <w:ind w:left="2582" w:hanging="420"/>
      </w:pPr>
    </w:lvl>
    <w:lvl w:ilvl="5">
      <w:start w:val="1"/>
      <w:numFmt w:val="lowerRoman"/>
      <w:isLgl w:val="false"/>
      <w:suff w:val="tab"/>
      <w:lvlText w:val="%6."/>
      <w:lvlJc w:val="right"/>
      <w:pPr>
        <w:pStyle w:val="1078"/>
        <w:ind w:left="3002" w:hanging="420"/>
      </w:pPr>
    </w:lvl>
    <w:lvl w:ilvl="6">
      <w:start w:val="1"/>
      <w:numFmt w:val="decimal"/>
      <w:isLgl w:val="false"/>
      <w:suff w:val="tab"/>
      <w:lvlText w:val="%7."/>
      <w:lvlJc w:val="left"/>
      <w:pPr>
        <w:pStyle w:val="1078"/>
        <w:ind w:left="3422" w:hanging="420"/>
      </w:pPr>
    </w:lvl>
    <w:lvl w:ilvl="7">
      <w:start w:val="1"/>
      <w:numFmt w:val="lowerLetter"/>
      <w:isLgl w:val="false"/>
      <w:suff w:val="tab"/>
      <w:lvlText w:val="%8)"/>
      <w:lvlJc w:val="left"/>
      <w:pPr>
        <w:pStyle w:val="1078"/>
        <w:ind w:left="3842" w:hanging="420"/>
      </w:pPr>
    </w:lvl>
    <w:lvl w:ilvl="8">
      <w:start w:val="1"/>
      <w:numFmt w:val="lowerRoman"/>
      <w:isLgl w:val="false"/>
      <w:suff w:val="tab"/>
      <w:lvlText w:val="%9."/>
      <w:lvlJc w:val="right"/>
      <w:pPr>
        <w:pStyle w:val="1078"/>
        <w:ind w:left="4262" w:hanging="420"/>
      </w:pPr>
    </w:lvl>
  </w:abstractNum>
  <w:abstractNum w:abstractNumId="4">
    <w:multiLevelType w:val="hybridMultilevel"/>
    <w:lvl w:ilvl="0">
      <w:start w:val="1"/>
      <w:numFmt w:val="decimal"/>
      <w:pStyle w:val="1234"/>
      <w:isLgl w:val="false"/>
      <w:suff w:val="tab"/>
      <w:lvlText w:val="%1."/>
      <w:lvlJc w:val="left"/>
      <w:pPr>
        <w:pStyle w:val="107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egacy w:legacy="1" w:legacyIndent="0" w:legacySpace="0"/>
      <w:lvlJc w:val="left"/>
      <w:pPr>
        <w:pStyle w:val="1078"/>
      </w:pPr>
    </w:lvl>
    <w:lvl w:ilvl="1">
      <w:start w:val="1"/>
      <w:numFmt w:val="decimal"/>
      <w:isLgl w:val="false"/>
      <w:suff w:val="nothing"/>
      <w:lvlText w:val=""/>
      <w:lvlJc w:val="left"/>
      <w:pPr>
        <w:pStyle w:val="1078"/>
      </w:pPr>
    </w:lvl>
    <w:lvl w:ilvl="2">
      <w:start w:val="1"/>
      <w:numFmt w:val="decimal"/>
      <w:isLgl w:val="false"/>
      <w:suff w:val="nothing"/>
      <w:lvlText w:val=""/>
      <w:lvlJc w:val="left"/>
      <w:pPr>
        <w:pStyle w:val="1078"/>
      </w:pPr>
    </w:lvl>
    <w:lvl w:ilvl="3">
      <w:start w:val="1"/>
      <w:numFmt w:val="decimal"/>
      <w:isLgl w:val="false"/>
      <w:suff w:val="nothing"/>
      <w:lvlText w:val=""/>
      <w:lvlJc w:val="left"/>
      <w:pPr>
        <w:pStyle w:val="1078"/>
      </w:pPr>
    </w:lvl>
    <w:lvl w:ilvl="4">
      <w:start w:val="1"/>
      <w:numFmt w:val="decimal"/>
      <w:isLgl w:val="false"/>
      <w:suff w:val="nothing"/>
      <w:lvlText w:val=""/>
      <w:lvlJc w:val="left"/>
      <w:pPr>
        <w:pStyle w:val="1078"/>
      </w:pPr>
    </w:lvl>
    <w:lvl w:ilvl="5">
      <w:start w:val="1"/>
      <w:numFmt w:val="decimal"/>
      <w:isLgl w:val="false"/>
      <w:suff w:val="nothing"/>
      <w:lvlText w:val=""/>
      <w:lvlJc w:val="left"/>
      <w:pPr>
        <w:pStyle w:val="1078"/>
      </w:pPr>
    </w:lvl>
    <w:lvl w:ilvl="6">
      <w:start w:val="1"/>
      <w:numFmt w:val="decimal"/>
      <w:isLgl w:val="false"/>
      <w:suff w:val="nothing"/>
      <w:lvlText w:val=""/>
      <w:lvlJc w:val="left"/>
      <w:pPr>
        <w:pStyle w:val="1078"/>
      </w:pPr>
    </w:lvl>
    <w:lvl w:ilvl="7">
      <w:start w:val="1"/>
      <w:numFmt w:val="decimal"/>
      <w:isLgl w:val="false"/>
      <w:suff w:val="nothing"/>
      <w:lvlText w:val=""/>
      <w:lvlJc w:val="left"/>
      <w:pPr>
        <w:pStyle w:val="1078"/>
      </w:pPr>
    </w:lvl>
    <w:lvl w:ilvl="8">
      <w:start w:val="1"/>
      <w:numFmt w:val="decimal"/>
      <w:isLgl w:val="false"/>
      <w:suff w:val="nothing"/>
      <w:lvlText w:val=""/>
      <w:lvlJc w:val="left"/>
      <w:pPr>
        <w:pStyle w:val="1078"/>
      </w:pPr>
    </w:lvl>
  </w:abstractNum>
  <w:abstractNum w:abstractNumId="6">
    <w:multiLevelType w:val="hybridMultilevel"/>
    <w:lvl w:ilvl="0">
      <w:start w:val="1"/>
      <w:numFmt w:val="decimal"/>
      <w:pStyle w:val="1183"/>
      <w:isLgl w:val="false"/>
      <w:suff w:val="nothing"/>
      <w:lvlText w:val="%1　"/>
      <w:lvlJc w:val="left"/>
      <w:pPr>
        <w:pStyle w:val="107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8"/>
        <w:ind w:left="-25" w:firstLine="0"/>
      </w:pPr>
      <w:rPr>
        <w:rFonts w:ascii="Times New Roman" w:hAnsi="Times New Roman" w:eastAsia="黑体"/>
        <w:b/>
        <w:i w:val="0"/>
        <w:sz w:val="28"/>
      </w:rPr>
    </w:lvl>
    <w:lvl w:ilvl="3">
      <w:start w:val="1"/>
      <w:numFmt w:val="decimal"/>
      <w:pStyle w:val="1219"/>
      <w:isLgl w:val="false"/>
      <w:suff w:val="nothing"/>
      <w:lvlText w:val="%1.%2.%3.%4　"/>
      <w:lvlJc w:val="left"/>
      <w:pPr>
        <w:pStyle w:val="107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8"/>
        <w:ind w:left="-25" w:firstLine="0"/>
      </w:pPr>
      <w:rPr>
        <w:rFonts w:ascii="Times New Roman" w:hAnsi="Times New Roman" w:eastAsia="宋体"/>
        <w:b/>
        <w:i w:val="0"/>
        <w:sz w:val="28"/>
      </w:rPr>
    </w:lvl>
    <w:lvl w:ilvl="6">
      <w:start w:val="1"/>
      <w:numFmt w:val="lowerLetter"/>
      <w:pStyle w:val="1240"/>
      <w:isLgl w:val="false"/>
      <w:suff w:val="tab"/>
      <w:lvlText w:val="%7) "/>
      <w:lvlJc w:val="left"/>
      <w:pPr>
        <w:pStyle w:val="1078"/>
        <w:ind w:left="-125" w:firstLine="400"/>
        <w:tabs>
          <w:tab w:val="num" w:pos="635" w:leader="none"/>
        </w:tabs>
      </w:pPr>
      <w:rPr>
        <w:rFonts w:ascii="Times New Roman" w:hAnsi="Times New Roman" w:eastAsia="宋体"/>
        <w:b/>
        <w:i w:val="0"/>
        <w:color w:val="000000"/>
        <w:sz w:val="28"/>
        <w:u w:val="none"/>
      </w:rPr>
    </w:lvl>
    <w:lvl w:ilvl="7">
      <w:start w:val="1"/>
      <w:numFmt w:val="decimal"/>
      <w:pStyle w:val="1203"/>
      <w:isLgl w:val="false"/>
      <w:suff w:val="tab"/>
      <w:lvlText w:val="%8) "/>
      <w:lvlJc w:val="left"/>
      <w:pPr>
        <w:pStyle w:val="107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8"/>
        <w:ind w:left="768" w:hanging="360"/>
        <w:tabs>
          <w:tab w:val="num" w:pos="768" w:leader="none"/>
        </w:tabs>
      </w:pPr>
      <w:rPr>
        <w:rFonts w:hint="eastAsia"/>
      </w:rPr>
    </w:lvl>
    <w:lvl w:ilvl="1">
      <w:start w:val="1"/>
      <w:numFmt w:val="decimal"/>
      <w:pStyle w:val="1221"/>
      <w:isLgl w:val="false"/>
      <w:suff w:val="tab"/>
      <w:lvlText w:val="%2、"/>
      <w:lvlJc w:val="left"/>
      <w:pPr>
        <w:pStyle w:val="1078"/>
        <w:ind w:left="1188" w:hanging="360"/>
        <w:tabs>
          <w:tab w:val="num" w:pos="1188" w:leader="none"/>
        </w:tabs>
      </w:pPr>
      <w:rPr>
        <w:rFonts w:hint="eastAsia"/>
      </w:rPr>
    </w:lvl>
    <w:lvl w:ilvl="2">
      <w:start w:val="1"/>
      <w:numFmt w:val="decimal"/>
      <w:isLgl w:val="false"/>
      <w:suff w:val="tab"/>
      <w:lvlText w:val="（%3）"/>
      <w:lvlJc w:val="left"/>
      <w:pPr>
        <w:pStyle w:val="1078"/>
        <w:ind w:left="1968" w:hanging="720"/>
        <w:tabs>
          <w:tab w:val="num" w:pos="1968" w:leader="none"/>
        </w:tabs>
      </w:pPr>
      <w:rPr>
        <w:rFonts w:hint="eastAsia"/>
        <w:u w:val="none"/>
      </w:rPr>
    </w:lvl>
    <w:lvl w:ilvl="3">
      <w:start w:val="1"/>
      <w:numFmt w:val="decimal"/>
      <w:isLgl w:val="false"/>
      <w:suff w:val="tab"/>
      <w:lvlText w:val="%4."/>
      <w:lvlJc w:val="left"/>
      <w:pPr>
        <w:pStyle w:val="1078"/>
        <w:ind w:left="2088" w:hanging="420"/>
        <w:tabs>
          <w:tab w:val="num" w:pos="2088" w:leader="none"/>
        </w:tabs>
      </w:pPr>
    </w:lvl>
    <w:lvl w:ilvl="4">
      <w:start w:val="1"/>
      <w:numFmt w:val="lowerLetter"/>
      <w:isLgl w:val="false"/>
      <w:suff w:val="tab"/>
      <w:lvlText w:val="%5)"/>
      <w:lvlJc w:val="left"/>
      <w:pPr>
        <w:pStyle w:val="1078"/>
        <w:ind w:left="2508" w:hanging="420"/>
        <w:tabs>
          <w:tab w:val="num" w:pos="2508" w:leader="none"/>
        </w:tabs>
      </w:pPr>
    </w:lvl>
    <w:lvl w:ilvl="5">
      <w:start w:val="1"/>
      <w:numFmt w:val="lowerRoman"/>
      <w:isLgl w:val="false"/>
      <w:suff w:val="tab"/>
      <w:lvlText w:val="%6."/>
      <w:lvlJc w:val="right"/>
      <w:pPr>
        <w:pStyle w:val="1078"/>
        <w:ind w:left="2928" w:hanging="420"/>
        <w:tabs>
          <w:tab w:val="num" w:pos="2928" w:leader="none"/>
        </w:tabs>
      </w:pPr>
    </w:lvl>
    <w:lvl w:ilvl="6">
      <w:start w:val="1"/>
      <w:numFmt w:val="decimal"/>
      <w:isLgl w:val="false"/>
      <w:suff w:val="tab"/>
      <w:lvlText w:val="%7."/>
      <w:lvlJc w:val="left"/>
      <w:pPr>
        <w:pStyle w:val="1078"/>
        <w:ind w:left="3348" w:hanging="420"/>
        <w:tabs>
          <w:tab w:val="num" w:pos="3348" w:leader="none"/>
        </w:tabs>
      </w:pPr>
    </w:lvl>
    <w:lvl w:ilvl="7">
      <w:start w:val="1"/>
      <w:numFmt w:val="lowerLetter"/>
      <w:isLgl w:val="false"/>
      <w:suff w:val="tab"/>
      <w:lvlText w:val="%8)"/>
      <w:lvlJc w:val="left"/>
      <w:pPr>
        <w:pStyle w:val="1078"/>
        <w:ind w:left="3768" w:hanging="420"/>
        <w:tabs>
          <w:tab w:val="num" w:pos="3768" w:leader="none"/>
        </w:tabs>
      </w:pPr>
    </w:lvl>
    <w:lvl w:ilvl="8">
      <w:start w:val="1"/>
      <w:numFmt w:val="lowerRoman"/>
      <w:isLgl w:val="false"/>
      <w:suff w:val="tab"/>
      <w:lvlText w:val="%9."/>
      <w:lvlJc w:val="right"/>
      <w:pPr>
        <w:pStyle w:val="107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8"/>
        <w:ind w:left="900" w:hanging="900"/>
        <w:tabs>
          <w:tab w:val="num" w:pos="900" w:leader="none"/>
        </w:tabs>
      </w:pPr>
      <w:rPr>
        <w:rFonts w:hint="eastAsia"/>
        <w:b/>
      </w:rPr>
    </w:lvl>
    <w:lvl w:ilvl="1">
      <w:start w:val="1"/>
      <w:numFmt w:val="decimal"/>
      <w:isLgl w:val="false"/>
      <w:suff w:val="tab"/>
      <w:lvlText w:val="%1.%2"/>
      <w:lvlJc w:val="left"/>
      <w:pPr>
        <w:pStyle w:val="10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9">
    <w:multiLevelType w:val="hybridMultilevel"/>
    <w:lvl w:ilvl="0">
      <w:start w:val="1"/>
      <w:numFmt w:val="decimal"/>
      <w:pStyle w:val="1188"/>
      <w:isLgl w:val="false"/>
      <w:suff w:val="tab"/>
      <w:lvlText w:val="%1)"/>
      <w:lvlJc w:val="left"/>
      <w:pPr>
        <w:pStyle w:val="1078"/>
        <w:ind w:left="420" w:hanging="420"/>
      </w:pPr>
    </w:lvl>
    <w:lvl w:ilvl="1">
      <w:start w:val="1"/>
      <w:numFmt w:val="lowerLetter"/>
      <w:isLgl w:val="false"/>
      <w:suff w:val="tab"/>
      <w:lvlText w:val="%2)"/>
      <w:lvlJc w:val="left"/>
      <w:pPr>
        <w:pStyle w:val="1078"/>
        <w:ind w:left="840" w:hanging="420"/>
      </w:p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10">
    <w:multiLevelType w:val="hybridMultilevel"/>
    <w:lvl w:ilvl="0">
      <w:start w:val="1"/>
      <w:numFmt w:val="decimal"/>
      <w:isLgl w:val="false"/>
      <w:suff w:val="tab"/>
      <w:lvlText w:val="%1."/>
      <w:lvlJc w:val="left"/>
      <w:pPr>
        <w:pStyle w:val="1078"/>
        <w:ind w:left="1242" w:hanging="382"/>
      </w:pPr>
      <w:rPr>
        <w:rFonts w:ascii="仿宋" w:hAnsi="仿宋" w:eastAsia="仿宋" w:cs="仿宋"/>
        <w:spacing w:val="0"/>
        <w:sz w:val="32"/>
        <w:szCs w:val="32"/>
      </w:rPr>
    </w:lvl>
    <w:lvl w:ilvl="1">
      <w:start w:val="0"/>
      <w:numFmt w:val="bullet"/>
      <w:isLgl w:val="false"/>
      <w:suff w:val="tab"/>
      <w:lvlText w:val="•"/>
      <w:lvlJc w:val="left"/>
      <w:pPr>
        <w:pStyle w:val="1078"/>
        <w:ind w:left="2010" w:hanging="382"/>
      </w:pPr>
    </w:lvl>
    <w:lvl w:ilvl="2">
      <w:start w:val="0"/>
      <w:numFmt w:val="bullet"/>
      <w:isLgl w:val="false"/>
      <w:suff w:val="tab"/>
      <w:lvlText w:val="•"/>
      <w:lvlJc w:val="left"/>
      <w:pPr>
        <w:pStyle w:val="1078"/>
        <w:ind w:left="2781" w:hanging="382"/>
      </w:pPr>
    </w:lvl>
    <w:lvl w:ilvl="3">
      <w:start w:val="0"/>
      <w:numFmt w:val="bullet"/>
      <w:isLgl w:val="false"/>
      <w:suff w:val="tab"/>
      <w:lvlText w:val="•"/>
      <w:lvlJc w:val="left"/>
      <w:pPr>
        <w:pStyle w:val="1078"/>
        <w:ind w:left="3551" w:hanging="382"/>
      </w:pPr>
    </w:lvl>
    <w:lvl w:ilvl="4">
      <w:start w:val="0"/>
      <w:numFmt w:val="bullet"/>
      <w:isLgl w:val="false"/>
      <w:suff w:val="tab"/>
      <w:lvlText w:val="•"/>
      <w:lvlJc w:val="left"/>
      <w:pPr>
        <w:pStyle w:val="1078"/>
        <w:ind w:left="4322" w:hanging="382"/>
      </w:pPr>
    </w:lvl>
    <w:lvl w:ilvl="5">
      <w:start w:val="0"/>
      <w:numFmt w:val="bullet"/>
      <w:isLgl w:val="false"/>
      <w:suff w:val="tab"/>
      <w:lvlText w:val="•"/>
      <w:lvlJc w:val="left"/>
      <w:pPr>
        <w:pStyle w:val="1078"/>
        <w:ind w:left="5093" w:hanging="382"/>
      </w:pPr>
    </w:lvl>
    <w:lvl w:ilvl="6">
      <w:start w:val="0"/>
      <w:numFmt w:val="bullet"/>
      <w:isLgl w:val="false"/>
      <w:suff w:val="tab"/>
      <w:lvlText w:val="•"/>
      <w:lvlJc w:val="left"/>
      <w:pPr>
        <w:pStyle w:val="1078"/>
        <w:ind w:left="5863" w:hanging="382"/>
      </w:pPr>
    </w:lvl>
    <w:lvl w:ilvl="7">
      <w:start w:val="0"/>
      <w:numFmt w:val="bullet"/>
      <w:isLgl w:val="false"/>
      <w:suff w:val="tab"/>
      <w:lvlText w:val="•"/>
      <w:lvlJc w:val="left"/>
      <w:pPr>
        <w:pStyle w:val="1078"/>
        <w:ind w:left="6634" w:hanging="382"/>
      </w:pPr>
    </w:lvl>
    <w:lvl w:ilvl="8">
      <w:start w:val="0"/>
      <w:numFmt w:val="bullet"/>
      <w:isLgl w:val="false"/>
      <w:suff w:val="tab"/>
      <w:lvlText w:val="•"/>
      <w:lvlJc w:val="left"/>
      <w:pPr>
        <w:pStyle w:val="1078"/>
        <w:ind w:left="7404" w:hanging="382"/>
      </w:pPr>
    </w:lvl>
  </w:abstractNum>
  <w:abstractNum w:abstractNumId="11">
    <w:multiLevelType w:val="hybridMultilevel"/>
    <w:lvl w:ilvl="0">
      <w:start w:val="1"/>
      <w:numFmt w:val="decimal"/>
      <w:pStyle w:val="1289"/>
      <w:isLgl w:val="false"/>
      <w:suff w:val="tab"/>
      <w:lvlText w:val="%1"/>
      <w:lvlJc w:val="left"/>
      <w:pPr>
        <w:pStyle w:val="1078"/>
        <w:ind w:left="680" w:hanging="680"/>
      </w:pPr>
      <w:rPr>
        <w:rFonts w:hint="eastAsia" w:ascii="宋体" w:hAnsi="宋体" w:eastAsia="宋体"/>
      </w:rPr>
    </w:lvl>
    <w:lvl w:ilvl="1">
      <w:start w:val="1"/>
      <w:numFmt w:val="decimal"/>
      <w:pStyle w:val="1290"/>
      <w:isLgl w:val="false"/>
      <w:suff w:val="tab"/>
      <w:lvlText w:val="%1.%2"/>
      <w:lvlJc w:val="left"/>
      <w:pPr>
        <w:pStyle w:val="1078"/>
        <w:ind w:left="851" w:hanging="851"/>
      </w:pPr>
      <w:rPr>
        <w:rFonts w:hint="eastAsia" w:ascii="宋体" w:hAnsi="宋体" w:eastAsia="宋体"/>
        <w:color w:val="000000"/>
      </w:rPr>
    </w:lvl>
    <w:lvl w:ilvl="2">
      <w:start w:val="1"/>
      <w:numFmt w:val="decimal"/>
      <w:pStyle w:val="1291"/>
      <w:isLgl w:val="false"/>
      <w:suff w:val="tab"/>
      <w:lvlText w:val="%1.%2.%3"/>
      <w:lvlJc w:val="left"/>
      <w:pPr>
        <w:pStyle w:val="1078"/>
        <w:ind w:left="851" w:hanging="851"/>
      </w:pPr>
      <w:rPr>
        <w:rFonts w:hint="eastAsia"/>
      </w:rPr>
    </w:lvl>
    <w:lvl w:ilvl="3">
      <w:start w:val="1"/>
      <w:numFmt w:val="decimal"/>
      <w:isLgl w:val="false"/>
      <w:suff w:val="tab"/>
      <w:lvlText w:val="%1.%2.%3.%4"/>
      <w:lvlJc w:val="left"/>
      <w:pPr>
        <w:pStyle w:val="1078"/>
        <w:ind w:left="680" w:hanging="680"/>
      </w:pPr>
      <w:rPr>
        <w:rFonts w:hint="eastAsia"/>
      </w:rPr>
    </w:lvl>
    <w:lvl w:ilvl="4">
      <w:start w:val="1"/>
      <w:numFmt w:val="decimal"/>
      <w:isLgl w:val="false"/>
      <w:suff w:val="tab"/>
      <w:lvlText w:val="%1.%2.%3.%4.%5"/>
      <w:lvlJc w:val="left"/>
      <w:pPr>
        <w:pStyle w:val="1078"/>
        <w:ind w:left="680" w:hanging="680"/>
      </w:pPr>
      <w:rPr>
        <w:rFonts w:hint="eastAsia"/>
      </w:rPr>
    </w:lvl>
    <w:lvl w:ilvl="5">
      <w:start w:val="1"/>
      <w:numFmt w:val="decimal"/>
      <w:isLgl w:val="false"/>
      <w:suff w:val="tab"/>
      <w:lvlText w:val="%1.%2.%3.%4.%5.%6"/>
      <w:lvlJc w:val="left"/>
      <w:pPr>
        <w:pStyle w:val="1078"/>
        <w:ind w:left="680" w:hanging="680"/>
      </w:pPr>
      <w:rPr>
        <w:rFonts w:hint="eastAsia"/>
      </w:rPr>
    </w:lvl>
    <w:lvl w:ilvl="6">
      <w:start w:val="1"/>
      <w:numFmt w:val="decimal"/>
      <w:isLgl w:val="false"/>
      <w:suff w:val="tab"/>
      <w:lvlText w:val="%1.%2.%3.%4.%5.%6.%7"/>
      <w:lvlJc w:val="left"/>
      <w:pPr>
        <w:pStyle w:val="1078"/>
        <w:ind w:left="680" w:hanging="680"/>
      </w:pPr>
      <w:rPr>
        <w:rFonts w:hint="eastAsia"/>
      </w:rPr>
    </w:lvl>
    <w:lvl w:ilvl="7">
      <w:start w:val="1"/>
      <w:numFmt w:val="decimal"/>
      <w:isLgl w:val="false"/>
      <w:suff w:val="tab"/>
      <w:lvlText w:val="%1.%2.%3.%4.%5.%6.%7.%8"/>
      <w:lvlJc w:val="left"/>
      <w:pPr>
        <w:pStyle w:val="1078"/>
        <w:ind w:left="680" w:hanging="680"/>
      </w:pPr>
      <w:rPr>
        <w:rFonts w:hint="eastAsia"/>
      </w:rPr>
    </w:lvl>
    <w:lvl w:ilvl="8">
      <w:start w:val="1"/>
      <w:numFmt w:val="decimal"/>
      <w:isLgl w:val="false"/>
      <w:suff w:val="tab"/>
      <w:lvlText w:val="%1.%2.%3.%4.%5.%6.%7.%8.%9"/>
      <w:lvlJc w:val="left"/>
      <w:pPr>
        <w:pStyle w:val="1078"/>
        <w:ind w:left="680" w:hanging="680"/>
      </w:pPr>
      <w:rPr>
        <w:rFonts w:hint="eastAsia"/>
      </w:rPr>
    </w:lvl>
  </w:abstractNum>
  <w:abstractNum w:abstractNumId="12">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5">
    <w:multiLevelType w:val="hybridMultilevel"/>
    <w:lvl w:ilvl="0">
      <w:start w:val="5"/>
      <w:numFmt w:val="chineseCounting"/>
      <w:isLgl w:val="false"/>
      <w:suff w:val="space"/>
      <w:lvlText w:val="第%1章"/>
      <w:lvlJc w:val="left"/>
      <w:pPr>
        <w:pStyle w:val="10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78"/>
        <w:ind w:left="205" w:hanging="322"/>
      </w:pPr>
      <w:rPr>
        <w:rFonts w:ascii="仿宋" w:hAnsi="仿宋" w:eastAsia="仿宋" w:cs="仿宋"/>
        <w:spacing w:val="-46"/>
        <w:sz w:val="30"/>
        <w:szCs w:val="30"/>
      </w:rPr>
    </w:lvl>
    <w:lvl w:ilvl="1">
      <w:start w:val="1"/>
      <w:numFmt w:val="lowerLetter"/>
      <w:isLgl w:val="false"/>
      <w:suff w:val="tab"/>
      <w:lvlText w:val="%2)"/>
      <w:lvlJc w:val="left"/>
      <w:pPr>
        <w:pStyle w:val="1078"/>
        <w:ind w:left="840" w:hanging="420"/>
      </w:p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17">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num w:numId="1">
    <w:abstractNumId w:val="6"/>
  </w:num>
  <w:num w:numId="2">
    <w:abstractNumId w:val="2"/>
  </w:num>
  <w:num w:numId="3">
    <w:abstractNumId w:val="9"/>
  </w:num>
  <w:num w:numId="4">
    <w:abstractNumId w:val="7"/>
  </w:num>
  <w:num w:numId="5">
    <w:abstractNumId w:val="4"/>
  </w:num>
  <w:num w:numId="6">
    <w:abstractNumId w:val="3"/>
  </w:num>
  <w:num w:numId="7">
    <w:abstractNumId w:val="11"/>
  </w:num>
  <w:num w:numId="8">
    <w:abstractNumId w:val="0"/>
  </w:num>
  <w:num w:numId="9">
    <w:abstractNumId w:val="8"/>
  </w:num>
  <w:num w:numId="10">
    <w:abstractNumId w:val="13"/>
  </w:num>
  <w:num w:numId="11">
    <w:abstractNumId w:val="1"/>
  </w:num>
  <w:num w:numId="12">
    <w:abstractNumId w:val="14"/>
  </w:num>
  <w:num w:numId="13">
    <w:abstractNumId w:val="12"/>
  </w:num>
  <w:num w:numId="14">
    <w:abstractNumId w:val="17"/>
  </w:num>
  <w:num w:numId="15">
    <w:abstractNumId w:val="15"/>
  </w:num>
  <w:num w:numId="16">
    <w:abstractNumId w:val="5"/>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name w:val="Heading 1"/>
    <w:basedOn w:val="1078"/>
    <w:next w:val="1078"/>
    <w:link w:val="901"/>
    <w:uiPriority w:val="9"/>
    <w:qFormat/>
    <w:pPr>
      <w:keepLines/>
      <w:keepNext/>
      <w:spacing w:before="480" w:after="200"/>
      <w:outlineLvl w:val="0"/>
    </w:pPr>
    <w:rPr>
      <w:rFonts w:ascii="Arial" w:hAnsi="Arial" w:eastAsia="Arial" w:cs="Arial"/>
      <w:sz w:val="40"/>
      <w:szCs w:val="40"/>
    </w:rPr>
  </w:style>
  <w:style w:type="character" w:styleId="901">
    <w:name w:val="Heading 1 Char"/>
    <w:link w:val="900"/>
    <w:uiPriority w:val="9"/>
    <w:rPr>
      <w:rFonts w:ascii="Arial" w:hAnsi="Arial" w:eastAsia="Arial" w:cs="Arial"/>
      <w:sz w:val="40"/>
      <w:szCs w:val="40"/>
    </w:rPr>
  </w:style>
  <w:style w:type="paragraph" w:styleId="902">
    <w:name w:val="Heading 2"/>
    <w:basedOn w:val="1078"/>
    <w:next w:val="1078"/>
    <w:link w:val="903"/>
    <w:uiPriority w:val="9"/>
    <w:unhideWhenUsed/>
    <w:qFormat/>
    <w:pPr>
      <w:keepLines/>
      <w:keepNext/>
      <w:spacing w:before="360" w:after="200"/>
      <w:outlineLvl w:val="1"/>
    </w:pPr>
    <w:rPr>
      <w:rFonts w:ascii="Arial" w:hAnsi="Arial" w:eastAsia="Arial" w:cs="Arial"/>
      <w:sz w:val="34"/>
    </w:rPr>
  </w:style>
  <w:style w:type="character" w:styleId="903">
    <w:name w:val="Heading 2 Char"/>
    <w:link w:val="902"/>
    <w:uiPriority w:val="9"/>
    <w:rPr>
      <w:rFonts w:ascii="Arial" w:hAnsi="Arial" w:eastAsia="Arial" w:cs="Arial"/>
      <w:sz w:val="34"/>
    </w:rPr>
  </w:style>
  <w:style w:type="paragraph" w:styleId="904">
    <w:name w:val="Heading 3"/>
    <w:basedOn w:val="1078"/>
    <w:next w:val="1078"/>
    <w:link w:val="905"/>
    <w:uiPriority w:val="9"/>
    <w:unhideWhenUsed/>
    <w:qFormat/>
    <w:pPr>
      <w:keepLines/>
      <w:keepNext/>
      <w:spacing w:before="320" w:after="200"/>
      <w:outlineLvl w:val="2"/>
    </w:pPr>
    <w:rPr>
      <w:rFonts w:ascii="Arial" w:hAnsi="Arial" w:eastAsia="Arial" w:cs="Arial"/>
      <w:sz w:val="30"/>
      <w:szCs w:val="30"/>
    </w:rPr>
  </w:style>
  <w:style w:type="character" w:styleId="905">
    <w:name w:val="Heading 3 Char"/>
    <w:link w:val="904"/>
    <w:uiPriority w:val="9"/>
    <w:rPr>
      <w:rFonts w:ascii="Arial" w:hAnsi="Arial" w:eastAsia="Arial" w:cs="Arial"/>
      <w:sz w:val="30"/>
      <w:szCs w:val="30"/>
    </w:rPr>
  </w:style>
  <w:style w:type="paragraph" w:styleId="906">
    <w:name w:val="Heading 4"/>
    <w:basedOn w:val="1078"/>
    <w:next w:val="1078"/>
    <w:link w:val="907"/>
    <w:uiPriority w:val="9"/>
    <w:unhideWhenUsed/>
    <w:qFormat/>
    <w:pPr>
      <w:keepLines/>
      <w:keepNext/>
      <w:spacing w:before="320" w:after="200"/>
      <w:outlineLvl w:val="3"/>
    </w:pPr>
    <w:rPr>
      <w:rFonts w:ascii="Arial" w:hAnsi="Arial" w:eastAsia="Arial" w:cs="Arial"/>
      <w:b/>
      <w:bCs/>
      <w:sz w:val="26"/>
      <w:szCs w:val="26"/>
    </w:rPr>
  </w:style>
  <w:style w:type="character" w:styleId="907">
    <w:name w:val="Heading 4 Char"/>
    <w:link w:val="906"/>
    <w:uiPriority w:val="9"/>
    <w:rPr>
      <w:rFonts w:ascii="Arial" w:hAnsi="Arial" w:eastAsia="Arial" w:cs="Arial"/>
      <w:b/>
      <w:bCs/>
      <w:sz w:val="26"/>
      <w:szCs w:val="26"/>
    </w:rPr>
  </w:style>
  <w:style w:type="paragraph" w:styleId="908">
    <w:name w:val="Heading 5"/>
    <w:basedOn w:val="1078"/>
    <w:next w:val="1078"/>
    <w:link w:val="909"/>
    <w:uiPriority w:val="9"/>
    <w:unhideWhenUsed/>
    <w:qFormat/>
    <w:pPr>
      <w:keepLines/>
      <w:keepNext/>
      <w:spacing w:before="320" w:after="200"/>
      <w:outlineLvl w:val="4"/>
    </w:pPr>
    <w:rPr>
      <w:rFonts w:ascii="Arial" w:hAnsi="Arial" w:eastAsia="Arial" w:cs="Arial"/>
      <w:b/>
      <w:bCs/>
      <w:sz w:val="24"/>
      <w:szCs w:val="24"/>
    </w:rPr>
  </w:style>
  <w:style w:type="character" w:styleId="909">
    <w:name w:val="Heading 5 Char"/>
    <w:link w:val="908"/>
    <w:uiPriority w:val="9"/>
    <w:rPr>
      <w:rFonts w:ascii="Arial" w:hAnsi="Arial" w:eastAsia="Arial" w:cs="Arial"/>
      <w:b/>
      <w:bCs/>
      <w:sz w:val="24"/>
      <w:szCs w:val="24"/>
    </w:rPr>
  </w:style>
  <w:style w:type="paragraph" w:styleId="910">
    <w:name w:val="Heading 6"/>
    <w:basedOn w:val="1078"/>
    <w:next w:val="1078"/>
    <w:link w:val="911"/>
    <w:uiPriority w:val="9"/>
    <w:unhideWhenUsed/>
    <w:qFormat/>
    <w:pPr>
      <w:keepLines/>
      <w:keepNext/>
      <w:spacing w:before="320" w:after="200"/>
      <w:outlineLvl w:val="5"/>
    </w:pPr>
    <w:rPr>
      <w:rFonts w:ascii="Arial" w:hAnsi="Arial" w:eastAsia="Arial" w:cs="Arial"/>
      <w:b/>
      <w:bCs/>
      <w:sz w:val="22"/>
      <w:szCs w:val="22"/>
    </w:rPr>
  </w:style>
  <w:style w:type="character" w:styleId="911">
    <w:name w:val="Heading 6 Char"/>
    <w:link w:val="910"/>
    <w:uiPriority w:val="9"/>
    <w:rPr>
      <w:rFonts w:ascii="Arial" w:hAnsi="Arial" w:eastAsia="Arial" w:cs="Arial"/>
      <w:b/>
      <w:bCs/>
      <w:sz w:val="22"/>
      <w:szCs w:val="22"/>
    </w:rPr>
  </w:style>
  <w:style w:type="paragraph" w:styleId="912">
    <w:name w:val="Heading 7"/>
    <w:basedOn w:val="1078"/>
    <w:next w:val="1078"/>
    <w:link w:val="913"/>
    <w:uiPriority w:val="9"/>
    <w:unhideWhenUsed/>
    <w:qFormat/>
    <w:pPr>
      <w:keepLines/>
      <w:keepNext/>
      <w:spacing w:before="320" w:after="200"/>
      <w:outlineLvl w:val="6"/>
    </w:pPr>
    <w:rPr>
      <w:rFonts w:ascii="Arial" w:hAnsi="Arial" w:eastAsia="Arial" w:cs="Arial"/>
      <w:b/>
      <w:bCs/>
      <w:i/>
      <w:iCs/>
      <w:sz w:val="22"/>
      <w:szCs w:val="22"/>
    </w:rPr>
  </w:style>
  <w:style w:type="character" w:styleId="913">
    <w:name w:val="Heading 7 Char"/>
    <w:link w:val="912"/>
    <w:uiPriority w:val="9"/>
    <w:rPr>
      <w:rFonts w:ascii="Arial" w:hAnsi="Arial" w:eastAsia="Arial" w:cs="Arial"/>
      <w:b/>
      <w:bCs/>
      <w:i/>
      <w:iCs/>
      <w:sz w:val="22"/>
      <w:szCs w:val="22"/>
    </w:rPr>
  </w:style>
  <w:style w:type="paragraph" w:styleId="914">
    <w:name w:val="Heading 8"/>
    <w:basedOn w:val="1078"/>
    <w:next w:val="1078"/>
    <w:link w:val="915"/>
    <w:uiPriority w:val="9"/>
    <w:unhideWhenUsed/>
    <w:qFormat/>
    <w:pPr>
      <w:keepLines/>
      <w:keepNext/>
      <w:spacing w:before="320" w:after="200"/>
      <w:outlineLvl w:val="7"/>
    </w:pPr>
    <w:rPr>
      <w:rFonts w:ascii="Arial" w:hAnsi="Arial" w:eastAsia="Arial" w:cs="Arial"/>
      <w:i/>
      <w:iCs/>
      <w:sz w:val="22"/>
      <w:szCs w:val="22"/>
    </w:rPr>
  </w:style>
  <w:style w:type="character" w:styleId="915">
    <w:name w:val="Heading 8 Char"/>
    <w:link w:val="914"/>
    <w:uiPriority w:val="9"/>
    <w:rPr>
      <w:rFonts w:ascii="Arial" w:hAnsi="Arial" w:eastAsia="Arial" w:cs="Arial"/>
      <w:i/>
      <w:iCs/>
      <w:sz w:val="22"/>
      <w:szCs w:val="22"/>
    </w:rPr>
  </w:style>
  <w:style w:type="paragraph" w:styleId="916">
    <w:name w:val="Heading 9"/>
    <w:basedOn w:val="1078"/>
    <w:next w:val="1078"/>
    <w:link w:val="917"/>
    <w:uiPriority w:val="9"/>
    <w:unhideWhenUsed/>
    <w:qFormat/>
    <w:pPr>
      <w:keepLines/>
      <w:keepNext/>
      <w:spacing w:before="320" w:after="200"/>
      <w:outlineLvl w:val="8"/>
    </w:pPr>
    <w:rPr>
      <w:rFonts w:ascii="Arial" w:hAnsi="Arial" w:eastAsia="Arial" w:cs="Arial"/>
      <w:i/>
      <w:iCs/>
      <w:sz w:val="21"/>
      <w:szCs w:val="21"/>
    </w:rPr>
  </w:style>
  <w:style w:type="character" w:styleId="917">
    <w:name w:val="Heading 9 Char"/>
    <w:link w:val="916"/>
    <w:uiPriority w:val="9"/>
    <w:rPr>
      <w:rFonts w:ascii="Arial" w:hAnsi="Arial" w:eastAsia="Arial" w:cs="Arial"/>
      <w:i/>
      <w:iCs/>
      <w:sz w:val="21"/>
      <w:szCs w:val="21"/>
    </w:rPr>
  </w:style>
  <w:style w:type="paragraph" w:styleId="918">
    <w:name w:val="List Paragraph"/>
    <w:basedOn w:val="1078"/>
    <w:uiPriority w:val="34"/>
    <w:qFormat/>
    <w:pPr>
      <w:contextualSpacing/>
      <w:ind w:left="720"/>
    </w:pPr>
  </w:style>
  <w:style w:type="paragraph" w:styleId="919">
    <w:name w:val="No Spacing"/>
    <w:uiPriority w:val="1"/>
    <w:qFormat/>
    <w:pPr>
      <w:spacing w:before="0" w:after="0" w:line="240" w:lineRule="auto"/>
    </w:pPr>
  </w:style>
  <w:style w:type="paragraph" w:styleId="920">
    <w:name w:val="Title"/>
    <w:basedOn w:val="1078"/>
    <w:next w:val="1078"/>
    <w:link w:val="921"/>
    <w:uiPriority w:val="10"/>
    <w:qFormat/>
    <w:pPr>
      <w:contextualSpacing/>
      <w:spacing w:before="300" w:after="200"/>
    </w:pPr>
    <w:rPr>
      <w:sz w:val="48"/>
      <w:szCs w:val="48"/>
    </w:rPr>
  </w:style>
  <w:style w:type="character" w:styleId="921">
    <w:name w:val="Title Char"/>
    <w:link w:val="920"/>
    <w:uiPriority w:val="10"/>
    <w:rPr>
      <w:sz w:val="48"/>
      <w:szCs w:val="48"/>
    </w:rPr>
  </w:style>
  <w:style w:type="paragraph" w:styleId="922">
    <w:name w:val="Subtitle"/>
    <w:basedOn w:val="1078"/>
    <w:next w:val="1078"/>
    <w:link w:val="923"/>
    <w:uiPriority w:val="11"/>
    <w:qFormat/>
    <w:pPr>
      <w:spacing w:before="200" w:after="200"/>
    </w:pPr>
    <w:rPr>
      <w:sz w:val="24"/>
      <w:szCs w:val="24"/>
    </w:rPr>
  </w:style>
  <w:style w:type="character" w:styleId="923">
    <w:name w:val="Subtitle Char"/>
    <w:link w:val="922"/>
    <w:uiPriority w:val="11"/>
    <w:rPr>
      <w:sz w:val="24"/>
      <w:szCs w:val="24"/>
    </w:rPr>
  </w:style>
  <w:style w:type="paragraph" w:styleId="924">
    <w:name w:val="Quote"/>
    <w:basedOn w:val="1078"/>
    <w:next w:val="1078"/>
    <w:link w:val="925"/>
    <w:uiPriority w:val="29"/>
    <w:qFormat/>
    <w:pPr>
      <w:ind w:left="720" w:right="720"/>
    </w:pPr>
    <w:rPr>
      <w:i/>
    </w:rPr>
  </w:style>
  <w:style w:type="character" w:styleId="925">
    <w:name w:val="Quote Char"/>
    <w:link w:val="924"/>
    <w:uiPriority w:val="29"/>
    <w:rPr>
      <w:i/>
    </w:rPr>
  </w:style>
  <w:style w:type="paragraph" w:styleId="926">
    <w:name w:val="Intense Quote"/>
    <w:basedOn w:val="1078"/>
    <w:next w:val="107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name w:val="Intense Quote Char"/>
    <w:link w:val="926"/>
    <w:uiPriority w:val="30"/>
    <w:rPr>
      <w:i/>
    </w:rPr>
  </w:style>
  <w:style w:type="paragraph" w:styleId="928">
    <w:name w:val="Header"/>
    <w:basedOn w:val="1078"/>
    <w:link w:val="929"/>
    <w:uiPriority w:val="99"/>
    <w:unhideWhenUsed/>
    <w:pPr>
      <w:spacing w:after="0" w:line="240" w:lineRule="auto"/>
      <w:tabs>
        <w:tab w:val="center" w:pos="7143" w:leader="none"/>
        <w:tab w:val="right" w:pos="14287" w:leader="none"/>
      </w:tabs>
    </w:pPr>
  </w:style>
  <w:style w:type="character" w:styleId="929">
    <w:name w:val="Header Char"/>
    <w:link w:val="928"/>
    <w:uiPriority w:val="99"/>
  </w:style>
  <w:style w:type="paragraph" w:styleId="930">
    <w:name w:val="Footer"/>
    <w:basedOn w:val="1078"/>
    <w:link w:val="933"/>
    <w:uiPriority w:val="99"/>
    <w:unhideWhenUsed/>
    <w:pPr>
      <w:spacing w:after="0" w:line="240" w:lineRule="auto"/>
      <w:tabs>
        <w:tab w:val="center" w:pos="7143" w:leader="none"/>
        <w:tab w:val="right" w:pos="14287" w:leader="none"/>
      </w:tabs>
    </w:pPr>
  </w:style>
  <w:style w:type="character" w:styleId="931">
    <w:name w:val="Footer Char"/>
    <w:link w:val="930"/>
    <w:uiPriority w:val="99"/>
  </w:style>
  <w:style w:type="paragraph" w:styleId="932">
    <w:name w:val="Caption"/>
    <w:basedOn w:val="1078"/>
    <w:next w:val="1078"/>
    <w:uiPriority w:val="35"/>
    <w:semiHidden/>
    <w:unhideWhenUsed/>
    <w:qFormat/>
    <w:pPr>
      <w:spacing w:line="276" w:lineRule="auto"/>
    </w:pPr>
    <w:rPr>
      <w:b/>
      <w:bCs/>
      <w:color w:val="4f81bd" w:themeColor="accent1"/>
      <w:sz w:val="18"/>
      <w:szCs w:val="18"/>
    </w:rPr>
  </w:style>
  <w:style w:type="character" w:styleId="933">
    <w:name w:val="Caption Char"/>
    <w:basedOn w:val="932"/>
    <w:link w:val="930"/>
    <w:uiPriority w:val="99"/>
  </w:style>
  <w:style w:type="table" w:styleId="9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0">
    <w:name w:val="Hyperlink"/>
    <w:uiPriority w:val="99"/>
    <w:unhideWhenUsed/>
    <w:rPr>
      <w:color w:val="0000ff" w:themeColor="hyperlink"/>
      <w:u w:val="single"/>
    </w:rPr>
  </w:style>
  <w:style w:type="paragraph" w:styleId="1061">
    <w:name w:val="footnote text"/>
    <w:basedOn w:val="1078"/>
    <w:link w:val="1062"/>
    <w:uiPriority w:val="99"/>
    <w:semiHidden/>
    <w:unhideWhenUsed/>
    <w:pPr>
      <w:spacing w:after="40" w:line="240" w:lineRule="auto"/>
    </w:pPr>
    <w:rPr>
      <w:sz w:val="18"/>
    </w:rPr>
  </w:style>
  <w:style w:type="character" w:styleId="1062">
    <w:name w:val="Footnote Text Char"/>
    <w:link w:val="1061"/>
    <w:uiPriority w:val="99"/>
    <w:rPr>
      <w:sz w:val="18"/>
    </w:rPr>
  </w:style>
  <w:style w:type="character" w:styleId="1063">
    <w:name w:val="footnote reference"/>
    <w:uiPriority w:val="99"/>
    <w:unhideWhenUsed/>
    <w:rPr>
      <w:vertAlign w:val="superscript"/>
    </w:rPr>
  </w:style>
  <w:style w:type="paragraph" w:styleId="1064">
    <w:name w:val="endnote text"/>
    <w:basedOn w:val="1078"/>
    <w:link w:val="1065"/>
    <w:uiPriority w:val="99"/>
    <w:semiHidden/>
    <w:unhideWhenUsed/>
    <w:pPr>
      <w:spacing w:after="0" w:line="240" w:lineRule="auto"/>
    </w:pPr>
    <w:rPr>
      <w:sz w:val="20"/>
    </w:rPr>
  </w:style>
  <w:style w:type="character" w:styleId="1065">
    <w:name w:val="Endnote Text Char"/>
    <w:link w:val="1064"/>
    <w:uiPriority w:val="99"/>
    <w:rPr>
      <w:sz w:val="20"/>
    </w:rPr>
  </w:style>
  <w:style w:type="character" w:styleId="1066">
    <w:name w:val="endnote reference"/>
    <w:uiPriority w:val="99"/>
    <w:semiHidden/>
    <w:unhideWhenUsed/>
    <w:rPr>
      <w:vertAlign w:val="superscript"/>
    </w:rPr>
  </w:style>
  <w:style w:type="paragraph" w:styleId="1067">
    <w:name w:val="toc 1"/>
    <w:basedOn w:val="1078"/>
    <w:next w:val="1078"/>
    <w:uiPriority w:val="39"/>
    <w:unhideWhenUsed/>
    <w:pPr>
      <w:ind w:left="0" w:right="0" w:firstLine="0"/>
      <w:spacing w:after="57"/>
    </w:pPr>
  </w:style>
  <w:style w:type="paragraph" w:styleId="1068">
    <w:name w:val="toc 2"/>
    <w:basedOn w:val="1078"/>
    <w:next w:val="1078"/>
    <w:uiPriority w:val="39"/>
    <w:unhideWhenUsed/>
    <w:pPr>
      <w:ind w:left="283" w:right="0" w:firstLine="0"/>
      <w:spacing w:after="57"/>
    </w:pPr>
  </w:style>
  <w:style w:type="paragraph" w:styleId="1069">
    <w:name w:val="toc 3"/>
    <w:basedOn w:val="1078"/>
    <w:next w:val="1078"/>
    <w:uiPriority w:val="39"/>
    <w:unhideWhenUsed/>
    <w:pPr>
      <w:ind w:left="567" w:right="0" w:firstLine="0"/>
      <w:spacing w:after="57"/>
    </w:pPr>
  </w:style>
  <w:style w:type="paragraph" w:styleId="1070">
    <w:name w:val="toc 4"/>
    <w:basedOn w:val="1078"/>
    <w:next w:val="1078"/>
    <w:uiPriority w:val="39"/>
    <w:unhideWhenUsed/>
    <w:pPr>
      <w:ind w:left="850" w:right="0" w:firstLine="0"/>
      <w:spacing w:after="57"/>
    </w:pPr>
  </w:style>
  <w:style w:type="paragraph" w:styleId="1071">
    <w:name w:val="toc 5"/>
    <w:basedOn w:val="1078"/>
    <w:next w:val="1078"/>
    <w:uiPriority w:val="39"/>
    <w:unhideWhenUsed/>
    <w:pPr>
      <w:ind w:left="1134" w:right="0" w:firstLine="0"/>
      <w:spacing w:after="57"/>
    </w:pPr>
  </w:style>
  <w:style w:type="paragraph" w:styleId="1072">
    <w:name w:val="toc 6"/>
    <w:basedOn w:val="1078"/>
    <w:next w:val="1078"/>
    <w:uiPriority w:val="39"/>
    <w:unhideWhenUsed/>
    <w:pPr>
      <w:ind w:left="1417" w:right="0" w:firstLine="0"/>
      <w:spacing w:after="57"/>
    </w:pPr>
  </w:style>
  <w:style w:type="paragraph" w:styleId="1073">
    <w:name w:val="toc 7"/>
    <w:basedOn w:val="1078"/>
    <w:next w:val="1078"/>
    <w:uiPriority w:val="39"/>
    <w:unhideWhenUsed/>
    <w:pPr>
      <w:ind w:left="1701" w:right="0" w:firstLine="0"/>
      <w:spacing w:after="57"/>
    </w:pPr>
  </w:style>
  <w:style w:type="paragraph" w:styleId="1074">
    <w:name w:val="toc 8"/>
    <w:basedOn w:val="1078"/>
    <w:next w:val="1078"/>
    <w:uiPriority w:val="39"/>
    <w:unhideWhenUsed/>
    <w:pPr>
      <w:ind w:left="1984" w:right="0" w:firstLine="0"/>
      <w:spacing w:after="57"/>
    </w:pPr>
  </w:style>
  <w:style w:type="paragraph" w:styleId="1075">
    <w:name w:val="toc 9"/>
    <w:basedOn w:val="1078"/>
    <w:next w:val="1078"/>
    <w:uiPriority w:val="39"/>
    <w:unhideWhenUsed/>
    <w:pPr>
      <w:ind w:left="2268" w:right="0" w:firstLine="0"/>
      <w:spacing w:after="57"/>
    </w:pPr>
  </w:style>
  <w:style w:type="paragraph" w:styleId="1076">
    <w:name w:val="TOC Heading"/>
    <w:uiPriority w:val="39"/>
    <w:unhideWhenUsed/>
  </w:style>
  <w:style w:type="paragraph" w:styleId="1077">
    <w:name w:val="table of figures"/>
    <w:basedOn w:val="1078"/>
    <w:next w:val="1078"/>
    <w:uiPriority w:val="99"/>
    <w:unhideWhenUsed/>
    <w:pPr>
      <w:spacing w:after="0" w:afterAutospacing="0"/>
    </w:pPr>
  </w:style>
  <w:style w:type="paragraph" w:styleId="1078" w:default="1">
    <w:name w:val="Normal"/>
    <w:next w:val="1078"/>
    <w:link w:val="1078"/>
    <w:qFormat/>
    <w:pPr>
      <w:jc w:val="both"/>
      <w:widowControl w:val="off"/>
    </w:pPr>
    <w:rPr>
      <w:sz w:val="21"/>
      <w:szCs w:val="24"/>
      <w:lang w:val="en-US" w:eastAsia="zh-CN" w:bidi="ar-SA"/>
    </w:rPr>
  </w:style>
  <w:style w:type="paragraph" w:styleId="1079">
    <w:name w:val="标题 1"/>
    <w:basedOn w:val="1078"/>
    <w:next w:val="1078"/>
    <w:link w:val="1091"/>
    <w:qFormat/>
    <w:pPr>
      <w:jc w:val="center"/>
      <w:keepLines/>
      <w:keepNext/>
      <w:spacing w:before="240" w:after="120" w:line="300" w:lineRule="auto"/>
      <w:outlineLvl w:val="0"/>
    </w:pPr>
    <w:rPr>
      <w:rFonts w:ascii="宋体"/>
      <w:b/>
      <w:sz w:val="32"/>
      <w:szCs w:val="20"/>
    </w:rPr>
  </w:style>
  <w:style w:type="paragraph" w:styleId="1080">
    <w:name w:val="标题 2"/>
    <w:basedOn w:val="1078"/>
    <w:next w:val="1093"/>
    <w:link w:val="1092"/>
    <w:qFormat/>
    <w:pPr>
      <w:jc w:val="center"/>
      <w:keepLines/>
      <w:keepNext/>
      <w:spacing w:before="120" w:line="300" w:lineRule="auto"/>
      <w:outlineLvl w:val="1"/>
    </w:pPr>
    <w:rPr>
      <w:rFonts w:ascii="Arial" w:hAnsi="Arial" w:eastAsia="黑体"/>
      <w:b/>
      <w:sz w:val="30"/>
      <w:szCs w:val="20"/>
    </w:rPr>
  </w:style>
  <w:style w:type="paragraph" w:styleId="1081">
    <w:name w:val="标题 3"/>
    <w:basedOn w:val="1078"/>
    <w:next w:val="1093"/>
    <w:link w:val="1095"/>
    <w:qFormat/>
    <w:pPr>
      <w:jc w:val="left"/>
      <w:keepLines/>
      <w:keepNext/>
      <w:spacing w:before="360" w:after="120"/>
      <w:outlineLvl w:val="2"/>
    </w:pPr>
    <w:rPr>
      <w:rFonts w:ascii="宋体"/>
      <w:b/>
      <w:sz w:val="24"/>
      <w:szCs w:val="20"/>
      <w:u w:val="single"/>
    </w:rPr>
  </w:style>
  <w:style w:type="paragraph" w:styleId="1082">
    <w:name w:val="标题 4"/>
    <w:basedOn w:val="1078"/>
    <w:next w:val="1078"/>
    <w:link w:val="1096"/>
    <w:qFormat/>
    <w:pPr>
      <w:keepLines/>
      <w:keepNext/>
      <w:spacing w:before="280" w:after="290" w:line="376" w:lineRule="atLeast"/>
      <w:outlineLvl w:val="3"/>
    </w:pPr>
    <w:rPr>
      <w:rFonts w:ascii="Arial" w:hAnsi="Arial" w:eastAsia="黑体"/>
      <w:b/>
      <w:sz w:val="28"/>
      <w:szCs w:val="20"/>
    </w:rPr>
  </w:style>
  <w:style w:type="paragraph" w:styleId="1083">
    <w:name w:val="标题 5"/>
    <w:basedOn w:val="1078"/>
    <w:next w:val="1078"/>
    <w:link w:val="1097"/>
    <w:qFormat/>
    <w:pPr>
      <w:keepLines/>
      <w:keepNext/>
      <w:spacing w:before="280" w:after="290" w:line="376" w:lineRule="atLeast"/>
      <w:outlineLvl w:val="4"/>
    </w:pPr>
    <w:rPr>
      <w:b/>
      <w:sz w:val="28"/>
      <w:szCs w:val="20"/>
    </w:rPr>
  </w:style>
  <w:style w:type="paragraph" w:styleId="1084">
    <w:name w:val="标题 6"/>
    <w:basedOn w:val="1078"/>
    <w:next w:val="1078"/>
    <w:link w:val="1098"/>
    <w:qFormat/>
    <w:pPr>
      <w:keepLines/>
      <w:keepNext/>
      <w:spacing w:before="240" w:after="64" w:line="320" w:lineRule="atLeast"/>
      <w:outlineLvl w:val="5"/>
    </w:pPr>
    <w:rPr>
      <w:rFonts w:ascii="Arial" w:hAnsi="Arial" w:eastAsia="黑体"/>
      <w:b/>
      <w:sz w:val="24"/>
      <w:szCs w:val="20"/>
    </w:rPr>
  </w:style>
  <w:style w:type="paragraph" w:styleId="1085">
    <w:name w:val="标题 7"/>
    <w:basedOn w:val="1078"/>
    <w:next w:val="1078"/>
    <w:link w:val="1099"/>
    <w:qFormat/>
    <w:pPr>
      <w:keepLines/>
      <w:keepNext/>
      <w:spacing w:before="240" w:after="64" w:line="320" w:lineRule="atLeast"/>
      <w:outlineLvl w:val="6"/>
    </w:pPr>
    <w:rPr>
      <w:b/>
      <w:sz w:val="24"/>
      <w:szCs w:val="20"/>
    </w:rPr>
  </w:style>
  <w:style w:type="paragraph" w:styleId="1086">
    <w:name w:val="标题 8"/>
    <w:basedOn w:val="1078"/>
    <w:next w:val="1078"/>
    <w:link w:val="1100"/>
    <w:qFormat/>
    <w:pPr>
      <w:keepLines/>
      <w:keepNext/>
      <w:spacing w:before="240" w:after="64" w:line="320" w:lineRule="atLeast"/>
      <w:outlineLvl w:val="7"/>
    </w:pPr>
    <w:rPr>
      <w:rFonts w:ascii="Arial" w:hAnsi="Arial" w:eastAsia="黑体"/>
      <w:sz w:val="24"/>
      <w:szCs w:val="20"/>
    </w:rPr>
  </w:style>
  <w:style w:type="paragraph" w:styleId="1087">
    <w:name w:val="标题 9"/>
    <w:basedOn w:val="1078"/>
    <w:next w:val="1078"/>
    <w:link w:val="1101"/>
    <w:qFormat/>
    <w:pPr>
      <w:keepLines/>
      <w:keepNext/>
      <w:spacing w:before="240" w:after="64" w:line="320" w:lineRule="atLeast"/>
      <w:outlineLvl w:val="8"/>
    </w:pPr>
    <w:rPr>
      <w:rFonts w:ascii="Arial" w:hAnsi="Arial" w:eastAsia="黑体"/>
      <w:szCs w:val="20"/>
    </w:rPr>
  </w:style>
  <w:style w:type="character" w:styleId="1088">
    <w:name w:val="默认段落字体"/>
    <w:next w:val="1088"/>
    <w:link w:val="1078"/>
    <w:uiPriority w:val="1"/>
    <w:unhideWhenUsed/>
    <w:qFormat/>
  </w:style>
  <w:style w:type="table" w:styleId="1089">
    <w:name w:val="普通表格"/>
    <w:next w:val="1089"/>
    <w:link w:val="1078"/>
    <w:uiPriority w:val="99"/>
    <w:unhideWhenUsed/>
    <w:qFormat/>
    <w:tblPr/>
  </w:style>
  <w:style w:type="numbering" w:styleId="1090">
    <w:name w:val="无列表"/>
    <w:next w:val="1090"/>
    <w:link w:val="1078"/>
    <w:uiPriority w:val="99"/>
    <w:semiHidden/>
    <w:unhideWhenUsed/>
  </w:style>
  <w:style w:type="character" w:styleId="1091">
    <w:name w:val="标题 1 字符"/>
    <w:next w:val="1091"/>
    <w:link w:val="1079"/>
    <w:qFormat/>
    <w:rPr>
      <w:rFonts w:ascii="宋体"/>
      <w:b/>
      <w:sz w:val="32"/>
    </w:rPr>
  </w:style>
  <w:style w:type="character" w:styleId="1092">
    <w:name w:val="标题 2 字符"/>
    <w:next w:val="1092"/>
    <w:link w:val="1080"/>
    <w:qFormat/>
    <w:rPr>
      <w:rFonts w:ascii="Arial" w:hAnsi="Arial" w:eastAsia="黑体"/>
      <w:b/>
      <w:sz w:val="30"/>
      <w:lang w:val="en-US" w:eastAsia="zh-CN" w:bidi="ar-SA"/>
    </w:rPr>
  </w:style>
  <w:style w:type="paragraph" w:styleId="1093">
    <w:name w:val="正文缩进"/>
    <w:basedOn w:val="1078"/>
    <w:next w:val="1078"/>
    <w:link w:val="1094"/>
    <w:uiPriority w:val="99"/>
    <w:qFormat/>
    <w:pPr>
      <w:ind w:firstLine="420"/>
      <w:jc w:val="left"/>
    </w:pPr>
    <w:rPr>
      <w:rFonts w:ascii="宋体"/>
      <w:sz w:val="24"/>
    </w:rPr>
  </w:style>
  <w:style w:type="character" w:styleId="1094">
    <w:name w:val="正文缩进 字符1"/>
    <w:next w:val="1094"/>
    <w:link w:val="1093"/>
    <w:qFormat/>
    <w:rPr>
      <w:rFonts w:ascii="宋体" w:eastAsia="宋体"/>
      <w:sz w:val="24"/>
      <w:szCs w:val="24"/>
      <w:lang w:val="en-US" w:eastAsia="zh-CN" w:bidi="ar-SA"/>
    </w:rPr>
  </w:style>
  <w:style w:type="character" w:styleId="1095">
    <w:name w:val="标题 3 字符"/>
    <w:next w:val="1095"/>
    <w:link w:val="1081"/>
    <w:qFormat/>
    <w:rPr>
      <w:rFonts w:ascii="宋体" w:eastAsia="宋体"/>
      <w:b/>
      <w:sz w:val="24"/>
      <w:u w:val="single"/>
      <w:lang w:val="en-US" w:eastAsia="zh-CN" w:bidi="ar-SA"/>
    </w:rPr>
  </w:style>
  <w:style w:type="character" w:styleId="1096">
    <w:name w:val="标题 4 字符"/>
    <w:next w:val="1096"/>
    <w:link w:val="1082"/>
    <w:qFormat/>
    <w:rPr>
      <w:rFonts w:ascii="Arial" w:hAnsi="Arial" w:eastAsia="黑体"/>
      <w:b/>
      <w:sz w:val="28"/>
    </w:rPr>
  </w:style>
  <w:style w:type="character" w:styleId="1097">
    <w:name w:val="标题 5 字符"/>
    <w:next w:val="1097"/>
    <w:link w:val="1083"/>
    <w:qFormat/>
    <w:rPr>
      <w:b/>
      <w:sz w:val="28"/>
    </w:rPr>
  </w:style>
  <w:style w:type="character" w:styleId="1098">
    <w:name w:val="标题 6 字符"/>
    <w:next w:val="1098"/>
    <w:link w:val="1084"/>
    <w:qFormat/>
    <w:rPr>
      <w:rFonts w:ascii="Arial" w:hAnsi="Arial" w:eastAsia="黑体"/>
      <w:b/>
      <w:sz w:val="24"/>
    </w:rPr>
  </w:style>
  <w:style w:type="character" w:styleId="1099">
    <w:name w:val="标题 7 字符"/>
    <w:next w:val="1099"/>
    <w:link w:val="1085"/>
    <w:qFormat/>
    <w:rPr>
      <w:b/>
      <w:sz w:val="24"/>
    </w:rPr>
  </w:style>
  <w:style w:type="character" w:styleId="1100">
    <w:name w:val="标题 8 字符"/>
    <w:next w:val="1100"/>
    <w:link w:val="1086"/>
    <w:qFormat/>
    <w:rPr>
      <w:rFonts w:ascii="Arial" w:hAnsi="Arial" w:eastAsia="黑体"/>
      <w:sz w:val="24"/>
    </w:rPr>
  </w:style>
  <w:style w:type="character" w:styleId="1101">
    <w:name w:val="标题 9 字符"/>
    <w:next w:val="1101"/>
    <w:link w:val="1087"/>
    <w:qFormat/>
    <w:rPr>
      <w:rFonts w:ascii="Arial" w:hAnsi="Arial" w:eastAsia="黑体"/>
      <w:sz w:val="21"/>
    </w:rPr>
  </w:style>
  <w:style w:type="paragraph" w:styleId="1102">
    <w:name w:val="目录 7"/>
    <w:basedOn w:val="1078"/>
    <w:next w:val="1078"/>
    <w:link w:val="1078"/>
    <w:qFormat/>
    <w:pPr>
      <w:ind w:left="2520"/>
    </w:pPr>
  </w:style>
  <w:style w:type="paragraph" w:styleId="1103">
    <w:name w:val="题注"/>
    <w:basedOn w:val="1078"/>
    <w:next w:val="1078"/>
    <w:link w:val="1078"/>
    <w:qFormat/>
    <w:pPr>
      <w:spacing w:line="480" w:lineRule="auto"/>
    </w:pPr>
    <w:rPr>
      <w:rFonts w:ascii="华文中宋" w:hAnsi="华文中宋" w:eastAsia="华文中宋"/>
      <w:sz w:val="36"/>
      <w:szCs w:val="20"/>
    </w:rPr>
  </w:style>
  <w:style w:type="paragraph" w:styleId="1104">
    <w:name w:val="文档结构图"/>
    <w:basedOn w:val="1078"/>
    <w:next w:val="1104"/>
    <w:link w:val="1105"/>
    <w:qFormat/>
    <w:pPr>
      <w:shd w:val="clear" w:color="auto" w:fill="000080"/>
    </w:pPr>
  </w:style>
  <w:style w:type="character" w:styleId="1105">
    <w:name w:val="文档结构图 字符"/>
    <w:next w:val="1105"/>
    <w:link w:val="1104"/>
    <w:qFormat/>
    <w:rPr>
      <w:sz w:val="21"/>
      <w:szCs w:val="24"/>
      <w:shd w:val="clear" w:color="auto" w:fill="000080"/>
    </w:rPr>
  </w:style>
  <w:style w:type="paragraph" w:styleId="1106">
    <w:name w:val="批注文字"/>
    <w:basedOn w:val="1078"/>
    <w:next w:val="1106"/>
    <w:link w:val="1107"/>
    <w:uiPriority w:val="99"/>
    <w:qFormat/>
    <w:pPr>
      <w:jc w:val="left"/>
    </w:pPr>
  </w:style>
  <w:style w:type="character" w:styleId="1107">
    <w:name w:val="批注文字 字符1"/>
    <w:next w:val="1107"/>
    <w:link w:val="1106"/>
    <w:uiPriority w:val="99"/>
    <w:qFormat/>
    <w:rPr>
      <w:sz w:val="21"/>
      <w:szCs w:val="24"/>
    </w:rPr>
  </w:style>
  <w:style w:type="paragraph" w:styleId="1108">
    <w:name w:val="正文文本 3"/>
    <w:basedOn w:val="1078"/>
    <w:next w:val="1108"/>
    <w:link w:val="1109"/>
    <w:qFormat/>
    <w:pPr>
      <w:spacing w:after="120"/>
    </w:pPr>
    <w:rPr>
      <w:sz w:val="16"/>
      <w:szCs w:val="16"/>
    </w:rPr>
  </w:style>
  <w:style w:type="character" w:styleId="1109">
    <w:name w:val="正文文本 3 字符"/>
    <w:next w:val="1109"/>
    <w:link w:val="1108"/>
    <w:qFormat/>
    <w:rPr>
      <w:sz w:val="16"/>
      <w:szCs w:val="16"/>
    </w:rPr>
  </w:style>
  <w:style w:type="paragraph" w:styleId="1110">
    <w:name w:val="正文文本"/>
    <w:basedOn w:val="1078"/>
    <w:next w:val="1078"/>
    <w:link w:val="1111"/>
    <w:qFormat/>
    <w:pPr>
      <w:spacing w:before="120" w:line="22" w:lineRule="atLeast"/>
      <w:tabs>
        <w:tab w:val="left" w:pos="567" w:leader="none"/>
      </w:tabs>
    </w:pPr>
    <w:rPr>
      <w:rFonts w:ascii="宋体" w:hAnsi="宋体"/>
      <w:sz w:val="24"/>
    </w:rPr>
  </w:style>
  <w:style w:type="character" w:styleId="1111">
    <w:name w:val="正文文本 字符1"/>
    <w:next w:val="1111"/>
    <w:link w:val="1110"/>
    <w:qFormat/>
    <w:rPr>
      <w:rFonts w:ascii="宋体" w:hAnsi="宋体"/>
      <w:sz w:val="24"/>
      <w:szCs w:val="24"/>
    </w:rPr>
  </w:style>
  <w:style w:type="paragraph" w:styleId="1112">
    <w:name w:val="正文文本缩进"/>
    <w:basedOn w:val="1078"/>
    <w:next w:val="1112"/>
    <w:link w:val="1113"/>
    <w:qFormat/>
    <w:pPr>
      <w:ind w:firstLine="570"/>
      <w:spacing w:line="360" w:lineRule="auto"/>
    </w:pPr>
    <w:rPr>
      <w:sz w:val="24"/>
    </w:rPr>
  </w:style>
  <w:style w:type="character" w:styleId="1113">
    <w:name w:val="正文文本缩进 字符"/>
    <w:next w:val="1113"/>
    <w:link w:val="1112"/>
    <w:qFormat/>
    <w:rPr>
      <w:rFonts w:eastAsia="宋体"/>
      <w:sz w:val="24"/>
      <w:szCs w:val="24"/>
      <w:lang w:val="en-US" w:eastAsia="zh-CN" w:bidi="ar-SA"/>
    </w:rPr>
  </w:style>
  <w:style w:type="paragraph" w:styleId="1114">
    <w:name w:val="列表 2"/>
    <w:basedOn w:val="1078"/>
    <w:next w:val="1114"/>
    <w:link w:val="1078"/>
    <w:qFormat/>
    <w:pPr>
      <w:ind w:left="100" w:hanging="200"/>
    </w:pPr>
  </w:style>
  <w:style w:type="paragraph" w:styleId="1115">
    <w:name w:val="文本块"/>
    <w:basedOn w:val="1078"/>
    <w:next w:val="1115"/>
    <w:link w:val="1078"/>
    <w:qFormat/>
    <w:pPr>
      <w:ind w:left="480" w:right="-341" w:firstLine="513"/>
      <w:widowControl/>
    </w:pPr>
    <w:rPr>
      <w:sz w:val="24"/>
      <w:szCs w:val="20"/>
    </w:rPr>
  </w:style>
  <w:style w:type="paragraph" w:styleId="1116">
    <w:name w:val="目录 5"/>
    <w:basedOn w:val="1078"/>
    <w:next w:val="1078"/>
    <w:link w:val="1078"/>
    <w:qFormat/>
    <w:pPr>
      <w:ind w:left="1680"/>
    </w:pPr>
  </w:style>
  <w:style w:type="paragraph" w:styleId="1117">
    <w:name w:val="目录 3"/>
    <w:basedOn w:val="1078"/>
    <w:next w:val="1078"/>
    <w:link w:val="1078"/>
    <w:uiPriority w:val="39"/>
    <w:qFormat/>
    <w:pPr>
      <w:ind w:left="840"/>
    </w:pPr>
  </w:style>
  <w:style w:type="paragraph" w:styleId="1118">
    <w:name w:val="纯文本"/>
    <w:basedOn w:val="1078"/>
    <w:next w:val="1093"/>
    <w:link w:val="1119"/>
    <w:uiPriority w:val="99"/>
    <w:qFormat/>
    <w:rPr>
      <w:rFonts w:hint="eastAsia" w:ascii="宋体" w:hAnsi="Courier New"/>
      <w:szCs w:val="20"/>
    </w:rPr>
  </w:style>
  <w:style w:type="character" w:styleId="1119">
    <w:name w:val="纯文本 字符2"/>
    <w:next w:val="1119"/>
    <w:link w:val="1118"/>
    <w:qFormat/>
    <w:rPr>
      <w:rFonts w:hint="eastAsia" w:ascii="宋体" w:hAnsi="Courier New" w:eastAsia="宋体" w:cs="宋体"/>
      <w:sz w:val="21"/>
    </w:rPr>
  </w:style>
  <w:style w:type="paragraph" w:styleId="1120">
    <w:name w:val="目录 8"/>
    <w:basedOn w:val="1078"/>
    <w:next w:val="1078"/>
    <w:link w:val="1078"/>
    <w:qFormat/>
    <w:pPr>
      <w:ind w:left="2940"/>
    </w:pPr>
  </w:style>
  <w:style w:type="paragraph" w:styleId="1121">
    <w:name w:val="日期"/>
    <w:basedOn w:val="1078"/>
    <w:next w:val="1078"/>
    <w:link w:val="1122"/>
    <w:qFormat/>
    <w:pPr>
      <w:ind w:left="100"/>
    </w:pPr>
    <w:rPr>
      <w:rFonts w:ascii="仿宋_GB2312" w:hAnsi="宋体" w:eastAsia="仿宋_GB2312"/>
      <w:color w:val="000000"/>
      <w:sz w:val="24"/>
    </w:rPr>
  </w:style>
  <w:style w:type="character" w:styleId="1122">
    <w:name w:val="日期 字符"/>
    <w:next w:val="1122"/>
    <w:link w:val="1121"/>
    <w:qFormat/>
    <w:rPr>
      <w:rFonts w:ascii="仿宋_GB2312" w:hAnsi="宋体" w:eastAsia="仿宋_GB2312"/>
      <w:color w:val="000000"/>
      <w:sz w:val="24"/>
      <w:szCs w:val="24"/>
    </w:rPr>
  </w:style>
  <w:style w:type="paragraph" w:styleId="1123">
    <w:name w:val="正文文本缩进 2"/>
    <w:basedOn w:val="1078"/>
    <w:next w:val="1123"/>
    <w:link w:val="1124"/>
    <w:qFormat/>
    <w:pPr>
      <w:ind w:firstLine="480"/>
    </w:pPr>
    <w:rPr>
      <w:rFonts w:ascii="仿宋_GB2312" w:eastAsia="仿宋_GB2312"/>
      <w:sz w:val="24"/>
    </w:rPr>
  </w:style>
  <w:style w:type="character" w:styleId="1124">
    <w:name w:val="正文文本缩进 2 字符"/>
    <w:next w:val="1124"/>
    <w:link w:val="1123"/>
    <w:qFormat/>
    <w:rPr>
      <w:rFonts w:ascii="仿宋_GB2312" w:eastAsia="仿宋_GB2312"/>
      <w:sz w:val="24"/>
      <w:szCs w:val="24"/>
    </w:rPr>
  </w:style>
  <w:style w:type="paragraph" w:styleId="1125">
    <w:name w:val="批注框文本"/>
    <w:basedOn w:val="1078"/>
    <w:next w:val="1125"/>
    <w:link w:val="1126"/>
    <w:qFormat/>
    <w:rPr>
      <w:sz w:val="18"/>
      <w:szCs w:val="18"/>
    </w:rPr>
  </w:style>
  <w:style w:type="character" w:styleId="1126">
    <w:name w:val="批注框文本 字符"/>
    <w:next w:val="1126"/>
    <w:link w:val="1125"/>
    <w:qFormat/>
    <w:rPr>
      <w:sz w:val="18"/>
      <w:szCs w:val="18"/>
    </w:rPr>
  </w:style>
  <w:style w:type="paragraph" w:styleId="1127">
    <w:name w:val="页脚"/>
    <w:basedOn w:val="1078"/>
    <w:next w:val="1127"/>
    <w:link w:val="1128"/>
    <w:uiPriority w:val="99"/>
    <w:qFormat/>
    <w:pPr>
      <w:jc w:val="left"/>
      <w:tabs>
        <w:tab w:val="center" w:pos="4153" w:leader="none"/>
        <w:tab w:val="right" w:pos="8306" w:leader="none"/>
      </w:tabs>
    </w:pPr>
    <w:rPr>
      <w:rFonts w:ascii="宋体"/>
      <w:sz w:val="18"/>
      <w:szCs w:val="20"/>
    </w:rPr>
  </w:style>
  <w:style w:type="character" w:styleId="1128">
    <w:name w:val="页脚 字符"/>
    <w:next w:val="1128"/>
    <w:link w:val="1127"/>
    <w:uiPriority w:val="99"/>
    <w:qFormat/>
    <w:rPr>
      <w:rFonts w:ascii="宋体" w:eastAsia="宋体"/>
      <w:sz w:val="18"/>
      <w:lang w:val="en-US" w:eastAsia="zh-CN" w:bidi="ar-SA"/>
    </w:rPr>
  </w:style>
  <w:style w:type="paragraph" w:styleId="1129">
    <w:name w:val="页眉"/>
    <w:basedOn w:val="1078"/>
    <w:next w:val="1129"/>
    <w:link w:val="1130"/>
    <w:qFormat/>
    <w:pPr>
      <w:jc w:val="center"/>
      <w:tabs>
        <w:tab w:val="center" w:pos="4153" w:leader="none"/>
        <w:tab w:val="right" w:pos="8306" w:leader="none"/>
      </w:tabs>
      <w:pBdr>
        <w:bottom w:val="single" w:color="000000" w:sz="6" w:space="1"/>
      </w:pBdr>
    </w:pPr>
    <w:rPr>
      <w:sz w:val="18"/>
      <w:szCs w:val="18"/>
    </w:rPr>
  </w:style>
  <w:style w:type="character" w:styleId="1130">
    <w:name w:val="页眉 字符"/>
    <w:next w:val="1130"/>
    <w:link w:val="1129"/>
    <w:qFormat/>
    <w:rPr>
      <w:rFonts w:eastAsia="宋体"/>
      <w:sz w:val="18"/>
      <w:szCs w:val="18"/>
      <w:lang w:val="en-US" w:eastAsia="zh-CN" w:bidi="ar-SA"/>
    </w:rPr>
  </w:style>
  <w:style w:type="paragraph" w:styleId="1131">
    <w:name w:val="目录 1"/>
    <w:basedOn w:val="1078"/>
    <w:next w:val="1078"/>
    <w:link w:val="1078"/>
    <w:uiPriority w:val="39"/>
    <w:qFormat/>
    <w:pPr>
      <w:spacing w:line="300" w:lineRule="auto"/>
      <w:tabs>
        <w:tab w:val="left" w:pos="1050" w:leader="none"/>
        <w:tab w:val="right" w:pos="8937" w:leader="dot"/>
      </w:tabs>
    </w:pPr>
    <w:rPr>
      <w:rFonts w:ascii="宋体" w:hAnsi="宋体"/>
      <w:b/>
      <w:sz w:val="24"/>
    </w:rPr>
  </w:style>
  <w:style w:type="paragraph" w:styleId="1132">
    <w:name w:val="目录 4"/>
    <w:basedOn w:val="1078"/>
    <w:next w:val="1078"/>
    <w:link w:val="1078"/>
    <w:qFormat/>
    <w:pPr>
      <w:ind w:left="1260"/>
    </w:pPr>
  </w:style>
  <w:style w:type="paragraph" w:styleId="1133">
    <w:name w:val="目录 6"/>
    <w:basedOn w:val="1078"/>
    <w:next w:val="1078"/>
    <w:link w:val="1078"/>
    <w:qFormat/>
    <w:pPr>
      <w:ind w:left="2100"/>
    </w:pPr>
  </w:style>
  <w:style w:type="paragraph" w:styleId="1134">
    <w:name w:val="正文文本缩进 3"/>
    <w:basedOn w:val="1078"/>
    <w:next w:val="1134"/>
    <w:link w:val="1135"/>
    <w:qFormat/>
    <w:pPr>
      <w:ind w:left="720" w:firstLine="480"/>
      <w:jc w:val="left"/>
      <w:spacing w:before="120" w:line="22" w:lineRule="atLeast"/>
    </w:pPr>
    <w:rPr>
      <w:rFonts w:ascii="宋体"/>
      <w:sz w:val="24"/>
      <w:szCs w:val="20"/>
    </w:rPr>
  </w:style>
  <w:style w:type="character" w:styleId="1135">
    <w:name w:val="正文文本缩进 3 字符"/>
    <w:next w:val="1135"/>
    <w:link w:val="1134"/>
    <w:qFormat/>
    <w:rPr>
      <w:rFonts w:ascii="宋体"/>
      <w:sz w:val="24"/>
    </w:rPr>
  </w:style>
  <w:style w:type="paragraph" w:styleId="1136">
    <w:name w:val="目录 2"/>
    <w:basedOn w:val="1078"/>
    <w:next w:val="1078"/>
    <w:link w:val="1078"/>
    <w:uiPriority w:val="39"/>
    <w:qFormat/>
    <w:pPr>
      <w:ind w:left="420"/>
      <w:spacing w:line="312" w:lineRule="auto"/>
      <w:tabs>
        <w:tab w:val="right" w:pos="8937" w:leader="dot"/>
      </w:tabs>
    </w:pPr>
  </w:style>
  <w:style w:type="paragraph" w:styleId="1137">
    <w:name w:val="目录 9"/>
    <w:basedOn w:val="1078"/>
    <w:next w:val="1078"/>
    <w:link w:val="1078"/>
    <w:qFormat/>
    <w:pPr>
      <w:ind w:left="3360"/>
    </w:pPr>
  </w:style>
  <w:style w:type="paragraph" w:styleId="1138">
    <w:name w:val="HTML 预设格式"/>
    <w:basedOn w:val="1078"/>
    <w:next w:val="1138"/>
    <w:link w:val="11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9">
    <w:name w:val="HTML 预设格式 字符"/>
    <w:next w:val="1139"/>
    <w:link w:val="1138"/>
    <w:qFormat/>
    <w:rPr>
      <w:rFonts w:ascii="宋体" w:hAnsi="宋体" w:cs="宋体"/>
      <w:sz w:val="24"/>
      <w:szCs w:val="24"/>
    </w:rPr>
  </w:style>
  <w:style w:type="paragraph" w:styleId="1140">
    <w:name w:val="普通(网站)"/>
    <w:basedOn w:val="1078"/>
    <w:next w:val="1140"/>
    <w:link w:val="1078"/>
    <w:uiPriority w:val="99"/>
    <w:unhideWhenUsed/>
    <w:qFormat/>
    <w:pPr>
      <w:jc w:val="left"/>
      <w:spacing w:before="100" w:beforeAutospacing="1" w:after="100" w:afterAutospacing="1"/>
      <w:widowControl/>
    </w:pPr>
    <w:rPr>
      <w:rFonts w:ascii="宋体" w:hAnsi="宋体" w:cs="宋体"/>
      <w:sz w:val="24"/>
    </w:rPr>
  </w:style>
  <w:style w:type="paragraph" w:styleId="1141">
    <w:name w:val="索引 1"/>
    <w:basedOn w:val="1078"/>
    <w:next w:val="1078"/>
    <w:link w:val="1078"/>
    <w:qFormat/>
    <w:rPr>
      <w:szCs w:val="20"/>
    </w:rPr>
  </w:style>
  <w:style w:type="paragraph" w:styleId="1142">
    <w:name w:val="标题"/>
    <w:basedOn w:val="1078"/>
    <w:next w:val="1142"/>
    <w:link w:val="1143"/>
    <w:qFormat/>
    <w:pPr>
      <w:jc w:val="center"/>
      <w:outlineLvl w:val="0"/>
    </w:pPr>
    <w:rPr>
      <w:b/>
      <w:sz w:val="32"/>
      <w:szCs w:val="20"/>
    </w:rPr>
  </w:style>
  <w:style w:type="character" w:styleId="1143">
    <w:name w:val="标题 字符"/>
    <w:next w:val="1143"/>
    <w:link w:val="1142"/>
    <w:qFormat/>
    <w:rPr>
      <w:b/>
      <w:sz w:val="32"/>
    </w:rPr>
  </w:style>
  <w:style w:type="paragraph" w:styleId="1144">
    <w:name w:val="批注主题"/>
    <w:basedOn w:val="1106"/>
    <w:next w:val="1106"/>
    <w:link w:val="1145"/>
    <w:qFormat/>
    <w:rPr>
      <w:b/>
      <w:bCs/>
    </w:rPr>
  </w:style>
  <w:style w:type="character" w:styleId="1145">
    <w:name w:val="批注主题 字符"/>
    <w:next w:val="1145"/>
    <w:link w:val="1144"/>
    <w:qFormat/>
    <w:rPr>
      <w:rFonts w:ascii="Times New Roman" w:hAnsi="Times New Roman" w:eastAsia="宋体" w:cs="Times New Roman"/>
      <w:b/>
      <w:bCs/>
      <w:sz w:val="21"/>
      <w:szCs w:val="24"/>
      <w:lang w:val="en-US" w:eastAsia="zh-CN" w:bidi="ar-SA"/>
    </w:rPr>
  </w:style>
  <w:style w:type="paragraph" w:styleId="1146">
    <w:name w:val="正文首行缩进 2"/>
    <w:basedOn w:val="1112"/>
    <w:next w:val="1146"/>
    <w:link w:val="1147"/>
    <w:qFormat/>
    <w:pPr>
      <w:ind w:left="420" w:firstLine="420"/>
      <w:spacing w:after="120" w:line="480" w:lineRule="exact"/>
    </w:pPr>
    <w:rPr>
      <w:szCs w:val="20"/>
    </w:rPr>
  </w:style>
  <w:style w:type="character" w:styleId="1147">
    <w:name w:val="正文首行缩进 2 字符"/>
    <w:next w:val="1147"/>
    <w:link w:val="1146"/>
    <w:qFormat/>
    <w:rPr>
      <w:rFonts w:eastAsia="宋体"/>
      <w:sz w:val="24"/>
      <w:szCs w:val="24"/>
      <w:lang w:val="en-US" w:eastAsia="zh-CN" w:bidi="ar-SA"/>
    </w:rPr>
  </w:style>
  <w:style w:type="table" w:styleId="1148">
    <w:name w:val="网格型"/>
    <w:basedOn w:val="1089"/>
    <w:next w:val="1148"/>
    <w:link w:val="1078"/>
    <w:uiPriority w:val="39"/>
    <w:qFormat/>
    <w:tblPr/>
  </w:style>
  <w:style w:type="table" w:styleId="1149">
    <w:name w:val="中等深浅网格 1 - 着色 2"/>
    <w:basedOn w:val="1089"/>
    <w:next w:val="1149"/>
    <w:link w:val="1078"/>
    <w:qFormat/>
    <w:rPr>
      <w:sz w:val="21"/>
      <w:szCs w:val="24"/>
    </w:rPr>
    <w:tblPr/>
  </w:style>
  <w:style w:type="character" w:styleId="1150">
    <w:name w:val="要点"/>
    <w:next w:val="1150"/>
    <w:link w:val="1078"/>
    <w:qFormat/>
    <w:rPr>
      <w:b/>
      <w:bCs/>
    </w:rPr>
  </w:style>
  <w:style w:type="character" w:styleId="1151">
    <w:name w:val="页码"/>
    <w:next w:val="1151"/>
    <w:link w:val="1078"/>
    <w:qFormat/>
  </w:style>
  <w:style w:type="character" w:styleId="1152">
    <w:name w:val="访问过的超链接"/>
    <w:next w:val="1152"/>
    <w:link w:val="1078"/>
    <w:qFormat/>
    <w:rPr>
      <w:color w:val="800080"/>
      <w:u w:val="single"/>
    </w:rPr>
  </w:style>
  <w:style w:type="character" w:styleId="1153">
    <w:name w:val="强调"/>
    <w:next w:val="1153"/>
    <w:link w:val="1078"/>
    <w:qFormat/>
    <w:rPr>
      <w:color w:val="cc0033"/>
    </w:rPr>
  </w:style>
  <w:style w:type="character" w:styleId="1154">
    <w:name w:val="超链接"/>
    <w:next w:val="1154"/>
    <w:link w:val="1078"/>
    <w:uiPriority w:val="99"/>
    <w:qFormat/>
    <w:rPr>
      <w:color w:val="0000ff"/>
      <w:u w:val="single"/>
    </w:rPr>
  </w:style>
  <w:style w:type="character" w:styleId="1155">
    <w:name w:val="批注引用"/>
    <w:next w:val="1155"/>
    <w:link w:val="1078"/>
    <w:uiPriority w:val="99"/>
    <w:qFormat/>
    <w:rPr>
      <w:sz w:val="21"/>
      <w:szCs w:val="21"/>
    </w:rPr>
  </w:style>
  <w:style w:type="character" w:styleId="1156">
    <w:name w:val="HTML 引文"/>
    <w:next w:val="1156"/>
    <w:link w:val="1078"/>
    <w:qFormat/>
    <w:rPr>
      <w:i/>
      <w:iCs/>
    </w:rPr>
  </w:style>
  <w:style w:type="character" w:styleId="1157">
    <w:name w:val="标题 2 Char"/>
    <w:next w:val="1157"/>
    <w:link w:val="1078"/>
    <w:qFormat/>
    <w:rPr>
      <w:rFonts w:ascii="Arial" w:hAnsi="Arial" w:eastAsia="黑体"/>
      <w:b/>
      <w:sz w:val="30"/>
      <w:lang w:val="en-US" w:eastAsia="zh-CN" w:bidi="ar-SA"/>
    </w:rPr>
  </w:style>
  <w:style w:type="character" w:styleId="1158">
    <w:name w:val="标题 3 Char"/>
    <w:next w:val="1158"/>
    <w:link w:val="1078"/>
    <w:qFormat/>
    <w:rPr>
      <w:rFonts w:ascii="宋体" w:eastAsia="宋体"/>
      <w:b/>
      <w:sz w:val="24"/>
      <w:u w:val="single"/>
      <w:lang w:val="en-US" w:eastAsia="zh-CN" w:bidi="ar-SA"/>
    </w:rPr>
  </w:style>
  <w:style w:type="character" w:styleId="1159">
    <w:name w:val="批注文字 字符"/>
    <w:next w:val="1159"/>
    <w:link w:val="1078"/>
    <w:uiPriority w:val="99"/>
    <w:qFormat/>
    <w:rPr>
      <w:rFonts w:ascii="Times New Roman" w:hAnsi="Times New Roman" w:eastAsia="宋体" w:cs="Times New Roman"/>
      <w:sz w:val="24"/>
      <w:lang w:val="en-US" w:eastAsia="zh-CN" w:bidi="ar-SA"/>
    </w:rPr>
  </w:style>
  <w:style w:type="character" w:styleId="1160">
    <w:name w:val="c21"/>
    <w:next w:val="1160"/>
    <w:link w:val="1078"/>
    <w:qFormat/>
    <w:rPr>
      <w:rFonts w:ascii="ˎ̥" w:hAnsi="ˎ̥"/>
      <w:color w:val="000000"/>
      <w:sz w:val="20"/>
      <w:szCs w:val="20"/>
      <w:u w:val="none"/>
    </w:rPr>
  </w:style>
  <w:style w:type="character" w:styleId="1161">
    <w:name w:val="title4"/>
    <w:next w:val="1161"/>
    <w:link w:val="1078"/>
    <w:qFormat/>
    <w:rPr>
      <w:b/>
      <w:bCs/>
      <w:color w:val="1d87b3"/>
      <w:sz w:val="15"/>
      <w:szCs w:val="15"/>
    </w:rPr>
  </w:style>
  <w:style w:type="character" w:styleId="1162">
    <w:name w:val="标题 2 Char Char"/>
    <w:next w:val="1162"/>
    <w:link w:val="1078"/>
    <w:qFormat/>
    <w:rPr>
      <w:rFonts w:ascii="Arial" w:hAnsi="Arial" w:eastAsia="黑体"/>
      <w:b/>
      <w:bCs/>
      <w:sz w:val="32"/>
      <w:szCs w:val="32"/>
      <w:lang w:val="en-US" w:eastAsia="zh-CN" w:bidi="ar-SA"/>
    </w:rPr>
  </w:style>
  <w:style w:type="character" w:styleId="1163">
    <w:name w:val="black1"/>
    <w:next w:val="1163"/>
    <w:link w:val="1078"/>
    <w:qFormat/>
    <w:rPr>
      <w:color w:val="000000"/>
    </w:rPr>
  </w:style>
  <w:style w:type="character" w:styleId="1164">
    <w:name w:val="street-address"/>
    <w:next w:val="1164"/>
    <w:link w:val="1078"/>
    <w:qFormat/>
  </w:style>
  <w:style w:type="character" w:styleId="1165">
    <w:name w:val="locality"/>
    <w:next w:val="1165"/>
    <w:link w:val="1078"/>
    <w:qFormat/>
  </w:style>
  <w:style w:type="character" w:styleId="1166">
    <w:name w:val="正文文本缩进 Char1"/>
    <w:next w:val="1166"/>
    <w:link w:val="1167"/>
    <w:qFormat/>
    <w:rPr>
      <w:rFonts w:ascii="宋体" w:hAnsi="宋体" w:eastAsia="宋体"/>
      <w:sz w:val="24"/>
      <w:szCs w:val="24"/>
      <w:lang w:bidi="ar-SA"/>
    </w:rPr>
  </w:style>
  <w:style w:type="paragraph" w:styleId="1167">
    <w:name w:val="正文文本缩进1"/>
    <w:basedOn w:val="1078"/>
    <w:next w:val="1167"/>
    <w:link w:val="1166"/>
    <w:qFormat/>
    <w:pPr>
      <w:ind w:firstLine="480"/>
      <w:spacing w:line="480" w:lineRule="exact"/>
    </w:pPr>
    <w:rPr>
      <w:rFonts w:ascii="宋体" w:hAnsi="宋体"/>
      <w:sz w:val="24"/>
    </w:rPr>
  </w:style>
  <w:style w:type="character" w:styleId="1168">
    <w:name w:val="Char Char11"/>
    <w:next w:val="1168"/>
    <w:link w:val="1078"/>
    <w:qFormat/>
    <w:rPr>
      <w:rFonts w:ascii="宋体" w:eastAsia="宋体"/>
      <w:b/>
      <w:sz w:val="24"/>
      <w:u w:val="single"/>
      <w:lang w:val="en-US" w:eastAsia="zh-CN" w:bidi="ar-SA"/>
    </w:rPr>
  </w:style>
  <w:style w:type="character" w:styleId="1169">
    <w:name w:val="txt"/>
    <w:next w:val="1169"/>
    <w:link w:val="1078"/>
    <w:qFormat/>
  </w:style>
  <w:style w:type="character" w:styleId="1170">
    <w:name w:val="正文缩进 Char Char"/>
    <w:next w:val="1170"/>
    <w:link w:val="1171"/>
    <w:qFormat/>
    <w:rPr>
      <w:rFonts w:ascii="宋体" w:eastAsia="宋体"/>
      <w:color w:val="000000"/>
      <w:sz w:val="28"/>
      <w:lang w:bidi="ar-SA"/>
    </w:rPr>
  </w:style>
  <w:style w:type="paragraph" w:styleId="1171">
    <w:name w:val="正文缩进1"/>
    <w:basedOn w:val="1078"/>
    <w:next w:val="1171"/>
    <w:link w:val="1170"/>
    <w:qFormat/>
    <w:pPr>
      <w:ind w:firstLine="567"/>
      <w:spacing w:line="480" w:lineRule="exact"/>
      <w:widowControl/>
    </w:pPr>
    <w:rPr>
      <w:rFonts w:ascii="宋体"/>
      <w:color w:val="000000"/>
      <w:sz w:val="28"/>
      <w:szCs w:val="20"/>
    </w:rPr>
  </w:style>
  <w:style w:type="character" w:styleId="1172">
    <w:name w:val="普通文字1 Char1"/>
    <w:next w:val="1172"/>
    <w:link w:val="1078"/>
    <w:qFormat/>
    <w:rPr>
      <w:rFonts w:ascii="宋体" w:hAnsi="Courier New" w:eastAsia="宋体"/>
      <w:sz w:val="21"/>
      <w:lang w:val="en-US" w:eastAsia="zh-CN" w:bidi="ar-SA"/>
    </w:rPr>
  </w:style>
  <w:style w:type="character" w:styleId="1173">
    <w:name w:val="chanpin1"/>
    <w:next w:val="1173"/>
    <w:link w:val="1078"/>
    <w:qFormat/>
    <w:rPr>
      <w:rFonts w:ascii="ˎ̥" w:hAnsi="ˎ̥"/>
      <w:color w:val="000000"/>
      <w:sz w:val="20"/>
      <w:szCs w:val="20"/>
      <w:u w:val="none"/>
    </w:rPr>
  </w:style>
  <w:style w:type="character" w:styleId="1174">
    <w:name w:val="列出段落 字符"/>
    <w:next w:val="1174"/>
    <w:link w:val="1175"/>
    <w:uiPriority w:val="34"/>
    <w:qFormat/>
    <w:rPr>
      <w:rFonts w:ascii="Calibri" w:hAnsi="Calibri" w:eastAsia="宋体"/>
      <w:sz w:val="21"/>
      <w:szCs w:val="22"/>
      <w:lang w:val="en-US" w:eastAsia="zh-CN" w:bidi="ar-SA"/>
    </w:rPr>
  </w:style>
  <w:style w:type="paragraph" w:styleId="1175">
    <w:name w:val="列出段落"/>
    <w:basedOn w:val="1078"/>
    <w:next w:val="1175"/>
    <w:link w:val="1174"/>
    <w:uiPriority w:val="34"/>
    <w:qFormat/>
    <w:pPr>
      <w:ind w:firstLine="420"/>
    </w:pPr>
    <w:rPr>
      <w:rFonts w:ascii="Calibri" w:hAnsi="Calibri"/>
      <w:szCs w:val="22"/>
    </w:rPr>
  </w:style>
  <w:style w:type="character" w:styleId="1176">
    <w:name w:val="标题 3 Char Char"/>
    <w:next w:val="1176"/>
    <w:link w:val="1078"/>
    <w:qFormat/>
    <w:rPr>
      <w:rFonts w:eastAsia="宋体"/>
      <w:b/>
      <w:bCs/>
      <w:sz w:val="32"/>
      <w:szCs w:val="32"/>
      <w:lang w:val="en-US" w:eastAsia="zh-CN" w:bidi="ar-SA"/>
    </w:rPr>
  </w:style>
  <w:style w:type="character" w:styleId="1177">
    <w:name w:val="段1 Char"/>
    <w:next w:val="1177"/>
    <w:link w:val="1078"/>
    <w:qFormat/>
    <w:rPr>
      <w:rFonts w:ascii="宋体" w:eastAsia="宋体"/>
      <w:sz w:val="24"/>
      <w:lang w:val="en-US" w:eastAsia="zh-CN" w:bidi="ar-SA"/>
    </w:rPr>
  </w:style>
  <w:style w:type="character" w:styleId="1178">
    <w:name w:val="chanpin拷贝"/>
    <w:next w:val="1178"/>
    <w:link w:val="1078"/>
    <w:qFormat/>
  </w:style>
  <w:style w:type="character" w:styleId="1179">
    <w:name w:val="纯文本 Char1"/>
    <w:next w:val="1179"/>
    <w:link w:val="1078"/>
    <w:uiPriority w:val="99"/>
    <w:qFormat/>
    <w:rPr>
      <w:rFonts w:ascii="宋体" w:hAnsi="Courier New" w:eastAsia="宋体"/>
      <w:sz w:val="21"/>
      <w:lang w:val="en-US" w:eastAsia="zh-CN" w:bidi="ar-SA"/>
    </w:rPr>
  </w:style>
  <w:style w:type="character" w:styleId="1180">
    <w:name w:val="apple-style-span"/>
    <w:next w:val="1180"/>
    <w:link w:val="1078"/>
    <w:qFormat/>
    <w:rPr>
      <w:rFonts w:cs="Times New Roman"/>
    </w:rPr>
  </w:style>
  <w:style w:type="paragraph" w:styleId="1181">
    <w:name w:val="二级条标题"/>
    <w:basedOn w:val="1182"/>
    <w:next w:val="1078"/>
    <w:link w:val="1078"/>
    <w:qFormat/>
    <w:pPr>
      <w:numPr>
        <w:ilvl w:val="0"/>
        <w:numId w:val="0"/>
      </w:numPr>
      <w:ind w:hanging="840"/>
      <w:tabs>
        <w:tab w:val="left" w:pos="360" w:leader="none"/>
        <w:tab w:val="left" w:pos="840" w:leader="none"/>
      </w:tabs>
      <w:outlineLvl w:val="2"/>
    </w:pPr>
    <w:rPr>
      <w:rFonts w:ascii="宋体" w:eastAsia="宋体"/>
      <w:b w:val="0"/>
    </w:rPr>
  </w:style>
  <w:style w:type="paragraph" w:styleId="1182">
    <w:name w:val="一级条标题"/>
    <w:basedOn w:val="1183"/>
    <w:next w:val="1078"/>
    <w:link w:val="1078"/>
    <w:qFormat/>
    <w:pPr>
      <w:numPr>
        <w:ilvl w:val="1"/>
      </w:numPr>
      <w:ind w:left="0" w:hanging="840"/>
      <w:tabs>
        <w:tab w:val="left" w:pos="360" w:leader="none"/>
        <w:tab w:val="left" w:pos="840" w:leader="none"/>
      </w:tabs>
      <w:outlineLvl w:val="1"/>
    </w:pPr>
  </w:style>
  <w:style w:type="paragraph" w:styleId="1183">
    <w:name w:val="章标题"/>
    <w:next w:val="1078"/>
    <w:link w:val="107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4">
    <w:name w:val="font7"/>
    <w:basedOn w:val="1078"/>
    <w:next w:val="1184"/>
    <w:link w:val="1078"/>
    <w:qFormat/>
    <w:pPr>
      <w:jc w:val="left"/>
      <w:spacing w:before="100" w:beforeAutospacing="1" w:after="100" w:afterAutospacing="1"/>
      <w:widowControl/>
    </w:pPr>
    <w:rPr>
      <w:rFonts w:eastAsia="Arial Unicode MS"/>
      <w:b/>
      <w:bCs/>
      <w:color w:val="000000"/>
      <w:sz w:val="20"/>
      <w:szCs w:val="20"/>
    </w:rPr>
  </w:style>
  <w:style w:type="paragraph" w:styleId="1185">
    <w:name w:val="字元 字元"/>
    <w:basedOn w:val="1078"/>
    <w:next w:val="1185"/>
    <w:link w:val="1078"/>
    <w:qFormat/>
    <w:rPr>
      <w:rFonts w:ascii="Tahoma" w:hAnsi="Tahoma"/>
      <w:sz w:val="24"/>
      <w:szCs w:val="20"/>
    </w:rPr>
  </w:style>
  <w:style w:type="paragraph" w:styleId="1186">
    <w:name w:val="Char3 Char Char Char"/>
    <w:basedOn w:val="1078"/>
    <w:next w:val="1186"/>
    <w:link w:val="1078"/>
    <w:qFormat/>
    <w:rPr>
      <w:rFonts w:ascii="Tahoma" w:hAnsi="Tahoma"/>
      <w:sz w:val="24"/>
      <w:szCs w:val="20"/>
    </w:rPr>
  </w:style>
  <w:style w:type="paragraph" w:styleId="1187">
    <w:name w:val="font6"/>
    <w:basedOn w:val="1078"/>
    <w:next w:val="1187"/>
    <w:link w:val="1078"/>
    <w:qFormat/>
    <w:pPr>
      <w:jc w:val="left"/>
      <w:spacing w:before="100" w:beforeAutospacing="1" w:after="100" w:afterAutospacing="1"/>
      <w:widowControl/>
    </w:pPr>
    <w:rPr>
      <w:rFonts w:ascii="宋体" w:hAnsi="宋体" w:cs="宋体"/>
      <w:sz w:val="20"/>
      <w:szCs w:val="20"/>
    </w:rPr>
  </w:style>
  <w:style w:type="paragraph" w:styleId="1188">
    <w:name w:val="项目编号2"/>
    <w:basedOn w:val="1189"/>
    <w:next w:val="1188"/>
    <w:link w:val="1078"/>
    <w:qFormat/>
    <w:pPr>
      <w:numPr>
        <w:numId w:val="3"/>
      </w:numPr>
    </w:pPr>
  </w:style>
  <w:style w:type="paragraph" w:styleId="1189">
    <w:name w:val="项目编号1"/>
    <w:basedOn w:val="1078"/>
    <w:next w:val="1189"/>
    <w:link w:val="1078"/>
    <w:qFormat/>
    <w:pPr>
      <w:numPr>
        <w:ilvl w:val="0"/>
        <w:numId w:val="2"/>
      </w:numPr>
      <w:spacing w:before="100" w:beforeAutospacing="1" w:after="100" w:afterAutospacing="1" w:line="360" w:lineRule="auto"/>
    </w:pPr>
    <w:rPr>
      <w:sz w:val="24"/>
    </w:rPr>
  </w:style>
  <w:style w:type="paragraph" w:styleId="1190">
    <w:name w:val="图中文字"/>
    <w:basedOn w:val="1078"/>
    <w:next w:val="1190"/>
    <w:link w:val="1078"/>
    <w:qFormat/>
    <w:pPr>
      <w:jc w:val="center"/>
      <w:spacing w:line="0" w:lineRule="atLeast"/>
    </w:pPr>
    <w:rPr>
      <w:sz w:val="24"/>
      <w:szCs w:val="20"/>
    </w:rPr>
  </w:style>
  <w:style w:type="paragraph" w:styleId="1191">
    <w:name w:val="xl46"/>
    <w:basedOn w:val="1078"/>
    <w:next w:val="1191"/>
    <w:link w:val="107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2">
    <w:name w:val="xl25"/>
    <w:basedOn w:val="1078"/>
    <w:next w:val="1192"/>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name w:val="Char2"/>
    <w:basedOn w:val="1078"/>
    <w:next w:val="1193"/>
    <w:link w:val="1078"/>
    <w:qFormat/>
    <w:rPr>
      <w:rFonts w:ascii="Tahoma" w:hAnsi="Tahoma"/>
      <w:sz w:val="24"/>
      <w:szCs w:val="20"/>
    </w:rPr>
  </w:style>
  <w:style w:type="paragraph" w:styleId="1194">
    <w:name w:val="xl35"/>
    <w:basedOn w:val="1078"/>
    <w:next w:val="1194"/>
    <w:link w:val="10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40"/>
    <w:basedOn w:val="1078"/>
    <w:next w:val="1195"/>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52"/>
    <w:basedOn w:val="1078"/>
    <w:next w:val="1196"/>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7">
    <w:name w:val="xl43"/>
    <w:basedOn w:val="1078"/>
    <w:next w:val="1197"/>
    <w:link w:val="10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8">
    <w:name w:val="background1"/>
    <w:basedOn w:val="1078"/>
    <w:next w:val="1198"/>
    <w:link w:val="1078"/>
    <w:qFormat/>
    <w:pPr>
      <w:jc w:val="left"/>
      <w:spacing w:before="100" w:beforeAutospacing="1" w:after="100" w:afterAutospacing="1"/>
      <w:widowControl/>
    </w:pPr>
    <w:rPr>
      <w:rFonts w:ascii="宋体" w:hAnsi="宋体" w:cs="宋体"/>
      <w:sz w:val="24"/>
    </w:rPr>
  </w:style>
  <w:style w:type="paragraph" w:styleId="1199">
    <w:name w:val="Char Char Char Char Char Char Char"/>
    <w:basedOn w:val="1078"/>
    <w:next w:val="1199"/>
    <w:link w:val="1078"/>
    <w:qFormat/>
    <w:pPr>
      <w:ind w:firstLine="200"/>
      <w:spacing w:line="360" w:lineRule="auto"/>
    </w:pPr>
    <w:rPr>
      <w:rFonts w:eastAsia="仿宋_GB2312"/>
      <w:sz w:val="24"/>
    </w:rPr>
  </w:style>
  <w:style w:type="paragraph" w:styleId="1200">
    <w:name w:val="xl38"/>
    <w:basedOn w:val="1078"/>
    <w:next w:val="1200"/>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1">
    <w:name w:val="xl36"/>
    <w:basedOn w:val="1078"/>
    <w:next w:val="1201"/>
    <w:link w:val="10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正文 + 宋体"/>
    <w:basedOn w:val="1078"/>
    <w:next w:val="1202"/>
    <w:link w:val="1078"/>
    <w:qFormat/>
    <w:pPr>
      <w:ind w:left="360" w:hanging="360"/>
      <w:jc w:val="left"/>
      <w:widowControl/>
    </w:pPr>
    <w:rPr>
      <w:rFonts w:ascii="宋体" w:hAnsi="宋体" w:cs="宋体"/>
      <w:b/>
      <w:bCs/>
      <w:color w:val="000000"/>
      <w:sz w:val="18"/>
      <w:szCs w:val="18"/>
    </w:rPr>
  </w:style>
  <w:style w:type="paragraph" w:styleId="1203">
    <w:name w:val="正文列项_数字"/>
    <w:basedOn w:val="1078"/>
    <w:next w:val="1203"/>
    <w:link w:val="1078"/>
    <w:qFormat/>
    <w:pPr>
      <w:numPr>
        <w:ilvl w:val="7"/>
        <w:numId w:val="1"/>
      </w:numPr>
      <w:ind w:left="680" w:hanging="150"/>
      <w:spacing w:line="460" w:lineRule="exact"/>
      <w:tabs>
        <w:tab w:val="clear" w:pos="860" w:leader="none"/>
      </w:tabs>
      <w:outlineLvl w:val="7"/>
    </w:pPr>
    <w:rPr>
      <w:rFonts w:ascii="宋体"/>
      <w:sz w:val="28"/>
      <w:szCs w:val="20"/>
    </w:rPr>
  </w:style>
  <w:style w:type="paragraph" w:styleId="1204">
    <w:name w:val="xl39"/>
    <w:basedOn w:val="1078"/>
    <w:next w:val="1204"/>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37"/>
    <w:basedOn w:val="1078"/>
    <w:next w:val="1205"/>
    <w:link w:val="10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6">
    <w:name w:val="xl32"/>
    <w:basedOn w:val="1078"/>
    <w:next w:val="1206"/>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font8"/>
    <w:basedOn w:val="1078"/>
    <w:next w:val="1207"/>
    <w:link w:val="1078"/>
    <w:qFormat/>
    <w:pPr>
      <w:jc w:val="left"/>
      <w:spacing w:before="100" w:beforeAutospacing="1" w:after="100" w:afterAutospacing="1"/>
      <w:widowControl/>
    </w:pPr>
    <w:rPr>
      <w:sz w:val="36"/>
      <w:szCs w:val="36"/>
    </w:rPr>
  </w:style>
  <w:style w:type="paragraph" w:styleId="1208">
    <w:name w:val="Char"/>
    <w:basedOn w:val="1078"/>
    <w:next w:val="1208"/>
    <w:link w:val="1078"/>
    <w:qFormat/>
    <w:pPr>
      <w:tabs>
        <w:tab w:val="left" w:pos="360" w:leader="none"/>
      </w:tabs>
    </w:pPr>
    <w:rPr>
      <w:sz w:val="24"/>
    </w:rPr>
  </w:style>
  <w:style w:type="paragraph" w:styleId="1209">
    <w:name w:val="Char Char Char Char Char Char Char Char Char Char Char Char Char Char Char Char"/>
    <w:basedOn w:val="1078"/>
    <w:next w:val="1209"/>
    <w:link w:val="1078"/>
    <w:qFormat/>
    <w:pPr>
      <w:jc w:val="center"/>
      <w:spacing w:after="160" w:line="240" w:lineRule="exact"/>
      <w:widowControl/>
    </w:pPr>
    <w:rPr>
      <w:rFonts w:ascii="宋体" w:hAnsi="宋体"/>
      <w:b/>
      <w:sz w:val="30"/>
      <w:szCs w:val="30"/>
      <w:lang w:eastAsia="en-US"/>
    </w:rPr>
  </w:style>
  <w:style w:type="paragraph" w:styleId="1210">
    <w:name w:val="xl45"/>
    <w:basedOn w:val="1078"/>
    <w:next w:val="1210"/>
    <w:link w:val="10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1">
    <w:name w:val="Char Char1 Char Char Char Char Char Char"/>
    <w:basedOn w:val="1078"/>
    <w:next w:val="1211"/>
    <w:link w:val="1078"/>
    <w:qFormat/>
    <w:pPr>
      <w:jc w:val="left"/>
      <w:spacing w:after="160" w:line="240" w:lineRule="exact"/>
      <w:widowControl/>
    </w:pPr>
    <w:rPr>
      <w:rFonts w:ascii="Verdana" w:hAnsi="Verdana" w:eastAsia="仿宋_GB2312"/>
      <w:sz w:val="24"/>
      <w:szCs w:val="20"/>
      <w:lang w:eastAsia="en-US"/>
    </w:rPr>
  </w:style>
  <w:style w:type="paragraph" w:styleId="1212">
    <w:name w:val="Char Char1"/>
    <w:basedOn w:val="1104"/>
    <w:next w:val="1212"/>
    <w:link w:val="1078"/>
    <w:qFormat/>
    <w:rPr>
      <w:rFonts w:ascii="Tahoma" w:hAnsi="Tahoma"/>
      <w:sz w:val="24"/>
    </w:rPr>
  </w:style>
  <w:style w:type="paragraph" w:styleId="1213">
    <w:name w:val="xl26"/>
    <w:basedOn w:val="1078"/>
    <w:next w:val="1213"/>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4">
    <w:name w:val="xl30"/>
    <w:basedOn w:val="1078"/>
    <w:next w:val="1214"/>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5">
    <w:name w:val="xl41"/>
    <w:basedOn w:val="1078"/>
    <w:next w:val="1215"/>
    <w:link w:val="10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6">
    <w:name w:val="样式 宋体 五号 行距: 单倍行距"/>
    <w:basedOn w:val="1078"/>
    <w:next w:val="1216"/>
    <w:link w:val="1078"/>
    <w:qFormat/>
    <w:pPr>
      <w:jc w:val="left"/>
    </w:pPr>
    <w:rPr>
      <w:rFonts w:ascii="宋体" w:hAnsi="宋体"/>
      <w:szCs w:val="20"/>
    </w:rPr>
  </w:style>
  <w:style w:type="paragraph" w:styleId="1217">
    <w:name w:val="Char1 Char Char Char1"/>
    <w:basedOn w:val="1078"/>
    <w:next w:val="1217"/>
    <w:link w:val="1078"/>
    <w:qFormat/>
    <w:rPr>
      <w:rFonts w:ascii="Tahoma" w:hAnsi="Tahoma" w:cs="仿宋_GB2312"/>
      <w:sz w:val="24"/>
      <w:szCs w:val="28"/>
    </w:rPr>
  </w:style>
  <w:style w:type="paragraph" w:styleId="1218">
    <w:name w:val="四级条标题"/>
    <w:basedOn w:val="1219"/>
    <w:next w:val="1078"/>
    <w:link w:val="1078"/>
    <w:qFormat/>
    <w:pPr>
      <w:numPr>
        <w:ilvl w:val="4"/>
      </w:numPr>
      <w:ind w:left="0" w:hanging="840"/>
      <w:tabs>
        <w:tab w:val="left" w:pos="360" w:leader="none"/>
        <w:tab w:val="left" w:pos="840" w:leader="none"/>
      </w:tabs>
      <w:outlineLvl w:val="4"/>
    </w:pPr>
  </w:style>
  <w:style w:type="paragraph" w:styleId="1219">
    <w:name w:val="三级条标题"/>
    <w:basedOn w:val="1181"/>
    <w:next w:val="1078"/>
    <w:link w:val="1078"/>
    <w:qFormat/>
    <w:pPr>
      <w:numPr>
        <w:ilvl w:val="3"/>
        <w:numId w:val="1"/>
      </w:numPr>
      <w:ind w:left="0" w:hanging="840"/>
      <w:tabs>
        <w:tab w:val="left" w:pos="360" w:leader="none"/>
        <w:tab w:val="left" w:pos="840" w:leader="none"/>
      </w:tabs>
      <w:outlineLvl w:val="3"/>
    </w:pPr>
  </w:style>
  <w:style w:type="paragraph" w:styleId="1220">
    <w:name w:val="??"/>
    <w:next w:val="1220"/>
    <w:link w:val="1078"/>
    <w:qFormat/>
    <w:pPr>
      <w:jc w:val="both"/>
      <w:widowControl w:val="off"/>
    </w:pPr>
    <w:rPr>
      <w:sz w:val="21"/>
      <w:lang w:val="en-US" w:eastAsia="en-US" w:bidi="ar-SA"/>
    </w:rPr>
  </w:style>
  <w:style w:type="paragraph" w:styleId="1221">
    <w:name w:val="样式 标题 2 + 宋体 五号 行距: 单倍行距"/>
    <w:basedOn w:val="1080"/>
    <w:next w:val="1221"/>
    <w:link w:val="107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2">
    <w:name w:val="List Paragraph1"/>
    <w:basedOn w:val="1078"/>
    <w:next w:val="1222"/>
    <w:link w:val="1078"/>
    <w:qFormat/>
    <w:pPr>
      <w:ind w:firstLine="420"/>
    </w:pPr>
    <w:rPr>
      <w:rFonts w:ascii="Calibri" w:hAnsi="Calibri"/>
      <w:szCs w:val="22"/>
    </w:rPr>
  </w:style>
  <w:style w:type="paragraph" w:styleId="1223">
    <w:name w:val="项目符号1"/>
    <w:basedOn w:val="1224"/>
    <w:next w:val="1223"/>
    <w:link w:val="1078"/>
    <w:qFormat/>
    <w:pPr>
      <w:ind w:left="-25" w:firstLine="0"/>
    </w:pPr>
  </w:style>
  <w:style w:type="paragraph" w:styleId="1224">
    <w:name w:val="正文文本样式"/>
    <w:basedOn w:val="1078"/>
    <w:next w:val="1224"/>
    <w:link w:val="1078"/>
    <w:qFormat/>
    <w:pPr>
      <w:ind w:firstLine="482"/>
      <w:spacing w:line="360" w:lineRule="auto"/>
    </w:pPr>
    <w:rPr>
      <w:rFonts w:cs="宋体"/>
      <w:sz w:val="24"/>
      <w:szCs w:val="20"/>
    </w:rPr>
  </w:style>
  <w:style w:type="paragraph" w:styleId="1225">
    <w:name w:val="xl27"/>
    <w:basedOn w:val="1078"/>
    <w:next w:val="1225"/>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font5"/>
    <w:basedOn w:val="1078"/>
    <w:next w:val="1226"/>
    <w:link w:val="1078"/>
    <w:qFormat/>
    <w:pPr>
      <w:jc w:val="left"/>
      <w:spacing w:before="100" w:beforeAutospacing="1" w:after="100" w:afterAutospacing="1"/>
      <w:widowControl/>
    </w:pPr>
    <w:rPr>
      <w:rFonts w:ascii="宋体" w:hAnsi="宋体" w:cs="宋体"/>
      <w:sz w:val="18"/>
      <w:szCs w:val="18"/>
    </w:rPr>
  </w:style>
  <w:style w:type="paragraph" w:styleId="1227">
    <w:name w:val="五级条标题"/>
    <w:basedOn w:val="1218"/>
    <w:next w:val="1078"/>
    <w:link w:val="1078"/>
    <w:qFormat/>
    <w:pPr>
      <w:numPr>
        <w:ilvl w:val="5"/>
      </w:numPr>
      <w:ind w:left="0" w:hanging="840"/>
      <w:tabs>
        <w:tab w:val="left" w:pos="360" w:leader="none"/>
        <w:tab w:val="left" w:pos="840" w:leader="none"/>
      </w:tabs>
      <w:outlineLvl w:val="5"/>
    </w:pPr>
  </w:style>
  <w:style w:type="paragraph" w:styleId="1228">
    <w:name w:val="xl49"/>
    <w:basedOn w:val="1078"/>
    <w:next w:val="1228"/>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9">
    <w:name w:val="文档正文"/>
    <w:basedOn w:val="1078"/>
    <w:next w:val="1229"/>
    <w:link w:val="1078"/>
    <w:qFormat/>
    <w:pPr>
      <w:spacing w:before="120" w:after="120" w:line="180" w:lineRule="auto"/>
    </w:pPr>
    <w:rPr>
      <w:rFonts w:ascii="Arial" w:hAnsi="Arial"/>
      <w:szCs w:val="20"/>
    </w:rPr>
  </w:style>
  <w:style w:type="paragraph" w:styleId="1230">
    <w:name w:val="xl33"/>
    <w:basedOn w:val="1078"/>
    <w:next w:val="1230"/>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xl42"/>
    <w:basedOn w:val="1078"/>
    <w:next w:val="1231"/>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2">
    <w:name w:val="Char Char Char1 Char"/>
    <w:basedOn w:val="1078"/>
    <w:next w:val="1232"/>
    <w:link w:val="1078"/>
    <w:qFormat/>
    <w:rPr>
      <w:rFonts w:ascii="Tahoma" w:hAnsi="Tahoma"/>
      <w:sz w:val="24"/>
      <w:szCs w:val="20"/>
    </w:rPr>
  </w:style>
  <w:style w:type="paragraph" w:styleId="1233">
    <w:name w:val="xl44"/>
    <w:basedOn w:val="1078"/>
    <w:next w:val="1233"/>
    <w:link w:val="10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4">
    <w:name w:val="1名"/>
    <w:basedOn w:val="1078"/>
    <w:next w:val="1234"/>
    <w:link w:val="1078"/>
    <w:qFormat/>
    <w:pPr>
      <w:numPr>
        <w:ilvl w:val="0"/>
        <w:numId w:val="5"/>
      </w:numPr>
      <w:spacing w:before="120"/>
      <w:tabs>
        <w:tab w:val="left" w:pos="360" w:leader="none"/>
      </w:tabs>
    </w:pPr>
    <w:rPr>
      <w:rFonts w:ascii="宋体"/>
      <w:sz w:val="28"/>
      <w:szCs w:val="20"/>
    </w:rPr>
  </w:style>
  <w:style w:type="paragraph" w:styleId="1235">
    <w:name w:val="font9"/>
    <w:basedOn w:val="1078"/>
    <w:next w:val="1235"/>
    <w:link w:val="1078"/>
    <w:qFormat/>
    <w:pPr>
      <w:jc w:val="left"/>
      <w:spacing w:before="100" w:beforeAutospacing="1" w:after="100" w:afterAutospacing="1"/>
      <w:widowControl/>
    </w:pPr>
    <w:rPr>
      <w:rFonts w:hint="eastAsia" w:ascii="宋体" w:hAnsi="宋体" w:cs="Arial Unicode MS"/>
      <w:color w:val="000000"/>
      <w:sz w:val="20"/>
      <w:szCs w:val="20"/>
    </w:rPr>
  </w:style>
  <w:style w:type="paragraph" w:styleId="1236">
    <w:name w:val="Char Char Char1 Char1"/>
    <w:basedOn w:val="1078"/>
    <w:next w:val="1236"/>
    <w:link w:val="1078"/>
    <w:qFormat/>
    <w:rPr>
      <w:rFonts w:ascii="Tahoma" w:hAnsi="Tahoma"/>
      <w:sz w:val="24"/>
      <w:szCs w:val="20"/>
    </w:rPr>
  </w:style>
  <w:style w:type="paragraph" w:styleId="1237">
    <w:name w:val="Char Char Char Char Char Char Char Char Char Char"/>
    <w:basedOn w:val="1078"/>
    <w:next w:val="1237"/>
    <w:link w:val="1078"/>
    <w:qFormat/>
  </w:style>
  <w:style w:type="paragraph" w:styleId="1238">
    <w:name w:val="Char Char1 Char Char Char Char Char Char Char Char"/>
    <w:basedOn w:val="1078"/>
    <w:next w:val="1238"/>
    <w:link w:val="1078"/>
    <w:qFormat/>
    <w:pPr>
      <w:jc w:val="left"/>
      <w:spacing w:after="160" w:line="240" w:lineRule="exact"/>
      <w:widowControl/>
    </w:pPr>
    <w:rPr>
      <w:rFonts w:ascii="Verdana" w:hAnsi="Verdana"/>
      <w:sz w:val="20"/>
      <w:szCs w:val="20"/>
      <w:lang w:eastAsia="en-US"/>
    </w:rPr>
  </w:style>
  <w:style w:type="paragraph" w:styleId="1239">
    <w:name w:val="Char1"/>
    <w:basedOn w:val="1078"/>
    <w:next w:val="1239"/>
    <w:link w:val="1078"/>
    <w:qFormat/>
    <w:pPr>
      <w:tabs>
        <w:tab w:val="left" w:pos="360" w:leader="none"/>
      </w:tabs>
    </w:pPr>
    <w:rPr>
      <w:sz w:val="24"/>
    </w:rPr>
  </w:style>
  <w:style w:type="paragraph" w:styleId="1240">
    <w:name w:val="正文列项_字母"/>
    <w:basedOn w:val="1078"/>
    <w:next w:val="1240"/>
    <w:link w:val="1078"/>
    <w:qFormat/>
    <w:pPr>
      <w:numPr>
        <w:ilvl w:val="6"/>
        <w:numId w:val="1"/>
      </w:numPr>
      <w:ind w:left="480" w:hanging="180"/>
      <w:spacing w:line="460" w:lineRule="exact"/>
      <w:tabs>
        <w:tab w:val="clear" w:pos="635" w:leader="none"/>
      </w:tabs>
      <w:outlineLvl w:val="6"/>
    </w:pPr>
    <w:rPr>
      <w:rFonts w:ascii="宋体"/>
      <w:sz w:val="28"/>
      <w:szCs w:val="20"/>
    </w:rPr>
  </w:style>
  <w:style w:type="paragraph" w:styleId="1241">
    <w:name w:val="xl28"/>
    <w:basedOn w:val="1078"/>
    <w:next w:val="1241"/>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name w:val="xl47"/>
    <w:basedOn w:val="1078"/>
    <w:next w:val="1242"/>
    <w:link w:val="10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默认段落字体 Para Char Char Char Char"/>
    <w:basedOn w:val="1078"/>
    <w:next w:val="1243"/>
    <w:link w:val="1078"/>
    <w:qFormat/>
    <w:rPr>
      <w:rFonts w:ascii="Arial" w:hAnsi="Arial" w:cs="Arial"/>
      <w:szCs w:val="21"/>
    </w:rPr>
  </w:style>
  <w:style w:type="paragraph" w:styleId="1244">
    <w:name w:val="xl48"/>
    <w:basedOn w:val="1078"/>
    <w:next w:val="1244"/>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5">
    <w:name w:val="xl31"/>
    <w:basedOn w:val="1078"/>
    <w:next w:val="1245"/>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6">
    <w:name w:val="xl53"/>
    <w:basedOn w:val="1078"/>
    <w:next w:val="1246"/>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Char Char Char"/>
    <w:basedOn w:val="1078"/>
    <w:next w:val="1247"/>
    <w:link w:val="1078"/>
    <w:qFormat/>
    <w:rPr>
      <w:rFonts w:ascii="Tahoma" w:hAnsi="Tahoma"/>
      <w:sz w:val="24"/>
      <w:szCs w:val="20"/>
    </w:rPr>
  </w:style>
  <w:style w:type="paragraph" w:styleId="1248">
    <w:name w:val="xl50"/>
    <w:basedOn w:val="1078"/>
    <w:next w:val="1248"/>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9">
    <w:name w:val="缺省文本"/>
    <w:basedOn w:val="1078"/>
    <w:next w:val="1249"/>
    <w:link w:val="1078"/>
    <w:qFormat/>
    <w:pPr>
      <w:jc w:val="left"/>
    </w:pPr>
    <w:rPr>
      <w:sz w:val="24"/>
    </w:rPr>
  </w:style>
  <w:style w:type="paragraph" w:styleId="1250">
    <w:name w:val="Char Char Char1"/>
    <w:basedOn w:val="1078"/>
    <w:next w:val="1250"/>
    <w:link w:val="1078"/>
    <w:qFormat/>
    <w:rPr>
      <w:rFonts w:ascii="Tahoma" w:hAnsi="Tahoma"/>
      <w:sz w:val="24"/>
      <w:szCs w:val="20"/>
    </w:rPr>
  </w:style>
  <w:style w:type="paragraph" w:styleId="1251">
    <w:name w:val="Char Char Char Char Char Char Char1"/>
    <w:basedOn w:val="1078"/>
    <w:next w:val="1251"/>
    <w:link w:val="1078"/>
    <w:qFormat/>
    <w:pPr>
      <w:ind w:firstLine="200"/>
      <w:spacing w:line="360" w:lineRule="auto"/>
    </w:pPr>
    <w:rPr>
      <w:rFonts w:eastAsia="仿宋_GB2312"/>
      <w:sz w:val="24"/>
    </w:rPr>
  </w:style>
  <w:style w:type="paragraph" w:styleId="1252">
    <w:name w:val="xl51"/>
    <w:basedOn w:val="1078"/>
    <w:next w:val="1252"/>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3">
    <w:name w:val="样式2"/>
    <w:basedOn w:val="1141"/>
    <w:next w:val="1253"/>
    <w:link w:val="1078"/>
    <w:qFormat/>
    <w:pPr>
      <w:jc w:val="center"/>
      <w:spacing w:line="360" w:lineRule="auto"/>
    </w:pPr>
    <w:rPr>
      <w:sz w:val="24"/>
    </w:rPr>
  </w:style>
  <w:style w:type="paragraph" w:styleId="1254">
    <w:name w:val="xl24"/>
    <w:basedOn w:val="1078"/>
    <w:next w:val="1254"/>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5">
    <w:name w:val="xl29"/>
    <w:basedOn w:val="1078"/>
    <w:next w:val="1255"/>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6">
    <w:name w:val="正文 + 楷体_GB2312"/>
    <w:basedOn w:val="1078"/>
    <w:next w:val="1256"/>
    <w:link w:val="1078"/>
    <w:qFormat/>
    <w:pPr>
      <w:jc w:val="left"/>
      <w:widowControl/>
    </w:pPr>
    <w:rPr>
      <w:rFonts w:ascii="楷体_GB2312" w:eastAsia="楷体_GB2312" w:cs="Arial"/>
      <w:sz w:val="24"/>
    </w:rPr>
  </w:style>
  <w:style w:type="paragraph" w:styleId="1257">
    <w:name w:val="xl34"/>
    <w:basedOn w:val="1078"/>
    <w:next w:val="1257"/>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8">
    <w:name w:val="1 Char Char Char Char"/>
    <w:basedOn w:val="1078"/>
    <w:next w:val="1258"/>
    <w:link w:val="1078"/>
    <w:qFormat/>
    <w:rPr>
      <w:rFonts w:ascii="Tahoma" w:hAnsi="Tahoma"/>
      <w:sz w:val="24"/>
      <w:szCs w:val="20"/>
    </w:rPr>
  </w:style>
  <w:style w:type="paragraph" w:styleId="1259">
    <w:name w:val="Default"/>
    <w:next w:val="1259"/>
    <w:link w:val="1078"/>
    <w:qFormat/>
    <w:pPr>
      <w:widowControl w:val="off"/>
    </w:pPr>
    <w:rPr>
      <w:rFonts w:ascii="Symbol" w:hAnsi="Symbol" w:cs="Symbol"/>
      <w:color w:val="000000"/>
      <w:sz w:val="24"/>
      <w:szCs w:val="24"/>
      <w:lang w:val="en-US" w:eastAsia="zh-CN" w:bidi="ar-SA"/>
    </w:rPr>
  </w:style>
  <w:style w:type="paragraph" w:styleId="1260">
    <w:name w:val="列出段落1"/>
    <w:basedOn w:val="1078"/>
    <w:next w:val="1260"/>
    <w:link w:val="1078"/>
    <w:qFormat/>
    <w:pPr>
      <w:ind w:firstLine="420"/>
    </w:pPr>
    <w:rPr>
      <w:rFonts w:ascii="Calibri" w:hAnsi="Calibri"/>
      <w:szCs w:val="22"/>
    </w:rPr>
  </w:style>
  <w:style w:type="paragraph" w:styleId="1261">
    <w:name w:val="default"/>
    <w:basedOn w:val="1078"/>
    <w:next w:val="1261"/>
    <w:link w:val="1078"/>
    <w:qFormat/>
    <w:pPr>
      <w:jc w:val="left"/>
      <w:spacing w:before="100" w:beforeAutospacing="1" w:after="100" w:afterAutospacing="1"/>
      <w:widowControl/>
    </w:pPr>
    <w:rPr>
      <w:rFonts w:ascii="宋体" w:hAnsi="宋体" w:cs="宋体"/>
      <w:sz w:val="24"/>
    </w:rPr>
  </w:style>
  <w:style w:type="paragraph" w:styleId="1262">
    <w:name w:val="字元 字元1"/>
    <w:basedOn w:val="1078"/>
    <w:next w:val="1262"/>
    <w:link w:val="1078"/>
    <w:qFormat/>
    <w:rPr>
      <w:rFonts w:ascii="Tahoma" w:hAnsi="Tahoma"/>
      <w:sz w:val="24"/>
      <w:szCs w:val="20"/>
    </w:rPr>
  </w:style>
  <w:style w:type="paragraph" w:styleId="1263">
    <w:name w:val="_Style 160"/>
    <w:next w:val="1263"/>
    <w:link w:val="1078"/>
    <w:qFormat/>
    <w:rPr>
      <w:sz w:val="21"/>
      <w:szCs w:val="24"/>
      <w:lang w:val="en-US" w:eastAsia="zh-CN" w:bidi="ar-SA"/>
    </w:rPr>
  </w:style>
  <w:style w:type="paragraph" w:styleId="1264">
    <w:name w:val="项目编号3"/>
    <w:basedOn w:val="1224"/>
    <w:next w:val="1264"/>
    <w:link w:val="1078"/>
    <w:qFormat/>
    <w:pPr>
      <w:numPr>
        <w:ilvl w:val="0"/>
        <w:numId w:val="6"/>
      </w:numPr>
    </w:pPr>
  </w:style>
  <w:style w:type="paragraph" w:styleId="1265">
    <w:name w:val="Char21"/>
    <w:basedOn w:val="1078"/>
    <w:next w:val="1265"/>
    <w:link w:val="1078"/>
    <w:qFormat/>
    <w:rPr>
      <w:rFonts w:ascii="Tahoma" w:hAnsi="Tahoma"/>
      <w:sz w:val="24"/>
      <w:szCs w:val="20"/>
    </w:rPr>
  </w:style>
  <w:style w:type="paragraph" w:styleId="1266">
    <w:name w:val="表格文字"/>
    <w:basedOn w:val="1112"/>
    <w:next w:val="1266"/>
    <w:link w:val="1078"/>
    <w:qFormat/>
    <w:pPr>
      <w:ind w:firstLine="0"/>
      <w:spacing w:before="20" w:after="20" w:line="240" w:lineRule="auto"/>
    </w:pPr>
    <w:rPr>
      <w:rFonts w:ascii="Century Gothic" w:hAnsi="Century Gothic"/>
      <w:sz w:val="20"/>
      <w:szCs w:val="20"/>
    </w:rPr>
  </w:style>
  <w:style w:type="paragraph" w:styleId="1267">
    <w:name w:val="Char Char Char Char Char Char Char Char Char Char1"/>
    <w:basedOn w:val="1078"/>
    <w:next w:val="1267"/>
    <w:link w:val="1078"/>
    <w:qFormat/>
    <w:rPr>
      <w:rFonts w:ascii="宋体" w:hAnsi="宋体" w:cs="Courier New"/>
      <w:sz w:val="32"/>
      <w:szCs w:val="32"/>
    </w:rPr>
  </w:style>
  <w:style w:type="paragraph" w:styleId="1268">
    <w:name w:val="正文文本样式 加粗"/>
    <w:basedOn w:val="1224"/>
    <w:next w:val="1268"/>
    <w:link w:val="1078"/>
    <w:qFormat/>
    <w:rPr>
      <w:b/>
    </w:rPr>
  </w:style>
  <w:style w:type="paragraph" w:styleId="1269">
    <w:name w:val="Char2 Char Char Char Char Char Char"/>
    <w:basedOn w:val="1078"/>
    <w:next w:val="1269"/>
    <w:link w:val="1078"/>
    <w:qFormat/>
    <w:pPr>
      <w:jc w:val="center"/>
      <w:spacing w:line="400" w:lineRule="exact"/>
      <w:widowControl/>
    </w:pPr>
  </w:style>
  <w:style w:type="paragraph" w:styleId="1270">
    <w:name w:val="Char Char4"/>
    <w:basedOn w:val="1078"/>
    <w:next w:val="1270"/>
    <w:link w:val="1078"/>
    <w:qFormat/>
    <w:pPr>
      <w:jc w:val="center"/>
      <w:spacing w:line="400" w:lineRule="exact"/>
      <w:widowControl/>
    </w:pPr>
  </w:style>
  <w:style w:type="paragraph" w:styleId="1271">
    <w:name w:val="Char3 Char Char Char1"/>
    <w:basedOn w:val="1078"/>
    <w:next w:val="1271"/>
    <w:link w:val="1078"/>
    <w:qFormat/>
    <w:rPr>
      <w:rFonts w:ascii="Tahoma" w:hAnsi="Tahoma"/>
      <w:sz w:val="24"/>
      <w:szCs w:val="20"/>
    </w:rPr>
  </w:style>
  <w:style w:type="paragraph" w:styleId="1272">
    <w:name w:val="无间隔"/>
    <w:next w:val="1272"/>
    <w:link w:val="1078"/>
    <w:qFormat/>
    <w:pPr>
      <w:jc w:val="both"/>
      <w:widowControl w:val="off"/>
    </w:pPr>
    <w:rPr>
      <w:sz w:val="21"/>
      <w:szCs w:val="24"/>
      <w:lang w:val="en-US" w:eastAsia="zh-CN" w:bidi="ar-SA"/>
    </w:rPr>
  </w:style>
  <w:style w:type="paragraph" w:styleId="1273">
    <w:name w:val="22222222222222"/>
    <w:basedOn w:val="1078"/>
    <w:next w:val="1273"/>
    <w:link w:val="1078"/>
    <w:qFormat/>
    <w:pPr>
      <w:ind w:firstLine="480"/>
      <w:jc w:val="left"/>
      <w:spacing w:line="360" w:lineRule="auto"/>
      <w:widowControl/>
    </w:pPr>
    <w:rPr>
      <w:color w:val="ff0000"/>
      <w:sz w:val="24"/>
      <w:szCs w:val="20"/>
    </w:rPr>
  </w:style>
  <w:style w:type="character" w:styleId="1274">
    <w:name w:val="中等深浅网格 1 - 强调文字颜色 2 Char"/>
    <w:next w:val="1274"/>
    <w:link w:val="1275"/>
    <w:qFormat/>
    <w:rPr>
      <w:sz w:val="21"/>
      <w:szCs w:val="24"/>
      <w:lang w:val="zh-CN" w:eastAsia="zh-CN" w:bidi="ar-SA"/>
    </w:rPr>
  </w:style>
  <w:style w:type="paragraph" w:styleId="1275">
    <w:name w:val="1"/>
    <w:next w:val="1275"/>
    <w:link w:val="1274"/>
    <w:qFormat/>
    <w:rPr>
      <w:sz w:val="21"/>
      <w:szCs w:val="24"/>
      <w:lang w:val="zh-CN" w:eastAsia="zh-CN" w:bidi="ar-SA"/>
    </w:rPr>
  </w:style>
  <w:style w:type="paragraph" w:styleId="1276">
    <w:name w:val="图文"/>
    <w:basedOn w:val="1078"/>
    <w:next w:val="1276"/>
    <w:link w:val="1078"/>
    <w:qFormat/>
    <w:pPr>
      <w:spacing w:after="50" w:line="360" w:lineRule="auto"/>
    </w:pPr>
    <w:rPr>
      <w:sz w:val="24"/>
    </w:rPr>
  </w:style>
  <w:style w:type="paragraph" w:styleId="1277">
    <w:name w:val="xl23"/>
    <w:basedOn w:val="1078"/>
    <w:next w:val="1277"/>
    <w:link w:val="1078"/>
    <w:qFormat/>
    <w:pPr>
      <w:spacing w:before="100" w:beforeAutospacing="1" w:after="100" w:afterAutospacing="1" w:line="360" w:lineRule="auto"/>
      <w:widowControl/>
    </w:pPr>
    <w:rPr>
      <w:sz w:val="24"/>
      <w:szCs w:val="20"/>
    </w:rPr>
  </w:style>
  <w:style w:type="paragraph" w:styleId="1278">
    <w:name w:val="正文表格"/>
    <w:basedOn w:val="1078"/>
    <w:next w:val="1278"/>
    <w:link w:val="1279"/>
    <w:qFormat/>
    <w:pPr>
      <w:jc w:val="left"/>
    </w:pPr>
    <w:rPr>
      <w:rFonts w:ascii="宋体" w:hAnsi="宋体"/>
      <w:color w:val="000000"/>
      <w:szCs w:val="21"/>
    </w:rPr>
  </w:style>
  <w:style w:type="character" w:styleId="1279">
    <w:name w:val="正文表格 Char"/>
    <w:next w:val="1279"/>
    <w:link w:val="1278"/>
    <w:qFormat/>
    <w:rPr>
      <w:rFonts w:ascii="宋体" w:hAnsi="宋体"/>
      <w:color w:val="000000"/>
      <w:sz w:val="21"/>
      <w:szCs w:val="21"/>
    </w:rPr>
  </w:style>
  <w:style w:type="paragraph" w:styleId="1280">
    <w:name w:val="正文重点"/>
    <w:basedOn w:val="1078"/>
    <w:next w:val="1280"/>
    <w:link w:val="1281"/>
    <w:qFormat/>
    <w:pPr>
      <w:ind w:firstLine="482"/>
      <w:jc w:val="left"/>
      <w:spacing w:line="360" w:lineRule="auto"/>
    </w:pPr>
    <w:rPr>
      <w:b/>
      <w:sz w:val="24"/>
      <w:szCs w:val="20"/>
    </w:rPr>
  </w:style>
  <w:style w:type="character" w:styleId="1281">
    <w:name w:val="正文重点 Char"/>
    <w:next w:val="1281"/>
    <w:link w:val="1280"/>
    <w:qFormat/>
    <w:rPr>
      <w:b/>
      <w:sz w:val="24"/>
    </w:rPr>
  </w:style>
  <w:style w:type="paragraph" w:styleId="1282">
    <w:name w:val="标题1-附件"/>
    <w:basedOn w:val="1079"/>
    <w:next w:val="1282"/>
    <w:link w:val="1078"/>
    <w:qFormat/>
    <w:pPr>
      <w:jc w:val="left"/>
    </w:pPr>
    <w:rPr>
      <w:sz w:val="24"/>
      <w:szCs w:val="24"/>
    </w:rPr>
  </w:style>
  <w:style w:type="paragraph" w:styleId="1283">
    <w:name w:val="正文小标题"/>
    <w:basedOn w:val="1078"/>
    <w:next w:val="1093"/>
    <w:link w:val="1284"/>
    <w:qFormat/>
    <w:pPr>
      <w:ind w:firstLine="482"/>
      <w:jc w:val="left"/>
      <w:spacing w:before="312" w:after="312"/>
    </w:pPr>
    <w:rPr>
      <w:rFonts w:ascii="宋体" w:hAnsi="宋体"/>
      <w:b/>
      <w:i/>
      <w:color w:val="ff0000"/>
      <w:sz w:val="24"/>
      <w:szCs w:val="20"/>
    </w:rPr>
  </w:style>
  <w:style w:type="character" w:styleId="1284">
    <w:name w:val="正文小标题 Char"/>
    <w:next w:val="1284"/>
    <w:link w:val="1283"/>
    <w:qFormat/>
    <w:rPr>
      <w:rFonts w:ascii="宋体" w:hAnsi="宋体"/>
      <w:b/>
      <w:i/>
      <w:color w:val="ff0000"/>
      <w:sz w:val="24"/>
    </w:rPr>
  </w:style>
  <w:style w:type="paragraph" w:styleId="1285">
    <w:name w:val="正文大标题"/>
    <w:basedOn w:val="1283"/>
    <w:next w:val="1093"/>
    <w:link w:val="1286"/>
    <w:qFormat/>
    <w:pPr>
      <w:jc w:val="center"/>
    </w:pPr>
    <w:rPr>
      <w:i w:val="0"/>
      <w:color w:val="000000"/>
      <w:sz w:val="28"/>
      <w:szCs w:val="21"/>
    </w:rPr>
  </w:style>
  <w:style w:type="character" w:styleId="1286">
    <w:name w:val="正文大标题 Char"/>
    <w:next w:val="1286"/>
    <w:link w:val="1285"/>
    <w:qFormat/>
    <w:rPr>
      <w:rFonts w:ascii="宋体" w:hAnsi="宋体"/>
      <w:b/>
      <w:color w:val="000000"/>
      <w:sz w:val="28"/>
      <w:szCs w:val="21"/>
    </w:rPr>
  </w:style>
  <w:style w:type="paragraph" w:styleId="1287">
    <w:name w:val="注释"/>
    <w:basedOn w:val="1078"/>
    <w:next w:val="1287"/>
    <w:link w:val="1288"/>
    <w:qFormat/>
    <w:pPr>
      <w:ind w:left="420" w:hanging="420"/>
      <w:jc w:val="left"/>
    </w:pPr>
    <w:rPr>
      <w:rFonts w:ascii="宋体" w:hAnsi="宋体"/>
      <w:szCs w:val="21"/>
    </w:rPr>
  </w:style>
  <w:style w:type="character" w:styleId="1288">
    <w:name w:val="注释 Char"/>
    <w:next w:val="1288"/>
    <w:link w:val="1287"/>
    <w:qFormat/>
    <w:rPr>
      <w:rFonts w:ascii="宋体" w:hAnsi="宋体"/>
      <w:sz w:val="21"/>
      <w:szCs w:val="21"/>
    </w:rPr>
  </w:style>
  <w:style w:type="paragraph" w:styleId="1289">
    <w:name w:val="正文须知-1级"/>
    <w:basedOn w:val="1078"/>
    <w:next w:val="1078"/>
    <w:link w:val="1078"/>
    <w:qFormat/>
    <w:pPr>
      <w:numPr>
        <w:ilvl w:val="0"/>
        <w:numId w:val="7"/>
      </w:numPr>
      <w:spacing w:line="300" w:lineRule="auto"/>
    </w:pPr>
    <w:rPr>
      <w:rFonts w:ascii="宋体" w:hAnsi="Calibri"/>
      <w:sz w:val="24"/>
      <w:szCs w:val="21"/>
    </w:rPr>
  </w:style>
  <w:style w:type="paragraph" w:styleId="1290">
    <w:name w:val="正文须知-2级"/>
    <w:basedOn w:val="1078"/>
    <w:next w:val="1290"/>
    <w:link w:val="1078"/>
    <w:qFormat/>
    <w:pPr>
      <w:numPr>
        <w:ilvl w:val="1"/>
        <w:numId w:val="7"/>
      </w:numPr>
      <w:spacing w:line="300" w:lineRule="auto"/>
    </w:pPr>
    <w:rPr>
      <w:rFonts w:ascii="宋体" w:hAnsi="Calibri"/>
      <w:sz w:val="24"/>
      <w:szCs w:val="21"/>
    </w:rPr>
  </w:style>
  <w:style w:type="paragraph" w:styleId="1291">
    <w:name w:val="正文须知-3级"/>
    <w:basedOn w:val="1078"/>
    <w:next w:val="1291"/>
    <w:link w:val="1078"/>
    <w:qFormat/>
    <w:pPr>
      <w:numPr>
        <w:ilvl w:val="2"/>
        <w:numId w:val="7"/>
      </w:numPr>
      <w:ind w:hanging="355"/>
      <w:spacing w:line="300" w:lineRule="auto"/>
    </w:pPr>
    <w:rPr>
      <w:rFonts w:ascii="宋体" w:hAnsi="Calibri"/>
      <w:sz w:val="24"/>
      <w:szCs w:val="21"/>
    </w:rPr>
  </w:style>
  <w:style w:type="character" w:styleId="1292">
    <w:name w:val="纯文本 字符"/>
    <w:next w:val="1292"/>
    <w:link w:val="1078"/>
    <w:uiPriority w:val="99"/>
    <w:qFormat/>
    <w:rPr>
      <w:rFonts w:ascii="宋体" w:hAnsi="Courier New" w:eastAsia="宋体" w:cs="Times New Roman"/>
      <w:sz w:val="21"/>
      <w:szCs w:val="21"/>
      <w:lang w:val="en-US" w:eastAsia="zh-CN" w:bidi="ar-SA"/>
    </w:rPr>
  </w:style>
  <w:style w:type="paragraph" w:styleId="1293">
    <w:name w:val="表格1"/>
    <w:basedOn w:val="1078"/>
    <w:next w:val="1293"/>
    <w:link w:val="1078"/>
    <w:qFormat/>
    <w:pPr>
      <w:ind w:firstLine="480"/>
      <w:jc w:val="center"/>
    </w:pPr>
    <w:rPr>
      <w:sz w:val="24"/>
      <w:szCs w:val="20"/>
    </w:rPr>
  </w:style>
  <w:style w:type="character" w:styleId="1294">
    <w:name w:val="纯文本 字符1"/>
    <w:next w:val="1294"/>
    <w:link w:val="1078"/>
    <w:qFormat/>
    <w:rPr>
      <w:rFonts w:ascii="宋体" w:hAnsi="Courier New"/>
    </w:rPr>
  </w:style>
  <w:style w:type="character" w:styleId="1295">
    <w:name w:val="bjh-p"/>
    <w:next w:val="1295"/>
    <w:link w:val="1078"/>
    <w:qFormat/>
  </w:style>
  <w:style w:type="paragraph" w:styleId="1296">
    <w:name w:val="无标题条"/>
    <w:next w:val="1078"/>
    <w:link w:val="1078"/>
    <w:qFormat/>
    <w:pPr>
      <w:jc w:val="both"/>
    </w:pPr>
    <w:rPr>
      <w:sz w:val="21"/>
      <w:lang w:val="en-US" w:eastAsia="zh-CN" w:bidi="ar-SA"/>
    </w:rPr>
  </w:style>
  <w:style w:type="character" w:styleId="1297">
    <w:name w:val="正文格式 Char"/>
    <w:next w:val="1297"/>
    <w:link w:val="1298"/>
    <w:qFormat/>
    <w:rPr>
      <w:rFonts w:ascii="宋体" w:hAnsi="宋体"/>
      <w:sz w:val="24"/>
      <w:szCs w:val="24"/>
      <w:lang w:val="en-GB"/>
    </w:rPr>
  </w:style>
  <w:style w:type="paragraph" w:styleId="1298">
    <w:name w:val="正文格式"/>
    <w:basedOn w:val="1078"/>
    <w:next w:val="1298"/>
    <w:link w:val="1297"/>
    <w:qFormat/>
    <w:pPr>
      <w:ind w:firstLine="480"/>
      <w:spacing w:line="360" w:lineRule="auto"/>
    </w:pPr>
    <w:rPr>
      <w:rFonts w:ascii="宋体" w:hAnsi="宋体"/>
      <w:sz w:val="24"/>
      <w:lang w:val="en-GB"/>
    </w:rPr>
  </w:style>
  <w:style w:type="character" w:styleId="1299">
    <w:name w:val="正文缩进 Char"/>
    <w:next w:val="1299"/>
    <w:link w:val="1078"/>
    <w:qFormat/>
    <w:rPr>
      <w:rFonts w:ascii="宋体" w:eastAsia="宋体"/>
      <w:sz w:val="24"/>
      <w:szCs w:val="24"/>
      <w:lang w:val="en-US" w:eastAsia="zh-CN" w:bidi="ar-SA"/>
    </w:rPr>
  </w:style>
  <w:style w:type="character" w:styleId="1300">
    <w:name w:val="Char Char111"/>
    <w:next w:val="1300"/>
    <w:link w:val="1078"/>
    <w:qFormat/>
    <w:rPr>
      <w:rFonts w:ascii="宋体" w:eastAsia="宋体"/>
      <w:b/>
      <w:sz w:val="24"/>
      <w:u w:val="single"/>
      <w:lang w:val="en-US" w:eastAsia="zh-CN" w:bidi="ar-SA"/>
    </w:rPr>
  </w:style>
  <w:style w:type="character" w:styleId="1301">
    <w:name w:val="正文文本缩进 Char"/>
    <w:next w:val="1301"/>
    <w:link w:val="1078"/>
    <w:qFormat/>
    <w:rPr>
      <w:rFonts w:eastAsia="宋体"/>
      <w:sz w:val="24"/>
      <w:szCs w:val="24"/>
      <w:lang w:val="en-US" w:eastAsia="zh-CN" w:bidi="ar-SA"/>
    </w:rPr>
  </w:style>
  <w:style w:type="character" w:styleId="1302">
    <w:name w:val="列出段落 Char"/>
    <w:next w:val="1302"/>
    <w:link w:val="1078"/>
    <w:qFormat/>
    <w:rPr>
      <w:rFonts w:ascii="Calibri" w:hAnsi="Calibri" w:eastAsia="宋体"/>
      <w:sz w:val="21"/>
      <w:szCs w:val="22"/>
      <w:lang w:val="en-US" w:eastAsia="zh-CN" w:bidi="ar-SA"/>
    </w:rPr>
  </w:style>
  <w:style w:type="character" w:styleId="1303">
    <w:name w:val="页眉 Char"/>
    <w:next w:val="1303"/>
    <w:link w:val="1078"/>
    <w:qFormat/>
    <w:rPr>
      <w:rFonts w:eastAsia="宋体"/>
      <w:sz w:val="18"/>
      <w:szCs w:val="18"/>
      <w:lang w:val="en-US" w:eastAsia="zh-CN" w:bidi="ar-SA"/>
    </w:rPr>
  </w:style>
  <w:style w:type="paragraph" w:styleId="1304">
    <w:name w:val="字元 字元2"/>
    <w:basedOn w:val="1078"/>
    <w:next w:val="1304"/>
    <w:link w:val="1078"/>
    <w:qFormat/>
    <w:rPr>
      <w:rFonts w:ascii="Tahoma" w:hAnsi="Tahoma"/>
      <w:sz w:val="24"/>
      <w:szCs w:val="20"/>
    </w:rPr>
  </w:style>
  <w:style w:type="paragraph" w:styleId="1305">
    <w:name w:val="Char3 Char Char Char2"/>
    <w:basedOn w:val="1078"/>
    <w:next w:val="1305"/>
    <w:link w:val="1078"/>
    <w:qFormat/>
    <w:rPr>
      <w:rFonts w:ascii="Tahoma" w:hAnsi="Tahoma"/>
      <w:sz w:val="24"/>
      <w:szCs w:val="20"/>
    </w:rPr>
  </w:style>
  <w:style w:type="paragraph" w:styleId="1306">
    <w:name w:val="正文文本缩进2"/>
    <w:basedOn w:val="1078"/>
    <w:next w:val="1306"/>
    <w:link w:val="1078"/>
    <w:qFormat/>
    <w:pPr>
      <w:ind w:firstLine="480"/>
      <w:spacing w:line="480" w:lineRule="exact"/>
    </w:pPr>
    <w:rPr>
      <w:rFonts w:ascii="宋体" w:hAnsi="宋体"/>
      <w:sz w:val="24"/>
      <w:lang w:val="zh-CN" w:eastAsia="zh-CN"/>
    </w:rPr>
  </w:style>
  <w:style w:type="paragraph" w:styleId="1307">
    <w:name w:val="Char3"/>
    <w:basedOn w:val="1078"/>
    <w:next w:val="1307"/>
    <w:link w:val="1078"/>
    <w:qFormat/>
    <w:pPr>
      <w:tabs>
        <w:tab w:val="left" w:pos="360" w:leader="none"/>
      </w:tabs>
    </w:pPr>
    <w:rPr>
      <w:sz w:val="24"/>
    </w:rPr>
  </w:style>
  <w:style w:type="paragraph" w:styleId="1308">
    <w:name w:val="Char Char Char Char Char Char Char Char Char Char Char Char Char Char Char Char1"/>
    <w:basedOn w:val="1078"/>
    <w:next w:val="1308"/>
    <w:link w:val="1078"/>
    <w:qFormat/>
    <w:pPr>
      <w:jc w:val="center"/>
      <w:spacing w:after="160" w:line="240" w:lineRule="exact"/>
      <w:widowControl/>
    </w:pPr>
    <w:rPr>
      <w:rFonts w:ascii="宋体" w:hAnsi="宋体"/>
      <w:b/>
      <w:sz w:val="30"/>
      <w:szCs w:val="30"/>
      <w:lang w:eastAsia="en-US"/>
    </w:rPr>
  </w:style>
  <w:style w:type="paragraph" w:styleId="1309">
    <w:name w:val="Char Char1 Char Char Char Char Char Char1"/>
    <w:basedOn w:val="1078"/>
    <w:next w:val="1309"/>
    <w:link w:val="1078"/>
    <w:qFormat/>
    <w:pPr>
      <w:jc w:val="left"/>
      <w:spacing w:after="160" w:line="240" w:lineRule="exact"/>
      <w:widowControl/>
    </w:pPr>
    <w:rPr>
      <w:rFonts w:ascii="Verdana" w:hAnsi="Verdana" w:eastAsia="仿宋_GB2312"/>
      <w:sz w:val="24"/>
      <w:szCs w:val="20"/>
      <w:lang w:eastAsia="en-US"/>
    </w:rPr>
  </w:style>
  <w:style w:type="paragraph" w:styleId="1310">
    <w:name w:val="列出段落2"/>
    <w:basedOn w:val="1078"/>
    <w:next w:val="1310"/>
    <w:link w:val="1078"/>
    <w:qFormat/>
    <w:pPr>
      <w:ind w:firstLine="420"/>
    </w:pPr>
    <w:rPr>
      <w:rFonts w:ascii="Calibri" w:hAnsi="Calibri"/>
      <w:szCs w:val="22"/>
    </w:rPr>
  </w:style>
  <w:style w:type="paragraph" w:styleId="1311">
    <w:name w:val="Char Char Char1 Char2"/>
    <w:basedOn w:val="1078"/>
    <w:next w:val="1311"/>
    <w:link w:val="1078"/>
    <w:qFormat/>
    <w:rPr>
      <w:rFonts w:ascii="Tahoma" w:hAnsi="Tahoma"/>
      <w:sz w:val="24"/>
      <w:szCs w:val="20"/>
    </w:rPr>
  </w:style>
  <w:style w:type="paragraph" w:styleId="1312">
    <w:name w:val="Char Char Char2"/>
    <w:basedOn w:val="1078"/>
    <w:next w:val="1312"/>
    <w:link w:val="1078"/>
    <w:qFormat/>
    <w:rPr>
      <w:rFonts w:ascii="Tahoma" w:hAnsi="Tahoma"/>
      <w:sz w:val="24"/>
      <w:szCs w:val="20"/>
    </w:rPr>
  </w:style>
  <w:style w:type="paragraph" w:styleId="1313">
    <w:name w:val="Char Char Char Char Char Char Char2"/>
    <w:basedOn w:val="1078"/>
    <w:next w:val="1313"/>
    <w:link w:val="1078"/>
    <w:qFormat/>
    <w:pPr>
      <w:ind w:firstLine="200"/>
      <w:spacing w:line="360" w:lineRule="auto"/>
    </w:pPr>
    <w:rPr>
      <w:rFonts w:eastAsia="仿宋_GB2312"/>
      <w:sz w:val="24"/>
    </w:rPr>
  </w:style>
  <w:style w:type="paragraph" w:styleId="1314">
    <w:name w:val="正文缩进2"/>
    <w:basedOn w:val="1078"/>
    <w:next w:val="1314"/>
    <w:link w:val="1078"/>
    <w:qFormat/>
    <w:pPr>
      <w:ind w:firstLine="567"/>
      <w:spacing w:line="480" w:lineRule="exact"/>
      <w:widowControl/>
    </w:pPr>
    <w:rPr>
      <w:rFonts w:ascii="宋体"/>
      <w:color w:val="000000"/>
      <w:sz w:val="28"/>
      <w:szCs w:val="20"/>
      <w:lang w:val="zh-CN" w:eastAsia="zh-CN"/>
    </w:rPr>
  </w:style>
  <w:style w:type="paragraph" w:styleId="1315">
    <w:name w:val="Revision"/>
    <w:next w:val="1315"/>
    <w:link w:val="1078"/>
    <w:qFormat/>
    <w:rPr>
      <w:sz w:val="21"/>
      <w:szCs w:val="24"/>
      <w:lang w:val="en-US" w:eastAsia="zh-CN" w:bidi="ar-SA"/>
    </w:rPr>
  </w:style>
  <w:style w:type="paragraph" w:styleId="1316">
    <w:name w:val="Char22"/>
    <w:basedOn w:val="1078"/>
    <w:next w:val="1316"/>
    <w:link w:val="1078"/>
    <w:qFormat/>
    <w:rPr>
      <w:rFonts w:ascii="Tahoma" w:hAnsi="Tahoma"/>
      <w:sz w:val="24"/>
      <w:szCs w:val="20"/>
    </w:rPr>
  </w:style>
  <w:style w:type="paragraph" w:styleId="1317">
    <w:name w:val="Char Char Char Char Char Char Char Char Char Char2"/>
    <w:basedOn w:val="1078"/>
    <w:next w:val="1317"/>
    <w:link w:val="1078"/>
    <w:qFormat/>
    <w:rPr>
      <w:rFonts w:ascii="宋体" w:hAnsi="宋体" w:cs="Courier New"/>
      <w:sz w:val="32"/>
      <w:szCs w:val="32"/>
    </w:rPr>
  </w:style>
  <w:style w:type="paragraph" w:styleId="1318">
    <w:name w:val="Char2 Char Char Char Char Char Char1"/>
    <w:basedOn w:val="1078"/>
    <w:next w:val="1318"/>
    <w:link w:val="1078"/>
    <w:qFormat/>
    <w:pPr>
      <w:jc w:val="center"/>
      <w:spacing w:line="400" w:lineRule="exact"/>
      <w:widowControl/>
    </w:pPr>
  </w:style>
  <w:style w:type="character" w:styleId="1319">
    <w:name w:val="页脚 Char"/>
    <w:next w:val="1319"/>
    <w:link w:val="1078"/>
    <w:qFormat/>
    <w:rPr>
      <w:rFonts w:ascii="宋体" w:eastAsia="宋体"/>
      <w:sz w:val="18"/>
      <w:lang w:val="en-US" w:eastAsia="zh-CN" w:bidi="ar-SA"/>
    </w:rPr>
  </w:style>
  <w:style w:type="paragraph" w:styleId="1320">
    <w:name w:val="Char Char41"/>
    <w:basedOn w:val="1078"/>
    <w:next w:val="1320"/>
    <w:link w:val="1078"/>
    <w:qFormat/>
    <w:pPr>
      <w:jc w:val="center"/>
      <w:spacing w:line="400" w:lineRule="exact"/>
      <w:widowControl/>
    </w:pPr>
  </w:style>
  <w:style w:type="character" w:styleId="1321">
    <w:name w:val="批注文字 Char"/>
    <w:next w:val="1321"/>
    <w:link w:val="1078"/>
    <w:uiPriority w:val="99"/>
    <w:qFormat/>
    <w:rPr>
      <w:sz w:val="21"/>
      <w:szCs w:val="24"/>
    </w:rPr>
  </w:style>
  <w:style w:type="character" w:styleId="1322">
    <w:name w:val="标题 Char"/>
    <w:next w:val="1322"/>
    <w:link w:val="1078"/>
    <w:qFormat/>
    <w:rPr>
      <w:b/>
      <w:sz w:val="32"/>
    </w:rPr>
  </w:style>
  <w:style w:type="paragraph" w:styleId="1323">
    <w:name w:val="图例"/>
    <w:basedOn w:val="1078"/>
    <w:next w:val="1323"/>
    <w:link w:val="1078"/>
    <w:qFormat/>
    <w:pPr>
      <w:jc w:val="center"/>
      <w:spacing w:before="120" w:after="120" w:line="360" w:lineRule="auto"/>
    </w:pPr>
    <w:rPr>
      <w:rFonts w:eastAsia="仿宋_GB2312"/>
      <w:b/>
      <w:sz w:val="24"/>
      <w:szCs w:val="20"/>
    </w:rPr>
  </w:style>
  <w:style w:type="table" w:styleId="1324">
    <w:name w:val="Table Normal"/>
    <w:next w:val="1324"/>
    <w:link w:val="1078"/>
    <w:uiPriority w:val="2"/>
    <w:unhideWhenUsed/>
    <w:qFormat/>
    <w:pPr>
      <w:widowControl w:val="off"/>
    </w:pPr>
    <w:rPr>
      <w:rFonts w:ascii="Calibri" w:hAnsi="Calibri"/>
      <w:sz w:val="22"/>
      <w:szCs w:val="22"/>
      <w:lang w:val="en-US" w:eastAsia="en-US" w:bidi="ar-SA"/>
    </w:rPr>
    <w:tblPr/>
  </w:style>
  <w:style w:type="paragraph" w:styleId="1325">
    <w:name w:val="Table Paragraph"/>
    <w:basedOn w:val="1078"/>
    <w:next w:val="1325"/>
    <w:link w:val="1078"/>
    <w:uiPriority w:val="1"/>
    <w:qFormat/>
    <w:pPr>
      <w:jc w:val="left"/>
    </w:pPr>
    <w:rPr>
      <w:rFonts w:ascii="宋体" w:hAnsi="宋体" w:cs="宋体"/>
      <w:sz w:val="22"/>
      <w:szCs w:val="22"/>
      <w:lang w:eastAsia="en-US"/>
    </w:rPr>
  </w:style>
  <w:style w:type="paragraph" w:styleId="1326">
    <w:name w:val="成文日期"/>
    <w:basedOn w:val="1078"/>
    <w:next w:val="1326"/>
    <w:link w:val="1327"/>
    <w:qFormat/>
    <w:pPr>
      <w:ind w:right="400" w:firstLine="200"/>
      <w:jc w:val="right"/>
      <w:spacing w:line="570" w:lineRule="exact"/>
    </w:pPr>
    <w:rPr>
      <w:rFonts w:ascii="仿宋_GB2312" w:eastAsia="仿宋_GB2312"/>
      <w:sz w:val="32"/>
      <w:szCs w:val="20"/>
    </w:rPr>
  </w:style>
  <w:style w:type="character" w:styleId="1327">
    <w:name w:val="成文日期 Char"/>
    <w:next w:val="1327"/>
    <w:link w:val="1326"/>
    <w:rPr>
      <w:rFonts w:ascii="仿宋_GB2312" w:eastAsia="仿宋_GB2312"/>
      <w:sz w:val="32"/>
    </w:rPr>
  </w:style>
  <w:style w:type="paragraph" w:styleId="1328">
    <w:name w:val="修订"/>
    <w:next w:val="1328"/>
    <w:link w:val="1078"/>
    <w:uiPriority w:val="99"/>
    <w:unhideWhenUsed/>
    <w:rPr>
      <w:sz w:val="21"/>
      <w:szCs w:val="24"/>
      <w:lang w:val="en-US" w:eastAsia="zh-CN" w:bidi="ar-SA"/>
    </w:rPr>
  </w:style>
  <w:style w:type="character" w:styleId="1329">
    <w:name w:val="正文缩进 字符"/>
    <w:next w:val="1329"/>
    <w:link w:val="1078"/>
    <w:uiPriority w:val="99"/>
    <w:qFormat/>
    <w:rPr>
      <w:rFonts w:ascii="宋体" w:hAnsi="Times New Roman" w:eastAsia="宋体" w:cs="Times New Roman"/>
      <w:sz w:val="24"/>
    </w:rPr>
  </w:style>
  <w:style w:type="character" w:styleId="1330">
    <w:name w:val="正文文本 字符"/>
    <w:next w:val="1330"/>
    <w:link w:val="1078"/>
    <w:qFormat/>
    <w:rPr>
      <w:rFonts w:ascii="宋体" w:hAnsi="宋体"/>
      <w:sz w:val="24"/>
      <w:szCs w:val="24"/>
    </w:rPr>
  </w:style>
  <w:style w:type="paragraph" w:styleId="1331">
    <w:name w:val="纯文本1"/>
    <w:next w:val="1132"/>
    <w:link w:val="1078"/>
    <w:qFormat/>
    <w:pPr>
      <w:jc w:val="both"/>
      <w:widowControl w:val="off"/>
    </w:pPr>
    <w:rPr>
      <w:rFonts w:ascii="宋体" w:hAnsi="宋体"/>
      <w:sz w:val="26"/>
      <w:szCs w:val="24"/>
      <w:lang w:val="en-US" w:eastAsia="zh-CN" w:bidi="ar-SA"/>
    </w:rPr>
  </w:style>
  <w:style w:type="paragraph" w:styleId="1332">
    <w:name w:val="AONormal"/>
    <w:next w:val="1332"/>
    <w:link w:val="1078"/>
    <w:qFormat/>
    <w:pPr>
      <w:ind w:firstLine="440"/>
      <w:spacing w:line="400" w:lineRule="exact"/>
    </w:pPr>
    <w:rPr>
      <w:rFonts w:ascii="华文楷体" w:hAnsi="华文楷体" w:eastAsia="华文楷体" w:cs="华文楷体"/>
      <w:sz w:val="22"/>
      <w:szCs w:val="21"/>
      <w:lang w:val="en-US" w:eastAsia="zh-CN" w:bidi="ar-SA"/>
    </w:rPr>
  </w:style>
  <w:style w:type="character" w:styleId="1333">
    <w:name w:val="font01"/>
    <w:next w:val="1333"/>
    <w:link w:val="1078"/>
    <w:rPr>
      <w:rFonts w:hint="eastAsia" w:ascii="宋体" w:hAnsi="宋体" w:eastAsia="宋体" w:cs="宋体"/>
      <w:color w:val="000000"/>
      <w:sz w:val="22"/>
      <w:szCs w:val="22"/>
      <w:u w:val="none"/>
    </w:rPr>
  </w:style>
  <w:style w:type="character" w:styleId="1334">
    <w:name w:val="font31"/>
    <w:next w:val="1334"/>
    <w:link w:val="1078"/>
    <w:qFormat/>
    <w:rPr>
      <w:rFonts w:hint="eastAsia" w:ascii="宋体" w:hAnsi="宋体" w:eastAsia="宋体" w:cs="宋体"/>
      <w:color w:val="000000"/>
      <w:sz w:val="22"/>
      <w:szCs w:val="22"/>
      <w:u w:val="none"/>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27</cp:revision>
  <dcterms:created xsi:type="dcterms:W3CDTF">2022-05-30T08:08:00Z</dcterms:created>
  <dcterms:modified xsi:type="dcterms:W3CDTF">2026-09-23T08:02:26Z</dcterms:modified>
  <cp:version>1048576</cp:version>
</cp:coreProperties>
</file>