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70F59">
      <w:pPr>
        <w:spacing w:line="1000" w:lineRule="exact"/>
        <w:jc w:val="center"/>
        <w:outlineLvl w:val="0"/>
        <w:rPr>
          <w:rFonts w:ascii="宋体" w:hAnsi="宋体" w:cs="宋体"/>
          <w:bCs/>
          <w:color w:val="auto"/>
          <w:spacing w:val="20"/>
          <w:sz w:val="44"/>
          <w:szCs w:val="44"/>
          <w:highlight w:val="none"/>
        </w:rPr>
      </w:pPr>
      <w:bookmarkStart w:id="0" w:name="OLE_LINK39"/>
      <w:bookmarkStart w:id="1" w:name="OLE_LINK38"/>
      <w:r>
        <w:rPr>
          <w:rFonts w:hint="eastAsia" w:ascii="宋体" w:hAnsi="宋体" w:cs="宋体"/>
          <w:b/>
          <w:color w:val="auto"/>
          <w:spacing w:val="20"/>
          <w:sz w:val="44"/>
          <w:szCs w:val="44"/>
          <w:highlight w:val="none"/>
        </w:rPr>
        <w:t>南通市产品质量监督检验所</w:t>
      </w:r>
      <w:bookmarkStart w:id="2" w:name="OLE_LINK15"/>
      <w:r>
        <w:rPr>
          <w:rFonts w:hint="eastAsia" w:ascii="宋体" w:hAnsi="宋体" w:cs="宋体"/>
          <w:b/>
          <w:color w:val="auto"/>
          <w:spacing w:val="20"/>
          <w:sz w:val="44"/>
          <w:szCs w:val="44"/>
          <w:highlight w:val="none"/>
        </w:rPr>
        <w:t>食品检验检测设备更新项目</w:t>
      </w:r>
      <w:bookmarkEnd w:id="2"/>
      <w:r>
        <w:rPr>
          <w:rFonts w:hint="eastAsia" w:ascii="宋体" w:hAnsi="宋体" w:cs="宋体"/>
          <w:b/>
          <w:color w:val="auto"/>
          <w:spacing w:val="20"/>
          <w:sz w:val="44"/>
          <w:szCs w:val="44"/>
          <w:highlight w:val="none"/>
        </w:rPr>
        <w:t>（第一批）</w:t>
      </w:r>
    </w:p>
    <w:bookmarkEnd w:id="0"/>
    <w:bookmarkEnd w:id="1"/>
    <w:p w14:paraId="57914382">
      <w:pPr>
        <w:spacing w:line="1000" w:lineRule="exact"/>
        <w:jc w:val="center"/>
        <w:rPr>
          <w:rFonts w:ascii="宋体" w:hAnsi="宋体" w:cs="宋体"/>
          <w:bCs/>
          <w:color w:val="auto"/>
          <w:sz w:val="100"/>
          <w:szCs w:val="100"/>
          <w:highlight w:val="none"/>
        </w:rPr>
      </w:pPr>
    </w:p>
    <w:p w14:paraId="689BB1F9">
      <w:pPr>
        <w:spacing w:line="1000" w:lineRule="exact"/>
        <w:jc w:val="center"/>
        <w:outlineLvl w:val="0"/>
        <w:rPr>
          <w:rFonts w:ascii="宋体" w:hAnsi="宋体" w:cs="宋体"/>
          <w:bCs/>
          <w:color w:val="auto"/>
          <w:sz w:val="100"/>
          <w:szCs w:val="100"/>
          <w:highlight w:val="none"/>
        </w:rPr>
      </w:pPr>
      <w:bookmarkStart w:id="3" w:name="_Toc24819"/>
      <w:bookmarkStart w:id="4" w:name="_Toc5695"/>
    </w:p>
    <w:p w14:paraId="4D0755F5">
      <w:pPr>
        <w:spacing w:line="1000" w:lineRule="exact"/>
        <w:jc w:val="center"/>
        <w:outlineLvl w:val="0"/>
        <w:rPr>
          <w:rFonts w:ascii="宋体" w:hAnsi="宋体" w:cs="宋体"/>
          <w:bCs/>
          <w:color w:val="auto"/>
          <w:sz w:val="100"/>
          <w:szCs w:val="100"/>
          <w:highlight w:val="none"/>
        </w:rPr>
      </w:pPr>
    </w:p>
    <w:p w14:paraId="213A2357">
      <w:pPr>
        <w:spacing w:line="1000" w:lineRule="exact"/>
        <w:jc w:val="center"/>
        <w:outlineLvl w:val="0"/>
        <w:rPr>
          <w:rFonts w:ascii="宋体" w:hAnsi="宋体" w:cs="宋体"/>
          <w:b/>
          <w:bCs/>
          <w:color w:val="auto"/>
          <w:highlight w:val="none"/>
        </w:rPr>
      </w:pPr>
      <w:r>
        <w:rPr>
          <w:rFonts w:hint="eastAsia" w:ascii="宋体" w:hAnsi="宋体" w:cs="宋体"/>
          <w:bCs/>
          <w:color w:val="auto"/>
          <w:sz w:val="100"/>
          <w:szCs w:val="100"/>
          <w:highlight w:val="none"/>
        </w:rPr>
        <w:t>政府采购招标文件</w:t>
      </w:r>
      <w:bookmarkEnd w:id="3"/>
      <w:bookmarkEnd w:id="4"/>
    </w:p>
    <w:p w14:paraId="29761434">
      <w:pPr>
        <w:spacing w:line="1000" w:lineRule="exact"/>
        <w:jc w:val="center"/>
        <w:rPr>
          <w:rFonts w:ascii="宋体" w:hAnsi="宋体" w:cs="宋体"/>
          <w:b/>
          <w:color w:val="auto"/>
          <w:sz w:val="36"/>
          <w:highlight w:val="none"/>
        </w:rPr>
      </w:pPr>
      <w:r>
        <w:rPr>
          <w:rFonts w:hint="eastAsia" w:ascii="宋体" w:hAnsi="宋体" w:cs="宋体"/>
          <w:bCs/>
          <w:color w:val="auto"/>
          <w:sz w:val="36"/>
          <w:szCs w:val="36"/>
          <w:highlight w:val="none"/>
        </w:rPr>
        <w:t xml:space="preserve">招标文件编号：JSZC-320600-NTSC-G2026-0003 </w:t>
      </w:r>
    </w:p>
    <w:p w14:paraId="1A6197D2">
      <w:pPr>
        <w:spacing w:line="1000" w:lineRule="exact"/>
        <w:jc w:val="center"/>
        <w:rPr>
          <w:rFonts w:ascii="宋体" w:hAnsi="宋体" w:cs="宋体"/>
          <w:b/>
          <w:color w:val="auto"/>
          <w:sz w:val="36"/>
          <w:highlight w:val="none"/>
        </w:rPr>
      </w:pPr>
    </w:p>
    <w:p w14:paraId="21FF3C18">
      <w:pPr>
        <w:spacing w:line="500" w:lineRule="exact"/>
        <w:jc w:val="center"/>
        <w:rPr>
          <w:rFonts w:ascii="宋体" w:hAnsi="宋体" w:cs="宋体"/>
          <w:b/>
          <w:color w:val="auto"/>
          <w:sz w:val="36"/>
          <w:highlight w:val="none"/>
        </w:rPr>
      </w:pPr>
    </w:p>
    <w:p w14:paraId="65CFB68A">
      <w:pPr>
        <w:pStyle w:val="74"/>
        <w:rPr>
          <w:rFonts w:ascii="宋体" w:hAnsi="宋体" w:eastAsia="宋体" w:cs="宋体"/>
          <w:color w:val="auto"/>
          <w:sz w:val="32"/>
          <w:highlight w:val="none"/>
        </w:rPr>
      </w:pPr>
    </w:p>
    <w:p w14:paraId="170B1CCF">
      <w:pPr>
        <w:pStyle w:val="74"/>
        <w:rPr>
          <w:rFonts w:ascii="宋体" w:hAnsi="宋体" w:eastAsia="宋体" w:cs="宋体"/>
          <w:color w:val="auto"/>
          <w:sz w:val="32"/>
          <w:highlight w:val="none"/>
        </w:rPr>
      </w:pPr>
    </w:p>
    <w:p w14:paraId="4B9BAFAB">
      <w:pPr>
        <w:pStyle w:val="74"/>
        <w:rPr>
          <w:rFonts w:ascii="宋体" w:hAnsi="宋体" w:eastAsia="宋体" w:cs="宋体"/>
          <w:color w:val="auto"/>
          <w:sz w:val="32"/>
          <w:highlight w:val="none"/>
        </w:rPr>
      </w:pPr>
    </w:p>
    <w:p w14:paraId="0B427181">
      <w:pPr>
        <w:pStyle w:val="74"/>
        <w:rPr>
          <w:rFonts w:ascii="宋体" w:hAnsi="宋体" w:eastAsia="宋体" w:cs="宋体"/>
          <w:color w:val="auto"/>
          <w:sz w:val="32"/>
          <w:highlight w:val="none"/>
        </w:rPr>
      </w:pPr>
    </w:p>
    <w:p w14:paraId="76918AC4">
      <w:pPr>
        <w:pStyle w:val="74"/>
        <w:rPr>
          <w:rFonts w:ascii="宋体" w:hAnsi="宋体" w:eastAsia="宋体" w:cs="宋体"/>
          <w:color w:val="auto"/>
          <w:sz w:val="32"/>
          <w:highlight w:val="none"/>
        </w:rPr>
      </w:pPr>
    </w:p>
    <w:p w14:paraId="2268184A">
      <w:pPr>
        <w:pStyle w:val="74"/>
        <w:rPr>
          <w:rFonts w:ascii="宋体" w:hAnsi="宋体" w:eastAsia="宋体" w:cs="宋体"/>
          <w:color w:val="auto"/>
          <w:sz w:val="32"/>
          <w:highlight w:val="none"/>
        </w:rPr>
      </w:pPr>
    </w:p>
    <w:p w14:paraId="25066628">
      <w:pPr>
        <w:pStyle w:val="74"/>
        <w:rPr>
          <w:rFonts w:ascii="宋体" w:hAnsi="宋体" w:eastAsia="宋体" w:cs="宋体"/>
          <w:color w:val="auto"/>
          <w:sz w:val="32"/>
          <w:highlight w:val="none"/>
        </w:rPr>
      </w:pPr>
    </w:p>
    <w:p w14:paraId="653F4159">
      <w:pPr>
        <w:adjustRightInd w:val="0"/>
        <w:spacing w:before="120" w:after="120" w:line="460" w:lineRule="exact"/>
        <w:ind w:left="-2" w:right="120"/>
        <w:jc w:val="center"/>
        <w:textAlignment w:val="baseline"/>
        <w:outlineLvl w:val="0"/>
        <w:rPr>
          <w:rFonts w:ascii="宋体" w:hAnsi="宋体" w:cs="宋体"/>
          <w:b/>
          <w:bCs/>
          <w:color w:val="auto"/>
          <w:sz w:val="32"/>
          <w:szCs w:val="32"/>
          <w:highlight w:val="none"/>
        </w:rPr>
      </w:pPr>
      <w:r>
        <w:rPr>
          <w:rFonts w:hint="eastAsia" w:ascii="宋体" w:hAnsi="宋体" w:cs="宋体"/>
          <w:b/>
          <w:bCs/>
          <w:color w:val="auto"/>
          <w:sz w:val="32"/>
          <w:szCs w:val="32"/>
          <w:highlight w:val="none"/>
        </w:rPr>
        <w:t>南通市产品质量监督检验所</w:t>
      </w:r>
    </w:p>
    <w:p w14:paraId="379F783E">
      <w:pPr>
        <w:adjustRightInd w:val="0"/>
        <w:spacing w:before="120" w:after="120" w:line="460" w:lineRule="exact"/>
        <w:ind w:left="-2" w:right="120"/>
        <w:jc w:val="center"/>
        <w:textAlignment w:val="baseline"/>
        <w:rPr>
          <w:rFonts w:ascii="宋体" w:hAnsi="宋体" w:cs="宋体"/>
          <w:b/>
          <w:bCs/>
          <w:color w:val="auto"/>
          <w:kern w:val="0"/>
          <w:sz w:val="32"/>
          <w:szCs w:val="32"/>
          <w:highlight w:val="none"/>
        </w:rPr>
      </w:pPr>
      <w:r>
        <w:rPr>
          <w:rFonts w:hint="eastAsia" w:ascii="宋体" w:hAnsi="宋体" w:cs="宋体"/>
          <w:b/>
          <w:bCs/>
          <w:color w:val="auto"/>
          <w:sz w:val="32"/>
          <w:szCs w:val="32"/>
          <w:highlight w:val="none"/>
        </w:rPr>
        <w:t>2026年10月</w:t>
      </w:r>
    </w:p>
    <w:p w14:paraId="7A23132D">
      <w:pPr>
        <w:rPr>
          <w:rFonts w:ascii="宋体" w:hAnsi="宋体" w:cs="宋体"/>
          <w:color w:val="auto"/>
          <w:sz w:val="36"/>
          <w:szCs w:val="44"/>
          <w:highlight w:val="none"/>
        </w:rPr>
      </w:pPr>
      <w:r>
        <w:rPr>
          <w:rFonts w:hint="eastAsia" w:ascii="宋体" w:hAnsi="宋体" w:cs="宋体"/>
          <w:color w:val="auto"/>
          <w:sz w:val="36"/>
          <w:szCs w:val="44"/>
          <w:highlight w:val="none"/>
        </w:rPr>
        <w:br w:type="page"/>
      </w:r>
    </w:p>
    <w:p w14:paraId="712F7567">
      <w:pPr>
        <w:jc w:val="center"/>
        <w:rPr>
          <w:rFonts w:ascii="宋体" w:hAnsi="宋体" w:cs="宋体"/>
          <w:color w:val="auto"/>
          <w:sz w:val="36"/>
          <w:szCs w:val="44"/>
          <w:highlight w:val="none"/>
        </w:rPr>
      </w:pPr>
      <w:r>
        <w:rPr>
          <w:rFonts w:hint="eastAsia" w:ascii="宋体" w:hAnsi="宋体" w:cs="宋体"/>
          <w:color w:val="auto"/>
          <w:sz w:val="36"/>
          <w:szCs w:val="44"/>
          <w:highlight w:val="none"/>
        </w:rPr>
        <w:t>目录</w:t>
      </w:r>
    </w:p>
    <w:p w14:paraId="5BCB4791">
      <w:pPr>
        <w:pStyle w:val="28"/>
        <w:tabs>
          <w:tab w:val="right" w:leader="dot" w:pos="8307"/>
        </w:tabs>
        <w:spacing w:line="720" w:lineRule="auto"/>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p>
    <w:p w14:paraId="202E40FD">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1AE86613">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4A034EEE">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12932398">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45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p>
    <w:p w14:paraId="2FC8048E">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3</w:t>
      </w:r>
    </w:p>
    <w:p w14:paraId="3AFBE6D4">
      <w:pPr>
        <w:pStyle w:val="28"/>
        <w:tabs>
          <w:tab w:val="right" w:leader="dot" w:pos="8307"/>
        </w:tabs>
        <w:spacing w:line="720" w:lineRule="auto"/>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7</w:t>
      </w:r>
    </w:p>
    <w:p w14:paraId="2E024230">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p>
    <w:p w14:paraId="4E763410">
      <w:pPr>
        <w:pStyle w:val="17"/>
        <w:rPr>
          <w:rFonts w:ascii="宋体" w:hAnsi="宋体" w:eastAsia="宋体" w:cs="宋体"/>
          <w:color w:val="auto"/>
          <w:highlight w:val="none"/>
        </w:rPr>
      </w:pPr>
    </w:p>
    <w:p w14:paraId="46B606F2">
      <w:pPr>
        <w:spacing w:line="500" w:lineRule="exact"/>
        <w:rPr>
          <w:rFonts w:ascii="宋体" w:hAnsi="宋体" w:cs="宋体"/>
          <w:b/>
          <w:color w:val="auto"/>
          <w:sz w:val="32"/>
          <w:szCs w:val="32"/>
          <w:highlight w:val="none"/>
        </w:rPr>
      </w:pPr>
    </w:p>
    <w:p w14:paraId="6C3B8858">
      <w:pPr>
        <w:tabs>
          <w:tab w:val="left" w:pos="7740"/>
        </w:tabs>
        <w:spacing w:line="500" w:lineRule="exact"/>
        <w:rPr>
          <w:rFonts w:ascii="宋体" w:hAnsi="宋体" w:cs="宋体"/>
          <w:b/>
          <w:color w:val="auto"/>
          <w:spacing w:val="2"/>
          <w:sz w:val="32"/>
          <w:szCs w:val="32"/>
          <w:highlight w:val="none"/>
        </w:rPr>
      </w:pPr>
    </w:p>
    <w:p w14:paraId="06B9F15C">
      <w:pPr>
        <w:tabs>
          <w:tab w:val="left" w:pos="7740"/>
        </w:tabs>
        <w:spacing w:line="500" w:lineRule="exact"/>
        <w:rPr>
          <w:rFonts w:ascii="宋体" w:hAnsi="宋体" w:cs="宋体"/>
          <w:b/>
          <w:color w:val="auto"/>
          <w:spacing w:val="2"/>
          <w:sz w:val="32"/>
          <w:szCs w:val="32"/>
          <w:highlight w:val="none"/>
        </w:rPr>
      </w:pPr>
    </w:p>
    <w:p w14:paraId="41CAEEAF">
      <w:pPr>
        <w:tabs>
          <w:tab w:val="left" w:pos="7740"/>
        </w:tabs>
        <w:spacing w:line="500" w:lineRule="exact"/>
        <w:rPr>
          <w:rFonts w:ascii="宋体" w:hAnsi="宋体" w:cs="宋体"/>
          <w:b/>
          <w:bCs/>
          <w:color w:val="auto"/>
          <w:sz w:val="32"/>
          <w:szCs w:val="32"/>
          <w:highlight w:val="none"/>
        </w:rPr>
      </w:pPr>
    </w:p>
    <w:p w14:paraId="0DD4C32E">
      <w:pPr>
        <w:spacing w:line="500" w:lineRule="exact"/>
        <w:rPr>
          <w:rFonts w:ascii="宋体" w:hAnsi="宋体" w:cs="宋体"/>
          <w:b/>
          <w:color w:val="auto"/>
          <w:sz w:val="44"/>
          <w:szCs w:val="44"/>
          <w:highlight w:val="none"/>
        </w:rPr>
      </w:pPr>
    </w:p>
    <w:p w14:paraId="79C256AC">
      <w:pPr>
        <w:adjustRightInd w:val="0"/>
        <w:snapToGrid w:val="0"/>
        <w:spacing w:line="500" w:lineRule="exact"/>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5" w:name="_Toc21799"/>
      <w:bookmarkStart w:id="6" w:name="_Toc29789"/>
      <w:r>
        <w:rPr>
          <w:rFonts w:hint="eastAsia" w:ascii="宋体" w:hAnsi="宋体" w:cs="宋体"/>
          <w:bCs/>
          <w:color w:val="auto"/>
          <w:sz w:val="36"/>
          <w:szCs w:val="36"/>
          <w:highlight w:val="none"/>
        </w:rPr>
        <w:t xml:space="preserve">第一部分  </w:t>
      </w:r>
      <w:bookmarkStart w:id="7" w:name="OLE_LINK5"/>
      <w:bookmarkStart w:id="8" w:name="OLE_LINK7"/>
      <w:r>
        <w:rPr>
          <w:rFonts w:hint="eastAsia" w:ascii="宋体" w:hAnsi="宋体" w:cs="宋体"/>
          <w:bCs/>
          <w:color w:val="auto"/>
          <w:sz w:val="36"/>
          <w:szCs w:val="36"/>
          <w:highlight w:val="none"/>
        </w:rPr>
        <w:t>投标邀请</w:t>
      </w:r>
      <w:bookmarkEnd w:id="5"/>
      <w:bookmarkEnd w:id="6"/>
    </w:p>
    <w:p w14:paraId="0C4B506E">
      <w:pPr>
        <w:wordWrap w:val="0"/>
        <w:adjustRightInd w:val="0"/>
        <w:snapToGrid w:val="0"/>
        <w:spacing w:line="440" w:lineRule="exact"/>
        <w:ind w:firstLine="560" w:firstLineChars="200"/>
        <w:rPr>
          <w:rFonts w:ascii="宋体" w:hAnsi="宋体" w:cs="宋体"/>
          <w:color w:val="auto"/>
          <w:sz w:val="28"/>
          <w:szCs w:val="28"/>
          <w:highlight w:val="none"/>
        </w:rPr>
      </w:pPr>
      <w:bookmarkStart w:id="9" w:name="OLE_LINK6"/>
      <w:r>
        <w:rPr>
          <w:rFonts w:hint="eastAsia" w:ascii="宋体" w:hAnsi="宋体" w:cs="宋体"/>
          <w:color w:val="auto"/>
          <w:sz w:val="28"/>
          <w:szCs w:val="28"/>
          <w:highlight w:val="none"/>
        </w:rPr>
        <w:t>受[南通市产品质量监督检验所]的委托，南通苏采招投标咨询服务有限公司就[南通市产品质量监督检验所食品检验检测设备更新项目（第一批）](项目编号:JSZC-320600-NTSC-G2026-0003  )进行公开招标采购，欢迎符合条件的投标人投标。</w:t>
      </w:r>
    </w:p>
    <w:p w14:paraId="57D49DA7">
      <w:pPr>
        <w:pBdr>
          <w:top w:val="single" w:color="auto" w:sz="4" w:space="1"/>
          <w:left w:val="single" w:color="auto" w:sz="4" w:space="4"/>
          <w:bottom w:val="single" w:color="auto" w:sz="4" w:space="1"/>
          <w:right w:val="single" w:color="auto" w:sz="4" w:space="4"/>
        </w:pBd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12BCE347">
      <w:pPr>
        <w:pBdr>
          <w:top w:val="single" w:color="auto" w:sz="4" w:space="1"/>
          <w:left w:val="single" w:color="auto" w:sz="4" w:space="4"/>
          <w:bottom w:val="single" w:color="auto" w:sz="4" w:space="1"/>
          <w:right w:val="single" w:color="auto" w:sz="4" w:space="4"/>
        </w:pBd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南通市产品质量监督检验所食品检验检测设备更新项目（第一批）的潜在投标人应在（苏采云系统内免费）获取招标文件，并于2026年11月16日9点30分（北京时间）前递交投标文件。</w:t>
      </w:r>
    </w:p>
    <w:p w14:paraId="21BEF1AC">
      <w:pPr>
        <w:adjustRightInd w:val="0"/>
        <w:snapToGrid w:val="0"/>
        <w:spacing w:line="440" w:lineRule="exact"/>
        <w:ind w:firstLine="562" w:firstLineChars="200"/>
        <w:outlineLvl w:val="1"/>
        <w:rPr>
          <w:rFonts w:ascii="宋体" w:hAnsi="宋体" w:cs="宋体"/>
          <w:b/>
          <w:color w:val="auto"/>
          <w:sz w:val="28"/>
          <w:szCs w:val="28"/>
          <w:highlight w:val="none"/>
        </w:rPr>
      </w:pPr>
      <w:bookmarkStart w:id="10" w:name="_Toc20404"/>
      <w:r>
        <w:rPr>
          <w:rFonts w:hint="eastAsia" w:ascii="宋体" w:hAnsi="宋体" w:cs="宋体"/>
          <w:b/>
          <w:color w:val="auto"/>
          <w:sz w:val="28"/>
          <w:szCs w:val="28"/>
          <w:highlight w:val="none"/>
        </w:rPr>
        <w:t>一、项目基本情况</w:t>
      </w:r>
      <w:bookmarkEnd w:id="10"/>
    </w:p>
    <w:p w14:paraId="2620AD87">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1.项目编号：JSZC-320600-NTSC-G2026-0003 </w:t>
      </w:r>
    </w:p>
    <w:p w14:paraId="0488C6C2">
      <w:pPr>
        <w:adjustRightInd w:val="0"/>
        <w:snapToGrid w:val="0"/>
        <w:spacing w:line="44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2.项目名称：南通市产品质量监督检验所食品检验检测设备更新项目（第一批）。</w:t>
      </w:r>
    </w:p>
    <w:p w14:paraId="705E22DE">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3.预算金额：652万元。</w:t>
      </w:r>
    </w:p>
    <w:p w14:paraId="19E6E616">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4.最高限价：总价最高限价652万元，单项最高限价详见项目需求，投标报价高于对应的最高限价的作无效标处理。</w:t>
      </w:r>
    </w:p>
    <w:p w14:paraId="0A7880A1">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5.采购需求：详见招标文件，请仔细研究。</w:t>
      </w:r>
    </w:p>
    <w:p w14:paraId="114EB22D">
      <w:pPr>
        <w:autoSpaceDE w:val="0"/>
        <w:autoSpaceDN w:val="0"/>
        <w:adjustRightIn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6.合同履行期限：合同签订45天内供货到位，货到30天内完成安装调试。</w:t>
      </w:r>
    </w:p>
    <w:p w14:paraId="5AA4A77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7.本项目是否接受联合体投标：否。</w:t>
      </w:r>
    </w:p>
    <w:p w14:paraId="47CE18D0">
      <w:pPr>
        <w:adjustRightInd w:val="0"/>
        <w:snapToGrid w:val="0"/>
        <w:spacing w:line="440" w:lineRule="exact"/>
        <w:ind w:firstLine="562" w:firstLineChars="200"/>
        <w:outlineLvl w:val="1"/>
        <w:rPr>
          <w:rFonts w:ascii="宋体" w:hAnsi="宋体" w:cs="宋体"/>
          <w:b/>
          <w:color w:val="auto"/>
          <w:sz w:val="28"/>
          <w:szCs w:val="28"/>
          <w:highlight w:val="none"/>
        </w:rPr>
      </w:pPr>
      <w:bookmarkStart w:id="11" w:name="_Toc7742"/>
      <w:r>
        <w:rPr>
          <w:rFonts w:hint="eastAsia" w:ascii="宋体" w:hAnsi="宋体" w:cs="宋体"/>
          <w:b/>
          <w:color w:val="auto"/>
          <w:sz w:val="28"/>
          <w:szCs w:val="28"/>
          <w:highlight w:val="none"/>
        </w:rPr>
        <w:t>二、申请人的资格要求：</w:t>
      </w:r>
      <w:bookmarkEnd w:id="11"/>
    </w:p>
    <w:p w14:paraId="2166B65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1.满足《中华人民共和国政府采购法》第二十二条规定；</w:t>
      </w:r>
    </w:p>
    <w:p w14:paraId="228BB6C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2.本项目的特定资格要求：无；</w:t>
      </w:r>
    </w:p>
    <w:p w14:paraId="29CB45C4">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3.落实政府采购政策需满足的资格要求：</w:t>
      </w:r>
      <w:r>
        <w:rPr>
          <w:rFonts w:hint="eastAsia" w:ascii="宋体" w:hAnsi="宋体" w:cs="宋体"/>
          <w:color w:val="auto"/>
          <w:sz w:val="28"/>
          <w:szCs w:val="28"/>
          <w:highlight w:val="none"/>
          <w:u w:val="single"/>
        </w:rPr>
        <w:t>本项目属于专门面向中小企业采购的项目,供应商应为中小微企业、监狱企业或残疾人福利性单位，并按照采购文件要求提供《中小企业声明函》或《残疾人福利性单位声明函》或监狱和戒毒企业证明材料。</w:t>
      </w:r>
    </w:p>
    <w:p w14:paraId="40BAF983">
      <w:pPr>
        <w:adjustRightInd w:val="0"/>
        <w:snapToGrid w:val="0"/>
        <w:spacing w:line="440" w:lineRule="exact"/>
        <w:ind w:firstLine="560" w:firstLineChars="200"/>
        <w:outlineLvl w:val="1"/>
        <w:rPr>
          <w:rFonts w:ascii="宋体" w:hAnsi="宋体" w:cs="宋体"/>
          <w:color w:val="auto"/>
          <w:sz w:val="28"/>
          <w:szCs w:val="28"/>
          <w:highlight w:val="none"/>
        </w:rPr>
      </w:pPr>
      <w:bookmarkStart w:id="12" w:name="_Toc13052"/>
      <w:r>
        <w:rPr>
          <w:rFonts w:hint="eastAsia" w:ascii="宋体" w:hAnsi="宋体" w:cs="宋体"/>
          <w:color w:val="auto"/>
          <w:sz w:val="28"/>
          <w:szCs w:val="28"/>
          <w:highlight w:val="none"/>
        </w:rPr>
        <w:t>三、获取招标文件</w:t>
      </w:r>
      <w:bookmarkEnd w:id="12"/>
    </w:p>
    <w:p w14:paraId="5924ABE8">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1.时间：自招标文件公告发布之日起5个工作日。</w:t>
      </w:r>
    </w:p>
    <w:p w14:paraId="281E868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2.地点：网上注册登记成功后系统内免费下载。</w:t>
      </w:r>
    </w:p>
    <w:p w14:paraId="4867A8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3.获取方式：本项目采用网上注册登记方式。</w:t>
      </w:r>
    </w:p>
    <w:p w14:paraId="2E8E4A39">
      <w:pPr>
        <w:adjustRightInd w:val="0"/>
        <w:snapToGrid w:val="0"/>
        <w:spacing w:line="460" w:lineRule="exact"/>
        <w:ind w:firstLine="560" w:firstLineChars="200"/>
        <w:outlineLvl w:val="2"/>
        <w:rPr>
          <w:rFonts w:ascii="宋体" w:hAnsi="宋体" w:cs="宋体"/>
          <w:color w:val="auto"/>
          <w:sz w:val="28"/>
          <w:szCs w:val="28"/>
          <w:highlight w:val="none"/>
        </w:rPr>
      </w:pPr>
      <w:bookmarkStart w:id="13" w:name="_Toc740"/>
      <w:r>
        <w:rPr>
          <w:rFonts w:hint="eastAsia" w:ascii="宋体" w:hAnsi="宋体" w:cs="宋体"/>
          <w:color w:val="auto"/>
          <w:sz w:val="28"/>
          <w:szCs w:val="28"/>
          <w:highlight w:val="none"/>
        </w:rPr>
        <w:t>3.1潜在投标人访问电子招标响应交易平台的网络地址和方法：</w:t>
      </w:r>
      <w:bookmarkEnd w:id="13"/>
    </w:p>
    <w:p w14:paraId="60E8781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7FB1D5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3.2潜在投标人访问“苏采云”系统的网络地址和方法：“苏采云”系统的网址：http://jszfcg.jsczt.cn/。</w:t>
      </w:r>
    </w:p>
    <w:p w14:paraId="570D31E8">
      <w:pPr>
        <w:adjustRightInd w:val="0"/>
        <w:snapToGrid w:val="0"/>
        <w:spacing w:line="460" w:lineRule="exact"/>
        <w:ind w:firstLine="560" w:firstLineChars="200"/>
        <w:outlineLvl w:val="2"/>
        <w:rPr>
          <w:rFonts w:ascii="宋体" w:hAnsi="宋体" w:cs="宋体"/>
          <w:color w:val="auto"/>
          <w:sz w:val="28"/>
          <w:szCs w:val="28"/>
          <w:highlight w:val="none"/>
        </w:rPr>
      </w:pPr>
      <w:bookmarkStart w:id="14" w:name="_Toc31543"/>
      <w:r>
        <w:rPr>
          <w:rFonts w:hint="eastAsia" w:ascii="宋体" w:hAnsi="宋体" w:cs="宋体"/>
          <w:color w:val="auto"/>
          <w:sz w:val="28"/>
          <w:szCs w:val="28"/>
          <w:highlight w:val="none"/>
        </w:rPr>
        <w:t>3.3“CA数字证书”的获取：</w:t>
      </w:r>
      <w:bookmarkEnd w:id="14"/>
    </w:p>
    <w:p w14:paraId="3525202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响应投标人需办理“CA 数字证书”，CA办理指南及“苏采云”操作手册可至江苏省政府采购网―办事指南-资料下载中心下载。</w:t>
      </w:r>
    </w:p>
    <w:p w14:paraId="77413E2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通过苏采云系统首页（http://jszfcg.jsczt.cn/）的“苏采云控件驱动下载”，选择“政务CA、方正签章控件驱动安装包及安装说明”下载安装，具体安装方法详见下载文件内的《安装说明》。</w:t>
      </w:r>
    </w:p>
    <w:p w14:paraId="4E322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3.4招标文件（后缀名为“.kedt”）、供应商操作手册及政府采购客户端工具可通过“苏采云”系统--已报名项目--报名详情页面内相应链接进行下载。</w:t>
      </w:r>
    </w:p>
    <w:p w14:paraId="6057CE8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3.5采购人或采购代理机构将数据电文形式的招标文件加载至“苏采云”系统，供潜在投标人下载或者查阅。</w:t>
      </w:r>
    </w:p>
    <w:p w14:paraId="5DEFC5F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3.6请潜在投标人提前安装相应的控件（详见《江苏省政府采购管理交易系统（苏采云）供应商操作手册》）并使用谷歌浏览器登录“苏采云”系统参与不见面开评标。</w:t>
      </w:r>
    </w:p>
    <w:p w14:paraId="7195DC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75203C9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注：如潜在投标人未按上述要求操作，将自行承担所产生的风险。</w:t>
      </w:r>
    </w:p>
    <w:p w14:paraId="07EFC38A">
      <w:pPr>
        <w:adjustRightInd w:val="0"/>
        <w:snapToGrid w:val="0"/>
        <w:spacing w:line="440" w:lineRule="exact"/>
        <w:ind w:firstLine="562" w:firstLineChars="200"/>
        <w:outlineLvl w:val="1"/>
        <w:rPr>
          <w:rFonts w:ascii="宋体" w:hAnsi="宋体" w:cs="宋体"/>
          <w:b/>
          <w:color w:val="auto"/>
          <w:sz w:val="28"/>
          <w:szCs w:val="28"/>
          <w:highlight w:val="none"/>
        </w:rPr>
      </w:pPr>
      <w:bookmarkStart w:id="15" w:name="_Toc25294"/>
      <w:r>
        <w:rPr>
          <w:rFonts w:hint="eastAsia" w:ascii="宋体" w:hAnsi="宋体" w:cs="宋体"/>
          <w:b/>
          <w:color w:val="auto"/>
          <w:sz w:val="28"/>
          <w:szCs w:val="28"/>
          <w:highlight w:val="none"/>
        </w:rPr>
        <w:t>四、提交投标文件截止时间、开标时间和地点</w:t>
      </w:r>
      <w:bookmarkEnd w:id="15"/>
    </w:p>
    <w:p w14:paraId="025F7442">
      <w:pPr>
        <w:spacing w:line="460" w:lineRule="exact"/>
        <w:ind w:firstLine="420"/>
        <w:rPr>
          <w:rStyle w:val="134"/>
          <w:rFonts w:ascii="宋体" w:hAnsi="宋体" w:cs="宋体"/>
          <w:color w:val="auto"/>
          <w:sz w:val="28"/>
          <w:szCs w:val="28"/>
          <w:highlight w:val="none"/>
        </w:rPr>
      </w:pPr>
      <w:r>
        <w:rPr>
          <w:rStyle w:val="134"/>
          <w:rFonts w:hint="eastAsia" w:ascii="宋体" w:hAnsi="宋体" w:cs="宋体"/>
          <w:color w:val="auto"/>
          <w:sz w:val="28"/>
          <w:szCs w:val="28"/>
          <w:highlight w:val="none"/>
        </w:rPr>
        <w:t>1.投标文件接收截止及开标时间：</w:t>
      </w:r>
      <w:r>
        <w:rPr>
          <w:rStyle w:val="134"/>
          <w:rFonts w:hint="eastAsia" w:ascii="宋体" w:hAnsi="宋体" w:cs="宋体"/>
          <w:b/>
          <w:bCs/>
          <w:color w:val="auto"/>
          <w:sz w:val="28"/>
          <w:szCs w:val="28"/>
          <w:highlight w:val="none"/>
        </w:rPr>
        <w:t>2026年11月16日9点30分（北京时间）</w:t>
      </w:r>
      <w:r>
        <w:rPr>
          <w:rStyle w:val="134"/>
          <w:rFonts w:hint="eastAsia" w:ascii="宋体" w:hAnsi="宋体" w:cs="宋体"/>
          <w:color w:val="auto"/>
          <w:sz w:val="28"/>
          <w:szCs w:val="28"/>
          <w:highlight w:val="none"/>
        </w:rPr>
        <w:t>，逾时“苏采云”系统将拒绝接受上传投标文件电子文档。</w:t>
      </w:r>
    </w:p>
    <w:p w14:paraId="6741108A">
      <w:pPr>
        <w:spacing w:line="460" w:lineRule="exact"/>
        <w:ind w:firstLine="420"/>
        <w:outlineLvl w:val="2"/>
        <w:rPr>
          <w:rStyle w:val="134"/>
          <w:rFonts w:ascii="宋体" w:hAnsi="宋体" w:cs="宋体"/>
          <w:color w:val="auto"/>
          <w:sz w:val="28"/>
          <w:szCs w:val="28"/>
          <w:highlight w:val="none"/>
          <w:lang w:eastAsia="en-US"/>
        </w:rPr>
      </w:pPr>
      <w:bookmarkStart w:id="16" w:name="_Toc24646"/>
      <w:r>
        <w:rPr>
          <w:rStyle w:val="134"/>
          <w:rFonts w:hint="eastAsia" w:ascii="宋体" w:hAnsi="宋体" w:cs="宋体"/>
          <w:color w:val="auto"/>
          <w:sz w:val="28"/>
          <w:szCs w:val="28"/>
          <w:highlight w:val="none"/>
          <w:lang w:eastAsia="en-US"/>
        </w:rPr>
        <w:t>2.地点：“苏采云”系统（网址：http://jszfcg.jsczt.cn/）</w:t>
      </w:r>
      <w:bookmarkEnd w:id="16"/>
      <w:r>
        <w:rPr>
          <w:rStyle w:val="134"/>
          <w:rFonts w:hint="eastAsia" w:ascii="宋体" w:hAnsi="宋体" w:cs="宋体"/>
          <w:color w:val="auto"/>
          <w:sz w:val="28"/>
          <w:szCs w:val="28"/>
          <w:highlight w:val="none"/>
        </w:rPr>
        <w:t>。</w:t>
      </w:r>
    </w:p>
    <w:p w14:paraId="6C0ACBD5">
      <w:pPr>
        <w:spacing w:line="460" w:lineRule="exact"/>
        <w:ind w:firstLine="420"/>
        <w:rPr>
          <w:rStyle w:val="134"/>
          <w:rFonts w:ascii="宋体" w:hAnsi="宋体" w:cs="宋体"/>
          <w:color w:val="auto"/>
          <w:sz w:val="28"/>
          <w:szCs w:val="28"/>
          <w:highlight w:val="none"/>
          <w:u w:val="single"/>
        </w:rPr>
      </w:pPr>
      <w:r>
        <w:rPr>
          <w:rStyle w:val="134"/>
          <w:rFonts w:hint="eastAsia" w:ascii="宋体" w:hAnsi="宋体" w:cs="宋体"/>
          <w:color w:val="auto"/>
          <w:sz w:val="28"/>
          <w:szCs w:val="28"/>
          <w:highlight w:val="none"/>
        </w:rPr>
        <w:t>3.投标文件的解密：开标当天各投标人及时登录不见面开标大厅，投标文件接收截止时间后，采购人将在系统内公布投标人名单，然后通过开标会议区发出投标文件解密的指令，投标人在开标室按规定时间自行实施远程解密，</w:t>
      </w:r>
      <w:r>
        <w:rPr>
          <w:rStyle w:val="134"/>
          <w:rFonts w:hint="eastAsia" w:ascii="宋体" w:hAnsi="宋体" w:cs="宋体"/>
          <w:b/>
          <w:bCs/>
          <w:color w:val="auto"/>
          <w:sz w:val="28"/>
          <w:szCs w:val="28"/>
          <w:highlight w:val="none"/>
        </w:rPr>
        <w:t>投标人解密限定在开标后30分钟之内完成</w:t>
      </w:r>
      <w:r>
        <w:rPr>
          <w:rStyle w:val="134"/>
          <w:rFonts w:hint="eastAsia" w:ascii="宋体" w:hAnsi="宋体" w:cs="宋体"/>
          <w:color w:val="auto"/>
          <w:sz w:val="28"/>
          <w:szCs w:val="28"/>
          <w:highlight w:val="none"/>
        </w:rPr>
        <w:t>。</w:t>
      </w:r>
      <w:r>
        <w:rPr>
          <w:rStyle w:val="134"/>
          <w:rFonts w:hint="eastAsia" w:ascii="宋体" w:hAnsi="宋体" w:cs="宋体"/>
          <w:color w:val="auto"/>
          <w:sz w:val="28"/>
          <w:szCs w:val="28"/>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招标代理机构）原因或网上招投标平台发生故障，导致无法按时完成投标文件解密或开、评标工作无法进行的，可根据实际情况相应延迟解密时间或调整开、评标时间。</w:t>
      </w:r>
    </w:p>
    <w:p w14:paraId="01F8C56E">
      <w:pPr>
        <w:adjustRightInd w:val="0"/>
        <w:snapToGrid w:val="0"/>
        <w:spacing w:line="440" w:lineRule="exact"/>
        <w:ind w:firstLine="562" w:firstLineChars="200"/>
        <w:outlineLvl w:val="1"/>
        <w:rPr>
          <w:rFonts w:ascii="宋体" w:hAnsi="宋体" w:cs="宋体"/>
          <w:b/>
          <w:color w:val="auto"/>
          <w:sz w:val="28"/>
          <w:szCs w:val="28"/>
          <w:highlight w:val="none"/>
        </w:rPr>
      </w:pPr>
      <w:bookmarkStart w:id="17" w:name="_Toc6486"/>
      <w:r>
        <w:rPr>
          <w:rFonts w:hint="eastAsia" w:ascii="宋体" w:hAnsi="宋体" w:cs="宋体"/>
          <w:b/>
          <w:color w:val="auto"/>
          <w:sz w:val="28"/>
          <w:szCs w:val="28"/>
          <w:highlight w:val="none"/>
        </w:rPr>
        <w:t>五、公告期限</w:t>
      </w:r>
      <w:bookmarkEnd w:id="17"/>
    </w:p>
    <w:p w14:paraId="7F124235">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69A8F7EB">
      <w:pPr>
        <w:adjustRightInd w:val="0"/>
        <w:snapToGrid w:val="0"/>
        <w:spacing w:line="440" w:lineRule="exact"/>
        <w:ind w:firstLine="562" w:firstLineChars="200"/>
        <w:outlineLvl w:val="1"/>
        <w:rPr>
          <w:rFonts w:ascii="宋体" w:hAnsi="宋体" w:cs="宋体"/>
          <w:b/>
          <w:color w:val="auto"/>
          <w:sz w:val="28"/>
          <w:szCs w:val="28"/>
          <w:highlight w:val="none"/>
        </w:rPr>
      </w:pPr>
      <w:bookmarkStart w:id="18" w:name="_Toc12080"/>
      <w:r>
        <w:rPr>
          <w:rFonts w:hint="eastAsia" w:ascii="宋体" w:hAnsi="宋体" w:cs="宋体"/>
          <w:b/>
          <w:color w:val="auto"/>
          <w:sz w:val="28"/>
          <w:szCs w:val="28"/>
          <w:highlight w:val="none"/>
        </w:rPr>
        <w:t>六、其他补充事宜</w:t>
      </w:r>
      <w:bookmarkEnd w:id="18"/>
    </w:p>
    <w:p w14:paraId="4DEEA878">
      <w:pPr>
        <w:adjustRightInd w:val="0"/>
        <w:snapToGrid w:val="0"/>
        <w:spacing w:line="460" w:lineRule="exact"/>
        <w:ind w:firstLine="567"/>
        <w:outlineLvl w:val="2"/>
        <w:rPr>
          <w:rFonts w:ascii="宋体" w:hAnsi="宋体" w:cs="宋体"/>
          <w:color w:val="auto"/>
          <w:sz w:val="28"/>
          <w:szCs w:val="28"/>
          <w:highlight w:val="none"/>
        </w:rPr>
      </w:pPr>
      <w:bookmarkStart w:id="19" w:name="_Toc27181"/>
      <w:r>
        <w:rPr>
          <w:rFonts w:hint="eastAsia" w:ascii="宋体" w:hAnsi="宋体" w:cs="宋体"/>
          <w:color w:val="auto"/>
          <w:sz w:val="28"/>
          <w:szCs w:val="28"/>
          <w:highlight w:val="none"/>
        </w:rPr>
        <w:t>1.投标保证金：免收</w:t>
      </w:r>
      <w:bookmarkEnd w:id="19"/>
      <w:r>
        <w:rPr>
          <w:rStyle w:val="134"/>
          <w:rFonts w:hint="eastAsia" w:ascii="宋体" w:hAnsi="宋体" w:cs="宋体"/>
          <w:color w:val="auto"/>
          <w:sz w:val="28"/>
          <w:szCs w:val="28"/>
          <w:highlight w:val="none"/>
        </w:rPr>
        <w:t>。</w:t>
      </w:r>
    </w:p>
    <w:p w14:paraId="246CA109">
      <w:pPr>
        <w:adjustRightInd w:val="0"/>
        <w:snapToGrid w:val="0"/>
        <w:spacing w:line="460" w:lineRule="exact"/>
        <w:ind w:firstLine="567"/>
        <w:rPr>
          <w:rFonts w:ascii="宋体" w:hAnsi="宋体" w:cs="宋体"/>
          <w:color w:val="auto"/>
          <w:sz w:val="28"/>
          <w:szCs w:val="28"/>
          <w:highlight w:val="none"/>
        </w:rPr>
      </w:pPr>
      <w:r>
        <w:rPr>
          <w:rFonts w:hint="eastAsia" w:ascii="宋体" w:hAnsi="宋体" w:cs="宋体"/>
          <w:color w:val="auto"/>
          <w:sz w:val="28"/>
          <w:szCs w:val="28"/>
          <w:highlight w:val="none"/>
        </w:rPr>
        <w:t>2.项目开标活动模式：不见面远程开标模式，投标人在各自地点通过不见面交易系统参加开标会。</w:t>
      </w:r>
    </w:p>
    <w:p w14:paraId="09932568">
      <w:pPr>
        <w:spacing w:line="5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3.项目演示：无。</w:t>
      </w:r>
    </w:p>
    <w:p w14:paraId="6F494157">
      <w:pPr>
        <w:adjustRightInd w:val="0"/>
        <w:snapToGrid w:val="0"/>
        <w:spacing w:line="460" w:lineRule="exact"/>
        <w:ind w:firstLine="567"/>
        <w:rPr>
          <w:rFonts w:ascii="宋体" w:hAnsi="宋体" w:cs="宋体"/>
          <w:color w:val="auto"/>
          <w:sz w:val="28"/>
          <w:szCs w:val="28"/>
          <w:highlight w:val="none"/>
        </w:rPr>
      </w:pPr>
      <w:r>
        <w:rPr>
          <w:rFonts w:hint="eastAsia" w:ascii="宋体" w:hAnsi="宋体" w:cs="宋体"/>
          <w:color w:val="auto"/>
          <w:sz w:val="28"/>
          <w:szCs w:val="28"/>
          <w:highlight w:val="none"/>
        </w:rPr>
        <w:t>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p>
    <w:p w14:paraId="1886CC75">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2BAC2F1D">
      <w:pPr>
        <w:adjustRightInd w:val="0"/>
        <w:snapToGrid w:val="0"/>
        <w:spacing w:line="440" w:lineRule="exact"/>
        <w:ind w:firstLine="562" w:firstLineChars="200"/>
        <w:outlineLvl w:val="1"/>
        <w:rPr>
          <w:rFonts w:ascii="宋体" w:hAnsi="宋体" w:cs="宋体"/>
          <w:b/>
          <w:color w:val="auto"/>
          <w:sz w:val="28"/>
          <w:szCs w:val="28"/>
          <w:highlight w:val="none"/>
        </w:rPr>
      </w:pPr>
      <w:bookmarkStart w:id="20" w:name="_Toc17541"/>
      <w:r>
        <w:rPr>
          <w:rFonts w:hint="eastAsia" w:ascii="宋体" w:hAnsi="宋体" w:cs="宋体"/>
          <w:b/>
          <w:color w:val="auto"/>
          <w:sz w:val="28"/>
          <w:szCs w:val="28"/>
          <w:highlight w:val="none"/>
        </w:rPr>
        <w:t>七、对本次招标提出询问，请按以下方式联系</w:t>
      </w:r>
      <w:bookmarkEnd w:id="20"/>
    </w:p>
    <w:p w14:paraId="2DCAC620">
      <w:pPr>
        <w:adjustRightInd w:val="0"/>
        <w:snapToGrid w:val="0"/>
        <w:spacing w:line="440" w:lineRule="exact"/>
        <w:ind w:firstLine="560" w:firstLineChars="200"/>
        <w:rPr>
          <w:rFonts w:ascii="宋体" w:hAnsi="宋体" w:cs="宋体"/>
          <w:color w:val="auto"/>
          <w:sz w:val="28"/>
          <w:szCs w:val="28"/>
          <w:highlight w:val="none"/>
        </w:rPr>
      </w:pPr>
      <w:bookmarkStart w:id="21" w:name="_Toc20676"/>
      <w:r>
        <w:rPr>
          <w:rFonts w:hint="eastAsia" w:ascii="宋体" w:hAnsi="宋体" w:cs="宋体"/>
          <w:color w:val="auto"/>
          <w:sz w:val="28"/>
          <w:szCs w:val="28"/>
          <w:highlight w:val="none"/>
        </w:rPr>
        <w:t>1.采购人信息</w:t>
      </w:r>
      <w:bookmarkEnd w:id="21"/>
    </w:p>
    <w:p w14:paraId="61F0E217">
      <w:pPr>
        <w:adjustRightInd w:val="0"/>
        <w:snapToGrid w:val="0"/>
        <w:spacing w:line="440" w:lineRule="exact"/>
        <w:ind w:firstLine="560" w:firstLineChars="200"/>
        <w:rPr>
          <w:rFonts w:ascii="宋体" w:hAnsi="宋体" w:cs="宋体"/>
          <w:color w:val="auto"/>
          <w:sz w:val="28"/>
          <w:szCs w:val="28"/>
          <w:highlight w:val="none"/>
        </w:rPr>
      </w:pPr>
      <w:bookmarkStart w:id="22" w:name="_Toc28359020"/>
      <w:bookmarkStart w:id="23" w:name="_Toc35393807"/>
      <w:bookmarkStart w:id="24" w:name="_Toc28359097"/>
      <w:bookmarkStart w:id="25" w:name="_Toc35393638"/>
      <w:r>
        <w:rPr>
          <w:rFonts w:hint="eastAsia" w:ascii="宋体" w:hAnsi="宋体" w:cs="宋体"/>
          <w:color w:val="auto"/>
          <w:sz w:val="28"/>
          <w:szCs w:val="28"/>
          <w:highlight w:val="none"/>
        </w:rPr>
        <w:t>名称：南通市产品质量监督检验所　　　　　　　　　　　　</w:t>
      </w:r>
    </w:p>
    <w:bookmarkEnd w:id="22"/>
    <w:bookmarkEnd w:id="23"/>
    <w:bookmarkEnd w:id="24"/>
    <w:bookmarkEnd w:id="25"/>
    <w:p w14:paraId="60908329">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地址：南通市崇川区国强路119号</w:t>
      </w:r>
    </w:p>
    <w:p w14:paraId="6316C8AD">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联系人：王女士</w:t>
      </w:r>
    </w:p>
    <w:p w14:paraId="185BDC0D">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联系方式：051351008622，18888050978</w:t>
      </w:r>
    </w:p>
    <w:p w14:paraId="1F38ACD2">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2.代理机构信息</w:t>
      </w:r>
    </w:p>
    <w:p w14:paraId="3ED81BD9">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名称：南通苏采招投标咨询服务有限公司</w:t>
      </w:r>
    </w:p>
    <w:p w14:paraId="5453765A">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地址：南通市海外联谊大厦</w:t>
      </w:r>
    </w:p>
    <w:p w14:paraId="65217EBE">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联系方式：汤  工 18251369818</w:t>
      </w:r>
    </w:p>
    <w:p w14:paraId="1DCD4704">
      <w:pPr>
        <w:adjustRightInd w:val="0"/>
        <w:snapToGrid w:val="0"/>
        <w:spacing w:line="440" w:lineRule="exact"/>
        <w:ind w:firstLine="560" w:firstLineChars="200"/>
        <w:rPr>
          <w:rFonts w:ascii="宋体" w:hAnsi="宋体" w:cs="宋体"/>
          <w:color w:val="auto"/>
          <w:sz w:val="28"/>
          <w:szCs w:val="28"/>
          <w:highlight w:val="none"/>
        </w:rPr>
      </w:pPr>
    </w:p>
    <w:p w14:paraId="45A2BA13">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附件:</w:t>
      </w:r>
    </w:p>
    <w:p w14:paraId="07F5CA4A">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1.公开招标文件</w:t>
      </w:r>
    </w:p>
    <w:p w14:paraId="1D482D00">
      <w:pPr>
        <w:adjustRightInd w:val="0"/>
        <w:snapToGrid w:val="0"/>
        <w:spacing w:line="44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2.采购人信用承诺书</w:t>
      </w:r>
    </w:p>
    <w:p w14:paraId="73334B0A">
      <w:pPr>
        <w:ind w:firstLine="720" w:firstLineChars="200"/>
        <w:jc w:val="center"/>
        <w:rPr>
          <w:rFonts w:ascii="宋体" w:hAnsi="宋体" w:cs="宋体"/>
          <w:bCs/>
          <w:color w:val="auto"/>
          <w:sz w:val="36"/>
          <w:szCs w:val="36"/>
          <w:highlight w:val="none"/>
        </w:rPr>
      </w:pPr>
    </w:p>
    <w:p w14:paraId="0FF94681">
      <w:pPr>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26" w:name="_Toc12269"/>
      <w:bookmarkStart w:id="27" w:name="_Toc28364"/>
      <w:r>
        <w:rPr>
          <w:rFonts w:hint="eastAsia" w:ascii="宋体" w:hAnsi="宋体" w:cs="宋体"/>
          <w:bCs/>
          <w:color w:val="auto"/>
          <w:sz w:val="36"/>
          <w:szCs w:val="36"/>
          <w:highlight w:val="none"/>
        </w:rPr>
        <w:t>第二部分  投标须知</w:t>
      </w:r>
      <w:bookmarkEnd w:id="26"/>
      <w:bookmarkEnd w:id="27"/>
    </w:p>
    <w:p w14:paraId="361383A8">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28" w:name="_Toc20823275"/>
      <w:bookmarkStart w:id="29" w:name="_Toc513029203"/>
      <w:bookmarkStart w:id="30" w:name="_Toc16938519"/>
      <w:bookmarkStart w:id="31" w:name="_Toc2896"/>
      <w:bookmarkStart w:id="32" w:name="_Toc120614214"/>
      <w:r>
        <w:rPr>
          <w:rFonts w:hint="eastAsia" w:ascii="宋体" w:hAnsi="宋体" w:eastAsia="宋体" w:cs="宋体"/>
          <w:color w:val="auto"/>
          <w:sz w:val="28"/>
          <w:szCs w:val="28"/>
          <w:highlight w:val="none"/>
        </w:rPr>
        <w:t>一、总则</w:t>
      </w:r>
      <w:bookmarkEnd w:id="28"/>
      <w:bookmarkEnd w:id="29"/>
      <w:bookmarkEnd w:id="30"/>
      <w:bookmarkEnd w:id="31"/>
      <w:bookmarkEnd w:id="32"/>
    </w:p>
    <w:p w14:paraId="45A3A0CF">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33" w:name="_Hlt16619475"/>
      <w:bookmarkEnd w:id="33"/>
      <w:bookmarkStart w:id="34" w:name="_Toc458694821"/>
      <w:bookmarkStart w:id="35" w:name="_Toc513029204"/>
      <w:bookmarkStart w:id="36" w:name="_Toc16938520"/>
      <w:bookmarkStart w:id="37" w:name="_Toc20823276"/>
      <w:bookmarkStart w:id="38" w:name="_Toc2940"/>
      <w:r>
        <w:rPr>
          <w:rFonts w:hint="eastAsia" w:ascii="宋体" w:hAnsi="宋体" w:cs="宋体"/>
          <w:color w:val="auto"/>
          <w:sz w:val="28"/>
          <w:szCs w:val="28"/>
          <w:highlight w:val="none"/>
        </w:rPr>
        <w:t>1</w:t>
      </w:r>
      <w:bookmarkEnd w:id="34"/>
      <w:r>
        <w:rPr>
          <w:rFonts w:hint="eastAsia" w:ascii="宋体" w:hAnsi="宋体" w:cs="宋体"/>
          <w:color w:val="auto"/>
          <w:sz w:val="28"/>
          <w:szCs w:val="28"/>
          <w:highlight w:val="none"/>
        </w:rPr>
        <w:t>.招标方式</w:t>
      </w:r>
      <w:bookmarkEnd w:id="35"/>
      <w:bookmarkEnd w:id="36"/>
      <w:bookmarkEnd w:id="37"/>
      <w:bookmarkEnd w:id="38"/>
    </w:p>
    <w:p w14:paraId="2415E2B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1.1本次招标采取公开招标方式，本招标文件仅适用于招标公告中所述项目。</w:t>
      </w:r>
    </w:p>
    <w:p w14:paraId="41A8855E">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39" w:name="_Toc20823277"/>
      <w:bookmarkStart w:id="40" w:name="_Toc32621"/>
      <w:bookmarkStart w:id="41" w:name="_Toc513029205"/>
      <w:bookmarkStart w:id="42" w:name="_Toc16938521"/>
      <w:r>
        <w:rPr>
          <w:rFonts w:hint="eastAsia" w:ascii="宋体" w:hAnsi="宋体" w:cs="宋体"/>
          <w:color w:val="auto"/>
          <w:sz w:val="28"/>
          <w:szCs w:val="28"/>
          <w:highlight w:val="none"/>
        </w:rPr>
        <w:t>2.合格的投标人</w:t>
      </w:r>
      <w:bookmarkEnd w:id="39"/>
      <w:bookmarkEnd w:id="40"/>
      <w:bookmarkEnd w:id="41"/>
      <w:bookmarkEnd w:id="42"/>
    </w:p>
    <w:p w14:paraId="78960D6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2.1满足招标公告中投标人的资格要求的规定。</w:t>
      </w:r>
    </w:p>
    <w:p w14:paraId="2264989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04F466C9">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43" w:name="_Toc513029206"/>
      <w:bookmarkStart w:id="44" w:name="_Toc16938522"/>
      <w:bookmarkStart w:id="45" w:name="_Toc20823278"/>
      <w:bookmarkStart w:id="46" w:name="_Toc1005"/>
      <w:r>
        <w:rPr>
          <w:rFonts w:hint="eastAsia" w:ascii="宋体" w:hAnsi="宋体" w:cs="宋体"/>
          <w:color w:val="auto"/>
          <w:sz w:val="28"/>
          <w:szCs w:val="28"/>
          <w:highlight w:val="none"/>
        </w:rPr>
        <w:t>3.适用法律</w:t>
      </w:r>
      <w:bookmarkEnd w:id="43"/>
      <w:bookmarkEnd w:id="44"/>
      <w:bookmarkEnd w:id="45"/>
      <w:bookmarkEnd w:id="46"/>
    </w:p>
    <w:p w14:paraId="2349C1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45B36E7B">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47" w:name="_Toc16938523"/>
      <w:bookmarkStart w:id="48" w:name="_Toc23647"/>
      <w:bookmarkStart w:id="49" w:name="_Toc20823279"/>
      <w:bookmarkStart w:id="50" w:name="_Toc462564067"/>
      <w:bookmarkStart w:id="51" w:name="_Toc513029207"/>
      <w:r>
        <w:rPr>
          <w:rFonts w:hint="eastAsia" w:ascii="宋体" w:hAnsi="宋体" w:cs="宋体"/>
          <w:color w:val="auto"/>
          <w:sz w:val="28"/>
          <w:szCs w:val="28"/>
          <w:highlight w:val="none"/>
        </w:rPr>
        <w:t>4.投标费用</w:t>
      </w:r>
      <w:bookmarkEnd w:id="47"/>
      <w:bookmarkEnd w:id="48"/>
      <w:bookmarkEnd w:id="49"/>
      <w:bookmarkEnd w:id="50"/>
      <w:bookmarkEnd w:id="51"/>
    </w:p>
    <w:p w14:paraId="3D04967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4.1</w:t>
      </w:r>
      <w:r>
        <w:rPr>
          <w:rFonts w:hint="eastAsia" w:ascii="宋体" w:hAnsi="宋体" w:cs="宋体"/>
          <w:color w:val="auto"/>
          <w:sz w:val="28"/>
          <w:szCs w:val="28"/>
          <w:highlight w:val="none"/>
        </w:rPr>
        <w:t>投标人应自行承担所有与参加投标有关的费用，无论投标过程中的做法和结果如何，南通苏采招投标咨询服务有限公司（以下简称招标代理机构）在任何情况下均无义务和责任承担这些费用。</w:t>
      </w:r>
    </w:p>
    <w:p w14:paraId="1F468CE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4.2本项目招标代理费按江苏省招标投标协会苏招协【2022】002号文件标准的50%计收，由中标人承担，专家费用由采购人支付。投标人报价时应综合考虑（不单列）</w:t>
      </w:r>
    </w:p>
    <w:p w14:paraId="395B19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w:t>
      </w:r>
      <w:r>
        <w:rPr>
          <w:rFonts w:hint="eastAsia" w:ascii="宋体" w:hAnsi="宋体" w:cs="宋体"/>
          <w:color w:val="auto"/>
          <w:sz w:val="28"/>
          <w:szCs w:val="28"/>
          <w:highlight w:val="none"/>
          <w:lang w:val="zh-CN"/>
        </w:rPr>
        <w:t>代理费定标后由</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候选人支付给代理机构。因</w:t>
      </w:r>
      <w:r>
        <w:rPr>
          <w:rFonts w:hint="eastAsia" w:ascii="宋体" w:hAnsi="宋体" w:cs="宋体"/>
          <w:color w:val="auto"/>
          <w:sz w:val="28"/>
          <w:szCs w:val="28"/>
          <w:highlight w:val="none"/>
        </w:rPr>
        <w:t>中标人</w:t>
      </w:r>
      <w:r>
        <w:rPr>
          <w:rFonts w:hint="eastAsia" w:ascii="宋体" w:hAnsi="宋体" w:cs="宋体"/>
          <w:color w:val="auto"/>
          <w:sz w:val="28"/>
          <w:szCs w:val="28"/>
          <w:highlight w:val="none"/>
          <w:lang w:val="zh-CN"/>
        </w:rPr>
        <w:t>原因导致</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结果变更或取消</w:t>
      </w:r>
      <w:r>
        <w:rPr>
          <w:rFonts w:hint="eastAsia" w:ascii="宋体" w:hAnsi="宋体" w:cs="宋体"/>
          <w:color w:val="auto"/>
          <w:sz w:val="28"/>
          <w:szCs w:val="28"/>
          <w:highlight w:val="none"/>
        </w:rPr>
        <w:t>中标</w:t>
      </w:r>
      <w:r>
        <w:rPr>
          <w:rFonts w:hint="eastAsia" w:ascii="宋体" w:hAnsi="宋体" w:cs="宋体"/>
          <w:color w:val="auto"/>
          <w:sz w:val="28"/>
          <w:szCs w:val="28"/>
          <w:highlight w:val="none"/>
          <w:lang w:val="zh-CN"/>
        </w:rPr>
        <w:t>资格等，代理费不予退还。</w:t>
      </w:r>
    </w:p>
    <w:p w14:paraId="7CB49031">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52" w:name="_Toc19559"/>
      <w:r>
        <w:rPr>
          <w:rFonts w:hint="eastAsia" w:ascii="宋体" w:hAnsi="宋体" w:cs="宋体"/>
          <w:color w:val="auto"/>
          <w:sz w:val="28"/>
          <w:szCs w:val="28"/>
          <w:highlight w:val="none"/>
        </w:rPr>
        <w:t>5.招标文件的约束力</w:t>
      </w:r>
      <w:bookmarkEnd w:id="52"/>
    </w:p>
    <w:p w14:paraId="410782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79DC5FE">
      <w:pPr>
        <w:adjustRightInd w:val="0"/>
        <w:snapToGrid w:val="0"/>
        <w:spacing w:line="460" w:lineRule="exact"/>
        <w:ind w:firstLine="560" w:firstLineChars="200"/>
        <w:outlineLvl w:val="2"/>
        <w:rPr>
          <w:rFonts w:ascii="宋体" w:hAnsi="宋体" w:cs="宋体"/>
          <w:color w:val="auto"/>
          <w:sz w:val="28"/>
          <w:szCs w:val="28"/>
          <w:highlight w:val="none"/>
        </w:rPr>
      </w:pPr>
      <w:bookmarkStart w:id="53" w:name="_Toc20136"/>
      <w:r>
        <w:rPr>
          <w:rFonts w:hint="eastAsia" w:ascii="宋体" w:hAnsi="宋体" w:cs="宋体"/>
          <w:color w:val="auto"/>
          <w:sz w:val="28"/>
          <w:szCs w:val="28"/>
          <w:highlight w:val="none"/>
        </w:rPr>
        <w:t>6.招标文件的解释</w:t>
      </w:r>
      <w:bookmarkEnd w:id="53"/>
    </w:p>
    <w:p w14:paraId="3F5A781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招标文件需求部分（投标人资格要求、项目需求、商务技术评分标准）由采购人解释，其他部分由代理机构解释。</w:t>
      </w:r>
    </w:p>
    <w:p w14:paraId="0386D3DF">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54" w:name="_Toc513029209"/>
      <w:bookmarkStart w:id="55" w:name="_Toc20823281"/>
      <w:bookmarkStart w:id="56" w:name="_Toc16938525"/>
      <w:bookmarkStart w:id="57" w:name="_Toc21896"/>
      <w:bookmarkStart w:id="58" w:name="_Toc120614215"/>
      <w:r>
        <w:rPr>
          <w:rFonts w:hint="eastAsia" w:ascii="宋体" w:hAnsi="宋体" w:eastAsia="宋体" w:cs="宋体"/>
          <w:color w:val="auto"/>
          <w:sz w:val="28"/>
          <w:szCs w:val="28"/>
          <w:highlight w:val="none"/>
        </w:rPr>
        <w:t>二、招标文件</w:t>
      </w:r>
      <w:bookmarkEnd w:id="54"/>
      <w:bookmarkEnd w:id="55"/>
      <w:bookmarkEnd w:id="56"/>
      <w:bookmarkEnd w:id="57"/>
      <w:bookmarkEnd w:id="58"/>
    </w:p>
    <w:p w14:paraId="74669730">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59" w:name="_Toc513029210"/>
      <w:bookmarkStart w:id="60" w:name="_Toc16938526"/>
      <w:bookmarkStart w:id="61" w:name="_Toc18925"/>
      <w:bookmarkStart w:id="62" w:name="_Toc20823282"/>
      <w:r>
        <w:rPr>
          <w:rFonts w:hint="eastAsia" w:ascii="宋体" w:hAnsi="宋体" w:cs="宋体"/>
          <w:color w:val="auto"/>
          <w:sz w:val="28"/>
          <w:szCs w:val="28"/>
          <w:highlight w:val="none"/>
        </w:rPr>
        <w:t>1.招标文件构成</w:t>
      </w:r>
      <w:bookmarkEnd w:id="59"/>
      <w:bookmarkEnd w:id="60"/>
      <w:bookmarkEnd w:id="61"/>
      <w:bookmarkEnd w:id="62"/>
    </w:p>
    <w:p w14:paraId="4868881D">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招标文件由以下部分组成：</w:t>
      </w:r>
    </w:p>
    <w:p w14:paraId="64FDE00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（1）招标邀请</w:t>
      </w:r>
    </w:p>
    <w:p w14:paraId="07F4AFF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（2）投标须知</w:t>
      </w:r>
    </w:p>
    <w:p w14:paraId="4CB9D6C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64CDCA7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（4）开标和评标</w:t>
      </w:r>
    </w:p>
    <w:p w14:paraId="1EFB735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4EA2AC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（6）附件（如有）</w:t>
      </w:r>
    </w:p>
    <w:p w14:paraId="7A6326A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2E4C636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463A78">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63" w:name="_Toc20823283"/>
      <w:bookmarkStart w:id="64" w:name="_Toc462564070"/>
      <w:bookmarkStart w:id="65" w:name="_Toc31712"/>
      <w:bookmarkStart w:id="66" w:name="_Toc513029211"/>
      <w:bookmarkStart w:id="67" w:name="_Toc16938527"/>
      <w:r>
        <w:rPr>
          <w:rFonts w:hint="eastAsia" w:ascii="宋体" w:hAnsi="宋体" w:cs="宋体"/>
          <w:color w:val="auto"/>
          <w:sz w:val="28"/>
          <w:szCs w:val="28"/>
          <w:highlight w:val="none"/>
        </w:rPr>
        <w:t>2.招标文件的澄清</w:t>
      </w:r>
      <w:bookmarkEnd w:id="63"/>
      <w:bookmarkEnd w:id="64"/>
      <w:bookmarkEnd w:id="65"/>
      <w:bookmarkEnd w:id="66"/>
      <w:bookmarkEnd w:id="67"/>
    </w:p>
    <w:p w14:paraId="590C169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16FF5D95">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39563ADB">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68" w:name="_Toc16938528"/>
      <w:bookmarkStart w:id="69" w:name="_Toc462564071"/>
      <w:bookmarkStart w:id="70" w:name="_Toc31249"/>
      <w:bookmarkStart w:id="71" w:name="_Toc20823284"/>
      <w:bookmarkStart w:id="72" w:name="_Toc513029212"/>
      <w:r>
        <w:rPr>
          <w:rFonts w:hint="eastAsia" w:ascii="宋体" w:hAnsi="宋体" w:cs="宋体"/>
          <w:color w:val="auto"/>
          <w:sz w:val="28"/>
          <w:szCs w:val="28"/>
          <w:highlight w:val="none"/>
        </w:rPr>
        <w:t>3.招标文件的修改</w:t>
      </w:r>
      <w:bookmarkEnd w:id="68"/>
      <w:bookmarkEnd w:id="69"/>
      <w:bookmarkEnd w:id="70"/>
      <w:bookmarkEnd w:id="71"/>
      <w:bookmarkEnd w:id="72"/>
    </w:p>
    <w:p w14:paraId="4B24D525">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在投标截止时间前，代理机构可以对招标文件进行修改。</w:t>
      </w:r>
    </w:p>
    <w:p w14:paraId="076A300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代理机构有权按照法定的要求推迟投标截止日期和开标日期。</w:t>
      </w:r>
    </w:p>
    <w:p w14:paraId="6BF3E48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招标文件的修改将在江苏省政府采购网公布，补充文件将作为招标文件的组成部分，并对投标人具有约束力。</w:t>
      </w:r>
    </w:p>
    <w:p w14:paraId="1C00C97E">
      <w:pPr>
        <w:spacing w:line="460" w:lineRule="exact"/>
        <w:ind w:firstLine="482"/>
        <w:rPr>
          <w:rFonts w:ascii="宋体" w:hAnsi="宋体" w:cs="宋体"/>
          <w:b/>
          <w:bCs/>
          <w:color w:val="auto"/>
          <w:sz w:val="28"/>
          <w:szCs w:val="28"/>
          <w:highlight w:val="none"/>
          <w:u w:val="single"/>
        </w:rPr>
      </w:pPr>
      <w:bookmarkStart w:id="73" w:name="_Toc513029213"/>
      <w:bookmarkStart w:id="74" w:name="_Toc120614216"/>
      <w:bookmarkStart w:id="75" w:name="_Toc20823285"/>
      <w:bookmarkStart w:id="76" w:name="_Toc16938529"/>
      <w:bookmarkStart w:id="77" w:name="_Toc462564072"/>
      <w:r>
        <w:rPr>
          <w:rFonts w:hint="eastAsia" w:ascii="宋体" w:hAnsi="宋体" w:cs="宋体"/>
          <w:b/>
          <w:bCs/>
          <w:color w:val="auto"/>
          <w:sz w:val="28"/>
          <w:szCs w:val="28"/>
          <w:highlight w:val="none"/>
          <w:u w:val="single"/>
        </w:rPr>
        <w:t>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634562B3">
      <w:pPr>
        <w:spacing w:line="460" w:lineRule="exact"/>
        <w:ind w:firstLine="482"/>
        <w:rPr>
          <w:rFonts w:ascii="宋体" w:hAnsi="宋体" w:cs="宋体"/>
          <w:color w:val="auto"/>
          <w:sz w:val="24"/>
          <w:highlight w:val="none"/>
        </w:rPr>
      </w:pPr>
      <w:r>
        <w:rPr>
          <w:rFonts w:hint="eastAsia" w:ascii="宋体" w:hAnsi="宋体" w:cs="宋体"/>
          <w:color w:val="auto"/>
          <w:sz w:val="28"/>
          <w:szCs w:val="28"/>
          <w:highlight w:val="none"/>
        </w:rPr>
        <w:t>5.投标人对采购人提供的招标文件所做出的推论、解释和结论，采购人概不负责。投标人由于对招标文件的任何推论和误解以及采购人对有关问题的口头解释所造成的后果，均由各潜在投标人自负。</w:t>
      </w:r>
    </w:p>
    <w:p w14:paraId="4B41F54F">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78" w:name="_Toc16140"/>
      <w:r>
        <w:rPr>
          <w:rFonts w:hint="eastAsia" w:ascii="宋体" w:hAnsi="宋体" w:eastAsia="宋体" w:cs="宋体"/>
          <w:color w:val="auto"/>
          <w:sz w:val="28"/>
          <w:szCs w:val="28"/>
          <w:highlight w:val="none"/>
        </w:rPr>
        <w:t>三、投标文件的编制</w:t>
      </w:r>
      <w:bookmarkEnd w:id="73"/>
      <w:bookmarkEnd w:id="74"/>
      <w:bookmarkEnd w:id="75"/>
      <w:bookmarkEnd w:id="76"/>
      <w:bookmarkEnd w:id="77"/>
      <w:bookmarkEnd w:id="78"/>
    </w:p>
    <w:p w14:paraId="13C3C349">
      <w:pPr>
        <w:adjustRightInd w:val="0"/>
        <w:snapToGrid w:val="0"/>
        <w:spacing w:line="460" w:lineRule="exact"/>
        <w:ind w:firstLine="560" w:firstLineChars="200"/>
        <w:outlineLvl w:val="2"/>
        <w:rPr>
          <w:rFonts w:ascii="宋体" w:hAnsi="宋体" w:cs="宋体"/>
          <w:bCs/>
          <w:color w:val="auto"/>
          <w:sz w:val="28"/>
          <w:szCs w:val="28"/>
          <w:highlight w:val="none"/>
        </w:rPr>
      </w:pPr>
      <w:bookmarkStart w:id="79" w:name="_Toc462564073"/>
      <w:bookmarkStart w:id="80" w:name="_Toc32352"/>
      <w:bookmarkStart w:id="81" w:name="_Toc16938530"/>
      <w:bookmarkStart w:id="82" w:name="_Toc20823286"/>
      <w:bookmarkStart w:id="83" w:name="_Toc513029214"/>
      <w:r>
        <w:rPr>
          <w:rFonts w:hint="eastAsia" w:ascii="宋体" w:hAnsi="宋体" w:cs="宋体"/>
          <w:color w:val="auto"/>
          <w:sz w:val="28"/>
          <w:szCs w:val="28"/>
          <w:highlight w:val="none"/>
        </w:rPr>
        <w:t>1.投标文件的语言及度量衡单位</w:t>
      </w:r>
      <w:bookmarkEnd w:id="79"/>
      <w:bookmarkEnd w:id="80"/>
      <w:bookmarkEnd w:id="81"/>
      <w:bookmarkEnd w:id="82"/>
      <w:bookmarkEnd w:id="83"/>
    </w:p>
    <w:p w14:paraId="36B4C3D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70DAA5C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除技术性能另有规定外，投标文件所使用的度量衡单位，均须采用国家法定计量单位。</w:t>
      </w:r>
    </w:p>
    <w:p w14:paraId="564654C6">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84" w:name="_Toc28358"/>
      <w:bookmarkStart w:id="85" w:name="_Toc513029215"/>
      <w:bookmarkStart w:id="86" w:name="_Toc16938531"/>
      <w:bookmarkStart w:id="87" w:name="_Toc20823287"/>
      <w:bookmarkStart w:id="88" w:name="_Toc462564074"/>
      <w:r>
        <w:rPr>
          <w:rFonts w:hint="eastAsia" w:ascii="宋体" w:hAnsi="宋体" w:cs="宋体"/>
          <w:color w:val="auto"/>
          <w:sz w:val="28"/>
          <w:szCs w:val="28"/>
          <w:highlight w:val="none"/>
        </w:rPr>
        <w:t>2.投标文件构成</w:t>
      </w:r>
      <w:bookmarkEnd w:id="84"/>
      <w:bookmarkEnd w:id="85"/>
      <w:bookmarkEnd w:id="86"/>
      <w:bookmarkEnd w:id="87"/>
      <w:bookmarkEnd w:id="88"/>
    </w:p>
    <w:p w14:paraId="07A5FC7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投标人编写的投标文件应包括资格审查证明材料文件、商务技术标文件、价格标文件。投标人按“第五部分 投标文件组成”要求编写投标文件</w:t>
      </w:r>
    </w:p>
    <w:p w14:paraId="56FE47A2">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89" w:name="_Hlt26668975"/>
      <w:bookmarkEnd w:id="89"/>
      <w:bookmarkStart w:id="90" w:name="_Hlt26670360"/>
      <w:bookmarkEnd w:id="90"/>
      <w:bookmarkStart w:id="91" w:name="_Hlt26954838"/>
      <w:bookmarkEnd w:id="91"/>
      <w:bookmarkStart w:id="92" w:name="_Toc49090511"/>
      <w:bookmarkStart w:id="93" w:name="_Toc18141"/>
      <w:bookmarkStart w:id="94" w:name="_Toc14577360"/>
      <w:r>
        <w:rPr>
          <w:rFonts w:hint="eastAsia" w:ascii="宋体" w:hAnsi="宋体" w:cs="宋体"/>
          <w:color w:val="auto"/>
          <w:sz w:val="28"/>
          <w:szCs w:val="28"/>
          <w:highlight w:val="none"/>
        </w:rPr>
        <w:t>3.投标有效期</w:t>
      </w:r>
      <w:bookmarkEnd w:id="92"/>
      <w:bookmarkEnd w:id="93"/>
      <w:bookmarkEnd w:id="94"/>
    </w:p>
    <w:p w14:paraId="2E0C01B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15538344">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95" w:name="_Toc25966"/>
      <w:r>
        <w:rPr>
          <w:rFonts w:hint="eastAsia" w:ascii="宋体" w:hAnsi="宋体" w:cs="宋体"/>
          <w:color w:val="auto"/>
          <w:sz w:val="28"/>
          <w:szCs w:val="28"/>
          <w:highlight w:val="none"/>
        </w:rPr>
        <w:t>4.投标有效期的延长</w:t>
      </w:r>
      <w:bookmarkEnd w:id="95"/>
    </w:p>
    <w:p w14:paraId="6C48D3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3A3A6D4E">
      <w:pPr>
        <w:adjustRightInd w:val="0"/>
        <w:snapToGrid w:val="0"/>
        <w:spacing w:line="460" w:lineRule="exact"/>
        <w:ind w:firstLine="560" w:firstLineChars="200"/>
        <w:outlineLvl w:val="2"/>
        <w:rPr>
          <w:rFonts w:ascii="宋体" w:hAnsi="宋体" w:cs="宋体"/>
          <w:bCs/>
          <w:color w:val="auto"/>
          <w:sz w:val="28"/>
          <w:szCs w:val="28"/>
          <w:highlight w:val="none"/>
        </w:rPr>
      </w:pPr>
      <w:bookmarkStart w:id="96" w:name="_Hlt26954739"/>
      <w:bookmarkEnd w:id="96"/>
      <w:bookmarkStart w:id="97" w:name="_Hlt26954852"/>
      <w:bookmarkEnd w:id="97"/>
      <w:bookmarkStart w:id="98" w:name="_Toc27948"/>
      <w:bookmarkStart w:id="99" w:name="_Toc513029224"/>
      <w:bookmarkStart w:id="100" w:name="_Toc16938540"/>
      <w:bookmarkStart w:id="101" w:name="_Toc120614217"/>
      <w:bookmarkStart w:id="102" w:name="_Toc20823296"/>
      <w:r>
        <w:rPr>
          <w:rFonts w:hint="eastAsia" w:ascii="宋体" w:hAnsi="宋体" w:cs="宋体"/>
          <w:bCs/>
          <w:color w:val="auto"/>
          <w:sz w:val="28"/>
          <w:szCs w:val="28"/>
          <w:highlight w:val="none"/>
        </w:rPr>
        <w:t>5.电子投标文件其他要求</w:t>
      </w:r>
      <w:bookmarkEnd w:id="98"/>
    </w:p>
    <w:p w14:paraId="352FB4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5.1电子招标投标交易平台（即“苏采云”系统）相关要求是本招标文件的组成部分。</w:t>
      </w:r>
    </w:p>
    <w:p w14:paraId="67E6F16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5.2投标人应对CA证书妥善保管，如被他人盗用投标，因此带来的结果均由投标人自行承担。</w:t>
      </w:r>
    </w:p>
    <w:p w14:paraId="4A4F1B8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5.3投标人应当对招标文件提出的实质性要求和条件作出实质性响应，并在电子投标系统逐条应答。</w:t>
      </w:r>
    </w:p>
    <w:p w14:paraId="26E2F28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p>
    <w:p w14:paraId="4607EF7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6.投标人应当在招标文件要求提交投标文件的截止时间前，将投标文件提交至“苏采云”系统，逾期提交的投标文件，“苏采云”系统将自动拒收。各投标人应在规定时间内凭CA证书进行网上解密。</w:t>
      </w:r>
    </w:p>
    <w:p w14:paraId="417C8D1E">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03" w:name="_Toc25552"/>
      <w:r>
        <w:rPr>
          <w:rFonts w:hint="eastAsia" w:ascii="宋体" w:hAnsi="宋体" w:eastAsia="宋体" w:cs="宋体"/>
          <w:color w:val="auto"/>
          <w:sz w:val="28"/>
          <w:szCs w:val="28"/>
          <w:highlight w:val="none"/>
        </w:rPr>
        <w:t>四、投标文件的递交</w:t>
      </w:r>
      <w:bookmarkEnd w:id="99"/>
      <w:bookmarkEnd w:id="100"/>
      <w:bookmarkEnd w:id="101"/>
      <w:bookmarkEnd w:id="102"/>
      <w:bookmarkEnd w:id="103"/>
    </w:p>
    <w:p w14:paraId="0E0518E4">
      <w:pPr>
        <w:adjustRightInd w:val="0"/>
        <w:snapToGrid w:val="0"/>
        <w:spacing w:line="460" w:lineRule="exact"/>
        <w:ind w:firstLine="560" w:firstLineChars="200"/>
        <w:outlineLvl w:val="2"/>
        <w:rPr>
          <w:rFonts w:ascii="宋体" w:hAnsi="宋体" w:cs="宋体"/>
          <w:bCs/>
          <w:color w:val="auto"/>
          <w:sz w:val="28"/>
          <w:szCs w:val="28"/>
          <w:highlight w:val="none"/>
        </w:rPr>
      </w:pPr>
      <w:bookmarkStart w:id="104" w:name="_Toc20823297"/>
      <w:bookmarkStart w:id="105" w:name="_Toc513029225"/>
      <w:bookmarkStart w:id="106" w:name="_Toc16938541"/>
      <w:bookmarkStart w:id="107" w:name="_Toc462564084"/>
      <w:bookmarkStart w:id="108" w:name="_Toc28087"/>
      <w:bookmarkStart w:id="109" w:name="_Toc120614218"/>
      <w:bookmarkStart w:id="110" w:name="_Toc16938545"/>
      <w:bookmarkStart w:id="111" w:name="_Toc513029229"/>
      <w:bookmarkStart w:id="112" w:name="_Toc20823301"/>
      <w:r>
        <w:rPr>
          <w:rFonts w:hint="eastAsia" w:ascii="宋体" w:hAnsi="宋体" w:cs="宋体"/>
          <w:bCs/>
          <w:color w:val="auto"/>
          <w:sz w:val="28"/>
          <w:szCs w:val="28"/>
          <w:highlight w:val="none"/>
        </w:rPr>
        <w:t>1.</w:t>
      </w:r>
      <w:bookmarkEnd w:id="104"/>
      <w:bookmarkEnd w:id="105"/>
      <w:bookmarkEnd w:id="106"/>
      <w:bookmarkEnd w:id="107"/>
      <w:r>
        <w:rPr>
          <w:rFonts w:hint="eastAsia" w:ascii="宋体" w:hAnsi="宋体" w:cs="宋体"/>
          <w:bCs/>
          <w:color w:val="auto"/>
          <w:sz w:val="28"/>
          <w:szCs w:val="28"/>
          <w:highlight w:val="none"/>
        </w:rPr>
        <w:t>投标文件的提交</w:t>
      </w:r>
      <w:bookmarkEnd w:id="108"/>
    </w:p>
    <w:p w14:paraId="4C5B1BD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1.1线上提交与接收地点：投标人应当通过“苏采云”系统提交数据电文形式的投标文件（即电子投标），“苏采云”系统自动接收。</w:t>
      </w:r>
    </w:p>
    <w:p w14:paraId="59E23D2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05F20F5E">
      <w:pPr>
        <w:adjustRightInd w:val="0"/>
        <w:snapToGrid w:val="0"/>
        <w:spacing w:line="460" w:lineRule="exact"/>
        <w:ind w:firstLine="560" w:firstLineChars="200"/>
        <w:outlineLvl w:val="2"/>
        <w:rPr>
          <w:rFonts w:ascii="宋体" w:hAnsi="宋体" w:cs="宋体"/>
          <w:bCs/>
          <w:color w:val="auto"/>
          <w:sz w:val="28"/>
          <w:szCs w:val="28"/>
          <w:highlight w:val="none"/>
        </w:rPr>
      </w:pPr>
      <w:bookmarkStart w:id="113" w:name="_Toc60"/>
      <w:r>
        <w:rPr>
          <w:rFonts w:hint="eastAsia" w:ascii="宋体" w:hAnsi="宋体" w:cs="宋体"/>
          <w:bCs/>
          <w:color w:val="auto"/>
          <w:sz w:val="28"/>
          <w:szCs w:val="28"/>
          <w:highlight w:val="none"/>
        </w:rPr>
        <w:t>2.提交投标文件截止日期</w:t>
      </w:r>
      <w:bookmarkEnd w:id="113"/>
    </w:p>
    <w:p w14:paraId="0AB4D7F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2.1投标人上传电子投标文件的时间不得迟于公开招标公告中规定的投标文件提交截止时间。</w:t>
      </w:r>
    </w:p>
    <w:p w14:paraId="43E291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投标人应充分考虑到网络环境、网络带宽等风险因素，如因投标人自身原因造成的电子投标文件上传不成功由投标人自行承担全部责任。</w:t>
      </w:r>
    </w:p>
    <w:p w14:paraId="5CDAABD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2.2采购人或招标代理机构可以按照规定，通过修改投标文件酌情延长投标文件提交截止日期，在此情况下，投标人的所有权利和义务以及投标人受制的截止日期均应以延长后新的截止日期为准。</w:t>
      </w:r>
    </w:p>
    <w:p w14:paraId="102CE9A6">
      <w:pPr>
        <w:adjustRightInd w:val="0"/>
        <w:snapToGrid w:val="0"/>
        <w:spacing w:line="460" w:lineRule="exact"/>
        <w:ind w:firstLine="560" w:firstLineChars="200"/>
        <w:outlineLvl w:val="2"/>
        <w:rPr>
          <w:rFonts w:ascii="宋体" w:hAnsi="宋体" w:cs="宋体"/>
          <w:bCs/>
          <w:color w:val="auto"/>
          <w:sz w:val="28"/>
          <w:szCs w:val="28"/>
          <w:highlight w:val="none"/>
        </w:rPr>
      </w:pPr>
      <w:bookmarkStart w:id="114" w:name="_Toc2805"/>
      <w:r>
        <w:rPr>
          <w:rFonts w:hint="eastAsia" w:ascii="宋体" w:hAnsi="宋体" w:cs="宋体"/>
          <w:bCs/>
          <w:color w:val="auto"/>
          <w:sz w:val="28"/>
          <w:szCs w:val="28"/>
          <w:highlight w:val="none"/>
        </w:rPr>
        <w:t>3.投标文件的密封（加密）要求：</w:t>
      </w:r>
      <w:bookmarkEnd w:id="114"/>
    </w:p>
    <w:p w14:paraId="3E1E478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5FAB972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3.2投标人须通过“苏采云”系统提供的政府采购客户端工具（使用“CA数字证书”）加盖电子签章。</w:t>
      </w:r>
    </w:p>
    <w:p w14:paraId="65025E0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说明：投标人应在用CA数字证书以及自备的能够登录“苏采云”系统的电脑，在达到开标时间后，使用CA数字证书解密各自投标文件。</w:t>
      </w:r>
    </w:p>
    <w:p w14:paraId="5493186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3.3投标人未按规定加密的投标文件，“苏采云”系统将拒收并提示。</w:t>
      </w:r>
    </w:p>
    <w:p w14:paraId="2674E036">
      <w:pPr>
        <w:adjustRightInd w:val="0"/>
        <w:snapToGrid w:val="0"/>
        <w:spacing w:line="460" w:lineRule="exact"/>
        <w:ind w:firstLine="560" w:firstLineChars="200"/>
        <w:outlineLvl w:val="2"/>
        <w:rPr>
          <w:rFonts w:ascii="宋体" w:hAnsi="宋体" w:cs="宋体"/>
          <w:bCs/>
          <w:color w:val="auto"/>
          <w:sz w:val="28"/>
          <w:szCs w:val="28"/>
          <w:highlight w:val="none"/>
        </w:rPr>
      </w:pPr>
      <w:bookmarkStart w:id="115" w:name="_Toc27425"/>
      <w:r>
        <w:rPr>
          <w:rFonts w:hint="eastAsia" w:ascii="宋体" w:hAnsi="宋体" w:cs="宋体"/>
          <w:bCs/>
          <w:color w:val="auto"/>
          <w:sz w:val="28"/>
          <w:szCs w:val="28"/>
          <w:highlight w:val="none"/>
        </w:rPr>
        <w:t>4.投标文件的拒收</w:t>
      </w:r>
      <w:bookmarkEnd w:id="115"/>
    </w:p>
    <w:p w14:paraId="58DCD13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4.1招标代理机构拒绝接收在其规定的投标文件提交截止时间后上传的任何投标文件。</w:t>
      </w:r>
    </w:p>
    <w:p w14:paraId="3FBEF6ED">
      <w:pPr>
        <w:adjustRightInd w:val="0"/>
        <w:snapToGrid w:val="0"/>
        <w:spacing w:line="460" w:lineRule="exact"/>
        <w:ind w:firstLine="560" w:firstLineChars="200"/>
        <w:outlineLvl w:val="2"/>
        <w:rPr>
          <w:rFonts w:ascii="宋体" w:hAnsi="宋体" w:cs="宋体"/>
          <w:bCs/>
          <w:color w:val="auto"/>
          <w:sz w:val="28"/>
          <w:szCs w:val="28"/>
          <w:highlight w:val="none"/>
        </w:rPr>
      </w:pPr>
      <w:bookmarkStart w:id="116" w:name="_Toc13316"/>
      <w:r>
        <w:rPr>
          <w:rFonts w:hint="eastAsia" w:ascii="宋体" w:hAnsi="宋体" w:cs="宋体"/>
          <w:bCs/>
          <w:color w:val="auto"/>
          <w:sz w:val="28"/>
          <w:szCs w:val="28"/>
          <w:highlight w:val="none"/>
        </w:rPr>
        <w:t>5.投标文件的撤回和修改</w:t>
      </w:r>
      <w:bookmarkEnd w:id="116"/>
    </w:p>
    <w:p w14:paraId="38065100">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5.1投标文件的撤回</w:t>
      </w:r>
    </w:p>
    <w:p w14:paraId="07A4FB1A">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5.1.1电子投标文件的撤回</w:t>
      </w:r>
    </w:p>
    <w:p w14:paraId="1B56A0C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投标人可在投标文件提交截止时间前，撤回其电子投标文件，具体操作方法见“苏采云”系统供应商操作手册。</w:t>
      </w:r>
    </w:p>
    <w:p w14:paraId="3D110AA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5.1.2投标人撤回电子投标文件，则认为其不再参与本项目投标活动。</w:t>
      </w:r>
    </w:p>
    <w:p w14:paraId="65B55DF4">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5.2投标文件的修改</w:t>
      </w:r>
    </w:p>
    <w:p w14:paraId="2F5D21C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投标人可在投标文件提交截止时间前，对其电子投标文件进行修改。具体操作方法见“苏采云”系统供应商操作手册。</w:t>
      </w:r>
    </w:p>
    <w:p w14:paraId="5D1206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5.3在投标文件提交截止时间之后，投标人不得对其电子投标文件作任何修改。</w:t>
      </w:r>
    </w:p>
    <w:p w14:paraId="1E96738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5.4在投标文件提交截止时间至招标文件中规定的投标有效期满之间的这段时间内，投标人不得撤回其投标文件。</w:t>
      </w:r>
    </w:p>
    <w:p w14:paraId="66A8112A">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17" w:name="_Toc7634"/>
      <w:r>
        <w:rPr>
          <w:rFonts w:hint="eastAsia" w:ascii="宋体" w:hAnsi="宋体" w:eastAsia="宋体" w:cs="宋体"/>
          <w:color w:val="auto"/>
          <w:sz w:val="28"/>
          <w:szCs w:val="28"/>
          <w:highlight w:val="none"/>
        </w:rPr>
        <w:t>五、开标与评标</w:t>
      </w:r>
      <w:bookmarkEnd w:id="109"/>
      <w:bookmarkEnd w:id="110"/>
      <w:bookmarkEnd w:id="111"/>
      <w:bookmarkEnd w:id="112"/>
      <w:bookmarkEnd w:id="117"/>
    </w:p>
    <w:p w14:paraId="49361D6D">
      <w:pPr>
        <w:spacing w:line="460" w:lineRule="exact"/>
        <w:ind w:firstLine="360"/>
        <w:outlineLvl w:val="2"/>
        <w:rPr>
          <w:rFonts w:ascii="宋体" w:hAnsi="宋体" w:cs="宋体"/>
          <w:bCs/>
          <w:color w:val="auto"/>
          <w:sz w:val="28"/>
          <w:szCs w:val="28"/>
          <w:highlight w:val="none"/>
        </w:rPr>
      </w:pPr>
      <w:bookmarkStart w:id="118" w:name="_Toc20724"/>
      <w:bookmarkStart w:id="119" w:name="_Toc513029231"/>
      <w:bookmarkStart w:id="120" w:name="_Toc16938547"/>
      <w:bookmarkStart w:id="121" w:name="_Toc20823303"/>
      <w:r>
        <w:rPr>
          <w:rFonts w:hint="eastAsia" w:ascii="宋体" w:hAnsi="宋体" w:cs="宋体"/>
          <w:bCs/>
          <w:color w:val="auto"/>
          <w:sz w:val="28"/>
          <w:szCs w:val="28"/>
          <w:highlight w:val="none"/>
        </w:rPr>
        <w:t>1.开标</w:t>
      </w:r>
      <w:bookmarkEnd w:id="118"/>
    </w:p>
    <w:p w14:paraId="11563FC8">
      <w:pPr>
        <w:spacing w:line="460" w:lineRule="exact"/>
        <w:ind w:firstLine="482"/>
        <w:rPr>
          <w:rFonts w:ascii="宋体" w:hAnsi="宋体" w:cs="宋体"/>
          <w:b/>
          <w:color w:val="auto"/>
          <w:sz w:val="28"/>
          <w:szCs w:val="28"/>
          <w:highlight w:val="none"/>
        </w:rPr>
      </w:pPr>
      <w:r>
        <w:rPr>
          <w:rFonts w:hint="eastAsia" w:ascii="宋体" w:hAnsi="宋体" w:cs="宋体"/>
          <w:b/>
          <w:color w:val="auto"/>
          <w:sz w:val="28"/>
          <w:szCs w:val="28"/>
          <w:highlight w:val="none"/>
        </w:rPr>
        <w:t>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30分钟之内</w:t>
      </w:r>
      <w:r>
        <w:rPr>
          <w:rFonts w:hint="eastAsia" w:ascii="宋体" w:hAnsi="宋体" w:cs="宋体"/>
          <w:b/>
          <w:color w:val="auto"/>
          <w:sz w:val="28"/>
          <w:szCs w:val="28"/>
          <w:highlight w:val="none"/>
        </w:rPr>
        <w:t>完成。</w:t>
      </w:r>
    </w:p>
    <w:p w14:paraId="16ABD299">
      <w:pPr>
        <w:spacing w:line="460" w:lineRule="exact"/>
        <w:ind w:firstLine="482"/>
        <w:rPr>
          <w:rFonts w:ascii="宋体" w:hAnsi="宋体" w:cs="宋体"/>
          <w:b/>
          <w:color w:val="auto"/>
          <w:sz w:val="28"/>
          <w:szCs w:val="28"/>
          <w:highlight w:val="none"/>
        </w:rPr>
      </w:pPr>
      <w:r>
        <w:rPr>
          <w:rFonts w:hint="eastAsia" w:ascii="宋体" w:hAnsi="宋体" w:cs="宋体"/>
          <w:b/>
          <w:color w:val="auto"/>
          <w:sz w:val="28"/>
          <w:szCs w:val="28"/>
          <w:highlight w:val="none"/>
          <w:u w:val="single"/>
        </w:rPr>
        <w:t>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因采购人（或招标代理机构）原因或网上招投标平台发生故障，导致无法按时完成投标文件解密或开、评标工作无法进行的，可根据实际情况相应延迟解密时间或调整开、评标时间。</w:t>
      </w:r>
    </w:p>
    <w:p w14:paraId="68410622">
      <w:pPr>
        <w:spacing w:line="460" w:lineRule="exact"/>
        <w:ind w:firstLine="480"/>
        <w:rPr>
          <w:rFonts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开标仪式由</w:t>
      </w:r>
      <w:r>
        <w:rPr>
          <w:rFonts w:hint="eastAsia" w:ascii="宋体" w:hAnsi="宋体" w:cs="宋体"/>
          <w:bCs/>
          <w:color w:val="auto"/>
          <w:sz w:val="28"/>
          <w:szCs w:val="28"/>
          <w:highlight w:val="none"/>
        </w:rPr>
        <w:t>招标代理机构</w:t>
      </w:r>
      <w:r>
        <w:rPr>
          <w:rFonts w:hint="eastAsia" w:ascii="宋体" w:hAnsi="宋体" w:cs="宋体"/>
          <w:color w:val="auto"/>
          <w:sz w:val="28"/>
          <w:szCs w:val="28"/>
          <w:highlight w:val="none"/>
        </w:rPr>
        <w:t>组织。苏采云系统将自动对项目进行开标，并宣布各投标人名称和投标价格。</w:t>
      </w:r>
    </w:p>
    <w:p w14:paraId="0DB393A4">
      <w:pPr>
        <w:spacing w:line="460" w:lineRule="exact"/>
        <w:ind w:firstLine="480"/>
        <w:rPr>
          <w:rFonts w:ascii="宋体" w:hAnsi="宋体" w:cs="宋体"/>
          <w:color w:val="auto"/>
          <w:sz w:val="28"/>
          <w:szCs w:val="28"/>
          <w:highlight w:val="none"/>
        </w:rPr>
      </w:pPr>
      <w:r>
        <w:rPr>
          <w:rFonts w:hint="eastAsia" w:ascii="宋体" w:hAnsi="宋体" w:cs="宋体"/>
          <w:bCs/>
          <w:color w:val="auto"/>
          <w:sz w:val="28"/>
          <w:szCs w:val="28"/>
          <w:highlight w:val="none"/>
        </w:rPr>
        <w:t>1.4投标人在开标过程中涉及到的投标文件解密、开标结果确认等工作，应按照“苏采云”系统供应商操作手册规定执行。</w:t>
      </w:r>
    </w:p>
    <w:p w14:paraId="28B01F8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1.5投标人如果对开标过程和开标记录有疑义，应当根据</w:t>
      </w:r>
      <w:r>
        <w:rPr>
          <w:rFonts w:hint="eastAsia" w:ascii="宋体" w:hAnsi="宋体" w:cs="宋体"/>
          <w:bCs/>
          <w:color w:val="auto"/>
          <w:sz w:val="28"/>
          <w:szCs w:val="28"/>
          <w:highlight w:val="none"/>
        </w:rPr>
        <w:t>“苏采云”系统供应商操作手册</w:t>
      </w:r>
      <w:r>
        <w:rPr>
          <w:rFonts w:hint="eastAsia" w:ascii="宋体" w:hAnsi="宋体" w:cs="宋体"/>
          <w:color w:val="auto"/>
          <w:sz w:val="28"/>
          <w:szCs w:val="28"/>
          <w:highlight w:val="none"/>
        </w:rPr>
        <w:t>规定提出，如苏采云系统中《开标记录表》宣布后5分钟内未提出的，视同认可开标结果。</w:t>
      </w:r>
    </w:p>
    <w:bookmarkEnd w:id="119"/>
    <w:bookmarkEnd w:id="120"/>
    <w:bookmarkEnd w:id="121"/>
    <w:p w14:paraId="2C2049E8">
      <w:pPr>
        <w:spacing w:line="460" w:lineRule="exact"/>
        <w:ind w:firstLine="480"/>
        <w:outlineLvl w:val="2"/>
        <w:rPr>
          <w:rFonts w:ascii="宋体" w:hAnsi="宋体" w:cs="宋体"/>
          <w:bCs/>
          <w:color w:val="auto"/>
          <w:sz w:val="28"/>
          <w:szCs w:val="28"/>
          <w:highlight w:val="none"/>
        </w:rPr>
      </w:pPr>
      <w:bookmarkStart w:id="122" w:name="_Toc27677"/>
      <w:r>
        <w:rPr>
          <w:rFonts w:hint="eastAsia" w:ascii="宋体" w:hAnsi="宋体" w:cs="宋体"/>
          <w:bCs/>
          <w:color w:val="auto"/>
          <w:sz w:val="28"/>
          <w:szCs w:val="28"/>
          <w:highlight w:val="none"/>
        </w:rPr>
        <w:t>2.评标委员会</w:t>
      </w:r>
      <w:bookmarkEnd w:id="122"/>
    </w:p>
    <w:p w14:paraId="3F9C68E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2.1开标后，招标代理机构将立即组织评标委员会（以下简称评委会）进行评审。</w:t>
      </w:r>
    </w:p>
    <w:p w14:paraId="701F49F1">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2.2评委会由采购人代表和有关技术、经济等方面的专家组成，且人员构成符合政府采购有关规定。</w:t>
      </w:r>
    </w:p>
    <w:p w14:paraId="75B5E3A4">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2.3评标委员会独立工作，负责评审所有投标文件并确定中标候选人。</w:t>
      </w:r>
    </w:p>
    <w:p w14:paraId="5C6A7641">
      <w:pPr>
        <w:spacing w:line="460" w:lineRule="exact"/>
        <w:ind w:firstLine="480"/>
        <w:outlineLvl w:val="2"/>
        <w:rPr>
          <w:rFonts w:ascii="宋体" w:hAnsi="宋体" w:cs="宋体"/>
          <w:bCs/>
          <w:color w:val="auto"/>
          <w:sz w:val="28"/>
          <w:szCs w:val="28"/>
          <w:highlight w:val="none"/>
        </w:rPr>
      </w:pPr>
      <w:bookmarkStart w:id="123" w:name="_Toc10859"/>
      <w:r>
        <w:rPr>
          <w:rFonts w:hint="eastAsia" w:ascii="宋体" w:hAnsi="宋体" w:cs="宋体"/>
          <w:bCs/>
          <w:color w:val="auto"/>
          <w:sz w:val="28"/>
          <w:szCs w:val="28"/>
          <w:highlight w:val="none"/>
        </w:rPr>
        <w:t>3.评审过程的保密与公正</w:t>
      </w:r>
      <w:bookmarkEnd w:id="123"/>
    </w:p>
    <w:p w14:paraId="416EA690">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3.1评标委员会、采购人或招标代理机构、相关监督人员等与评审工作有关的人员，对评审情况以及在评审过程中获悉的国家秘密、商业秘密负有保密责任。</w:t>
      </w:r>
    </w:p>
    <w:p w14:paraId="37A12152">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3.2在评审过程中，投标人不得以任何行为影响评审过程，否则其投标文件将被作为无效投标文件。</w:t>
      </w:r>
    </w:p>
    <w:p w14:paraId="61B2865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2679D7DE">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3.4凡是与审查、澄清、评价和比较投标的有关资料以及授标建议等，采购人、评标委员会、招标代理机构均不得向投标人或与评标无关的其他人员透露。</w:t>
      </w:r>
    </w:p>
    <w:p w14:paraId="74364D4C">
      <w:pPr>
        <w:spacing w:line="460" w:lineRule="exact"/>
        <w:ind w:firstLine="48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3.5在评审期间，招标代理机构将设专门人员与投标人联系。</w:t>
      </w:r>
    </w:p>
    <w:p w14:paraId="15668FA7">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3.6采购人、招标代理机构和评标委员会不向未中标的投标人解释未中标原因，也不公布评审过程中的相关细节。</w:t>
      </w:r>
    </w:p>
    <w:p w14:paraId="67875D9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3.7 采用综合评分法的项目，未中标的投标人可于中标结果公告期限届满之日起通过苏采云系统查看自己的评审得分及排序情况。</w:t>
      </w:r>
    </w:p>
    <w:p w14:paraId="47A8D3BD">
      <w:pPr>
        <w:spacing w:line="460" w:lineRule="exact"/>
        <w:ind w:firstLine="480"/>
        <w:outlineLvl w:val="2"/>
        <w:rPr>
          <w:rFonts w:ascii="宋体" w:hAnsi="宋体" w:cs="宋体"/>
          <w:bCs/>
          <w:color w:val="auto"/>
          <w:sz w:val="28"/>
          <w:szCs w:val="28"/>
          <w:highlight w:val="none"/>
        </w:rPr>
      </w:pPr>
      <w:bookmarkStart w:id="124" w:name="_Toc30673"/>
      <w:r>
        <w:rPr>
          <w:rFonts w:hint="eastAsia" w:ascii="宋体" w:hAnsi="宋体" w:cs="宋体"/>
          <w:bCs/>
          <w:color w:val="auto"/>
          <w:sz w:val="28"/>
          <w:szCs w:val="28"/>
          <w:highlight w:val="none"/>
        </w:rPr>
        <w:t>4.投标文件的澄清</w:t>
      </w:r>
      <w:bookmarkEnd w:id="124"/>
    </w:p>
    <w:p w14:paraId="411C152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0A24249A">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616507CB">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4.3 接到评标委员会澄清、说明和更正要求的投标人如未按规定做出澄清、说明和更正，其风险由投标人自行承担。</w:t>
      </w:r>
    </w:p>
    <w:p w14:paraId="28153471">
      <w:pPr>
        <w:spacing w:line="460" w:lineRule="exact"/>
        <w:ind w:firstLine="480"/>
        <w:outlineLvl w:val="2"/>
        <w:rPr>
          <w:rFonts w:ascii="宋体" w:hAnsi="宋体" w:cs="宋体"/>
          <w:bCs/>
          <w:color w:val="auto"/>
          <w:sz w:val="28"/>
          <w:szCs w:val="28"/>
          <w:highlight w:val="none"/>
        </w:rPr>
      </w:pPr>
      <w:bookmarkStart w:id="125" w:name="_Toc3995"/>
      <w:r>
        <w:rPr>
          <w:rFonts w:hint="eastAsia" w:ascii="宋体" w:hAnsi="宋体" w:cs="宋体"/>
          <w:bCs/>
          <w:color w:val="auto"/>
          <w:sz w:val="28"/>
          <w:szCs w:val="28"/>
          <w:highlight w:val="none"/>
        </w:rPr>
        <w:t>5.对投标文件的审查</w:t>
      </w:r>
      <w:bookmarkEnd w:id="125"/>
    </w:p>
    <w:p w14:paraId="1DEC469C">
      <w:pPr>
        <w:spacing w:line="460" w:lineRule="exact"/>
        <w:ind w:firstLine="48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5.1投标文件初审分为资格性审查和符合性审查。</w:t>
      </w:r>
    </w:p>
    <w:p w14:paraId="3BF6CF71">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5.1.1资格性检查：依据法律法规和招标文件的规定，由采购人对投标文件中的资格证明文件进行审查。资格审查的结论，采购人以书面形式向评委会进行反馈。</w:t>
      </w:r>
    </w:p>
    <w:p w14:paraId="78FB0894">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5.1.2采购人在进行资格性审查的同时，将在“信用中国”网站（www.creditchina.gov.cn）查询投标人的信用记录，以确定投标人是否具备投标资格,查询结果留存并归档。</w:t>
      </w:r>
    </w:p>
    <w:p w14:paraId="3D502D88">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5.1.3接受联合体的项目，两个以上的自然人、法人或者其他组织组成一个联合体，以一个投标人的身份共同参加政府采购活动的,联合体成员中任何一方存在不良信用记录的，视同联合体存在不良应用记录。</w:t>
      </w:r>
    </w:p>
    <w:p w14:paraId="2B6BA4A9">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5.1.4符合性审查：依据招标文件的规定，由评标委员会从投标文件的有效性、完整性和对招标文件的响应程度进行审查，以确定是否对招标文件的实质性要求作出响应。</w:t>
      </w:r>
    </w:p>
    <w:p w14:paraId="58910AFA">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5.1.5未通过资格审查或符合性审查的投标人，招标代理机构将在苏采云系统中告知未通过资格审查或符合性审查的原因，评审结束后，招标代理机构将不再告知未通过资格审查或符合性审查的原因。</w:t>
      </w:r>
    </w:p>
    <w:p w14:paraId="2A97092C">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6FF5A0A">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5.2.1根据财库〔2026〕2号文件,政府采购评审中出现下列情形之一的，评审委员会应当启动异常低价投标（响应）审查程序：</w:t>
      </w:r>
    </w:p>
    <w:p w14:paraId="585E9E6B">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5.2.1.1投标（响应）报价低于全部通过符合性审查供应商投标（响应）报价平均值50%的，即投标（响应）报价&lt;全部通过符合性审查供应商投标（响应）报价平均值×50%； </w:t>
      </w:r>
    </w:p>
    <w:p w14:paraId="66AABA96">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5.2.1.2投标（响应）报价低于通过符合性审查的次低报价供应商投标（响应）报价50%的，即投标（响应）报价&lt;通过符合性审查的次低报价供应商投标（响应）报价×50%； </w:t>
      </w:r>
    </w:p>
    <w:p w14:paraId="0A928018">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5.2.1.3投标（响应）报价低于采购项目最高限价45%的，即投标（响应）报价&lt;采购项目最高限价×45%； </w:t>
      </w:r>
    </w:p>
    <w:p w14:paraId="54FB3F60">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5.2.1.4评审委员会基于专业判断，认为供应商报价过低，有可能影响产品质量或者不能诚信履约的其他情形。 </w:t>
      </w:r>
    </w:p>
    <w:p w14:paraId="4818DD6A">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5.2.1.3项情形，投标人已随投标（响应）文件一并提交相关书面说明及必要的证明材料的，在评审现场可不再重复提交。</w:t>
      </w:r>
    </w:p>
    <w:p w14:paraId="2FE1D1E6">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D900E4">
      <w:pPr>
        <w:spacing w:line="46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628338A9">
      <w:pPr>
        <w:spacing w:line="460" w:lineRule="exact"/>
        <w:ind w:firstLine="560"/>
        <w:rPr>
          <w:rFonts w:ascii="宋体" w:hAnsi="宋体" w:cs="宋体"/>
          <w:color w:val="auto"/>
          <w:sz w:val="28"/>
          <w:szCs w:val="28"/>
          <w:highlight w:val="none"/>
        </w:rPr>
      </w:pPr>
      <w:r>
        <w:rPr>
          <w:rFonts w:hint="eastAsia" w:ascii="宋体" w:hAnsi="宋体" w:cs="宋体"/>
          <w:bCs/>
          <w:color w:val="auto"/>
          <w:sz w:val="28"/>
          <w:szCs w:val="28"/>
          <w:highlight w:val="none"/>
        </w:rPr>
        <w:t>（4）异常低价投标审查的启动原因、审查意见和审查结果应当在评审报告中记录，并随供应商提供的相关书面说明及证明材料，以及评审小组有关互联网浏览、查询历史一并归档。</w:t>
      </w:r>
    </w:p>
    <w:p w14:paraId="62CB5A75">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5.3在详细评审之前，评标委员会将首先审查每份投标文件是否实质性响应了招标文件的要求。实质性响应的投标文件应该是与招标文件要求的全部条款、条件和规格相符，没有重大负偏离或保留。</w:t>
      </w:r>
    </w:p>
    <w:p w14:paraId="0DC4741F">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67E14186">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5.4如果投标文件实质上没有响应招标文件的要求，评标委员会将予以拒绝，投标人不得通过修改或撤销不合要求的偏离或保留而使其投标文件成为实质性响应的文件。</w:t>
      </w:r>
    </w:p>
    <w:p w14:paraId="6DD77AA4">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5.5评标委员会将对确定为实质性响应的文件进行进一步审核，看其是否有计算上或累加上的算术错误，修正错误的原则如下：</w:t>
      </w:r>
    </w:p>
    <w:p w14:paraId="2419821D">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10C9AA1D">
      <w:pPr>
        <w:spacing w:line="460" w:lineRule="exact"/>
        <w:ind w:firstLine="48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1225867A">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7E3F2552">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621A99F2">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171DDBB4">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5.6评标委员会将按上述修正错误的方法调整投标文件中的报价，通过“苏采云系统”告知投标人，调整后的价格应对投标人具有约束力。如果投标人不接受修正后的价格，则其投标文件将被拒绝。</w:t>
      </w:r>
    </w:p>
    <w:p w14:paraId="1BBDCED0">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5.7评标委员会将允许修正投标文件中不构成重大偏离的、微小的、非正规的、不一致的或不规则的地方，但这些修改不能影响任何投标人相应的名次排列。</w:t>
      </w:r>
    </w:p>
    <w:p w14:paraId="4D0D752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5B1866D">
      <w:pPr>
        <w:spacing w:line="460" w:lineRule="exact"/>
        <w:ind w:firstLine="480"/>
        <w:rPr>
          <w:rFonts w:ascii="宋体" w:hAnsi="宋体" w:cs="宋体"/>
          <w:b/>
          <w:color w:val="auto"/>
          <w:sz w:val="28"/>
          <w:szCs w:val="28"/>
          <w:highlight w:val="none"/>
        </w:rPr>
      </w:pPr>
      <w:r>
        <w:rPr>
          <w:rFonts w:hint="eastAsia" w:ascii="宋体" w:hAnsi="宋体" w:cs="宋体"/>
          <w:b/>
          <w:color w:val="auto"/>
          <w:sz w:val="28"/>
          <w:szCs w:val="28"/>
          <w:highlight w:val="none"/>
        </w:rPr>
        <w:t>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EB9EE8D">
      <w:pPr>
        <w:spacing w:line="460" w:lineRule="exact"/>
        <w:ind w:firstLine="480"/>
        <w:rPr>
          <w:rFonts w:ascii="宋体" w:hAnsi="宋体" w:cs="宋体"/>
          <w:b/>
          <w:color w:val="auto"/>
          <w:sz w:val="28"/>
          <w:szCs w:val="28"/>
          <w:highlight w:val="none"/>
        </w:rPr>
      </w:pPr>
      <w:r>
        <w:rPr>
          <w:rFonts w:hint="eastAsia" w:ascii="宋体" w:hAnsi="宋体" w:cs="宋体"/>
          <w:b/>
          <w:color w:val="auto"/>
          <w:sz w:val="28"/>
          <w:szCs w:val="28"/>
          <w:highlight w:val="none"/>
        </w:rPr>
        <w:t>5.10非单一产品采购项目，招标文件中将载明其中的核心产品。多家投标人提供的核心产品品牌相同的，按前两款规定处理。</w:t>
      </w:r>
    </w:p>
    <w:p w14:paraId="0AAC21AC">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5.11 投标人在开、评标全过程中应保持通讯畅通，及时登录苏采云系统查阅、答复相关信息，并安排专人与采购人或招标代理机构及评标委员会联系。</w:t>
      </w:r>
    </w:p>
    <w:p w14:paraId="67B9E06A">
      <w:pPr>
        <w:spacing w:line="460" w:lineRule="exact"/>
        <w:ind w:firstLine="480"/>
        <w:outlineLvl w:val="2"/>
        <w:rPr>
          <w:rFonts w:ascii="宋体" w:hAnsi="宋体" w:cs="宋体"/>
          <w:bCs/>
          <w:color w:val="auto"/>
          <w:sz w:val="28"/>
          <w:szCs w:val="28"/>
          <w:highlight w:val="none"/>
        </w:rPr>
      </w:pPr>
      <w:bookmarkStart w:id="126" w:name="_Toc15738"/>
      <w:r>
        <w:rPr>
          <w:rFonts w:hint="eastAsia" w:ascii="宋体" w:hAnsi="宋体" w:cs="宋体"/>
          <w:bCs/>
          <w:color w:val="auto"/>
          <w:sz w:val="28"/>
          <w:szCs w:val="28"/>
          <w:highlight w:val="none"/>
        </w:rPr>
        <w:t>6.投标文件线上格式要求</w:t>
      </w:r>
      <w:bookmarkEnd w:id="126"/>
    </w:p>
    <w:p w14:paraId="5A6FB163">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6.1投标人应当通过“苏采云”系统提交数据电文形式的投标文件（即电子投标）。</w:t>
      </w:r>
    </w:p>
    <w:p w14:paraId="3CA00FAD">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6.2 通过“苏采云”系统提交政府采购客户端工具导出加密的投标文件（后缀名为zip）。投标文件不得超过150M！</w:t>
      </w:r>
    </w:p>
    <w:p w14:paraId="522E90DA">
      <w:pPr>
        <w:spacing w:line="460" w:lineRule="exact"/>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6.3本项目采用线上投标，即投标人投标文件从政府采购客户端工具制作通过“苏采云”系统提交，未提供线上投标文件的，投标无效。</w:t>
      </w:r>
    </w:p>
    <w:p w14:paraId="5536DA6D">
      <w:pPr>
        <w:adjustRightInd w:val="0"/>
        <w:snapToGrid w:val="0"/>
        <w:spacing w:line="460" w:lineRule="exact"/>
        <w:ind w:firstLine="560" w:firstLineChars="200"/>
        <w:outlineLvl w:val="2"/>
        <w:rPr>
          <w:rFonts w:ascii="宋体" w:hAnsi="宋体" w:cs="宋体"/>
          <w:b/>
          <w:bCs/>
          <w:color w:val="auto"/>
          <w:sz w:val="28"/>
          <w:szCs w:val="28"/>
          <w:highlight w:val="none"/>
        </w:rPr>
      </w:pPr>
      <w:bookmarkStart w:id="127" w:name="_Toc13461"/>
      <w:r>
        <w:rPr>
          <w:rFonts w:hint="eastAsia" w:ascii="宋体" w:hAnsi="宋体" w:cs="宋体"/>
          <w:color w:val="auto"/>
          <w:sz w:val="28"/>
          <w:szCs w:val="28"/>
          <w:highlight w:val="none"/>
        </w:rPr>
        <w:t>7.无效投标条款和废标条款</w:t>
      </w:r>
      <w:bookmarkEnd w:id="127"/>
    </w:p>
    <w:p w14:paraId="3FE6A655">
      <w:pPr>
        <w:spacing w:line="460" w:lineRule="exact"/>
        <w:ind w:firstLine="560" w:firstLineChars="200"/>
        <w:rPr>
          <w:rFonts w:ascii="宋体" w:hAnsi="宋体" w:cs="宋体"/>
          <w:bCs/>
          <w:color w:val="auto"/>
          <w:sz w:val="28"/>
          <w:szCs w:val="28"/>
          <w:highlight w:val="none"/>
        </w:rPr>
      </w:pPr>
      <w:bookmarkStart w:id="128" w:name="_Toc20823307"/>
      <w:bookmarkStart w:id="129" w:name="_Toc16938551"/>
      <w:bookmarkStart w:id="130" w:name="_Toc513029235"/>
      <w:r>
        <w:rPr>
          <w:rFonts w:hint="eastAsia" w:ascii="宋体" w:hAnsi="宋体" w:cs="宋体"/>
          <w:bCs/>
          <w:color w:val="auto"/>
          <w:sz w:val="28"/>
          <w:szCs w:val="28"/>
          <w:highlight w:val="none"/>
        </w:rPr>
        <w:t>7.1.1 同一投标人提交两个（含两个）以上不同的投标报价的。</w:t>
      </w:r>
    </w:p>
    <w:p w14:paraId="09A17470">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7.1.2投标人不具备招标文件中规定资格要求的。</w:t>
      </w:r>
    </w:p>
    <w:p w14:paraId="76C5BC29">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7.1.3投标人的报价超过了采购预算或最高限价的。</w:t>
      </w:r>
    </w:p>
    <w:p w14:paraId="658A9EE7">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7.1.4未通过符合性检查的。</w:t>
      </w:r>
    </w:p>
    <w:p w14:paraId="2C1BADD6">
      <w:pPr>
        <w:spacing w:line="460" w:lineRule="exact"/>
        <w:ind w:firstLine="560" w:firstLineChars="200"/>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7.1.5不符合招标文件中规定的其他实质性要求和条件的。</w:t>
      </w:r>
    </w:p>
    <w:p w14:paraId="48FC00EE">
      <w:pPr>
        <w:spacing w:line="460" w:lineRule="exact"/>
        <w:ind w:firstLine="560" w:firstLineChars="200"/>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C95A98C">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7.1.7投标文件含有采购人不能接受的附加条件的 。</w:t>
      </w:r>
    </w:p>
    <w:p w14:paraId="4DB5772F">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7.1.8 启动异常低价响应审查后，供应商不提供书面说明、证明材料，或者提供的书面说明、证明材料不能证明其报价合理性的。</w:t>
      </w:r>
    </w:p>
    <w:p w14:paraId="179F4D9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4821E8D0">
      <w:pPr>
        <w:adjustRightInd w:val="0"/>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7.1.10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1043D29B">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7.1.11投标文件未按照招标文件要求加盖CA电子公章的。</w:t>
      </w:r>
    </w:p>
    <w:p w14:paraId="38F077F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7.1.12投标人的商务技术部分得分相差悬殊，评标委员会认为得分畸低者没有实质性响应的。</w:t>
      </w:r>
    </w:p>
    <w:p w14:paraId="3E8E90B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7.1.13其他法律、法规及本招标文件规定的属无效投标的情形。</w:t>
      </w:r>
    </w:p>
    <w:p w14:paraId="69F5FD3B">
      <w:pPr>
        <w:pStyle w:val="158"/>
        <w:ind w:left="0" w:firstLine="560" w:firstLineChars="200"/>
        <w:rPr>
          <w:rFonts w:ascii="宋体" w:hAnsi="宋体" w:eastAsia="宋体" w:cs="宋体"/>
          <w:bCs/>
          <w:color w:val="auto"/>
          <w:kern w:val="2"/>
          <w:szCs w:val="28"/>
          <w:highlight w:val="none"/>
        </w:rPr>
      </w:pPr>
      <w:r>
        <w:rPr>
          <w:rFonts w:hint="eastAsia" w:ascii="宋体" w:hAnsi="宋体" w:eastAsia="宋体" w:cs="宋体"/>
          <w:bCs/>
          <w:color w:val="auto"/>
          <w:kern w:val="2"/>
          <w:szCs w:val="28"/>
          <w:highlight w:val="none"/>
        </w:rPr>
        <w:t>7.1.14不同的投标人响应文件MAC地址、标书制作工具客户端识别码一致的。</w:t>
      </w:r>
    </w:p>
    <w:p w14:paraId="3EA819E6">
      <w:pPr>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7.1.15其他法律、法规及本招标文件规定的属无效投标的情形。</w:t>
      </w:r>
    </w:p>
    <w:p w14:paraId="024696D1">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7.2废标条款：</w:t>
      </w:r>
    </w:p>
    <w:p w14:paraId="27C8C6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7.2.1符合专业条件的投标人或者对招标文件作实质响应的投标人不足三家的。</w:t>
      </w:r>
    </w:p>
    <w:p w14:paraId="7448A50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7.2.2出现影响采购公正的违法、违规行为的。</w:t>
      </w:r>
    </w:p>
    <w:p w14:paraId="57A4711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7.2.3因重大变故，采购任务取消的。</w:t>
      </w:r>
    </w:p>
    <w:p w14:paraId="7FD4F03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7.2.4评标委员会认定招标文件存在歧义、重大缺陷导致评审工作无法进行。</w:t>
      </w:r>
    </w:p>
    <w:p w14:paraId="4456F40F">
      <w:pPr>
        <w:adjustRightInd w:val="0"/>
        <w:snapToGrid w:val="0"/>
        <w:spacing w:line="460" w:lineRule="exact"/>
        <w:ind w:firstLine="560" w:firstLineChars="200"/>
        <w:outlineLvl w:val="4"/>
        <w:rPr>
          <w:rFonts w:ascii="宋体" w:hAnsi="宋体" w:cs="宋体"/>
          <w:bCs/>
          <w:color w:val="auto"/>
          <w:sz w:val="28"/>
          <w:szCs w:val="28"/>
          <w:highlight w:val="none"/>
        </w:rPr>
      </w:pPr>
      <w:r>
        <w:rPr>
          <w:rFonts w:hint="eastAsia" w:ascii="宋体" w:hAnsi="宋体" w:cs="宋体"/>
          <w:bCs/>
          <w:color w:val="auto"/>
          <w:sz w:val="28"/>
          <w:szCs w:val="28"/>
          <w:highlight w:val="none"/>
        </w:rPr>
        <w:t>7.2.5 因苏采云系统故障原因造成开标不成功的。</w:t>
      </w:r>
    </w:p>
    <w:p w14:paraId="2BA0AA3E">
      <w:pPr>
        <w:adjustRightInd w:val="0"/>
        <w:snapToGrid w:val="0"/>
        <w:spacing w:line="460" w:lineRule="exact"/>
        <w:ind w:firstLine="560" w:firstLineChars="200"/>
        <w:outlineLvl w:val="3"/>
        <w:rPr>
          <w:rFonts w:ascii="宋体" w:hAnsi="宋体" w:cs="宋体"/>
          <w:bCs/>
          <w:color w:val="auto"/>
          <w:sz w:val="28"/>
          <w:szCs w:val="28"/>
          <w:highlight w:val="none"/>
        </w:rPr>
      </w:pPr>
      <w:r>
        <w:rPr>
          <w:rFonts w:hint="eastAsia" w:ascii="宋体" w:hAnsi="宋体" w:cs="宋体"/>
          <w:bCs/>
          <w:color w:val="auto"/>
          <w:sz w:val="28"/>
          <w:szCs w:val="28"/>
          <w:highlight w:val="none"/>
        </w:rPr>
        <w:t>7.3 投标截止时间结束后参加投标的投标人不足三家的处理：</w:t>
      </w:r>
    </w:p>
    <w:p w14:paraId="5B4B71E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7.3.1如出现投标截止时间结束后参加投标的投标人或者在评标期间对招标文件做出实质响应的投标人不足三家情况，按政府采购相关规定执行。</w:t>
      </w:r>
    </w:p>
    <w:bookmarkEnd w:id="128"/>
    <w:bookmarkEnd w:id="129"/>
    <w:bookmarkEnd w:id="130"/>
    <w:p w14:paraId="7E2A544F">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31" w:name="_Toc120614219"/>
      <w:bookmarkStart w:id="132" w:name="_Toc27597"/>
      <w:r>
        <w:rPr>
          <w:rFonts w:hint="eastAsia" w:ascii="宋体" w:hAnsi="宋体" w:eastAsia="宋体" w:cs="宋体"/>
          <w:color w:val="auto"/>
          <w:sz w:val="28"/>
          <w:szCs w:val="28"/>
          <w:highlight w:val="none"/>
        </w:rPr>
        <w:t>六、定标</w:t>
      </w:r>
      <w:bookmarkEnd w:id="131"/>
      <w:bookmarkEnd w:id="132"/>
    </w:p>
    <w:p w14:paraId="3F0CDEE3">
      <w:pPr>
        <w:adjustRightInd w:val="0"/>
        <w:snapToGrid w:val="0"/>
        <w:spacing w:line="460" w:lineRule="exact"/>
        <w:ind w:firstLine="560" w:firstLineChars="200"/>
        <w:outlineLvl w:val="2"/>
        <w:rPr>
          <w:rFonts w:ascii="宋体" w:hAnsi="宋体" w:cs="宋体"/>
          <w:b/>
          <w:color w:val="auto"/>
          <w:sz w:val="28"/>
          <w:szCs w:val="28"/>
          <w:highlight w:val="none"/>
        </w:rPr>
      </w:pPr>
      <w:bookmarkStart w:id="133" w:name="_Toc16938554"/>
      <w:bookmarkStart w:id="134" w:name="_Toc20823310"/>
      <w:bookmarkStart w:id="135" w:name="_Toc21628"/>
      <w:r>
        <w:rPr>
          <w:rFonts w:hint="eastAsia" w:ascii="宋体" w:hAnsi="宋体" w:cs="宋体"/>
          <w:color w:val="auto"/>
          <w:sz w:val="28"/>
          <w:szCs w:val="28"/>
          <w:highlight w:val="none"/>
        </w:rPr>
        <w:t>1.确定</w:t>
      </w:r>
      <w:bookmarkEnd w:id="133"/>
      <w:bookmarkEnd w:id="134"/>
      <w:r>
        <w:rPr>
          <w:rFonts w:hint="eastAsia" w:ascii="宋体" w:hAnsi="宋体" w:cs="宋体"/>
          <w:color w:val="auto"/>
          <w:sz w:val="28"/>
          <w:szCs w:val="28"/>
          <w:highlight w:val="none"/>
        </w:rPr>
        <w:t>中标单位</w:t>
      </w:r>
      <w:bookmarkEnd w:id="135"/>
    </w:p>
    <w:p w14:paraId="466609B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4114210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1.2采购人授权评委会在中标候选人中直接确定中标人。</w:t>
      </w:r>
    </w:p>
    <w:p w14:paraId="3FA815A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代理机构将在“江苏政府采购网”发布中标公告，公告期限为1个工作日。</w:t>
      </w:r>
    </w:p>
    <w:p w14:paraId="267A045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7C8CC96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0BCC19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1.4.2向采购人、代理机构行贿或者提供其他不正当利益的。</w:t>
      </w:r>
    </w:p>
    <w:p w14:paraId="3748892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4B0D08C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3887212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1.4.5与采购人或者其他投标人恶意串通的。</w:t>
      </w:r>
    </w:p>
    <w:p w14:paraId="7005B96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1.4.6采取不正当手段诋毁、排挤其他投标人的。</w:t>
      </w:r>
    </w:p>
    <w:p w14:paraId="62B9C818">
      <w:pPr>
        <w:adjustRightInd w:val="0"/>
        <w:snapToGrid w:val="0"/>
        <w:spacing w:line="460" w:lineRule="exact"/>
        <w:ind w:firstLine="560" w:firstLineChars="200"/>
        <w:outlineLvl w:val="3"/>
        <w:rPr>
          <w:rFonts w:ascii="宋体" w:hAnsi="宋体" w:cs="宋体"/>
          <w:color w:val="auto"/>
          <w:sz w:val="28"/>
          <w:szCs w:val="28"/>
          <w:highlight w:val="none"/>
        </w:rPr>
      </w:pPr>
      <w:bookmarkStart w:id="136"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718A57F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76C48C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4D17143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0E69A60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6B539579">
      <w:pPr>
        <w:adjustRightInd w:val="0"/>
        <w:snapToGrid w:val="0"/>
        <w:spacing w:line="460" w:lineRule="exact"/>
        <w:ind w:firstLine="560" w:firstLineChars="200"/>
        <w:outlineLvl w:val="2"/>
        <w:rPr>
          <w:rFonts w:ascii="宋体" w:hAnsi="宋体" w:cs="宋体"/>
          <w:b/>
          <w:color w:val="auto"/>
          <w:sz w:val="28"/>
          <w:szCs w:val="28"/>
          <w:highlight w:val="none"/>
        </w:rPr>
      </w:pPr>
      <w:bookmarkStart w:id="137" w:name="_Toc922"/>
      <w:r>
        <w:rPr>
          <w:rFonts w:hint="eastAsia" w:ascii="宋体" w:hAnsi="宋体" w:cs="宋体"/>
          <w:color w:val="auto"/>
          <w:sz w:val="28"/>
          <w:szCs w:val="28"/>
          <w:highlight w:val="none"/>
        </w:rPr>
        <w:t>2.质疑处理</w:t>
      </w:r>
      <w:bookmarkEnd w:id="136"/>
      <w:bookmarkEnd w:id="137"/>
    </w:p>
    <w:p w14:paraId="0B4DEF1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 提出质疑的投标人应当是参与所质疑项目采购活动的投标人。潜在投标人依法获取其可质疑的招标文件的，可以对招标文件提出质疑。</w:t>
      </w:r>
    </w:p>
    <w:p w14:paraId="06FE6C8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2.2投标人认为招标文件、采购过程和采购结果使自己的权益受到损害的，可以在知道或应知其权益受到损害之日起七个工作日内，以书面形式向代理机构或采购人提出质疑。上述应知其权益受到损害之日，是指：</w:t>
      </w:r>
    </w:p>
    <w:p w14:paraId="75235C89">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2.2.1对可以质疑的招标文件提出质疑的，为收到招标文件之日或者招标文件公告期限届满之日；</w:t>
      </w:r>
    </w:p>
    <w:p w14:paraId="142ADC22">
      <w:pPr>
        <w:adjustRightInd w:val="0"/>
        <w:snapToGrid w:val="0"/>
        <w:spacing w:line="460" w:lineRule="exact"/>
        <w:ind w:firstLine="562" w:firstLineChars="200"/>
        <w:outlineLvl w:val="3"/>
        <w:rPr>
          <w:rFonts w:ascii="宋体" w:hAnsi="宋体" w:cs="宋体"/>
          <w:b/>
          <w:bCs/>
          <w:color w:val="auto"/>
          <w:sz w:val="28"/>
          <w:szCs w:val="28"/>
          <w:highlight w:val="none"/>
        </w:rPr>
      </w:pPr>
      <w:r>
        <w:rPr>
          <w:rFonts w:hint="eastAsia" w:ascii="宋体" w:hAnsi="宋体" w:cs="宋体"/>
          <w:b/>
          <w:bCs/>
          <w:color w:val="auto"/>
          <w:sz w:val="28"/>
          <w:szCs w:val="28"/>
          <w:highlight w:val="none"/>
        </w:rPr>
        <w:t>2.2.2对采购过程提出质疑的，为各采购程序环节结束之日；</w:t>
      </w:r>
    </w:p>
    <w:p w14:paraId="594F4460">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对中标或者成交结果提出质疑的，为中标或者成交结果公告期限届满之日。</w:t>
      </w:r>
    </w:p>
    <w:p w14:paraId="468B0CD9">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投标人应当在法定质疑期内一次性提出针对同一采购程序环节的质疑。</w:t>
      </w:r>
    </w:p>
    <w:p w14:paraId="5F4696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2.3质疑函必须按照本招标文件中《质疑函范本》要求的格式和内容进行填写。</w:t>
      </w:r>
    </w:p>
    <w:p w14:paraId="415EB5D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p>
    <w:p w14:paraId="15A5B8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7253B3C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采购人及代理机构质疑接收人及联系方式，见招标文件第一部分。</w:t>
      </w:r>
    </w:p>
    <w:p w14:paraId="367F192A">
      <w:pPr>
        <w:adjustRightInd w:val="0"/>
        <w:snapToGrid w:val="0"/>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rPr>
        <w:t>2.5 以下情形的质疑不予受理</w:t>
      </w:r>
    </w:p>
    <w:p w14:paraId="1B093A6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2.5.1内容不符合《政府采购质疑和投诉办法》第十二条规定的质疑。</w:t>
      </w:r>
    </w:p>
    <w:p w14:paraId="132E2308">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2.5.2 超出政府采购法定期限的质疑。</w:t>
      </w:r>
    </w:p>
    <w:p w14:paraId="301ED6D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2.5.3未参加投标活动的投标人或在投标活动中自身权益未受到损害的投标人所提出的质疑。</w:t>
      </w:r>
    </w:p>
    <w:p w14:paraId="0B9A47E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3A65ED73">
      <w:pPr>
        <w:adjustRightInd w:val="0"/>
        <w:snapToGrid w:val="0"/>
        <w:spacing w:line="460" w:lineRule="exact"/>
        <w:ind w:firstLine="560" w:firstLineChars="200"/>
        <w:outlineLvl w:val="2"/>
        <w:rPr>
          <w:rFonts w:ascii="宋体" w:hAnsi="宋体" w:cs="宋体"/>
          <w:b/>
          <w:color w:val="auto"/>
          <w:sz w:val="28"/>
          <w:szCs w:val="28"/>
          <w:highlight w:val="none"/>
        </w:rPr>
      </w:pPr>
      <w:bookmarkStart w:id="138" w:name="_Toc15921"/>
      <w:r>
        <w:rPr>
          <w:rFonts w:hint="eastAsia" w:ascii="宋体" w:hAnsi="宋体" w:cs="宋体"/>
          <w:color w:val="auto"/>
          <w:sz w:val="28"/>
          <w:szCs w:val="28"/>
          <w:highlight w:val="none"/>
        </w:rPr>
        <w:t>3.中标通知书</w:t>
      </w:r>
      <w:bookmarkEnd w:id="138"/>
    </w:p>
    <w:p w14:paraId="3F9A9EF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D6E9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3.2中标通知书将是合同的一个组成部分。对采购人和中标人均具有法律效力。中标通知书发出后，采购人改变中标结果的，或者中标人放弃中标项目的，应当依法承担法律责任。</w:t>
      </w:r>
    </w:p>
    <w:p w14:paraId="78A04004">
      <w:pPr>
        <w:pStyle w:val="3"/>
        <w:adjustRightInd w:val="0"/>
        <w:snapToGrid w:val="0"/>
        <w:spacing w:before="0" w:after="0" w:line="460" w:lineRule="exact"/>
        <w:ind w:firstLine="562" w:firstLineChars="200"/>
        <w:rPr>
          <w:rFonts w:ascii="宋体" w:hAnsi="宋体" w:eastAsia="宋体" w:cs="宋体"/>
          <w:color w:val="auto"/>
          <w:sz w:val="28"/>
          <w:szCs w:val="28"/>
          <w:highlight w:val="none"/>
        </w:rPr>
      </w:pPr>
      <w:bookmarkStart w:id="139" w:name="_Toc120614220"/>
      <w:bookmarkStart w:id="140" w:name="_Toc16938552"/>
      <w:bookmarkStart w:id="141" w:name="_Toc513029236"/>
      <w:bookmarkStart w:id="142" w:name="_Toc20823308"/>
      <w:r>
        <w:rPr>
          <w:rFonts w:hint="eastAsia" w:ascii="宋体" w:hAnsi="宋体" w:eastAsia="宋体" w:cs="宋体"/>
          <w:color w:val="auto"/>
          <w:sz w:val="28"/>
          <w:szCs w:val="28"/>
          <w:highlight w:val="none"/>
        </w:rPr>
        <w:t>特别说明：中标人在下载中标通知书后须提供</w:t>
      </w:r>
      <w:r>
        <w:rPr>
          <w:rFonts w:hint="eastAsia" w:ascii="宋体" w:hAnsi="宋体" w:eastAsia="宋体" w:cs="宋体"/>
          <w:color w:val="auto"/>
          <w:sz w:val="28"/>
          <w:szCs w:val="28"/>
          <w:highlight w:val="none"/>
          <w:u w:val="single"/>
        </w:rPr>
        <w:t>4套</w:t>
      </w:r>
      <w:r>
        <w:rPr>
          <w:rFonts w:hint="eastAsia" w:ascii="宋体" w:hAnsi="宋体" w:eastAsia="宋体" w:cs="宋体"/>
          <w:color w:val="auto"/>
          <w:sz w:val="28"/>
          <w:szCs w:val="28"/>
          <w:highlight w:val="none"/>
        </w:rPr>
        <w:t>加盖红章的系统内打印的纸质响应文件给招标代理机构。</w:t>
      </w:r>
    </w:p>
    <w:p w14:paraId="64140FE7">
      <w:pPr>
        <w:pStyle w:val="3"/>
        <w:adjustRightInd w:val="0"/>
        <w:snapToGrid w:val="0"/>
        <w:spacing w:before="0" w:after="0" w:line="420" w:lineRule="exact"/>
        <w:ind w:firstLine="562" w:firstLineChars="200"/>
        <w:rPr>
          <w:rFonts w:ascii="宋体" w:hAnsi="宋体" w:eastAsia="宋体" w:cs="宋体"/>
          <w:color w:val="auto"/>
          <w:sz w:val="28"/>
          <w:szCs w:val="28"/>
          <w:highlight w:val="none"/>
        </w:rPr>
      </w:pPr>
      <w:bookmarkStart w:id="143" w:name="_Toc27718"/>
      <w:r>
        <w:rPr>
          <w:rFonts w:hint="eastAsia" w:ascii="宋体" w:hAnsi="宋体" w:eastAsia="宋体" w:cs="宋体"/>
          <w:color w:val="auto"/>
          <w:sz w:val="28"/>
          <w:szCs w:val="28"/>
          <w:highlight w:val="none"/>
        </w:rPr>
        <w:t>七、授予合同</w:t>
      </w:r>
      <w:bookmarkEnd w:id="139"/>
      <w:bookmarkEnd w:id="143"/>
    </w:p>
    <w:bookmarkEnd w:id="140"/>
    <w:bookmarkEnd w:id="141"/>
    <w:bookmarkEnd w:id="142"/>
    <w:p w14:paraId="3429AA28">
      <w:pPr>
        <w:keepNext/>
        <w:adjustRightInd w:val="0"/>
        <w:snapToGrid w:val="0"/>
        <w:spacing w:line="420" w:lineRule="exact"/>
        <w:ind w:firstLine="560" w:firstLineChars="200"/>
        <w:outlineLvl w:val="2"/>
        <w:rPr>
          <w:rFonts w:ascii="宋体" w:hAnsi="宋体" w:cs="宋体"/>
          <w:b/>
          <w:color w:val="auto"/>
          <w:kern w:val="0"/>
          <w:sz w:val="28"/>
          <w:szCs w:val="28"/>
          <w:highlight w:val="none"/>
        </w:rPr>
      </w:pPr>
      <w:bookmarkStart w:id="144" w:name="_Toc26471"/>
      <w:r>
        <w:rPr>
          <w:rFonts w:hint="eastAsia" w:ascii="宋体" w:hAnsi="宋体" w:cs="宋体"/>
          <w:color w:val="auto"/>
          <w:kern w:val="0"/>
          <w:sz w:val="28"/>
          <w:szCs w:val="28"/>
          <w:highlight w:val="none"/>
        </w:rPr>
        <w:t>1.签订合同</w:t>
      </w:r>
      <w:bookmarkEnd w:id="144"/>
    </w:p>
    <w:p w14:paraId="45F77932">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.l中标人应当在中标通知书发出之日起三十日内，按照招标文件确定的事项与采购人签订政府采购合同。</w:t>
      </w:r>
    </w:p>
    <w:p w14:paraId="18EC41B3">
      <w:pPr>
        <w:adjustRightInd w:val="0"/>
        <w:snapToGrid w:val="0"/>
        <w:spacing w:line="420" w:lineRule="exact"/>
        <w:ind w:firstLine="422" w:firstLineChars="150"/>
        <w:rPr>
          <w:rFonts w:ascii="宋体" w:hAnsi="宋体" w:cs="宋体"/>
          <w:b/>
          <w:bCs/>
          <w:color w:val="auto"/>
          <w:sz w:val="28"/>
          <w:szCs w:val="28"/>
          <w:highlight w:val="none"/>
        </w:rPr>
      </w:pPr>
      <w:r>
        <w:rPr>
          <w:rFonts w:hint="eastAsia" w:ascii="宋体" w:hAnsi="宋体" w:cs="宋体"/>
          <w:b/>
          <w:bCs/>
          <w:color w:val="auto"/>
          <w:sz w:val="28"/>
          <w:szCs w:val="28"/>
          <w:highlight w:val="none"/>
        </w:rPr>
        <w:t>签订合同时需做好提交各类声明函、承诺函、业绩证明、资质、职称证书等相应原件的核查准备；核查后发现虚假或违背承诺的，依照相关法律法规规定处理。</w:t>
      </w:r>
    </w:p>
    <w:p w14:paraId="11EF30A8">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1.2招标文件、中标人的投标文件及开标过程中有关澄清、承诺文件均应作为合同附件。</w:t>
      </w:r>
    </w:p>
    <w:p w14:paraId="496135D4">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投标人就分包项目承担责任。转包或分包造成采购人损失的，中标人应承担相应赔偿责任。</w:t>
      </w:r>
    </w:p>
    <w:p w14:paraId="015C4EBC">
      <w:pPr>
        <w:keepNext/>
        <w:adjustRightInd w:val="0"/>
        <w:snapToGrid w:val="0"/>
        <w:spacing w:line="420" w:lineRule="exact"/>
        <w:ind w:firstLine="560" w:firstLineChars="200"/>
        <w:outlineLvl w:val="2"/>
        <w:rPr>
          <w:rFonts w:ascii="宋体" w:hAnsi="宋体" w:cs="宋体"/>
          <w:b/>
          <w:color w:val="auto"/>
          <w:kern w:val="0"/>
          <w:sz w:val="28"/>
          <w:szCs w:val="28"/>
          <w:highlight w:val="none"/>
        </w:rPr>
      </w:pPr>
      <w:bookmarkStart w:id="145" w:name="_Toc18712"/>
      <w:r>
        <w:rPr>
          <w:rFonts w:hint="eastAsia" w:ascii="宋体" w:hAnsi="宋体" w:cs="宋体"/>
          <w:color w:val="auto"/>
          <w:kern w:val="0"/>
          <w:sz w:val="28"/>
          <w:szCs w:val="28"/>
          <w:highlight w:val="none"/>
        </w:rPr>
        <w:t>2.货物和服务的追加、减少和添购。</w:t>
      </w:r>
      <w:bookmarkEnd w:id="145"/>
    </w:p>
    <w:p w14:paraId="277C501E">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7E4CAEEA">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555CFFC8">
      <w:pPr>
        <w:adjustRightInd w:val="0"/>
        <w:snapToGrid w:val="0"/>
        <w:spacing w:line="420" w:lineRule="exact"/>
        <w:ind w:firstLine="560" w:firstLineChars="200"/>
        <w:outlineLvl w:val="2"/>
        <w:rPr>
          <w:rFonts w:ascii="宋体" w:hAnsi="宋体" w:cs="宋体"/>
          <w:color w:val="auto"/>
          <w:sz w:val="28"/>
          <w:szCs w:val="28"/>
          <w:highlight w:val="none"/>
        </w:rPr>
      </w:pPr>
      <w:bookmarkStart w:id="146" w:name="_Toc16700"/>
      <w:r>
        <w:rPr>
          <w:rFonts w:hint="eastAsia" w:ascii="宋体" w:hAnsi="宋体" w:cs="宋体"/>
          <w:color w:val="auto"/>
          <w:sz w:val="28"/>
          <w:szCs w:val="28"/>
          <w:highlight w:val="none"/>
        </w:rPr>
        <w:t>3.政府采购履约保证资金、合同信用融资扶持政策</w:t>
      </w:r>
      <w:bookmarkEnd w:id="146"/>
    </w:p>
    <w:p w14:paraId="7D122A20">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根据《关于深入开展南通市政府采购线上合同信用融资工作的通知》（通财购〔2022〕68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4423114E">
      <w:pPr>
        <w:keepNext/>
        <w:keepLines/>
        <w:adjustRightInd w:val="0"/>
        <w:snapToGrid w:val="0"/>
        <w:spacing w:line="420" w:lineRule="exact"/>
        <w:ind w:firstLine="562" w:firstLineChars="200"/>
        <w:outlineLvl w:val="1"/>
        <w:rPr>
          <w:rFonts w:ascii="宋体" w:hAnsi="宋体" w:cs="宋体"/>
          <w:b/>
          <w:bCs/>
          <w:color w:val="auto"/>
          <w:kern w:val="0"/>
          <w:sz w:val="28"/>
          <w:szCs w:val="28"/>
          <w:highlight w:val="none"/>
        </w:rPr>
      </w:pPr>
      <w:bookmarkStart w:id="147" w:name="_Toc32218"/>
      <w:r>
        <w:rPr>
          <w:rFonts w:hint="eastAsia" w:ascii="宋体" w:hAnsi="宋体" w:cs="宋体"/>
          <w:b/>
          <w:bCs/>
          <w:color w:val="auto"/>
          <w:kern w:val="0"/>
          <w:sz w:val="28"/>
          <w:szCs w:val="28"/>
          <w:highlight w:val="none"/>
        </w:rPr>
        <w:t>八、电子招标投标交易平台</w:t>
      </w:r>
      <w:bookmarkEnd w:id="147"/>
    </w:p>
    <w:p w14:paraId="45FA4F78">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电子招标投标交易平台（即“苏采云”系统，网址：http://jszfcg.jsczt.cn/）相关要求是本招标文件的组成部分。</w:t>
      </w:r>
    </w:p>
    <w:p w14:paraId="1091E543">
      <w:pPr>
        <w:adjustRightInd w:val="0"/>
        <w:snapToGrid w:val="0"/>
        <w:spacing w:line="460" w:lineRule="exact"/>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148" w:name="_Toc21690"/>
      <w:bookmarkStart w:id="149" w:name="_Toc8914"/>
      <w:r>
        <w:rPr>
          <w:rFonts w:hint="eastAsia" w:ascii="宋体" w:hAnsi="宋体" w:cs="宋体"/>
          <w:bCs/>
          <w:color w:val="auto"/>
          <w:sz w:val="36"/>
          <w:szCs w:val="36"/>
          <w:highlight w:val="none"/>
        </w:rPr>
        <w:t>第三部分  项目需求</w:t>
      </w:r>
      <w:bookmarkEnd w:id="148"/>
      <w:bookmarkEnd w:id="149"/>
    </w:p>
    <w:p w14:paraId="27B3927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p>
    <w:bookmarkEnd w:id="7"/>
    <w:bookmarkEnd w:id="8"/>
    <w:bookmarkEnd w:id="9"/>
    <w:p w14:paraId="1D68F108">
      <w:pPr>
        <w:spacing w:line="460" w:lineRule="exact"/>
        <w:ind w:firstLine="562" w:firstLineChars="200"/>
        <w:rPr>
          <w:b/>
          <w:bCs/>
          <w:color w:val="auto"/>
          <w:highlight w:val="none"/>
        </w:rPr>
      </w:pPr>
      <w:r>
        <w:rPr>
          <w:rFonts w:hint="eastAsia" w:ascii="宋体" w:hAnsi="宋体" w:cs="宋体"/>
          <w:b/>
          <w:bCs/>
          <w:color w:val="auto"/>
          <w:sz w:val="28"/>
          <w:szCs w:val="28"/>
          <w:highlight w:val="none"/>
        </w:rPr>
        <w:t>一、项目属性：货物类项目。</w:t>
      </w:r>
    </w:p>
    <w:p w14:paraId="5512BF95">
      <w:pPr>
        <w:pStyle w:val="70"/>
        <w:spacing w:line="460" w:lineRule="exact"/>
        <w:ind w:firstLine="562"/>
        <w:rPr>
          <w:rFonts w:ascii="宋体" w:hAnsi="宋体" w:cs="宋体"/>
          <w:b/>
          <w:bCs/>
          <w:color w:val="auto"/>
          <w:sz w:val="28"/>
          <w:szCs w:val="28"/>
          <w:highlight w:val="none"/>
        </w:rPr>
      </w:pPr>
      <w:r>
        <w:rPr>
          <w:rFonts w:hint="eastAsia" w:ascii="宋体" w:hAnsi="宋体" w:cs="宋体"/>
          <w:b/>
          <w:bCs/>
          <w:color w:val="auto"/>
          <w:sz w:val="28"/>
          <w:szCs w:val="28"/>
          <w:highlight w:val="none"/>
        </w:rPr>
        <w:t>二、采购清单</w:t>
      </w:r>
    </w:p>
    <w:tbl>
      <w:tblPr>
        <w:tblStyle w:val="37"/>
        <w:tblW w:w="565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 w:type="dxa"/>
          <w:bottom w:w="0" w:type="dxa"/>
          <w:right w:w="10" w:type="dxa"/>
        </w:tblCellMar>
      </w:tblPr>
      <w:tblGrid>
        <w:gridCol w:w="752"/>
        <w:gridCol w:w="2035"/>
        <w:gridCol w:w="1687"/>
        <w:gridCol w:w="845"/>
        <w:gridCol w:w="763"/>
        <w:gridCol w:w="1051"/>
        <w:gridCol w:w="763"/>
        <w:gridCol w:w="707"/>
        <w:gridCol w:w="836"/>
      </w:tblGrid>
      <w:tr w14:paraId="3E9AAA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1189" w:hRule="atLeast"/>
          <w:jc w:val="center"/>
        </w:trPr>
        <w:tc>
          <w:tcPr>
            <w:tcW w:w="398" w:type="pct"/>
            <w:tcBorders>
              <w:tl2br w:val="nil"/>
              <w:tr2bl w:val="nil"/>
            </w:tcBorders>
            <w:tcMar>
              <w:top w:w="20" w:type="dxa"/>
              <w:left w:w="20" w:type="dxa"/>
              <w:bottom w:w="20" w:type="dxa"/>
              <w:right w:w="20" w:type="dxa"/>
            </w:tcMar>
            <w:vAlign w:val="center"/>
          </w:tcPr>
          <w:p w14:paraId="4BED93E6">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序号</w:t>
            </w:r>
          </w:p>
        </w:tc>
        <w:tc>
          <w:tcPr>
            <w:tcW w:w="1077" w:type="pct"/>
            <w:tcBorders>
              <w:tl2br w:val="nil"/>
              <w:tr2bl w:val="nil"/>
            </w:tcBorders>
            <w:tcMar>
              <w:top w:w="20" w:type="dxa"/>
              <w:left w:w="20" w:type="dxa"/>
              <w:bottom w:w="20" w:type="dxa"/>
              <w:right w:w="20" w:type="dxa"/>
            </w:tcMar>
            <w:vAlign w:val="center"/>
          </w:tcPr>
          <w:p w14:paraId="3E16B23E">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采购标的</w:t>
            </w:r>
          </w:p>
        </w:tc>
        <w:tc>
          <w:tcPr>
            <w:tcW w:w="893" w:type="pct"/>
            <w:tcBorders>
              <w:tl2br w:val="nil"/>
              <w:tr2bl w:val="nil"/>
            </w:tcBorders>
            <w:tcMar>
              <w:top w:w="20" w:type="dxa"/>
              <w:left w:w="20" w:type="dxa"/>
              <w:bottom w:w="20" w:type="dxa"/>
              <w:right w:w="20" w:type="dxa"/>
            </w:tcMar>
            <w:vAlign w:val="center"/>
          </w:tcPr>
          <w:p w14:paraId="6C298D2C">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对应中小企业划分标准所属行业</w:t>
            </w:r>
          </w:p>
        </w:tc>
        <w:tc>
          <w:tcPr>
            <w:tcW w:w="447" w:type="pct"/>
            <w:tcBorders>
              <w:tl2br w:val="nil"/>
              <w:tr2bl w:val="nil"/>
            </w:tcBorders>
            <w:tcMar>
              <w:top w:w="20" w:type="dxa"/>
              <w:left w:w="20" w:type="dxa"/>
              <w:bottom w:w="20" w:type="dxa"/>
              <w:right w:w="20" w:type="dxa"/>
            </w:tcMar>
            <w:vAlign w:val="center"/>
          </w:tcPr>
          <w:p w14:paraId="6CB1052C">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数量</w:t>
            </w:r>
          </w:p>
        </w:tc>
        <w:tc>
          <w:tcPr>
            <w:tcW w:w="404" w:type="pct"/>
            <w:tcBorders>
              <w:tl2br w:val="nil"/>
              <w:tr2bl w:val="nil"/>
            </w:tcBorders>
            <w:tcMar>
              <w:top w:w="20" w:type="dxa"/>
              <w:left w:w="20" w:type="dxa"/>
              <w:bottom w:w="20" w:type="dxa"/>
              <w:right w:w="20" w:type="dxa"/>
            </w:tcMar>
            <w:vAlign w:val="center"/>
          </w:tcPr>
          <w:p w14:paraId="19942872">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单位</w:t>
            </w:r>
          </w:p>
        </w:tc>
        <w:tc>
          <w:tcPr>
            <w:tcW w:w="556" w:type="pct"/>
            <w:tcBorders>
              <w:tl2br w:val="nil"/>
              <w:tr2bl w:val="nil"/>
            </w:tcBorders>
            <w:tcMar>
              <w:top w:w="20" w:type="dxa"/>
              <w:left w:w="20" w:type="dxa"/>
              <w:bottom w:w="20" w:type="dxa"/>
              <w:right w:w="20" w:type="dxa"/>
            </w:tcMar>
            <w:vAlign w:val="center"/>
          </w:tcPr>
          <w:p w14:paraId="6864D6FF">
            <w:pPr>
              <w:wordWrap w:val="0"/>
              <w:spacing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单项最高限价（万元）</w:t>
            </w:r>
          </w:p>
        </w:tc>
        <w:tc>
          <w:tcPr>
            <w:tcW w:w="404" w:type="pct"/>
            <w:tcBorders>
              <w:tl2br w:val="nil"/>
              <w:tr2bl w:val="nil"/>
            </w:tcBorders>
            <w:tcMar>
              <w:top w:w="20" w:type="dxa"/>
              <w:left w:w="20" w:type="dxa"/>
              <w:bottom w:w="20" w:type="dxa"/>
              <w:right w:w="20" w:type="dxa"/>
            </w:tcMar>
            <w:vAlign w:val="center"/>
          </w:tcPr>
          <w:p w14:paraId="7327ABEB">
            <w:pPr>
              <w:wordWrap w:val="0"/>
              <w:spacing w:line="460" w:lineRule="exact"/>
              <w:jc w:val="center"/>
              <w:rPr>
                <w:rFonts w:ascii="宋体" w:hAnsi="宋体" w:cs="宋体"/>
                <w:color w:val="auto"/>
                <w:sz w:val="28"/>
                <w:szCs w:val="28"/>
                <w:highlight w:val="none"/>
              </w:rPr>
            </w:pPr>
            <w:r>
              <w:rPr>
                <w:rFonts w:hint="eastAsia" w:ascii="宋体" w:hAnsi="宋体" w:cs="宋体"/>
                <w:b/>
                <w:color w:val="auto"/>
                <w:sz w:val="28"/>
                <w:szCs w:val="28"/>
                <w:highlight w:val="none"/>
              </w:rPr>
              <w:t>是否主要标的</w:t>
            </w:r>
          </w:p>
        </w:tc>
        <w:tc>
          <w:tcPr>
            <w:tcW w:w="374" w:type="pct"/>
            <w:tcBorders>
              <w:tl2br w:val="nil"/>
              <w:tr2bl w:val="nil"/>
            </w:tcBorders>
            <w:tcMar>
              <w:top w:w="20" w:type="dxa"/>
              <w:left w:w="20" w:type="dxa"/>
              <w:bottom w:w="20" w:type="dxa"/>
              <w:right w:w="20" w:type="dxa"/>
            </w:tcMar>
            <w:vAlign w:val="center"/>
          </w:tcPr>
          <w:p w14:paraId="7DD9DACC">
            <w:pPr>
              <w:wordWrap w:val="0"/>
              <w:spacing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是否核心产品</w:t>
            </w:r>
          </w:p>
        </w:tc>
        <w:tc>
          <w:tcPr>
            <w:tcW w:w="442" w:type="pct"/>
            <w:tcBorders>
              <w:tl2br w:val="nil"/>
              <w:tr2bl w:val="nil"/>
            </w:tcBorders>
            <w:tcMar>
              <w:top w:w="20" w:type="dxa"/>
              <w:left w:w="20" w:type="dxa"/>
              <w:bottom w:w="20" w:type="dxa"/>
              <w:right w:w="20" w:type="dxa"/>
            </w:tcMar>
            <w:vAlign w:val="center"/>
          </w:tcPr>
          <w:p w14:paraId="4D0C3B16">
            <w:pPr>
              <w:wordWrap w:val="0"/>
              <w:spacing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是否强制节能</w:t>
            </w:r>
          </w:p>
        </w:tc>
      </w:tr>
      <w:tr w14:paraId="26D503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6597F135">
            <w:pPr>
              <w:spacing w:line="360" w:lineRule="exact"/>
              <w:jc w:val="center"/>
              <w:rPr>
                <w:rFonts w:ascii="宋体" w:hAnsi="宋体" w:cs="宋体"/>
                <w:color w:val="auto"/>
                <w:sz w:val="28"/>
                <w:szCs w:val="28"/>
                <w:highlight w:val="none"/>
              </w:rPr>
            </w:pPr>
            <w:bookmarkStart w:id="150" w:name="_Hlk242886170"/>
            <w:r>
              <w:rPr>
                <w:rFonts w:ascii="宋体" w:hAnsi="宋体" w:cs="宋体"/>
                <w:color w:val="auto"/>
                <w:sz w:val="28"/>
                <w:szCs w:val="28"/>
                <w:highlight w:val="none"/>
              </w:rPr>
              <w:t>1</w:t>
            </w:r>
          </w:p>
        </w:tc>
        <w:tc>
          <w:tcPr>
            <w:tcW w:w="1077" w:type="pct"/>
            <w:tcBorders>
              <w:tl2br w:val="nil"/>
              <w:tr2bl w:val="nil"/>
            </w:tcBorders>
            <w:tcMar>
              <w:top w:w="20" w:type="dxa"/>
              <w:left w:w="20" w:type="dxa"/>
              <w:bottom w:w="20" w:type="dxa"/>
              <w:right w:w="20" w:type="dxa"/>
            </w:tcMar>
            <w:vAlign w:val="center"/>
          </w:tcPr>
          <w:p w14:paraId="5C94F4F8">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气相色谱仪（顶空-气相色谱仪-氢火焰离子化检测器+电子捕获检测器）</w:t>
            </w:r>
          </w:p>
        </w:tc>
        <w:tc>
          <w:tcPr>
            <w:tcW w:w="893" w:type="pct"/>
            <w:tcBorders>
              <w:tl2br w:val="nil"/>
              <w:tr2bl w:val="nil"/>
            </w:tcBorders>
            <w:tcMar>
              <w:top w:w="20" w:type="dxa"/>
              <w:left w:w="20" w:type="dxa"/>
              <w:bottom w:w="20" w:type="dxa"/>
              <w:right w:w="20" w:type="dxa"/>
            </w:tcMar>
            <w:vAlign w:val="center"/>
          </w:tcPr>
          <w:p w14:paraId="6E49E00A">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tcMar>
              <w:top w:w="20" w:type="dxa"/>
              <w:left w:w="20" w:type="dxa"/>
              <w:bottom w:w="20" w:type="dxa"/>
              <w:right w:w="20" w:type="dxa"/>
            </w:tcMar>
            <w:vAlign w:val="center"/>
          </w:tcPr>
          <w:p w14:paraId="0C6FC7F3">
            <w:pPr>
              <w:widowControl/>
              <w:jc w:val="center"/>
              <w:textAlignment w:val="center"/>
              <w:rPr>
                <w:rFonts w:ascii="宋体" w:hAnsi="宋体" w:cs="宋体"/>
                <w:color w:val="auto"/>
                <w:sz w:val="28"/>
                <w:szCs w:val="28"/>
                <w:highlight w:val="none"/>
              </w:rPr>
            </w:pPr>
            <w:r>
              <w:rPr>
                <w:rFonts w:ascii="宋体" w:hAnsi="宋体" w:cs="宋体"/>
                <w:color w:val="auto"/>
                <w:kern w:val="0"/>
                <w:sz w:val="28"/>
                <w:szCs w:val="28"/>
                <w:highlight w:val="none"/>
              </w:rPr>
              <w:t>1</w:t>
            </w:r>
          </w:p>
        </w:tc>
        <w:tc>
          <w:tcPr>
            <w:tcW w:w="404" w:type="pct"/>
            <w:tcBorders>
              <w:tl2br w:val="nil"/>
              <w:tr2bl w:val="nil"/>
            </w:tcBorders>
            <w:tcMar>
              <w:top w:w="20" w:type="dxa"/>
              <w:left w:w="20" w:type="dxa"/>
              <w:bottom w:w="20" w:type="dxa"/>
              <w:right w:w="20" w:type="dxa"/>
            </w:tcMar>
            <w:vAlign w:val="center"/>
          </w:tcPr>
          <w:p w14:paraId="68576613">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tcMar>
              <w:top w:w="20" w:type="dxa"/>
              <w:left w:w="20" w:type="dxa"/>
              <w:bottom w:w="20" w:type="dxa"/>
              <w:right w:w="20" w:type="dxa"/>
            </w:tcMar>
            <w:vAlign w:val="center"/>
          </w:tcPr>
          <w:p w14:paraId="6113C06F">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65.0</w:t>
            </w:r>
          </w:p>
        </w:tc>
        <w:tc>
          <w:tcPr>
            <w:tcW w:w="404" w:type="pct"/>
            <w:tcBorders>
              <w:tl2br w:val="nil"/>
              <w:tr2bl w:val="nil"/>
            </w:tcBorders>
            <w:tcMar>
              <w:top w:w="20" w:type="dxa"/>
              <w:left w:w="20" w:type="dxa"/>
              <w:bottom w:w="20" w:type="dxa"/>
              <w:right w:w="20" w:type="dxa"/>
            </w:tcMar>
            <w:vAlign w:val="center"/>
          </w:tcPr>
          <w:p w14:paraId="381C65EE">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tcMar>
              <w:top w:w="20" w:type="dxa"/>
              <w:left w:w="20" w:type="dxa"/>
              <w:bottom w:w="20" w:type="dxa"/>
              <w:right w:w="20" w:type="dxa"/>
            </w:tcMar>
            <w:vAlign w:val="center"/>
          </w:tcPr>
          <w:p w14:paraId="6D6EE8AB">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tcMar>
              <w:top w:w="20" w:type="dxa"/>
              <w:left w:w="20" w:type="dxa"/>
              <w:bottom w:w="20" w:type="dxa"/>
              <w:right w:w="20" w:type="dxa"/>
            </w:tcMar>
            <w:vAlign w:val="center"/>
          </w:tcPr>
          <w:p w14:paraId="63D77F26">
            <w:pPr>
              <w:wordWrap w:val="0"/>
              <w:spacing w:line="460" w:lineRule="exact"/>
              <w:jc w:val="center"/>
              <w:rPr>
                <w:rFonts w:ascii="宋体" w:hAnsi="宋体" w:cs="宋体"/>
                <w:b/>
                <w:color w:val="auto"/>
                <w:sz w:val="28"/>
                <w:szCs w:val="28"/>
                <w:highlight w:val="none"/>
              </w:rPr>
            </w:pPr>
            <w:r>
              <w:rPr>
                <w:rFonts w:hint="eastAsia" w:ascii="宋体" w:hAnsi="宋体" w:cs="宋体"/>
                <w:bCs/>
                <w:color w:val="auto"/>
                <w:sz w:val="28"/>
                <w:szCs w:val="28"/>
                <w:highlight w:val="none"/>
              </w:rPr>
              <w:t>否</w:t>
            </w:r>
          </w:p>
        </w:tc>
      </w:tr>
      <w:bookmarkEnd w:id="150"/>
      <w:tr w14:paraId="28E9A8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1C2CA329">
            <w:pPr>
              <w:spacing w:line="360" w:lineRule="exact"/>
              <w:jc w:val="center"/>
              <w:rPr>
                <w:rFonts w:ascii="宋体" w:hAnsi="宋体" w:cs="宋体"/>
                <w:color w:val="auto"/>
                <w:sz w:val="28"/>
                <w:szCs w:val="28"/>
                <w:highlight w:val="none"/>
              </w:rPr>
            </w:pPr>
            <w:r>
              <w:rPr>
                <w:rFonts w:ascii="宋体" w:hAnsi="宋体" w:cs="宋体"/>
                <w:color w:val="auto"/>
                <w:sz w:val="28"/>
                <w:szCs w:val="28"/>
                <w:highlight w:val="none"/>
              </w:rPr>
              <w:t>2</w:t>
            </w:r>
          </w:p>
        </w:tc>
        <w:tc>
          <w:tcPr>
            <w:tcW w:w="1077" w:type="pct"/>
            <w:tcBorders>
              <w:tl2br w:val="nil"/>
              <w:tr2bl w:val="nil"/>
            </w:tcBorders>
            <w:tcMar>
              <w:top w:w="20" w:type="dxa"/>
              <w:left w:w="20" w:type="dxa"/>
              <w:bottom w:w="20" w:type="dxa"/>
              <w:right w:w="20" w:type="dxa"/>
            </w:tcMar>
            <w:vAlign w:val="center"/>
          </w:tcPr>
          <w:p w14:paraId="2F8A30F1">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气相色谱仪（气相色谱仪-氢火焰离子化检测器+电子捕获检测器）</w:t>
            </w:r>
          </w:p>
        </w:tc>
        <w:tc>
          <w:tcPr>
            <w:tcW w:w="893" w:type="pct"/>
            <w:tcBorders>
              <w:tl2br w:val="nil"/>
              <w:tr2bl w:val="nil"/>
            </w:tcBorders>
            <w:tcMar>
              <w:top w:w="20" w:type="dxa"/>
              <w:left w:w="20" w:type="dxa"/>
              <w:bottom w:w="20" w:type="dxa"/>
              <w:right w:w="20" w:type="dxa"/>
            </w:tcMar>
            <w:vAlign w:val="center"/>
          </w:tcPr>
          <w:p w14:paraId="1858E997">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tcMar>
              <w:top w:w="20" w:type="dxa"/>
              <w:left w:w="20" w:type="dxa"/>
              <w:bottom w:w="20" w:type="dxa"/>
              <w:right w:w="20" w:type="dxa"/>
            </w:tcMar>
            <w:vAlign w:val="center"/>
          </w:tcPr>
          <w:p w14:paraId="797A575D">
            <w:pPr>
              <w:widowControl/>
              <w:jc w:val="center"/>
              <w:textAlignment w:val="center"/>
              <w:rPr>
                <w:rFonts w:ascii="宋体" w:hAnsi="宋体" w:cs="宋体"/>
                <w:color w:val="auto"/>
                <w:kern w:val="0"/>
                <w:sz w:val="28"/>
                <w:szCs w:val="28"/>
                <w:highlight w:val="none"/>
              </w:rPr>
            </w:pPr>
            <w:r>
              <w:rPr>
                <w:rFonts w:ascii="宋体" w:hAnsi="宋体" w:cs="宋体"/>
                <w:color w:val="auto"/>
                <w:kern w:val="0"/>
                <w:sz w:val="28"/>
                <w:szCs w:val="28"/>
                <w:highlight w:val="none"/>
              </w:rPr>
              <w:t>1</w:t>
            </w:r>
          </w:p>
        </w:tc>
        <w:tc>
          <w:tcPr>
            <w:tcW w:w="404" w:type="pct"/>
            <w:tcBorders>
              <w:tl2br w:val="nil"/>
              <w:tr2bl w:val="nil"/>
            </w:tcBorders>
            <w:tcMar>
              <w:top w:w="20" w:type="dxa"/>
              <w:left w:w="20" w:type="dxa"/>
              <w:bottom w:w="20" w:type="dxa"/>
              <w:right w:w="20" w:type="dxa"/>
            </w:tcMar>
            <w:vAlign w:val="center"/>
          </w:tcPr>
          <w:p w14:paraId="670DBA67">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tcMar>
              <w:top w:w="20" w:type="dxa"/>
              <w:left w:w="20" w:type="dxa"/>
              <w:bottom w:w="20" w:type="dxa"/>
              <w:right w:w="20" w:type="dxa"/>
            </w:tcMar>
            <w:vAlign w:val="center"/>
          </w:tcPr>
          <w:p w14:paraId="3EC9E293">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45.0</w:t>
            </w:r>
          </w:p>
        </w:tc>
        <w:tc>
          <w:tcPr>
            <w:tcW w:w="404" w:type="pct"/>
            <w:tcBorders>
              <w:tl2br w:val="nil"/>
              <w:tr2bl w:val="nil"/>
            </w:tcBorders>
            <w:tcMar>
              <w:top w:w="20" w:type="dxa"/>
              <w:left w:w="20" w:type="dxa"/>
              <w:bottom w:w="20" w:type="dxa"/>
              <w:right w:w="20" w:type="dxa"/>
            </w:tcMar>
            <w:vAlign w:val="center"/>
          </w:tcPr>
          <w:p w14:paraId="5649D19F">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tcMar>
              <w:top w:w="20" w:type="dxa"/>
              <w:left w:w="20" w:type="dxa"/>
              <w:bottom w:w="20" w:type="dxa"/>
              <w:right w:w="20" w:type="dxa"/>
            </w:tcMar>
            <w:vAlign w:val="center"/>
          </w:tcPr>
          <w:p w14:paraId="75793527">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tcMar>
              <w:top w:w="20" w:type="dxa"/>
              <w:left w:w="20" w:type="dxa"/>
              <w:bottom w:w="20" w:type="dxa"/>
              <w:right w:w="20" w:type="dxa"/>
            </w:tcMar>
            <w:vAlign w:val="center"/>
          </w:tcPr>
          <w:p w14:paraId="7F8FC3C0">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r w14:paraId="09FF8B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0E583807">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1077" w:type="pct"/>
            <w:tcBorders>
              <w:tl2br w:val="nil"/>
              <w:tr2bl w:val="nil"/>
            </w:tcBorders>
            <w:tcMar>
              <w:top w:w="20" w:type="dxa"/>
              <w:left w:w="20" w:type="dxa"/>
              <w:bottom w:w="20" w:type="dxa"/>
              <w:right w:w="20" w:type="dxa"/>
            </w:tcMar>
            <w:vAlign w:val="center"/>
          </w:tcPr>
          <w:p w14:paraId="6CF6850B">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气相色谱质谱联用仪</w:t>
            </w:r>
          </w:p>
        </w:tc>
        <w:tc>
          <w:tcPr>
            <w:tcW w:w="893" w:type="pct"/>
            <w:tcBorders>
              <w:tl2br w:val="nil"/>
              <w:tr2bl w:val="nil"/>
            </w:tcBorders>
            <w:tcMar>
              <w:top w:w="20" w:type="dxa"/>
              <w:left w:w="20" w:type="dxa"/>
              <w:bottom w:w="20" w:type="dxa"/>
              <w:right w:w="20" w:type="dxa"/>
            </w:tcMar>
            <w:vAlign w:val="center"/>
          </w:tcPr>
          <w:p w14:paraId="606C9ABF">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tcMar>
              <w:top w:w="20" w:type="dxa"/>
              <w:left w:w="20" w:type="dxa"/>
              <w:bottom w:w="20" w:type="dxa"/>
              <w:right w:w="20" w:type="dxa"/>
            </w:tcMar>
            <w:vAlign w:val="center"/>
          </w:tcPr>
          <w:p w14:paraId="105AF028">
            <w:pPr>
              <w:widowControl/>
              <w:jc w:val="center"/>
              <w:textAlignment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404" w:type="pct"/>
            <w:tcBorders>
              <w:tl2br w:val="nil"/>
              <w:tr2bl w:val="nil"/>
            </w:tcBorders>
            <w:tcMar>
              <w:top w:w="20" w:type="dxa"/>
              <w:left w:w="20" w:type="dxa"/>
              <w:bottom w:w="20" w:type="dxa"/>
              <w:right w:w="20" w:type="dxa"/>
            </w:tcMar>
            <w:vAlign w:val="center"/>
          </w:tcPr>
          <w:p w14:paraId="4291CBCC">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tcMar>
              <w:top w:w="20" w:type="dxa"/>
              <w:left w:w="20" w:type="dxa"/>
              <w:bottom w:w="20" w:type="dxa"/>
              <w:right w:w="20" w:type="dxa"/>
            </w:tcMar>
            <w:vAlign w:val="center"/>
          </w:tcPr>
          <w:p w14:paraId="76768E34">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68.0</w:t>
            </w:r>
          </w:p>
        </w:tc>
        <w:tc>
          <w:tcPr>
            <w:tcW w:w="404" w:type="pct"/>
            <w:tcBorders>
              <w:tl2br w:val="nil"/>
              <w:tr2bl w:val="nil"/>
            </w:tcBorders>
            <w:tcMar>
              <w:top w:w="20" w:type="dxa"/>
              <w:left w:w="20" w:type="dxa"/>
              <w:bottom w:w="20" w:type="dxa"/>
              <w:right w:w="20" w:type="dxa"/>
            </w:tcMar>
            <w:vAlign w:val="center"/>
          </w:tcPr>
          <w:p w14:paraId="1DA08DA3">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tcMar>
              <w:top w:w="20" w:type="dxa"/>
              <w:left w:w="20" w:type="dxa"/>
              <w:bottom w:w="20" w:type="dxa"/>
              <w:right w:w="20" w:type="dxa"/>
            </w:tcMar>
            <w:vAlign w:val="center"/>
          </w:tcPr>
          <w:p w14:paraId="55473578">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tcMar>
              <w:top w:w="20" w:type="dxa"/>
              <w:left w:w="20" w:type="dxa"/>
              <w:bottom w:w="20" w:type="dxa"/>
              <w:right w:w="20" w:type="dxa"/>
            </w:tcMar>
            <w:vAlign w:val="center"/>
          </w:tcPr>
          <w:p w14:paraId="18154DE7">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r w14:paraId="081375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4D97A82E">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1077" w:type="pct"/>
            <w:tcBorders>
              <w:tl2br w:val="nil"/>
              <w:tr2bl w:val="nil"/>
            </w:tcBorders>
            <w:tcMar>
              <w:top w:w="20" w:type="dxa"/>
              <w:left w:w="20" w:type="dxa"/>
              <w:bottom w:w="20" w:type="dxa"/>
              <w:right w:w="20" w:type="dxa"/>
            </w:tcMar>
            <w:vAlign w:val="center"/>
          </w:tcPr>
          <w:p w14:paraId="5CAB3CEA">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液相色谱仪（高效液相色谱仪-二极管阵列/荧光检测器+柱后衍生）</w:t>
            </w:r>
          </w:p>
        </w:tc>
        <w:tc>
          <w:tcPr>
            <w:tcW w:w="893" w:type="pct"/>
            <w:tcBorders>
              <w:tl2br w:val="nil"/>
              <w:tr2bl w:val="nil"/>
            </w:tcBorders>
            <w:tcMar>
              <w:top w:w="20" w:type="dxa"/>
              <w:left w:w="20" w:type="dxa"/>
              <w:bottom w:w="20" w:type="dxa"/>
              <w:right w:w="20" w:type="dxa"/>
            </w:tcMar>
            <w:vAlign w:val="center"/>
          </w:tcPr>
          <w:p w14:paraId="45B29F3B">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tcMar>
              <w:top w:w="20" w:type="dxa"/>
              <w:left w:w="20" w:type="dxa"/>
              <w:bottom w:w="20" w:type="dxa"/>
              <w:right w:w="20" w:type="dxa"/>
            </w:tcMar>
            <w:vAlign w:val="center"/>
          </w:tcPr>
          <w:p w14:paraId="0BA12E76">
            <w:pPr>
              <w:widowControl/>
              <w:jc w:val="center"/>
              <w:textAlignment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404" w:type="pct"/>
            <w:tcBorders>
              <w:tl2br w:val="nil"/>
              <w:tr2bl w:val="nil"/>
            </w:tcBorders>
            <w:tcMar>
              <w:top w:w="20" w:type="dxa"/>
              <w:left w:w="20" w:type="dxa"/>
              <w:bottom w:w="20" w:type="dxa"/>
              <w:right w:w="20" w:type="dxa"/>
            </w:tcMar>
            <w:vAlign w:val="center"/>
          </w:tcPr>
          <w:p w14:paraId="7D9A9C85">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tcMar>
              <w:top w:w="20" w:type="dxa"/>
              <w:left w:w="20" w:type="dxa"/>
              <w:bottom w:w="20" w:type="dxa"/>
              <w:right w:w="20" w:type="dxa"/>
            </w:tcMar>
            <w:vAlign w:val="center"/>
          </w:tcPr>
          <w:p w14:paraId="1644FFCF">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70.0</w:t>
            </w:r>
          </w:p>
        </w:tc>
        <w:tc>
          <w:tcPr>
            <w:tcW w:w="404" w:type="pct"/>
            <w:tcBorders>
              <w:tl2br w:val="nil"/>
              <w:tr2bl w:val="nil"/>
            </w:tcBorders>
            <w:tcMar>
              <w:top w:w="20" w:type="dxa"/>
              <w:left w:w="20" w:type="dxa"/>
              <w:bottom w:w="20" w:type="dxa"/>
              <w:right w:w="20" w:type="dxa"/>
            </w:tcMar>
            <w:vAlign w:val="center"/>
          </w:tcPr>
          <w:p w14:paraId="1B5F36F4">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tcMar>
              <w:top w:w="20" w:type="dxa"/>
              <w:left w:w="20" w:type="dxa"/>
              <w:bottom w:w="20" w:type="dxa"/>
              <w:right w:w="20" w:type="dxa"/>
            </w:tcMar>
            <w:vAlign w:val="center"/>
          </w:tcPr>
          <w:p w14:paraId="40A1C818">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tcMar>
              <w:top w:w="20" w:type="dxa"/>
              <w:left w:w="20" w:type="dxa"/>
              <w:bottom w:w="20" w:type="dxa"/>
              <w:right w:w="20" w:type="dxa"/>
            </w:tcMar>
            <w:vAlign w:val="center"/>
          </w:tcPr>
          <w:p w14:paraId="7477625A">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r w14:paraId="26845D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732151A6">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1077" w:type="pct"/>
            <w:tcBorders>
              <w:tl2br w:val="nil"/>
              <w:tr2bl w:val="nil"/>
            </w:tcBorders>
            <w:tcMar>
              <w:top w:w="20" w:type="dxa"/>
              <w:left w:w="20" w:type="dxa"/>
              <w:bottom w:w="20" w:type="dxa"/>
              <w:right w:w="20" w:type="dxa"/>
            </w:tcMar>
            <w:vAlign w:val="center"/>
          </w:tcPr>
          <w:p w14:paraId="03036602">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液相色谱仪(高效液相色谱仪-二极管阵列/蒸发光散射检测器)</w:t>
            </w:r>
          </w:p>
        </w:tc>
        <w:tc>
          <w:tcPr>
            <w:tcW w:w="893" w:type="pct"/>
            <w:tcBorders>
              <w:tl2br w:val="nil"/>
              <w:tr2bl w:val="nil"/>
            </w:tcBorders>
            <w:tcMar>
              <w:top w:w="20" w:type="dxa"/>
              <w:left w:w="20" w:type="dxa"/>
              <w:bottom w:w="20" w:type="dxa"/>
              <w:right w:w="20" w:type="dxa"/>
            </w:tcMar>
            <w:vAlign w:val="center"/>
          </w:tcPr>
          <w:p w14:paraId="68BC0EE8">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tcMar>
              <w:top w:w="20" w:type="dxa"/>
              <w:left w:w="20" w:type="dxa"/>
              <w:bottom w:w="20" w:type="dxa"/>
              <w:right w:w="20" w:type="dxa"/>
            </w:tcMar>
            <w:vAlign w:val="center"/>
          </w:tcPr>
          <w:p w14:paraId="51E73487">
            <w:pPr>
              <w:widowControl/>
              <w:jc w:val="center"/>
              <w:textAlignment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404" w:type="pct"/>
            <w:tcBorders>
              <w:tl2br w:val="nil"/>
              <w:tr2bl w:val="nil"/>
            </w:tcBorders>
            <w:tcMar>
              <w:top w:w="20" w:type="dxa"/>
              <w:left w:w="20" w:type="dxa"/>
              <w:bottom w:w="20" w:type="dxa"/>
              <w:right w:w="20" w:type="dxa"/>
            </w:tcMar>
            <w:vAlign w:val="center"/>
          </w:tcPr>
          <w:p w14:paraId="044F6603">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tcMar>
              <w:top w:w="20" w:type="dxa"/>
              <w:left w:w="20" w:type="dxa"/>
              <w:bottom w:w="20" w:type="dxa"/>
              <w:right w:w="20" w:type="dxa"/>
            </w:tcMar>
            <w:vAlign w:val="center"/>
          </w:tcPr>
          <w:p w14:paraId="1133AE2D">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55.0</w:t>
            </w:r>
          </w:p>
        </w:tc>
        <w:tc>
          <w:tcPr>
            <w:tcW w:w="404" w:type="pct"/>
            <w:tcBorders>
              <w:tl2br w:val="nil"/>
              <w:tr2bl w:val="nil"/>
            </w:tcBorders>
            <w:tcMar>
              <w:top w:w="20" w:type="dxa"/>
              <w:left w:w="20" w:type="dxa"/>
              <w:bottom w:w="20" w:type="dxa"/>
              <w:right w:w="20" w:type="dxa"/>
            </w:tcMar>
            <w:vAlign w:val="center"/>
          </w:tcPr>
          <w:p w14:paraId="7777714A">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tcMar>
              <w:top w:w="20" w:type="dxa"/>
              <w:left w:w="20" w:type="dxa"/>
              <w:bottom w:w="20" w:type="dxa"/>
              <w:right w:w="20" w:type="dxa"/>
            </w:tcMar>
            <w:vAlign w:val="center"/>
          </w:tcPr>
          <w:p w14:paraId="4C2DCC26">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tcMar>
              <w:top w:w="20" w:type="dxa"/>
              <w:left w:w="20" w:type="dxa"/>
              <w:bottom w:w="20" w:type="dxa"/>
              <w:right w:w="20" w:type="dxa"/>
            </w:tcMar>
            <w:vAlign w:val="center"/>
          </w:tcPr>
          <w:p w14:paraId="49A9DE09">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r w14:paraId="6AC168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50D27209">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1077" w:type="pct"/>
            <w:tcBorders>
              <w:tl2br w:val="nil"/>
              <w:tr2bl w:val="nil"/>
            </w:tcBorders>
            <w:tcMar>
              <w:top w:w="20" w:type="dxa"/>
              <w:left w:w="20" w:type="dxa"/>
              <w:bottom w:w="20" w:type="dxa"/>
              <w:right w:w="20" w:type="dxa"/>
            </w:tcMar>
            <w:vAlign w:val="center"/>
          </w:tcPr>
          <w:p w14:paraId="144B2524">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液相色谱串联质谱仪</w:t>
            </w:r>
          </w:p>
        </w:tc>
        <w:tc>
          <w:tcPr>
            <w:tcW w:w="893" w:type="pct"/>
            <w:tcBorders>
              <w:tl2br w:val="nil"/>
              <w:tr2bl w:val="nil"/>
            </w:tcBorders>
            <w:shd w:val="clear" w:color="auto" w:fill="auto"/>
            <w:tcMar>
              <w:top w:w="20" w:type="dxa"/>
              <w:left w:w="20" w:type="dxa"/>
              <w:bottom w:w="20" w:type="dxa"/>
              <w:right w:w="20" w:type="dxa"/>
            </w:tcMar>
            <w:vAlign w:val="center"/>
          </w:tcPr>
          <w:p w14:paraId="1E1BAF30">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shd w:val="clear" w:color="auto" w:fill="auto"/>
            <w:tcMar>
              <w:top w:w="20" w:type="dxa"/>
              <w:left w:w="20" w:type="dxa"/>
              <w:bottom w:w="20" w:type="dxa"/>
              <w:right w:w="20" w:type="dxa"/>
            </w:tcMar>
            <w:vAlign w:val="center"/>
          </w:tcPr>
          <w:p w14:paraId="58E23532">
            <w:pPr>
              <w:widowControl/>
              <w:jc w:val="center"/>
              <w:textAlignment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404" w:type="pct"/>
            <w:tcBorders>
              <w:tl2br w:val="nil"/>
              <w:tr2bl w:val="nil"/>
            </w:tcBorders>
            <w:shd w:val="clear" w:color="auto" w:fill="auto"/>
            <w:tcMar>
              <w:top w:w="20" w:type="dxa"/>
              <w:left w:w="20" w:type="dxa"/>
              <w:bottom w:w="20" w:type="dxa"/>
              <w:right w:w="20" w:type="dxa"/>
            </w:tcMar>
            <w:vAlign w:val="center"/>
          </w:tcPr>
          <w:p w14:paraId="1A7CC3CC">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shd w:val="clear" w:color="auto" w:fill="auto"/>
            <w:tcMar>
              <w:top w:w="20" w:type="dxa"/>
              <w:left w:w="20" w:type="dxa"/>
              <w:bottom w:w="20" w:type="dxa"/>
              <w:right w:w="20" w:type="dxa"/>
            </w:tcMar>
            <w:vAlign w:val="center"/>
          </w:tcPr>
          <w:p w14:paraId="48FE0DA3">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240.0</w:t>
            </w:r>
          </w:p>
        </w:tc>
        <w:tc>
          <w:tcPr>
            <w:tcW w:w="404" w:type="pct"/>
            <w:tcBorders>
              <w:tl2br w:val="nil"/>
              <w:tr2bl w:val="nil"/>
            </w:tcBorders>
            <w:shd w:val="clear" w:color="auto" w:fill="auto"/>
            <w:tcMar>
              <w:top w:w="20" w:type="dxa"/>
              <w:left w:w="20" w:type="dxa"/>
              <w:bottom w:w="20" w:type="dxa"/>
              <w:right w:w="20" w:type="dxa"/>
            </w:tcMar>
            <w:vAlign w:val="center"/>
          </w:tcPr>
          <w:p w14:paraId="20E4078F">
            <w:pPr>
              <w:wordWrap w:val="0"/>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是</w:t>
            </w:r>
          </w:p>
        </w:tc>
        <w:tc>
          <w:tcPr>
            <w:tcW w:w="374" w:type="pct"/>
            <w:tcBorders>
              <w:tl2br w:val="nil"/>
              <w:tr2bl w:val="nil"/>
            </w:tcBorders>
            <w:shd w:val="clear" w:color="auto" w:fill="auto"/>
            <w:tcMar>
              <w:top w:w="20" w:type="dxa"/>
              <w:left w:w="20" w:type="dxa"/>
              <w:bottom w:w="20" w:type="dxa"/>
              <w:right w:w="20" w:type="dxa"/>
            </w:tcMar>
            <w:vAlign w:val="center"/>
          </w:tcPr>
          <w:p w14:paraId="4EAB1BF1">
            <w:pPr>
              <w:wordWrap w:val="0"/>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是</w:t>
            </w:r>
          </w:p>
        </w:tc>
        <w:tc>
          <w:tcPr>
            <w:tcW w:w="442" w:type="pct"/>
            <w:tcBorders>
              <w:tl2br w:val="nil"/>
              <w:tr2bl w:val="nil"/>
            </w:tcBorders>
            <w:shd w:val="clear" w:color="auto" w:fill="auto"/>
            <w:tcMar>
              <w:top w:w="20" w:type="dxa"/>
              <w:left w:w="20" w:type="dxa"/>
              <w:bottom w:w="20" w:type="dxa"/>
              <w:right w:w="20" w:type="dxa"/>
            </w:tcMar>
            <w:vAlign w:val="center"/>
          </w:tcPr>
          <w:p w14:paraId="36744710">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r w14:paraId="616C7E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 w:type="dxa"/>
            <w:bottom w:w="0" w:type="dxa"/>
            <w:right w:w="10" w:type="dxa"/>
          </w:tblCellMar>
        </w:tblPrEx>
        <w:trPr>
          <w:trHeight w:val="727" w:hRule="atLeast"/>
          <w:jc w:val="center"/>
        </w:trPr>
        <w:tc>
          <w:tcPr>
            <w:tcW w:w="398" w:type="pct"/>
            <w:tcBorders>
              <w:tl2br w:val="nil"/>
              <w:tr2bl w:val="nil"/>
            </w:tcBorders>
            <w:tcMar>
              <w:top w:w="20" w:type="dxa"/>
              <w:left w:w="20" w:type="dxa"/>
              <w:bottom w:w="20" w:type="dxa"/>
              <w:right w:w="20" w:type="dxa"/>
            </w:tcMar>
            <w:vAlign w:val="center"/>
          </w:tcPr>
          <w:p w14:paraId="27C6D5AC">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1077" w:type="pct"/>
            <w:tcBorders>
              <w:tl2br w:val="nil"/>
              <w:tr2bl w:val="nil"/>
            </w:tcBorders>
            <w:tcMar>
              <w:top w:w="20" w:type="dxa"/>
              <w:left w:w="20" w:type="dxa"/>
              <w:bottom w:w="20" w:type="dxa"/>
              <w:right w:w="20" w:type="dxa"/>
            </w:tcMar>
            <w:vAlign w:val="center"/>
          </w:tcPr>
          <w:p w14:paraId="02A45665">
            <w:pPr>
              <w:autoSpaceDE w:val="0"/>
              <w:autoSpaceDN w:val="0"/>
              <w:adjustRightInd w:val="0"/>
              <w:snapToGrid w:val="0"/>
              <w:spacing w:line="36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离子色谱仪（离子色谱-电导检测器+安培检测器）</w:t>
            </w:r>
          </w:p>
        </w:tc>
        <w:tc>
          <w:tcPr>
            <w:tcW w:w="893" w:type="pct"/>
            <w:tcBorders>
              <w:tl2br w:val="nil"/>
              <w:tr2bl w:val="nil"/>
            </w:tcBorders>
            <w:shd w:val="clear" w:color="auto" w:fill="auto"/>
            <w:tcMar>
              <w:top w:w="20" w:type="dxa"/>
              <w:left w:w="20" w:type="dxa"/>
              <w:bottom w:w="20" w:type="dxa"/>
              <w:right w:w="20" w:type="dxa"/>
            </w:tcMar>
            <w:vAlign w:val="center"/>
          </w:tcPr>
          <w:p w14:paraId="57D57F03">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工业</w:t>
            </w:r>
          </w:p>
        </w:tc>
        <w:tc>
          <w:tcPr>
            <w:tcW w:w="447" w:type="pct"/>
            <w:tcBorders>
              <w:tl2br w:val="nil"/>
              <w:tr2bl w:val="nil"/>
            </w:tcBorders>
            <w:shd w:val="clear" w:color="auto" w:fill="auto"/>
            <w:tcMar>
              <w:top w:w="20" w:type="dxa"/>
              <w:left w:w="20" w:type="dxa"/>
              <w:bottom w:w="20" w:type="dxa"/>
              <w:right w:w="20" w:type="dxa"/>
            </w:tcMar>
            <w:vAlign w:val="center"/>
          </w:tcPr>
          <w:p w14:paraId="619B6A63">
            <w:pPr>
              <w:widowControl/>
              <w:jc w:val="center"/>
              <w:textAlignment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404" w:type="pct"/>
            <w:tcBorders>
              <w:tl2br w:val="nil"/>
              <w:tr2bl w:val="nil"/>
            </w:tcBorders>
            <w:shd w:val="clear" w:color="auto" w:fill="auto"/>
            <w:tcMar>
              <w:top w:w="20" w:type="dxa"/>
              <w:left w:w="20" w:type="dxa"/>
              <w:bottom w:w="20" w:type="dxa"/>
              <w:right w:w="20" w:type="dxa"/>
            </w:tcMar>
            <w:vAlign w:val="center"/>
          </w:tcPr>
          <w:p w14:paraId="128FCFE5">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套</w:t>
            </w:r>
          </w:p>
        </w:tc>
        <w:tc>
          <w:tcPr>
            <w:tcW w:w="556" w:type="pct"/>
            <w:tcBorders>
              <w:tl2br w:val="nil"/>
              <w:tr2bl w:val="nil"/>
            </w:tcBorders>
            <w:shd w:val="clear" w:color="auto" w:fill="auto"/>
            <w:tcMar>
              <w:top w:w="20" w:type="dxa"/>
              <w:left w:w="20" w:type="dxa"/>
              <w:bottom w:w="20" w:type="dxa"/>
              <w:right w:w="20" w:type="dxa"/>
            </w:tcMar>
            <w:vAlign w:val="center"/>
          </w:tcPr>
          <w:p w14:paraId="596D7011">
            <w:pPr>
              <w:spacing w:line="3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109.0</w:t>
            </w:r>
          </w:p>
        </w:tc>
        <w:tc>
          <w:tcPr>
            <w:tcW w:w="404" w:type="pct"/>
            <w:tcBorders>
              <w:tl2br w:val="nil"/>
              <w:tr2bl w:val="nil"/>
            </w:tcBorders>
            <w:shd w:val="clear" w:color="auto" w:fill="auto"/>
            <w:tcMar>
              <w:top w:w="20" w:type="dxa"/>
              <w:left w:w="20" w:type="dxa"/>
              <w:bottom w:w="20" w:type="dxa"/>
              <w:right w:w="20" w:type="dxa"/>
            </w:tcMar>
            <w:vAlign w:val="center"/>
          </w:tcPr>
          <w:p w14:paraId="6CFCE969">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374" w:type="pct"/>
            <w:tcBorders>
              <w:tl2br w:val="nil"/>
              <w:tr2bl w:val="nil"/>
            </w:tcBorders>
            <w:shd w:val="clear" w:color="auto" w:fill="auto"/>
            <w:tcMar>
              <w:top w:w="20" w:type="dxa"/>
              <w:left w:w="20" w:type="dxa"/>
              <w:bottom w:w="20" w:type="dxa"/>
              <w:right w:w="20" w:type="dxa"/>
            </w:tcMar>
            <w:vAlign w:val="center"/>
          </w:tcPr>
          <w:p w14:paraId="1065E421">
            <w:pPr>
              <w:wordWrap w:val="0"/>
              <w:spacing w:line="46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否</w:t>
            </w:r>
          </w:p>
        </w:tc>
        <w:tc>
          <w:tcPr>
            <w:tcW w:w="442" w:type="pct"/>
            <w:tcBorders>
              <w:tl2br w:val="nil"/>
              <w:tr2bl w:val="nil"/>
            </w:tcBorders>
            <w:shd w:val="clear" w:color="auto" w:fill="auto"/>
            <w:tcMar>
              <w:top w:w="20" w:type="dxa"/>
              <w:left w:w="20" w:type="dxa"/>
              <w:bottom w:w="20" w:type="dxa"/>
              <w:right w:w="20" w:type="dxa"/>
            </w:tcMar>
            <w:vAlign w:val="center"/>
          </w:tcPr>
          <w:p w14:paraId="2798F86E">
            <w:pPr>
              <w:wordWrap w:val="0"/>
              <w:spacing w:line="4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否</w:t>
            </w:r>
          </w:p>
        </w:tc>
      </w:tr>
    </w:tbl>
    <w:p w14:paraId="0EB1F4EA">
      <w:pPr>
        <w:tabs>
          <w:tab w:val="left" w:pos="420"/>
        </w:tabs>
        <w:spacing w:beforeLines="50" w:afterLines="50" w:line="460" w:lineRule="exact"/>
        <w:ind w:firstLine="281" w:firstLineChars="1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三、配置清单</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3" w:type="dxa"/>
          <w:left w:w="113" w:type="dxa"/>
          <w:bottom w:w="113" w:type="dxa"/>
          <w:right w:w="113" w:type="dxa"/>
        </w:tblCellMar>
      </w:tblPr>
      <w:tblGrid>
        <w:gridCol w:w="692"/>
        <w:gridCol w:w="1410"/>
        <w:gridCol w:w="7106"/>
      </w:tblGrid>
      <w:tr w14:paraId="5E58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B640114">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3B4C4505">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仪器名称</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1388A5D0">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配置要求清单</w:t>
            </w:r>
          </w:p>
        </w:tc>
      </w:tr>
      <w:tr w14:paraId="27D2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AE7C7D2">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48008E97">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气相色谱仪（顶空-气相色谱仪-氢火焰离子化检测器+电子捕获检测器）</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38F8ECC4">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1.气相色谱仪主机1套；</w:t>
            </w:r>
          </w:p>
          <w:p w14:paraId="75A16395">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2.分流/不分流进样口2套；</w:t>
            </w:r>
          </w:p>
          <w:p w14:paraId="713B11D2">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3.FID检测器1套；</w:t>
            </w:r>
          </w:p>
          <w:p w14:paraId="29964247">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4.ECD检测器1套；</w:t>
            </w:r>
          </w:p>
          <w:p w14:paraId="4917133B">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5.液体自动进样器1套；</w:t>
            </w:r>
          </w:p>
          <w:p w14:paraId="02BD8830">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6.色谱控制、数据处理软件1套；</w:t>
            </w:r>
          </w:p>
          <w:p w14:paraId="496AE15E">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7.顶空进样器1套；</w:t>
            </w:r>
          </w:p>
          <w:p w14:paraId="58183E78">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8.消耗品包：进样口隔垫50个，分流/不分流衬管5个，O型圈10个，石墨密封垫圈10个，自动进样器进样针 1根，弱极性毛细管柱2根，氧/水捕集阱1个，安装工具包1套，2ml样品瓶 100个，顶空样品瓶 100个，启盖器 1个，封盖器 1个；</w:t>
            </w:r>
          </w:p>
          <w:p w14:paraId="709B4AAA">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9.工作站（含配套电脑及打印机）1套；</w:t>
            </w:r>
          </w:p>
          <w:p w14:paraId="60E981C8">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10.氢空一体机 1套。</w:t>
            </w:r>
          </w:p>
        </w:tc>
      </w:tr>
      <w:tr w14:paraId="6DB6E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1375563">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1201E2F8">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气相色谱仪（气相色谱仪-氢火焰离子化检测器+电子捕获检测器）</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0CCA609B">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1.气相色谱仪主机1套；</w:t>
            </w:r>
          </w:p>
          <w:p w14:paraId="0392AE5F">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2.分流/不分流进样口 2套；</w:t>
            </w:r>
          </w:p>
          <w:p w14:paraId="19728E5D">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3.FID检测器 1套；</w:t>
            </w:r>
          </w:p>
          <w:p w14:paraId="13CB742F">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4.ECD检测器 1套；</w:t>
            </w:r>
          </w:p>
          <w:p w14:paraId="7C328FEF">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5.液体自动进样器 1套；</w:t>
            </w:r>
          </w:p>
          <w:p w14:paraId="3F1ADA70">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6.色谱控制、数据处理软件 1套；</w:t>
            </w:r>
          </w:p>
          <w:p w14:paraId="6E2FE1BC">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7.消耗品包：进样口隔垫 50个，分流/不分流衬管5个，O型圈 10个，石墨密封垫圈10个，自动进样器进样针 1根，弱极性毛细管柱1根，极性毛细管柱1根，氧/水捕集阱1个，安装工具包1套，2ml样品瓶 100个；</w:t>
            </w:r>
          </w:p>
          <w:p w14:paraId="4BB1CB12">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8.工作站（含配套电脑及打印机）1套；</w:t>
            </w:r>
          </w:p>
          <w:p w14:paraId="0F5578AB">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9.氢空一体机 1套。</w:t>
            </w:r>
          </w:p>
        </w:tc>
      </w:tr>
      <w:tr w14:paraId="3CDDD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1CBAADB">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53130D8C">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气相色谱质谱联用仪</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2595FA88">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1.气相色谱主机1套；</w:t>
            </w:r>
          </w:p>
          <w:p w14:paraId="08C23E92">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2.毛细进样口1套；</w:t>
            </w:r>
          </w:p>
          <w:p w14:paraId="16A8C32D">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3.质谱主机（包含分子涡轮泵）1套；</w:t>
            </w:r>
          </w:p>
          <w:p w14:paraId="6901B3DB">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4.液体自动进样器1套；</w:t>
            </w:r>
          </w:p>
          <w:p w14:paraId="4888CFDA">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5.不锈钢离子源 1套；</w:t>
            </w:r>
          </w:p>
          <w:p w14:paraId="37E5D07A">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6.拉出极离子源 1套；</w:t>
            </w:r>
          </w:p>
          <w:p w14:paraId="1AC02674">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7.CI源1套；；</w:t>
            </w:r>
          </w:p>
          <w:p w14:paraId="23C1CD03">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8.机械泵1套；</w:t>
            </w:r>
          </w:p>
          <w:p w14:paraId="3AC2787F">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9.消耗品包：进样口隔垫 50个，分流/不分流衬管5个，O型圈 10个，石墨密封垫圈10个，自动进样器进样针 1根，弱极性毛细管柱1根，极性毛细管柱1根，氦气捕集阱1个，2ml样品瓶 100个，灯丝1包；</w:t>
            </w:r>
          </w:p>
          <w:p w14:paraId="3D49E98D">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10.气相色谱质谱数据处理软件一套；</w:t>
            </w:r>
          </w:p>
          <w:p w14:paraId="7663A0A8">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kern w:val="0"/>
                <w:sz w:val="28"/>
                <w:szCs w:val="28"/>
                <w:highlight w:val="none"/>
              </w:rPr>
              <w:t>11.</w:t>
            </w:r>
            <w:r>
              <w:rPr>
                <w:rFonts w:hint="eastAsia" w:ascii="宋体" w:hAnsi="宋体" w:cs="宋体"/>
                <w:color w:val="auto"/>
                <w:sz w:val="28"/>
                <w:szCs w:val="28"/>
                <w:highlight w:val="none"/>
              </w:rPr>
              <w:t>工作站（含配套电脑及打印机）1套；</w:t>
            </w:r>
          </w:p>
          <w:p w14:paraId="65CA0643">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12.6千伏安 UPS（1小时） 1套。</w:t>
            </w:r>
          </w:p>
        </w:tc>
      </w:tr>
      <w:tr w14:paraId="6782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trHeight w:val="2603" w:hRule="atLeast"/>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19FAF30">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37EAE94C">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液相色谱仪（</w:t>
            </w:r>
            <w:bookmarkStart w:id="151" w:name="OLE_LINK17"/>
            <w:bookmarkStart w:id="152" w:name="OLE_LINK16"/>
            <w:r>
              <w:rPr>
                <w:rFonts w:hint="eastAsia" w:ascii="宋体" w:hAnsi="宋体" w:cs="宋体"/>
                <w:color w:val="auto"/>
                <w:sz w:val="28"/>
                <w:szCs w:val="28"/>
                <w:highlight w:val="none"/>
              </w:rPr>
              <w:t>高效液相色谱仪-二极管阵列/荧光检测器+柱后衍生</w:t>
            </w:r>
            <w:bookmarkEnd w:id="151"/>
            <w:bookmarkEnd w:id="152"/>
            <w:r>
              <w:rPr>
                <w:rFonts w:hint="eastAsia" w:ascii="宋体" w:hAnsi="宋体" w:cs="宋体"/>
                <w:color w:val="auto"/>
                <w:sz w:val="28"/>
                <w:szCs w:val="28"/>
                <w:highlight w:val="none"/>
              </w:rPr>
              <w:t>）</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655D7ACF">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1.四元溶剂梯度泵1套；</w:t>
            </w:r>
          </w:p>
          <w:p w14:paraId="13DD5290">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2.样品位自动进样器1套；</w:t>
            </w:r>
          </w:p>
          <w:p w14:paraId="7D7A9E8D">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3.柱温箱1套；</w:t>
            </w:r>
          </w:p>
          <w:p w14:paraId="468878EA">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4.智能化液相色谱控制单元 1套；</w:t>
            </w:r>
          </w:p>
          <w:p w14:paraId="7AFBDE49">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5.二极管阵列检测器1套；</w:t>
            </w:r>
          </w:p>
          <w:p w14:paraId="7D61B5F7">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6.荧光检测器1套；</w:t>
            </w:r>
          </w:p>
          <w:p w14:paraId="21691191">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7.液相色谱仪数据处理软件1套；</w:t>
            </w:r>
          </w:p>
          <w:p w14:paraId="0279EC54">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8.消耗品包：滤芯 5个，溶剂瓶 4个快速连接组件（包含1个快速连接头，一根毛细管，1个快插接头）C18色谱柱 2根；</w:t>
            </w:r>
          </w:p>
          <w:p w14:paraId="6D9AE329">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9.柱后衍生仪 1套</w:t>
            </w:r>
          </w:p>
          <w:p w14:paraId="0DB157B0">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10.工作站（含配套电脑及打印机）1套。</w:t>
            </w:r>
          </w:p>
        </w:tc>
      </w:tr>
      <w:tr w14:paraId="48B4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trHeight w:val="90" w:hRule="atLeast"/>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3FCC8B2">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1430EDB6">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液相色谱仪(高效液相色谱仪-二极管阵列/蒸发光散射检测器)</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51B16391">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1.四元溶剂梯度泵 1套；</w:t>
            </w:r>
          </w:p>
          <w:p w14:paraId="445B7034">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2.自动进样器1套；</w:t>
            </w:r>
          </w:p>
          <w:p w14:paraId="448BF049">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3.柱温箱1套；</w:t>
            </w:r>
          </w:p>
          <w:p w14:paraId="0902BD3E">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4.智能化液相色谱控制单元 1套；</w:t>
            </w:r>
          </w:p>
          <w:p w14:paraId="59F32E14">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5.二极管阵列检测器1套；</w:t>
            </w:r>
          </w:p>
          <w:p w14:paraId="0021D8EA">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6.蒸发光散射检测器1套；</w:t>
            </w:r>
          </w:p>
          <w:p w14:paraId="2F774210">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7.液相色谱仪数据处理软件1套；</w:t>
            </w:r>
          </w:p>
          <w:p w14:paraId="31A09946">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8.消耗品包：滤芯 5个，溶剂瓶 4个快速连接组件（包含1个快速连接头，一根毛细管，1个快插接头）C18色谱柱 2根；</w:t>
            </w:r>
          </w:p>
          <w:p w14:paraId="46726062">
            <w:pPr>
              <w:pStyle w:val="70"/>
              <w:autoSpaceDE w:val="0"/>
              <w:autoSpaceDN w:val="0"/>
              <w:adjustRightInd w:val="0"/>
              <w:snapToGrid w:val="0"/>
              <w:spacing w:line="300" w:lineRule="exact"/>
              <w:ind w:firstLine="0" w:firstLineChars="0"/>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9.工作站（含配套电脑及打印机）1套。</w:t>
            </w:r>
          </w:p>
        </w:tc>
      </w:tr>
      <w:tr w14:paraId="146C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trHeight w:val="3521" w:hRule="atLeast"/>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4A370A5A">
            <w:pPr>
              <w:autoSpaceDE w:val="0"/>
              <w:autoSpaceDN w:val="0"/>
              <w:adjustRightInd w:val="0"/>
              <w:snapToGrid w:val="0"/>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4C935AF4">
            <w:pPr>
              <w:autoSpaceDE w:val="0"/>
              <w:autoSpaceDN w:val="0"/>
              <w:adjustRightInd w:val="0"/>
              <w:snapToGrid w:val="0"/>
              <w:spacing w:line="320" w:lineRule="exact"/>
              <w:contextualSpacing/>
              <w:jc w:val="center"/>
              <w:rPr>
                <w:rFonts w:ascii="宋体" w:hAnsi="宋体" w:cs="宋体"/>
                <w:color w:val="auto"/>
                <w:sz w:val="28"/>
                <w:szCs w:val="28"/>
                <w:highlight w:val="none"/>
              </w:rPr>
            </w:pPr>
            <w:bookmarkStart w:id="153" w:name="OLE_LINK34"/>
            <w:bookmarkStart w:id="154" w:name="OLE_LINK33"/>
            <w:r>
              <w:rPr>
                <w:rFonts w:hint="eastAsia" w:ascii="宋体" w:hAnsi="宋体" w:cs="宋体"/>
                <w:color w:val="auto"/>
                <w:sz w:val="28"/>
                <w:szCs w:val="28"/>
                <w:highlight w:val="none"/>
              </w:rPr>
              <w:t>液相色谱串联质谱仪</w:t>
            </w:r>
            <w:bookmarkEnd w:id="153"/>
            <w:bookmarkEnd w:id="154"/>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7B453130">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1.三重四极杆质谱仪器 1套；</w:t>
            </w:r>
          </w:p>
          <w:p w14:paraId="7EF22879">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2.电喷雾电离源（ESI） 1套；</w:t>
            </w:r>
          </w:p>
          <w:p w14:paraId="0A2623AA">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3.大气压化学电离源（APCI源）1套；</w:t>
            </w:r>
          </w:p>
          <w:p w14:paraId="769F62D7">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4.二元泵 1套；</w:t>
            </w:r>
          </w:p>
          <w:p w14:paraId="7D4C1BC2">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5.自动进样器1套；</w:t>
            </w:r>
          </w:p>
          <w:p w14:paraId="79835CBD">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6.柱温箱 1套；</w:t>
            </w:r>
          </w:p>
          <w:p w14:paraId="5A639956">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7.高效液相色谱柱 2套</w:t>
            </w:r>
          </w:p>
          <w:p w14:paraId="5B93BBE3">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8.基础耗材包 1套；</w:t>
            </w:r>
          </w:p>
          <w:p w14:paraId="3AB833A3">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9.操作软件 1套；</w:t>
            </w:r>
          </w:p>
          <w:p w14:paraId="5CA5DE38">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10.配套电脑及打印机 1套；</w:t>
            </w:r>
          </w:p>
          <w:p w14:paraId="56083A3F">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11.氮气发生器1台；</w:t>
            </w:r>
          </w:p>
          <w:p w14:paraId="0B8B2B85">
            <w:pPr>
              <w:autoSpaceDE w:val="0"/>
              <w:autoSpaceDN w:val="0"/>
              <w:adjustRightInd w:val="0"/>
              <w:snapToGrid w:val="0"/>
              <w:spacing w:line="3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12.UPS（不少于2小时） 1套。</w:t>
            </w:r>
          </w:p>
        </w:tc>
      </w:tr>
      <w:tr w14:paraId="555C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13" w:type="dxa"/>
            <w:bottom w:w="113" w:type="dxa"/>
            <w:right w:w="113" w:type="dxa"/>
          </w:tblCellMar>
        </w:tblPrEx>
        <w:trPr>
          <w:trHeight w:val="287" w:hRule="atLeast"/>
          <w:jc w:val="center"/>
        </w:trPr>
        <w:tc>
          <w:tcPr>
            <w:tcW w:w="692"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2BFE480B">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1410" w:type="dxa"/>
            <w:tcBorders>
              <w:top w:val="single" w:color="auto" w:sz="4" w:space="0"/>
              <w:left w:val="nil"/>
              <w:bottom w:val="single" w:color="auto" w:sz="4" w:space="0"/>
              <w:right w:val="single" w:color="auto" w:sz="4" w:space="0"/>
            </w:tcBorders>
            <w:tcMar>
              <w:top w:w="57" w:type="dxa"/>
              <w:left w:w="57" w:type="dxa"/>
              <w:bottom w:w="57" w:type="dxa"/>
              <w:right w:w="57" w:type="dxa"/>
            </w:tcMar>
            <w:vAlign w:val="center"/>
          </w:tcPr>
          <w:p w14:paraId="2597DCA4">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离子色谱仪（离子色谱-电导检测器+安培检测器）</w:t>
            </w:r>
          </w:p>
        </w:tc>
        <w:tc>
          <w:tcPr>
            <w:tcW w:w="7106"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tcPr>
          <w:p w14:paraId="65FB5E7D">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1.离子色谱主机系统 1套；</w:t>
            </w:r>
          </w:p>
          <w:p w14:paraId="42DBDD1E">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2.分析型等度、梯度泵系统（自带脱气功能） 1套；</w:t>
            </w:r>
          </w:p>
          <w:p w14:paraId="467DADE0">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3.淋洗液过滤头 10套；</w:t>
            </w:r>
          </w:p>
          <w:p w14:paraId="70307D60">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4.气体调压阀及固定支架组件 1套；</w:t>
            </w:r>
          </w:p>
          <w:p w14:paraId="10F39D22">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5.第二通道气体调压配套组件 1套；</w:t>
            </w:r>
          </w:p>
          <w:p w14:paraId="3EF59CA0">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6.双温区色谱主机单元（含双进样阀、标准流路） 1套；</w:t>
            </w:r>
          </w:p>
          <w:p w14:paraId="1313D5B4">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7.色谱数据工作站工作组版软件 1套；</w:t>
            </w:r>
          </w:p>
          <w:p w14:paraId="14AF76D6">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8.色谱数据软件1套；</w:t>
            </w:r>
          </w:p>
          <w:p w14:paraId="3128A3AD">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9.标准流路管路套件 1套；</w:t>
            </w:r>
          </w:p>
          <w:p w14:paraId="373A44B5">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10.国标三孔电源线 4套；</w:t>
            </w:r>
          </w:p>
          <w:p w14:paraId="3F19C8D3">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11.配套电脑及打印机1套；</w:t>
            </w:r>
          </w:p>
          <w:p w14:paraId="576ABD05">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12.电导检测器及一体化电导检测池 1套；</w:t>
            </w:r>
          </w:p>
          <w:p w14:paraId="1D4C969C">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13.电化学检测器主机（不含检测池） 1套；</w:t>
            </w:r>
          </w:p>
          <w:p w14:paraId="29D6FC43">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14.电化学检测池（不含参比电极、工作电极） 1套；</w:t>
            </w:r>
          </w:p>
          <w:p w14:paraId="4704A2D4">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15.pH复合型银-氯化银参比电极 2套；</w:t>
            </w:r>
          </w:p>
          <w:p w14:paraId="02400C24">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16.在线淋洗液发生模块 1套；</w:t>
            </w:r>
          </w:p>
          <w:p w14:paraId="177D4DB9">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17.淋洗液发生配套脱气及管路套件（分析型） 1套；</w:t>
            </w:r>
          </w:p>
          <w:p w14:paraId="407AFFB5">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18.氢氧化钾淋洗液发生芯 1套；</w:t>
            </w:r>
          </w:p>
          <w:p w14:paraId="6EE2BFA5">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19.连续再生阴离子捕获柱 1套；</w:t>
            </w:r>
          </w:p>
          <w:p w14:paraId="691032A7">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20.高容量阴离子分析色谱柱（4mm） 1套；</w:t>
            </w:r>
          </w:p>
          <w:p w14:paraId="0D73CEBB">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21.阴离子保护色谱柱（4mm，适配分析柱） 1套；</w:t>
            </w:r>
          </w:p>
          <w:p w14:paraId="461A7FDE">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22.氢氧根体系阴离子自动电解再生抑制器（4mm） 1套；</w:t>
            </w:r>
          </w:p>
          <w:p w14:paraId="51F877C5">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23.水中五种阴离子混合标准溶液 1套；</w:t>
            </w:r>
          </w:p>
          <w:p w14:paraId="66DDA46C">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24.金工作电极（配套密封垫片及打磨套件） 1套；</w:t>
            </w:r>
          </w:p>
          <w:p w14:paraId="2E47814D">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25.糖类分析专用色谱柱（4×250mm） 1套；</w:t>
            </w:r>
          </w:p>
          <w:p w14:paraId="7D17251D">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26.糖类分析专用保护柱（4×50mm） 1套；</w:t>
            </w:r>
          </w:p>
          <w:p w14:paraId="627499DE">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27.全自动进样器 1套；</w:t>
            </w:r>
          </w:p>
          <w:p w14:paraId="735A60B1">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28.2mL样品瓶40位托盘 2套；</w:t>
            </w:r>
          </w:p>
          <w:p w14:paraId="5B1564F3">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29.10mL样品瓶19位托盘 1套；</w:t>
            </w:r>
          </w:p>
          <w:p w14:paraId="223258B3">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30.1.5mL聚丙烯样品瓶（含瓶盖、垫片，100个/套） 1套；</w:t>
            </w:r>
          </w:p>
          <w:p w14:paraId="19631A44">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31.10mL聚苯乙烯样品瓶（含瓶盖、垫片，100个/套） 1套；</w:t>
            </w:r>
          </w:p>
          <w:p w14:paraId="5DD12AEE">
            <w:pPr>
              <w:autoSpaceDE w:val="0"/>
              <w:autoSpaceDN w:val="0"/>
              <w:adjustRightInd w:val="0"/>
              <w:snapToGrid w:val="0"/>
              <w:spacing w:line="300" w:lineRule="exact"/>
              <w:contextualSpacing/>
              <w:jc w:val="left"/>
              <w:rPr>
                <w:rFonts w:ascii="宋体" w:hAnsi="宋体" w:cs="宋体"/>
                <w:color w:val="auto"/>
                <w:sz w:val="28"/>
                <w:szCs w:val="28"/>
                <w:highlight w:val="none"/>
              </w:rPr>
            </w:pPr>
            <w:r>
              <w:rPr>
                <w:rFonts w:hint="eastAsia" w:ascii="宋体" w:hAnsi="宋体" w:cs="宋体"/>
                <w:color w:val="auto"/>
                <w:sz w:val="28"/>
                <w:szCs w:val="28"/>
                <w:highlight w:val="none"/>
              </w:rPr>
              <w:t>32. 双通道六通进样阀组件（含固定配件，实现双系统切换进样） 1套。</w:t>
            </w:r>
          </w:p>
        </w:tc>
      </w:tr>
    </w:tbl>
    <w:p w14:paraId="4B986E12">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四、主要技术参数</w:t>
      </w:r>
    </w:p>
    <w:p w14:paraId="3A03B325">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1.气相色谱仪</w:t>
      </w:r>
      <w:bookmarkStart w:id="155" w:name="OLE_LINK9"/>
      <w:bookmarkStart w:id="156" w:name="OLE_LINK8"/>
      <w:r>
        <w:rPr>
          <w:rFonts w:hint="eastAsia" w:ascii="宋体" w:hAnsi="宋体" w:cs="宋体"/>
          <w:b/>
          <w:bCs/>
          <w:color w:val="auto"/>
          <w:kern w:val="0"/>
          <w:sz w:val="28"/>
          <w:szCs w:val="28"/>
          <w:highlight w:val="none"/>
        </w:rPr>
        <w:t>（顶空-气相色谱仪-氢火焰离子化检测器+电子捕获检测器）</w:t>
      </w:r>
    </w:p>
    <w:bookmarkEnd w:id="155"/>
    <w:bookmarkEnd w:id="156"/>
    <w:p w14:paraId="11D71F7B">
      <w:pPr>
        <w:spacing w:line="460" w:lineRule="exact"/>
        <w:ind w:firstLine="562" w:firstLineChars="200"/>
        <w:rPr>
          <w:rFonts w:ascii="宋体" w:hAnsi="宋体" w:cs="宋体"/>
          <w:b/>
          <w:bCs/>
          <w:color w:val="auto"/>
          <w:sz w:val="28"/>
          <w:szCs w:val="28"/>
          <w:highlight w:val="none"/>
        </w:rPr>
      </w:pPr>
      <w:bookmarkStart w:id="157" w:name="OLE_LINK72"/>
      <w:bookmarkStart w:id="158" w:name="OLE_LINK73"/>
      <w:bookmarkStart w:id="159" w:name="OLE_LINK57"/>
      <w:r>
        <w:rPr>
          <w:rFonts w:hint="eastAsia" w:ascii="宋体" w:hAnsi="宋体" w:cs="宋体"/>
          <w:b/>
          <w:bCs/>
          <w:color w:val="auto"/>
          <w:sz w:val="28"/>
          <w:szCs w:val="28"/>
          <w:highlight w:val="none"/>
        </w:rPr>
        <w:t>1.1配置要求</w:t>
      </w:r>
    </w:p>
    <w:p w14:paraId="3330437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★1.1.1配置要求为顶空-气相色谱仪-氢火焰离子化检测器+电子捕获检测器，包含气相色谱主机、液体自动进样器、</w:t>
      </w:r>
      <w:bookmarkStart w:id="160" w:name="OLE_LINK143"/>
      <w:bookmarkStart w:id="161" w:name="OLE_LINK144"/>
      <w:r>
        <w:rPr>
          <w:rFonts w:hint="eastAsia" w:ascii="宋体" w:hAnsi="宋体" w:cs="宋体"/>
          <w:color w:val="auto"/>
          <w:sz w:val="28"/>
          <w:szCs w:val="28"/>
          <w:highlight w:val="none"/>
        </w:rPr>
        <w:t>顶空自动进样器</w:t>
      </w:r>
      <w:bookmarkEnd w:id="160"/>
      <w:bookmarkEnd w:id="161"/>
      <w:r>
        <w:rPr>
          <w:rFonts w:hint="eastAsia" w:ascii="宋体" w:hAnsi="宋体" w:cs="宋体"/>
          <w:color w:val="auto"/>
          <w:sz w:val="28"/>
          <w:szCs w:val="28"/>
          <w:highlight w:val="none"/>
        </w:rPr>
        <w:t>、氢火焰离子化检测器、电子捕获检测器、仪器控制及数据处理系统。</w:t>
      </w:r>
    </w:p>
    <w:p w14:paraId="61D43E3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1.1.2最多可以安装EPC模块≥8，可以控制EPC通道≥19。</w:t>
      </w:r>
    </w:p>
    <w:bookmarkEnd w:id="157"/>
    <w:bookmarkEnd w:id="158"/>
    <w:p w14:paraId="644641C8">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1.2 柱温箱</w:t>
      </w:r>
    </w:p>
    <w:p w14:paraId="6C608A7D">
      <w:pPr>
        <w:tabs>
          <w:tab w:val="left" w:pos="480"/>
        </w:tabs>
        <w:spacing w:line="460" w:lineRule="exact"/>
        <w:ind w:firstLine="560" w:firstLineChars="200"/>
        <w:rPr>
          <w:rFonts w:ascii="宋体" w:hAnsi="宋体" w:cs="宋体"/>
          <w:color w:val="auto"/>
          <w:sz w:val="28"/>
          <w:szCs w:val="28"/>
          <w:highlight w:val="none"/>
        </w:rPr>
      </w:pPr>
      <w:bookmarkStart w:id="162" w:name="OLE_LINK140"/>
      <w:bookmarkStart w:id="163" w:name="OLE_LINK139"/>
      <w:r>
        <w:rPr>
          <w:rFonts w:hint="eastAsia" w:ascii="宋体" w:hAnsi="宋体" w:cs="宋体"/>
          <w:color w:val="auto"/>
          <w:sz w:val="28"/>
          <w:szCs w:val="28"/>
          <w:highlight w:val="none"/>
        </w:rPr>
        <w:t>1.2.1峰面积重现性： ＜0.5% RSD；</w:t>
      </w:r>
    </w:p>
    <w:p w14:paraId="1F1C9E0E">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1.2.2保留时间重现性：</w:t>
      </w:r>
      <w:bookmarkStart w:id="164" w:name="OLE_LINK2"/>
      <w:bookmarkStart w:id="165" w:name="OLE_LINK1"/>
      <w:r>
        <w:rPr>
          <w:rFonts w:hint="eastAsia" w:ascii="宋体" w:hAnsi="宋体" w:cs="宋体"/>
          <w:color w:val="auto"/>
          <w:sz w:val="28"/>
          <w:szCs w:val="28"/>
          <w:highlight w:val="none"/>
        </w:rPr>
        <w:t>＜</w:t>
      </w:r>
      <w:bookmarkEnd w:id="164"/>
      <w:bookmarkEnd w:id="165"/>
      <w:r>
        <w:rPr>
          <w:rFonts w:hint="eastAsia" w:ascii="宋体" w:hAnsi="宋体" w:cs="宋体"/>
          <w:color w:val="auto"/>
          <w:sz w:val="28"/>
          <w:szCs w:val="28"/>
          <w:highlight w:val="none"/>
        </w:rPr>
        <w:t>0.008%（或0.0008min）。</w:t>
      </w:r>
    </w:p>
    <w:p w14:paraId="5E1FFFC1">
      <w:pPr>
        <w:tabs>
          <w:tab w:val="left" w:pos="480"/>
        </w:tabs>
        <w:spacing w:line="460" w:lineRule="exact"/>
        <w:ind w:firstLine="560" w:firstLineChars="200"/>
        <w:rPr>
          <w:rFonts w:ascii="宋体" w:hAnsi="宋体" w:cs="宋体"/>
          <w:color w:val="auto"/>
          <w:sz w:val="28"/>
          <w:szCs w:val="28"/>
          <w:highlight w:val="none"/>
        </w:rPr>
      </w:pPr>
      <w:bookmarkStart w:id="166" w:name="OLE_LINK83"/>
      <w:r>
        <w:rPr>
          <w:rFonts w:hint="eastAsia" w:ascii="宋体" w:hAnsi="宋体" w:cs="宋体"/>
          <w:color w:val="auto"/>
          <w:sz w:val="28"/>
          <w:szCs w:val="28"/>
          <w:highlight w:val="none"/>
        </w:rPr>
        <w:t>1.</w:t>
      </w:r>
      <w:bookmarkEnd w:id="166"/>
      <w:r>
        <w:rPr>
          <w:rFonts w:hint="eastAsia" w:ascii="宋体" w:hAnsi="宋体" w:cs="宋体"/>
          <w:color w:val="auto"/>
          <w:sz w:val="28"/>
          <w:szCs w:val="28"/>
          <w:highlight w:val="none"/>
        </w:rPr>
        <w:t>2.3</w:t>
      </w:r>
      <w:bookmarkStart w:id="167" w:name="OLE_LINK53"/>
      <w:bookmarkStart w:id="168" w:name="OLE_LINK56"/>
      <w:r>
        <w:rPr>
          <w:rFonts w:hint="eastAsia" w:ascii="宋体" w:hAnsi="宋体" w:cs="宋体"/>
          <w:color w:val="auto"/>
          <w:sz w:val="28"/>
          <w:szCs w:val="28"/>
          <w:highlight w:val="none"/>
        </w:rPr>
        <w:t>具有色谱柱识别、信息管理功能。</w:t>
      </w:r>
      <w:bookmarkEnd w:id="167"/>
      <w:bookmarkEnd w:id="168"/>
    </w:p>
    <w:bookmarkEnd w:id="162"/>
    <w:bookmarkEnd w:id="163"/>
    <w:p w14:paraId="0F49FCE3">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1.3分流/不分流进样口</w:t>
      </w:r>
    </w:p>
    <w:p w14:paraId="2B2E5731">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1.3.1压力设定范围：</w:t>
      </w:r>
      <w:r>
        <w:rPr>
          <w:rFonts w:eastAsia="仿宋"/>
          <w:color w:val="auto"/>
          <w:sz w:val="28"/>
          <w:szCs w:val="28"/>
          <w:highlight w:val="none"/>
        </w:rPr>
        <w:t>0-</w:t>
      </w:r>
      <w:r>
        <w:rPr>
          <w:rFonts w:hint="eastAsia" w:ascii="宋体" w:hAnsi="宋体" w:cs="宋体"/>
          <w:color w:val="auto"/>
          <w:sz w:val="28"/>
          <w:szCs w:val="28"/>
          <w:highlight w:val="none"/>
        </w:rPr>
        <w:t>100</w:t>
      </w:r>
      <w:r>
        <w:rPr>
          <w:rFonts w:eastAsia="仿宋"/>
          <w:color w:val="auto"/>
          <w:sz w:val="28"/>
          <w:szCs w:val="28"/>
          <w:highlight w:val="none"/>
        </w:rPr>
        <w:t>psi</w:t>
      </w:r>
      <w:r>
        <w:rPr>
          <w:rFonts w:hint="eastAsia" w:ascii="宋体" w:hAnsi="宋体" w:cs="宋体"/>
          <w:color w:val="auto"/>
          <w:sz w:val="28"/>
          <w:szCs w:val="28"/>
          <w:highlight w:val="none"/>
        </w:rPr>
        <w:t>。</w:t>
      </w:r>
    </w:p>
    <w:p w14:paraId="2BB6EF2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1.3.2电子气路流量/压力控制精度可达0.001psi。</w:t>
      </w:r>
    </w:p>
    <w:p w14:paraId="5B8D3FCD">
      <w:pPr>
        <w:tabs>
          <w:tab w:val="left" w:pos="480"/>
        </w:tabs>
        <w:spacing w:line="460" w:lineRule="exact"/>
        <w:ind w:firstLine="560" w:firstLineChars="200"/>
        <w:rPr>
          <w:rFonts w:ascii="宋体" w:hAnsi="宋体" w:cs="宋体"/>
          <w:color w:val="auto"/>
          <w:sz w:val="28"/>
          <w:szCs w:val="28"/>
          <w:highlight w:val="none"/>
        </w:rPr>
      </w:pPr>
      <w:bookmarkStart w:id="169" w:name="_Hlk2726496"/>
      <w:r>
        <w:rPr>
          <w:rFonts w:hint="eastAsia" w:ascii="宋体" w:hAnsi="宋体" w:cs="宋体"/>
          <w:color w:val="auto"/>
          <w:sz w:val="28"/>
          <w:szCs w:val="28"/>
          <w:highlight w:val="none"/>
        </w:rPr>
        <w:t>1.3.3</w:t>
      </w:r>
      <w:bookmarkEnd w:id="169"/>
      <w:r>
        <w:rPr>
          <w:rFonts w:hint="eastAsia" w:ascii="宋体" w:hAnsi="宋体" w:cs="宋体"/>
          <w:color w:val="auto"/>
          <w:sz w:val="28"/>
          <w:szCs w:val="28"/>
          <w:highlight w:val="none"/>
        </w:rPr>
        <w:t>进样口方便维护设计，更换衬管等消耗品无需使用工具拆卸螺帽，有助于快速、轻松地更换进样器衬管。</w:t>
      </w:r>
    </w:p>
    <w:p w14:paraId="583672C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▲1.3.4分流比：≥12500:1。</w:t>
      </w:r>
      <w:bookmarkStart w:id="170" w:name="OLE_LINK22"/>
      <w:bookmarkStart w:id="171" w:name="OLE_LINK88"/>
      <w:bookmarkStart w:id="172" w:name="OLE_LINK24"/>
      <w:r>
        <w:rPr>
          <w:rFonts w:hint="eastAsia" w:ascii="宋体" w:hAnsi="宋体" w:cs="宋体"/>
          <w:b/>
          <w:bCs/>
          <w:color w:val="auto"/>
          <w:sz w:val="28"/>
          <w:szCs w:val="28"/>
          <w:highlight w:val="none"/>
        </w:rPr>
        <w:t>（如满足须提供官方技术参数文件、技术白皮书、官网参数页或第三方检测报告等</w:t>
      </w:r>
      <w:bookmarkStart w:id="173" w:name="OLE_LINK23"/>
      <w:r>
        <w:rPr>
          <w:rFonts w:hint="eastAsia" w:ascii="宋体" w:hAnsi="宋体" w:cs="宋体"/>
          <w:b/>
          <w:bCs/>
          <w:color w:val="auto"/>
          <w:sz w:val="28"/>
          <w:szCs w:val="28"/>
          <w:highlight w:val="none"/>
        </w:rPr>
        <w:t>公开可查</w:t>
      </w:r>
      <w:bookmarkEnd w:id="173"/>
      <w:r>
        <w:rPr>
          <w:rFonts w:hint="eastAsia" w:ascii="宋体" w:hAnsi="宋体" w:cs="宋体"/>
          <w:b/>
          <w:bCs/>
          <w:color w:val="auto"/>
          <w:sz w:val="28"/>
          <w:szCs w:val="28"/>
          <w:highlight w:val="none"/>
        </w:rPr>
        <w:t>作为证明文件）</w:t>
      </w:r>
    </w:p>
    <w:bookmarkEnd w:id="170"/>
    <w:bookmarkEnd w:id="171"/>
    <w:bookmarkEnd w:id="172"/>
    <w:p w14:paraId="38908FA6">
      <w:pPr>
        <w:spacing w:line="460" w:lineRule="exact"/>
        <w:ind w:firstLine="562" w:firstLineChars="200"/>
        <w:rPr>
          <w:rFonts w:ascii="宋体" w:hAnsi="宋体" w:cs="宋体"/>
          <w:b/>
          <w:bCs/>
          <w:color w:val="auto"/>
          <w:sz w:val="28"/>
          <w:szCs w:val="28"/>
          <w:highlight w:val="none"/>
        </w:rPr>
      </w:pPr>
      <w:r>
        <w:rPr>
          <w:rFonts w:hint="eastAsia" w:ascii="宋体" w:hAnsi="宋体" w:cs="宋体"/>
          <w:b/>
          <w:color w:val="auto"/>
          <w:sz w:val="28"/>
          <w:szCs w:val="28"/>
          <w:highlight w:val="none"/>
        </w:rPr>
        <w:t>1.</w:t>
      </w:r>
      <w:r>
        <w:rPr>
          <w:rFonts w:hint="eastAsia" w:ascii="宋体" w:hAnsi="宋体" w:cs="宋体"/>
          <w:b/>
          <w:bCs/>
          <w:color w:val="auto"/>
          <w:sz w:val="28"/>
          <w:szCs w:val="28"/>
          <w:highlight w:val="none"/>
        </w:rPr>
        <w:t>4检测器</w:t>
      </w:r>
    </w:p>
    <w:p w14:paraId="148D4565">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color w:val="auto"/>
          <w:sz w:val="28"/>
          <w:szCs w:val="28"/>
          <w:highlight w:val="none"/>
        </w:rPr>
        <w:t>1.</w:t>
      </w:r>
      <w:r>
        <w:rPr>
          <w:rFonts w:hint="eastAsia" w:ascii="宋体" w:hAnsi="宋体" w:cs="宋体"/>
          <w:b/>
          <w:bCs/>
          <w:color w:val="auto"/>
          <w:sz w:val="28"/>
          <w:szCs w:val="28"/>
          <w:highlight w:val="none"/>
        </w:rPr>
        <w:t>4.1氢火焰检测器(FID)</w:t>
      </w:r>
    </w:p>
    <w:p w14:paraId="78649C69">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1.4.1.1最高使用温度：450˚C。</w:t>
      </w:r>
    </w:p>
    <w:p w14:paraId="3B364471">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▲1.4.1.2最低检测限：＜1.2pg碳/秒。</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DC96E6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1.4.1.3线性动态范围：≥10</w:t>
      </w:r>
      <w:r>
        <w:rPr>
          <w:rFonts w:hint="eastAsia" w:ascii="宋体" w:hAnsi="宋体" w:cs="宋体"/>
          <w:color w:val="auto"/>
          <w:sz w:val="28"/>
          <w:szCs w:val="28"/>
          <w:highlight w:val="none"/>
          <w:vertAlign w:val="superscript"/>
        </w:rPr>
        <w:t>7</w:t>
      </w:r>
      <w:r>
        <w:rPr>
          <w:rFonts w:hint="eastAsia" w:ascii="宋体" w:hAnsi="宋体" w:cs="宋体"/>
          <w:color w:val="auto"/>
          <w:sz w:val="28"/>
          <w:szCs w:val="28"/>
          <w:highlight w:val="none"/>
        </w:rPr>
        <w:t>。</w:t>
      </w:r>
    </w:p>
    <w:p w14:paraId="2A9887B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▲1.4.1.4数据采样速率: </w:t>
      </w:r>
      <w:bookmarkStart w:id="174" w:name="OLE_LINK145"/>
      <w:r>
        <w:rPr>
          <w:rFonts w:hint="eastAsia" w:ascii="宋体" w:hAnsi="宋体" w:cs="宋体"/>
          <w:color w:val="auto"/>
          <w:sz w:val="28"/>
          <w:szCs w:val="28"/>
          <w:highlight w:val="none"/>
        </w:rPr>
        <w:t>≥</w:t>
      </w:r>
      <w:bookmarkEnd w:id="174"/>
      <w:r>
        <w:rPr>
          <w:rFonts w:hint="eastAsia" w:ascii="宋体" w:hAnsi="宋体" w:cs="宋体"/>
          <w:color w:val="auto"/>
          <w:sz w:val="28"/>
          <w:szCs w:val="28"/>
          <w:highlight w:val="none"/>
        </w:rPr>
        <w:t>1000Hz。</w:t>
      </w:r>
      <w:bookmarkStart w:id="175" w:name="OLE_LINK25"/>
      <w:bookmarkStart w:id="176" w:name="OLE_LINK35"/>
      <w:r>
        <w:rPr>
          <w:rFonts w:hint="eastAsia" w:ascii="宋体" w:hAnsi="宋体" w:cs="宋体"/>
          <w:b/>
          <w:bCs/>
          <w:color w:val="auto"/>
          <w:sz w:val="28"/>
          <w:szCs w:val="28"/>
          <w:highlight w:val="none"/>
        </w:rPr>
        <w:t>（如满足须提供官方技术参数文件、技术白皮书、官网参数页或第三方检测报告等公开可查的证明文件）</w:t>
      </w:r>
    </w:p>
    <w:bookmarkEnd w:id="175"/>
    <w:bookmarkEnd w:id="176"/>
    <w:p w14:paraId="5D7DD514">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1.4.2电子捕获检测器 (ECD)</w:t>
      </w:r>
    </w:p>
    <w:p w14:paraId="65056B39">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1.4.2.1最高使用温度：400℃。</w:t>
      </w:r>
    </w:p>
    <w:p w14:paraId="4ACBE16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▲1.4.2.2最低检测限＜3.8fg/ml（林丹在标准条件下）。</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3947C50">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▲1.4.2.3线性动态范围：＞5×10</w:t>
      </w:r>
      <w:r>
        <w:rPr>
          <w:rFonts w:hint="eastAsia" w:ascii="宋体" w:hAnsi="宋体" w:cs="宋体"/>
          <w:color w:val="auto"/>
          <w:sz w:val="28"/>
          <w:szCs w:val="28"/>
          <w:highlight w:val="none"/>
          <w:vertAlign w:val="superscript"/>
        </w:rPr>
        <w:t>4</w:t>
      </w:r>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F82C465">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1.5进样器</w:t>
      </w:r>
    </w:p>
    <w:p w14:paraId="4F9D746F">
      <w:pPr>
        <w:tabs>
          <w:tab w:val="left" w:pos="480"/>
        </w:tabs>
        <w:spacing w:line="460" w:lineRule="exact"/>
        <w:ind w:firstLine="562" w:firstLineChars="200"/>
        <w:rPr>
          <w:rFonts w:ascii="宋体" w:hAnsi="宋体" w:cs="宋体"/>
          <w:b/>
          <w:bCs/>
          <w:color w:val="auto"/>
          <w:sz w:val="28"/>
          <w:szCs w:val="28"/>
          <w:highlight w:val="none"/>
        </w:rPr>
      </w:pPr>
      <w:bookmarkStart w:id="177" w:name="OLE_LINK142"/>
      <w:bookmarkStart w:id="178" w:name="OLE_LINK141"/>
      <w:r>
        <w:rPr>
          <w:rFonts w:hint="eastAsia" w:ascii="宋体" w:hAnsi="宋体" w:cs="宋体"/>
          <w:b/>
          <w:bCs/>
          <w:color w:val="auto"/>
          <w:sz w:val="28"/>
          <w:szCs w:val="28"/>
          <w:highlight w:val="none"/>
        </w:rPr>
        <w:t>1.5.1液体自动进样器</w:t>
      </w:r>
    </w:p>
    <w:bookmarkEnd w:id="177"/>
    <w:bookmarkEnd w:id="178"/>
    <w:p w14:paraId="7995B5F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1.5.1.1进样方式：进样塔+扩展托盘。</w:t>
      </w:r>
    </w:p>
    <w:p w14:paraId="328206FA">
      <w:pPr>
        <w:tabs>
          <w:tab w:val="left" w:pos="480"/>
        </w:tabs>
        <w:spacing w:line="460" w:lineRule="exact"/>
        <w:ind w:firstLine="560" w:firstLineChars="200"/>
        <w:rPr>
          <w:rFonts w:ascii="宋体" w:hAnsi="宋体" w:cs="宋体"/>
          <w:color w:val="auto"/>
          <w:sz w:val="28"/>
          <w:szCs w:val="28"/>
          <w:highlight w:val="none"/>
        </w:rPr>
      </w:pPr>
      <w:bookmarkStart w:id="179" w:name="OLE_LINK54"/>
      <w:r>
        <w:rPr>
          <w:rFonts w:hint="eastAsia" w:ascii="宋体" w:hAnsi="宋体" w:cs="宋体"/>
          <w:color w:val="auto"/>
          <w:sz w:val="28"/>
          <w:szCs w:val="28"/>
          <w:highlight w:val="none"/>
        </w:rPr>
        <w:t>▲</w:t>
      </w:r>
      <w:bookmarkEnd w:id="179"/>
      <w:r>
        <w:rPr>
          <w:rFonts w:hint="eastAsia" w:ascii="宋体" w:hAnsi="宋体" w:cs="宋体"/>
          <w:color w:val="auto"/>
          <w:sz w:val="28"/>
          <w:szCs w:val="28"/>
          <w:highlight w:val="none"/>
        </w:rPr>
        <w:t>1.5.1.2样品位数：≥165位。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2DFB10F2">
      <w:pPr>
        <w:tabs>
          <w:tab w:val="left" w:pos="480"/>
        </w:tabs>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1.5.1.3进样量范围 ：0.1～50uL。</w:t>
      </w:r>
    </w:p>
    <w:p w14:paraId="0D678B3B">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1.5.2顶空自动进样器</w:t>
      </w:r>
    </w:p>
    <w:p w14:paraId="47F0413C">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1.5.2.1面积重复性：＜1%RSD。</w:t>
      </w:r>
    </w:p>
    <w:p w14:paraId="707772C7">
      <w:pPr>
        <w:tabs>
          <w:tab w:val="left" w:pos="480"/>
        </w:tabs>
        <w:spacing w:line="460" w:lineRule="exact"/>
        <w:ind w:firstLine="560" w:firstLineChars="200"/>
        <w:rPr>
          <w:rFonts w:ascii="宋体" w:hAnsi="宋体" w:cs="宋体"/>
          <w:color w:val="auto"/>
          <w:sz w:val="28"/>
          <w:szCs w:val="28"/>
          <w:highlight w:val="none"/>
        </w:rPr>
      </w:pPr>
      <w:bookmarkStart w:id="180" w:name="OLE_LINK55"/>
      <w:r>
        <w:rPr>
          <w:rFonts w:hint="eastAsia" w:ascii="宋体" w:hAnsi="宋体" w:cs="宋体"/>
          <w:color w:val="auto"/>
          <w:sz w:val="28"/>
          <w:szCs w:val="28"/>
          <w:highlight w:val="none"/>
        </w:rPr>
        <w:t>▲</w:t>
      </w:r>
      <w:bookmarkEnd w:id="180"/>
      <w:r>
        <w:rPr>
          <w:rFonts w:hint="eastAsia" w:ascii="宋体" w:hAnsi="宋体" w:cs="宋体"/>
          <w:color w:val="auto"/>
          <w:sz w:val="28"/>
          <w:szCs w:val="28"/>
          <w:highlight w:val="none"/>
        </w:rPr>
        <w:t>1.5.2.2样品加热位：≥12位，样品瓶位：≥48位。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60D0CB93">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1.5.2.3进样方法：顶空进样系统采用阀和定量管的进样方式。</w:t>
      </w:r>
    </w:p>
    <w:p w14:paraId="2A043399">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1.5.2.4气路控制：标配的全电子气路技术，使用户可以采用软件对仪器进行全面控制（顶空瓶压 GC柱头压可以独立控制）压力设定点可以调节的增量为0.001psi，在0.000到75.000psi之间的控制精度为0.001。</w:t>
      </w:r>
    </w:p>
    <w:p w14:paraId="12F6F476">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1.6 工作站</w:t>
      </w:r>
    </w:p>
    <w:p w14:paraId="2663519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1.6.1</w:t>
      </w:r>
      <w:bookmarkStart w:id="181" w:name="OLE_LINK242"/>
      <w:bookmarkStart w:id="182" w:name="OLE_LINK243"/>
      <w:r>
        <w:rPr>
          <w:rFonts w:hint="eastAsia" w:ascii="宋体" w:hAnsi="宋体" w:cs="宋体"/>
          <w:color w:val="auto"/>
          <w:sz w:val="28"/>
          <w:szCs w:val="28"/>
          <w:highlight w:val="none"/>
        </w:rPr>
        <w:t>操作环境：配置不低于：CPU i5，内存 16GB，500G固态硬盘，21英寸液晶显示器，64位中文专业版Windows11软件。</w:t>
      </w:r>
      <w:bookmarkEnd w:id="181"/>
      <w:bookmarkEnd w:id="182"/>
    </w:p>
    <w:p w14:paraId="6BB48A3F">
      <w:pPr>
        <w:tabs>
          <w:tab w:val="left" w:pos="480"/>
        </w:tabs>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▲1.6.2气相色谱具有保留时间自动锁定或校正功能，此功能通过软件自动调整仪器工作参数，在五个不同条件下进样，分析锁定目标化合物而实现。</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bookmarkEnd w:id="159"/>
    <w:p w14:paraId="69E27CDF">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2.气相色谱仪 （气相色谱仪-氢火焰离子化检测器+电子捕获检测器）</w:t>
      </w:r>
    </w:p>
    <w:p w14:paraId="0BE623BC">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2.1配置要求</w:t>
      </w:r>
    </w:p>
    <w:p w14:paraId="1485AFE0">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★2.1.1配置要求为气相色谱仪-氢火焰离子化检测器+电子捕获检测器，包含气相色谱主机、液体自动进样器、氢火焰离子化检测器、电子捕获检测器、仪器控制及数据处理系统。</w:t>
      </w:r>
    </w:p>
    <w:p w14:paraId="79DD31A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2.1.2最多可以安装EPC模块≥8，可以控制EPC通道≥19。</w:t>
      </w:r>
    </w:p>
    <w:p w14:paraId="544A769E">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2.2柱温箱</w:t>
      </w:r>
    </w:p>
    <w:p w14:paraId="2346ABC4">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2.2.1峰面积重现性： ＜0.5% RSD。</w:t>
      </w:r>
    </w:p>
    <w:p w14:paraId="2480E4A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2.2.2保留时间重现性：＜0.008%（或0.0008min）。</w:t>
      </w:r>
    </w:p>
    <w:p w14:paraId="245DCFD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2.2.3具有色谱柱识别、信息管理功能。</w:t>
      </w:r>
    </w:p>
    <w:p w14:paraId="49311E0E">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2.3 分流/不分流进样口</w:t>
      </w:r>
    </w:p>
    <w:p w14:paraId="562531FF">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2.3.1压力设定范围：</w:t>
      </w:r>
      <w:r>
        <w:rPr>
          <w:rFonts w:eastAsia="仿宋"/>
          <w:color w:val="auto"/>
          <w:sz w:val="28"/>
          <w:szCs w:val="28"/>
          <w:highlight w:val="none"/>
        </w:rPr>
        <w:t>0</w:t>
      </w:r>
      <w:r>
        <w:rPr>
          <w:rFonts w:hint="eastAsia" w:ascii="宋体" w:hAnsi="宋体" w:cs="宋体"/>
          <w:color w:val="auto"/>
          <w:sz w:val="28"/>
          <w:szCs w:val="28"/>
          <w:highlight w:val="none"/>
        </w:rPr>
        <w:t>～100</w:t>
      </w:r>
      <w:r>
        <w:rPr>
          <w:rFonts w:eastAsia="仿宋"/>
          <w:color w:val="auto"/>
          <w:sz w:val="28"/>
          <w:szCs w:val="28"/>
          <w:highlight w:val="none"/>
        </w:rPr>
        <w:t>psi</w:t>
      </w:r>
      <w:r>
        <w:rPr>
          <w:rFonts w:hint="eastAsia" w:ascii="宋体" w:hAnsi="宋体" w:cs="宋体"/>
          <w:color w:val="auto"/>
          <w:sz w:val="28"/>
          <w:szCs w:val="28"/>
          <w:highlight w:val="none"/>
        </w:rPr>
        <w:t>。</w:t>
      </w:r>
    </w:p>
    <w:p w14:paraId="79A532C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2.3.2电子气路流量/压力控制精度可达0.001psi。</w:t>
      </w:r>
    </w:p>
    <w:p w14:paraId="47F169DE">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2.3.3进样口方便维护设计，更换衬管等消耗品无需使用工具拆卸螺帽，有助于快速、轻松地更换进样器衬管。</w:t>
      </w:r>
    </w:p>
    <w:p w14:paraId="6C9DCDF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▲2.3.4分流比：≥12500:1。</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DE3DF89">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2.4 检测器</w:t>
      </w:r>
    </w:p>
    <w:p w14:paraId="7E585424">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w:t>
      </w:r>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4.1氢火焰检测器(FID)</w:t>
      </w:r>
    </w:p>
    <w:p w14:paraId="5417F65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2.4.1.1最高使用温度：450˚C。</w:t>
      </w:r>
    </w:p>
    <w:p w14:paraId="6553B81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▲2.4.1.2最低检测限：＜1.2pg碳/秒。</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F872F8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2.4.1.3线性动态范围：≥10</w:t>
      </w:r>
      <w:r>
        <w:rPr>
          <w:rFonts w:hint="eastAsia" w:ascii="宋体" w:hAnsi="宋体" w:cs="宋体"/>
          <w:color w:val="auto"/>
          <w:sz w:val="28"/>
          <w:szCs w:val="28"/>
          <w:highlight w:val="none"/>
          <w:vertAlign w:val="superscript"/>
        </w:rPr>
        <w:t>7</w:t>
      </w:r>
      <w:r>
        <w:rPr>
          <w:rFonts w:hint="eastAsia" w:ascii="宋体" w:hAnsi="宋体" w:cs="宋体"/>
          <w:color w:val="auto"/>
          <w:sz w:val="28"/>
          <w:szCs w:val="28"/>
          <w:highlight w:val="none"/>
        </w:rPr>
        <w:t>。</w:t>
      </w:r>
    </w:p>
    <w:p w14:paraId="30D3DC2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▲2.4.1.4数据采样速率: ≥1000Hz。</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2307F72E">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2.4.2电子捕获检测器 (ECD)</w:t>
      </w:r>
    </w:p>
    <w:p w14:paraId="4A02DA36">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2.4.2.1最高使用温度：400℃。</w:t>
      </w:r>
    </w:p>
    <w:p w14:paraId="5BC6B0F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▲2.4.2.2最低检测限＜3.8fg/ml（林丹在标准条件下）。</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4F3713C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▲2.4.2.3线性动态范围：＞5×10</w:t>
      </w:r>
      <w:r>
        <w:rPr>
          <w:rFonts w:hint="eastAsia" w:ascii="宋体" w:hAnsi="宋体" w:cs="宋体"/>
          <w:color w:val="auto"/>
          <w:sz w:val="28"/>
          <w:szCs w:val="28"/>
          <w:highlight w:val="none"/>
          <w:vertAlign w:val="superscript"/>
        </w:rPr>
        <w:t>4</w:t>
      </w:r>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5CB38A51">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2.5 进样器</w:t>
      </w:r>
    </w:p>
    <w:p w14:paraId="6CD277C7">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2.5.1液体自动进样器</w:t>
      </w:r>
    </w:p>
    <w:p w14:paraId="47AB583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2.5.1.1进样方式：进样塔+扩展托盘。</w:t>
      </w:r>
    </w:p>
    <w:p w14:paraId="6A147166">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▲2.5.1.2样品位数：≥165位。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612D06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2.5.1.3进样量范围 ：0.1</w:t>
      </w:r>
      <w:bookmarkStart w:id="183" w:name="OLE_LINK58"/>
      <w:bookmarkStart w:id="184" w:name="OLE_LINK61"/>
      <w:r>
        <w:rPr>
          <w:rFonts w:hint="eastAsia" w:ascii="宋体" w:hAnsi="宋体" w:cs="宋体"/>
          <w:color w:val="auto"/>
          <w:sz w:val="28"/>
          <w:szCs w:val="28"/>
          <w:highlight w:val="none"/>
        </w:rPr>
        <w:t>～</w:t>
      </w:r>
      <w:bookmarkEnd w:id="183"/>
      <w:bookmarkEnd w:id="184"/>
      <w:r>
        <w:rPr>
          <w:rFonts w:hint="eastAsia" w:ascii="宋体" w:hAnsi="宋体" w:cs="宋体"/>
          <w:color w:val="auto"/>
          <w:sz w:val="28"/>
          <w:szCs w:val="28"/>
          <w:highlight w:val="none"/>
        </w:rPr>
        <w:t>50uL。</w:t>
      </w:r>
    </w:p>
    <w:p w14:paraId="019031F9">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2.6 工作站</w:t>
      </w:r>
    </w:p>
    <w:p w14:paraId="60BE77C1">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2.6.1</w:t>
      </w:r>
      <w:bookmarkStart w:id="185" w:name="OLE_LINK59"/>
      <w:bookmarkStart w:id="186" w:name="OLE_LINK60"/>
      <w:r>
        <w:rPr>
          <w:rFonts w:hint="eastAsia" w:ascii="宋体" w:hAnsi="宋体" w:cs="宋体"/>
          <w:color w:val="auto"/>
          <w:sz w:val="28"/>
          <w:szCs w:val="28"/>
          <w:highlight w:val="none"/>
        </w:rPr>
        <w:t>操作环境：配置不低于：CPU i5，内存 16GB，500G固态硬盘，21英寸液晶显示器，64位中文专业版Windows11软件。</w:t>
      </w:r>
    </w:p>
    <w:p w14:paraId="67310377">
      <w:pPr>
        <w:tabs>
          <w:tab w:val="left" w:pos="480"/>
        </w:tabs>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w:t>
      </w:r>
      <w:bookmarkEnd w:id="185"/>
      <w:bookmarkEnd w:id="186"/>
      <w:r>
        <w:rPr>
          <w:rFonts w:hint="eastAsia" w:ascii="宋体" w:hAnsi="宋体" w:cs="宋体"/>
          <w:color w:val="auto"/>
          <w:sz w:val="28"/>
          <w:szCs w:val="28"/>
          <w:highlight w:val="none"/>
        </w:rPr>
        <w:t>2.6.2</w:t>
      </w:r>
      <w:bookmarkStart w:id="187" w:name="OLE_LINK108"/>
      <w:bookmarkStart w:id="188" w:name="OLE_LINK51"/>
      <w:bookmarkStart w:id="189" w:name="OLE_LINK46"/>
      <w:r>
        <w:rPr>
          <w:rFonts w:hint="eastAsia" w:ascii="宋体" w:hAnsi="宋体" w:cs="宋体"/>
          <w:color w:val="auto"/>
          <w:sz w:val="28"/>
          <w:szCs w:val="28"/>
          <w:highlight w:val="none"/>
        </w:rPr>
        <w:t>气相色谱具有保留时间自动锁定或校正功能，此功能通过软件自动调整仪器工作参数，在五个不同条件下进样，分析锁定目标化合物而实现。</w:t>
      </w:r>
      <w:bookmarkEnd w:id="187"/>
      <w:r>
        <w:rPr>
          <w:rFonts w:hint="eastAsia" w:ascii="宋体" w:hAnsi="宋体" w:cs="宋体"/>
          <w:b/>
          <w:bCs/>
          <w:color w:val="auto"/>
          <w:sz w:val="28"/>
          <w:szCs w:val="28"/>
          <w:highlight w:val="none"/>
        </w:rPr>
        <w:t>（如满足须提供官方技术参数文件、技术白皮书、官网参数页或第三方检测报告等公开可查的证明文件）</w:t>
      </w:r>
      <w:bookmarkEnd w:id="188"/>
      <w:bookmarkEnd w:id="189"/>
    </w:p>
    <w:p w14:paraId="7FE8D87E">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3.气相色谱质谱联用仪</w:t>
      </w:r>
    </w:p>
    <w:p w14:paraId="6F1E1368">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3.1配置要求</w:t>
      </w:r>
    </w:p>
    <w:p w14:paraId="749BD95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★3.1.1包含色谱主机、自动进样器、EI离子源、CI离子源、单四极杆质谱、仪器控制及数据处理系统。</w:t>
      </w:r>
    </w:p>
    <w:p w14:paraId="73DDF118">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3.2 气相色谱部分</w:t>
      </w:r>
    </w:p>
    <w:p w14:paraId="5199BEDB">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3.2.1柱温箱</w:t>
      </w:r>
    </w:p>
    <w:p w14:paraId="469130D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3.2.1.1峰面积重现性： ＜0.5% RSD。</w:t>
      </w:r>
    </w:p>
    <w:p w14:paraId="19EA136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3.2.1.2具有色谱柱识别、信息管理功能。</w:t>
      </w:r>
    </w:p>
    <w:p w14:paraId="154682BB">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3.2.2分流/不分流进样口</w:t>
      </w:r>
    </w:p>
    <w:p w14:paraId="209584C9">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3.2.2.1</w:t>
      </w:r>
      <w:r>
        <w:rPr>
          <w:rFonts w:hint="eastAsia" w:ascii="宋体" w:hAnsi="宋体" w:cs="宋体"/>
          <w:color w:val="auto"/>
          <w:sz w:val="28"/>
          <w:szCs w:val="28"/>
          <w:highlight w:val="none"/>
        </w:rPr>
        <w:t>压力设定范围：0～100psi。</w:t>
      </w:r>
    </w:p>
    <w:p w14:paraId="3472E05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3.2.2.2电子气路流量/压力控制精度可达0.001psi。</w:t>
      </w:r>
    </w:p>
    <w:p w14:paraId="7ECC765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3.2.2.3</w:t>
      </w:r>
      <w:bookmarkStart w:id="190" w:name="OLE_LINK66"/>
      <w:r>
        <w:rPr>
          <w:rFonts w:hint="eastAsia" w:ascii="宋体" w:hAnsi="宋体" w:cs="宋体"/>
          <w:color w:val="auto"/>
          <w:sz w:val="28"/>
          <w:szCs w:val="28"/>
          <w:highlight w:val="none"/>
        </w:rPr>
        <w:t>进样口方便维护设计，更换衬管等消耗品无需使用工具拆卸螺帽，有助于快速、轻松地更换进样器衬管。</w:t>
      </w:r>
      <w:bookmarkEnd w:id="190"/>
    </w:p>
    <w:p w14:paraId="0239DA4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▲3.2.2.4分流比：≥12500:1。</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4495DC6C">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3.2.3液体自动进样器</w:t>
      </w:r>
    </w:p>
    <w:p w14:paraId="723E166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3.2.3.1进样方式：进样塔+扩展托盘。</w:t>
      </w:r>
    </w:p>
    <w:p w14:paraId="0B40B83C">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▲3.2.3.2样品位数：</w:t>
      </w:r>
      <w:bookmarkStart w:id="191" w:name="OLE_LINK37"/>
      <w:bookmarkStart w:id="192" w:name="OLE_LINK36"/>
      <w:r>
        <w:rPr>
          <w:rFonts w:hint="eastAsia" w:ascii="宋体" w:hAnsi="宋体" w:cs="宋体"/>
          <w:color w:val="auto"/>
          <w:sz w:val="28"/>
          <w:szCs w:val="28"/>
          <w:highlight w:val="none"/>
        </w:rPr>
        <w:t>≥</w:t>
      </w:r>
      <w:bookmarkEnd w:id="191"/>
      <w:bookmarkEnd w:id="192"/>
      <w:r>
        <w:rPr>
          <w:rFonts w:hint="eastAsia" w:ascii="宋体" w:hAnsi="宋体" w:cs="宋体"/>
          <w:color w:val="auto"/>
          <w:sz w:val="28"/>
          <w:szCs w:val="28"/>
          <w:highlight w:val="none"/>
        </w:rPr>
        <w:t>165位。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1ED327C">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3.2.3.3进样量范围 ：0.1</w:t>
      </w:r>
      <w:bookmarkStart w:id="193" w:name="OLE_LINK45"/>
      <w:bookmarkStart w:id="194" w:name="OLE_LINK40"/>
      <w:r>
        <w:rPr>
          <w:rFonts w:hint="eastAsia" w:ascii="宋体" w:hAnsi="宋体" w:cs="宋体"/>
          <w:color w:val="auto"/>
          <w:sz w:val="28"/>
          <w:szCs w:val="28"/>
          <w:highlight w:val="none"/>
        </w:rPr>
        <w:t>～</w:t>
      </w:r>
      <w:bookmarkEnd w:id="193"/>
      <w:bookmarkEnd w:id="194"/>
      <w:r>
        <w:rPr>
          <w:rFonts w:hint="eastAsia" w:ascii="宋体" w:hAnsi="宋体" w:cs="宋体"/>
          <w:color w:val="auto"/>
          <w:sz w:val="28"/>
          <w:szCs w:val="28"/>
          <w:highlight w:val="none"/>
        </w:rPr>
        <w:t>50uL。</w:t>
      </w:r>
    </w:p>
    <w:p w14:paraId="575928B2">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3.3 质谱部分</w:t>
      </w:r>
    </w:p>
    <w:p w14:paraId="5B814BF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▲3.3.1最低检出限（IDL）：≤10fg，通过对OFN八次连续不分流进样所得峰面积精密度在99%置信水平下统计得出仪器检测限，通过进样1ul（含100fg样品）测定，色谱柱长度30m。</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F55567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▲3.3.2质量数范围：≥1～1050u 。</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41223EDF">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▲3.3.3灵敏度:EI Scan : 1pg OFN, S/N ≥ 5000：1（氦气做载气）。</w:t>
      </w:r>
    </w:p>
    <w:p w14:paraId="78DD04D9">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灵敏度: NCI Scan：1pg OFN, S/N ≥2000：1。</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98FD2D6">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3.3.4质量轴稳定性: 优于0.10amu/48 小时。</w:t>
      </w:r>
    </w:p>
    <w:p w14:paraId="7D91391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3.3.5动态范围：全动态范围≥10</w:t>
      </w:r>
      <w:r>
        <w:rPr>
          <w:rFonts w:hint="eastAsia" w:ascii="宋体" w:hAnsi="宋体" w:cs="宋体"/>
          <w:color w:val="auto"/>
          <w:sz w:val="28"/>
          <w:szCs w:val="28"/>
          <w:highlight w:val="none"/>
          <w:vertAlign w:val="superscript"/>
        </w:rPr>
        <w:t>6</w:t>
      </w:r>
      <w:r>
        <w:rPr>
          <w:rFonts w:hint="eastAsia" w:ascii="宋体" w:hAnsi="宋体" w:cs="宋体"/>
          <w:color w:val="auto"/>
          <w:sz w:val="28"/>
          <w:szCs w:val="28"/>
          <w:highlight w:val="none"/>
        </w:rPr>
        <w:t>。</w:t>
      </w:r>
    </w:p>
    <w:p w14:paraId="737E3EE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▲3.3.6最大电子轰击能量（离子化能量）：</w:t>
      </w:r>
      <w:r>
        <w:rPr>
          <w:rFonts w:hint="eastAsia" w:eastAsia="仿宋"/>
          <w:color w:val="auto"/>
          <w:sz w:val="28"/>
          <w:szCs w:val="28"/>
          <w:highlight w:val="none"/>
        </w:rPr>
        <w:t>＞240eV</w:t>
      </w:r>
      <w:r>
        <w:rPr>
          <w:rFonts w:hAnsi="仿宋" w:eastAsia="仿宋"/>
          <w:color w:val="auto"/>
          <w:sz w:val="28"/>
          <w:szCs w:val="28"/>
          <w:highlight w:val="none"/>
        </w:rPr>
        <w:t>。</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E70AE8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▲3.3.7质量分析器：共轭双曲面四极杆，独立温控，最高温度可达200℃，非预四极杆加热。</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308C860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3.3.8检测器：</w:t>
      </w:r>
      <w:bookmarkStart w:id="195" w:name="OLE_LINK11"/>
      <w:bookmarkStart w:id="196" w:name="OLE_LINK12"/>
      <w:r>
        <w:rPr>
          <w:rFonts w:ascii="宋体" w:hAnsi="宋体" w:cs="宋体"/>
          <w:color w:val="auto"/>
          <w:sz w:val="28"/>
          <w:szCs w:val="28"/>
          <w:highlight w:val="none"/>
        </w:rPr>
        <w:t>长效高能量电子倍增器，采用三重离轴设计，实现离子通过四级杆后通过横向电场偏转，清除中性高能粒子干扰，降低背景噪音，提高灵敏度。</w:t>
      </w:r>
    </w:p>
    <w:p w14:paraId="624EB13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w:t>
      </w:r>
      <w:bookmarkEnd w:id="195"/>
      <w:bookmarkEnd w:id="196"/>
      <w:r>
        <w:rPr>
          <w:rFonts w:hint="eastAsia" w:ascii="宋体" w:hAnsi="宋体" w:cs="宋体"/>
          <w:color w:val="auto"/>
          <w:sz w:val="28"/>
          <w:szCs w:val="28"/>
          <w:highlight w:val="none"/>
        </w:rPr>
        <w:t>3.3.9真空系统：分子涡轮泵 ≥255L/s。</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DDF2562">
      <w:pPr>
        <w:tabs>
          <w:tab w:val="left" w:pos="480"/>
        </w:tabs>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3.4工作站</w:t>
      </w:r>
    </w:p>
    <w:p w14:paraId="6D75518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3.4.1操作环境：配置不低于：CPU i5，内存 16GB，500G固态硬盘，21英寸液晶显示器，64位中文专业版Windows11软件。</w:t>
      </w:r>
    </w:p>
    <w:p w14:paraId="6E9EE6A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3.4.2质谱工作站可根据全扫描得到的数据，自动选择目标化合物的特征离子并对其进行分组，最后保存到分析方法当中，无须手动输入。</w:t>
      </w:r>
    </w:p>
    <w:p w14:paraId="7A40D86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3.4.3手动/自动调谐，数据采集，数据检索，分析结果报告，定量分析及谱库检索功能。</w:t>
      </w:r>
    </w:p>
    <w:p w14:paraId="51F4F5BA">
      <w:pPr>
        <w:tabs>
          <w:tab w:val="left" w:pos="480"/>
        </w:tabs>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▲3.4.</w:t>
      </w:r>
      <w:bookmarkStart w:id="197" w:name="OLE_LINK68"/>
      <w:bookmarkStart w:id="198" w:name="OLE_LINK111"/>
      <w:r>
        <w:rPr>
          <w:rFonts w:hint="eastAsia" w:ascii="宋体" w:hAnsi="宋体" w:cs="宋体"/>
          <w:color w:val="auto"/>
          <w:sz w:val="28"/>
          <w:szCs w:val="28"/>
          <w:highlight w:val="none"/>
        </w:rPr>
        <w:t>4</w:t>
      </w:r>
      <w:bookmarkEnd w:id="197"/>
      <w:bookmarkEnd w:id="198"/>
      <w:bookmarkStart w:id="199" w:name="OLE_LINK32"/>
      <w:bookmarkStart w:id="200" w:name="OLE_LINK31"/>
      <w:r>
        <w:rPr>
          <w:rFonts w:hint="eastAsia" w:ascii="宋体" w:hAnsi="宋体" w:cs="宋体"/>
          <w:color w:val="auto"/>
          <w:sz w:val="28"/>
          <w:szCs w:val="28"/>
          <w:highlight w:val="none"/>
        </w:rPr>
        <w:t>气相色谱具有保留时间自动锁定或校正功能，此功能通过软件自动调整仪器工作参数，在五个不同条件下进样，分析锁定目标化合物而实现。</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CC71F20">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4.液相色谱仪</w:t>
      </w:r>
      <w:bookmarkEnd w:id="199"/>
      <w:bookmarkEnd w:id="200"/>
      <w:r>
        <w:rPr>
          <w:rFonts w:hint="eastAsia" w:ascii="宋体" w:hAnsi="宋体" w:cs="宋体"/>
          <w:b/>
          <w:bCs/>
          <w:color w:val="auto"/>
          <w:sz w:val="28"/>
          <w:szCs w:val="28"/>
          <w:highlight w:val="none"/>
        </w:rPr>
        <w:t>（高效液相色谱仪-二极管阵列/荧光检测器+柱后衍生）</w:t>
      </w:r>
    </w:p>
    <w:p w14:paraId="36BE08F7">
      <w:pPr>
        <w:spacing w:line="460" w:lineRule="exact"/>
        <w:ind w:firstLine="562" w:firstLineChars="200"/>
        <w:rPr>
          <w:rFonts w:ascii="宋体" w:hAnsi="宋体" w:cs="宋体"/>
          <w:color w:val="auto"/>
          <w:sz w:val="28"/>
          <w:szCs w:val="28"/>
          <w:highlight w:val="none"/>
        </w:rPr>
      </w:pPr>
      <w:bookmarkStart w:id="201" w:name="OLE_LINK21"/>
      <w:bookmarkStart w:id="202" w:name="OLE_LINK20"/>
      <w:bookmarkStart w:id="203" w:name="OLE_LINK28"/>
      <w:r>
        <w:rPr>
          <w:rFonts w:hint="eastAsia" w:ascii="宋体" w:hAnsi="宋体" w:cs="宋体"/>
          <w:b/>
          <w:bCs/>
          <w:color w:val="auto"/>
          <w:sz w:val="28"/>
          <w:szCs w:val="28"/>
          <w:highlight w:val="none"/>
        </w:rPr>
        <w:t>4.1 配置要求</w:t>
      </w:r>
    </w:p>
    <w:p w14:paraId="0885AF99">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★4.1.1配置要求为高效液相色谱仪-二极管阵列/荧光检测器+柱后衍生，包含四元高压梯度泵、自动进样器、柱温箱、柱后衍生系统、</w:t>
      </w:r>
      <w:bookmarkStart w:id="204" w:name="OLE_LINK44"/>
      <w:bookmarkStart w:id="205" w:name="OLE_LINK43"/>
      <w:r>
        <w:rPr>
          <w:rFonts w:hint="eastAsia" w:ascii="宋体" w:hAnsi="宋体" w:cs="宋体"/>
          <w:color w:val="auto"/>
          <w:sz w:val="28"/>
          <w:szCs w:val="28"/>
          <w:highlight w:val="none"/>
        </w:rPr>
        <w:t>二极管阵列</w:t>
      </w:r>
      <w:bookmarkStart w:id="206" w:name="OLE_LINK42"/>
      <w:bookmarkStart w:id="207" w:name="OLE_LINK41"/>
      <w:r>
        <w:rPr>
          <w:rFonts w:hint="eastAsia" w:ascii="宋体" w:hAnsi="宋体" w:cs="宋体"/>
          <w:color w:val="auto"/>
          <w:sz w:val="28"/>
          <w:szCs w:val="28"/>
          <w:highlight w:val="none"/>
        </w:rPr>
        <w:t>检测器</w:t>
      </w:r>
      <w:bookmarkEnd w:id="206"/>
      <w:bookmarkEnd w:id="207"/>
      <w:r>
        <w:rPr>
          <w:rFonts w:hint="eastAsia" w:ascii="宋体" w:hAnsi="宋体" w:cs="宋体"/>
          <w:color w:val="auto"/>
          <w:sz w:val="28"/>
          <w:szCs w:val="28"/>
          <w:highlight w:val="none"/>
        </w:rPr>
        <w:t>、荧光检测器、</w:t>
      </w:r>
      <w:bookmarkEnd w:id="204"/>
      <w:bookmarkEnd w:id="205"/>
      <w:r>
        <w:rPr>
          <w:rFonts w:hint="eastAsia" w:ascii="宋体" w:hAnsi="宋体" w:cs="宋体"/>
          <w:color w:val="auto"/>
          <w:sz w:val="28"/>
          <w:szCs w:val="28"/>
          <w:highlight w:val="none"/>
        </w:rPr>
        <w:t>仪器控制及数据处理系统。</w:t>
      </w:r>
    </w:p>
    <w:bookmarkEnd w:id="201"/>
    <w:bookmarkEnd w:id="202"/>
    <w:p w14:paraId="41E528BC">
      <w:pPr>
        <w:spacing w:line="460" w:lineRule="exact"/>
        <w:ind w:firstLine="562" w:firstLineChars="200"/>
        <w:rPr>
          <w:rFonts w:ascii="宋体" w:hAnsi="宋体" w:cs="宋体"/>
          <w:b/>
          <w:bCs/>
          <w:color w:val="auto"/>
          <w:sz w:val="28"/>
          <w:szCs w:val="28"/>
          <w:highlight w:val="none"/>
        </w:rPr>
      </w:pPr>
      <w:bookmarkStart w:id="208" w:name="OLE_LINK27"/>
      <w:bookmarkStart w:id="209" w:name="OLE_LINK26"/>
      <w:r>
        <w:rPr>
          <w:rFonts w:hint="eastAsia" w:ascii="宋体" w:hAnsi="宋体" w:cs="宋体"/>
          <w:b/>
          <w:bCs/>
          <w:color w:val="auto"/>
          <w:sz w:val="28"/>
          <w:szCs w:val="28"/>
          <w:highlight w:val="none"/>
        </w:rPr>
        <w:t>4.2 泵</w:t>
      </w:r>
    </w:p>
    <w:p w14:paraId="396C2E44">
      <w:pPr>
        <w:widowControl/>
        <w:tabs>
          <w:tab w:val="left" w:pos="851"/>
        </w:tabs>
        <w:spacing w:line="460" w:lineRule="exact"/>
        <w:ind w:firstLine="562" w:firstLineChars="200"/>
        <w:jc w:val="left"/>
        <w:rPr>
          <w:rFonts w:ascii="宋体" w:hAnsi="宋体" w:cs="宋体"/>
          <w:b/>
          <w:color w:val="auto"/>
          <w:sz w:val="28"/>
          <w:szCs w:val="28"/>
          <w:highlight w:val="none"/>
        </w:rPr>
      </w:pPr>
      <w:r>
        <w:rPr>
          <w:rFonts w:hint="eastAsia" w:ascii="宋体" w:hAnsi="宋体" w:cs="宋体"/>
          <w:b/>
          <w:color w:val="auto"/>
          <w:sz w:val="28"/>
          <w:szCs w:val="28"/>
          <w:highlight w:val="none"/>
        </w:rPr>
        <w:t>4.2.1四元梯度泵</w:t>
      </w:r>
    </w:p>
    <w:p w14:paraId="50244F7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w:t>
      </w:r>
      <w:bookmarkStart w:id="210" w:name="OLE_LINK84"/>
      <w:r>
        <w:rPr>
          <w:rFonts w:hint="eastAsia" w:ascii="宋体" w:hAnsi="宋体" w:cs="宋体"/>
          <w:color w:val="auto"/>
          <w:sz w:val="28"/>
          <w:szCs w:val="28"/>
          <w:highlight w:val="none"/>
        </w:rPr>
        <w:t>4.</w:t>
      </w:r>
      <w:bookmarkEnd w:id="210"/>
      <w:r>
        <w:rPr>
          <w:rFonts w:hint="eastAsia" w:ascii="宋体" w:hAnsi="宋体" w:cs="宋体"/>
          <w:color w:val="auto"/>
          <w:sz w:val="28"/>
          <w:szCs w:val="28"/>
          <w:highlight w:val="none"/>
        </w:rPr>
        <w:t>2.1.1</w:t>
      </w:r>
      <w:bookmarkStart w:id="211" w:name="OLE_LINK154"/>
      <w:bookmarkStart w:id="212" w:name="OLE_LINK153"/>
      <w:r>
        <w:rPr>
          <w:rFonts w:hint="eastAsia" w:ascii="宋体" w:hAnsi="宋体" w:cs="宋体"/>
          <w:color w:val="auto"/>
          <w:sz w:val="28"/>
          <w:szCs w:val="28"/>
          <w:highlight w:val="none"/>
        </w:rPr>
        <w:t>串联式双柱塞往复泵，自动连续可变冲程，最小冲程可至20ul，减小流动相输出的压力波动，最大冲程可至100ul，减小柱塞杆密封垫损耗；或者采用一体式独立柱塞，数控直线驱动色谱泵，非可变冲程。</w:t>
      </w:r>
      <w:bookmarkEnd w:id="211"/>
      <w:bookmarkEnd w:id="212"/>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CBAD878">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▲4.2.1.2泵传动装置采用齿轮和滚珠螺杆，保证泵的可靠性，并在较长的生命周期里保证一贯良好的精度。</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97933FD">
      <w:pPr>
        <w:tabs>
          <w:tab w:val="left" w:pos="480"/>
        </w:tabs>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4.2.1.3流量范围：≥0.001～10ml/min，递增率0.001ml/min。</w:t>
      </w:r>
    </w:p>
    <w:p w14:paraId="128A4C92">
      <w:pPr>
        <w:widowControl/>
        <w:tabs>
          <w:tab w:val="left" w:pos="851"/>
        </w:tabs>
        <w:spacing w:line="460" w:lineRule="exact"/>
        <w:ind w:firstLine="560" w:firstLineChars="200"/>
        <w:jc w:val="left"/>
        <w:rPr>
          <w:rFonts w:ascii="宋体" w:hAnsi="宋体" w:cs="宋体"/>
          <w:b/>
          <w:color w:val="auto"/>
          <w:sz w:val="28"/>
          <w:szCs w:val="28"/>
          <w:highlight w:val="none"/>
        </w:rPr>
      </w:pPr>
      <w:r>
        <w:rPr>
          <w:rFonts w:hint="eastAsia" w:ascii="宋体" w:hAnsi="宋体" w:cs="宋体"/>
          <w:color w:val="auto"/>
          <w:sz w:val="28"/>
          <w:szCs w:val="28"/>
          <w:highlight w:val="none"/>
        </w:rPr>
        <w:t>4.2.1.4流量精度：＜0.07%RSD。</w:t>
      </w:r>
    </w:p>
    <w:p w14:paraId="7CA4DD01">
      <w:pPr>
        <w:widowControl/>
        <w:tabs>
          <w:tab w:val="left" w:pos="851"/>
        </w:tabs>
        <w:spacing w:line="460" w:lineRule="exact"/>
        <w:ind w:firstLine="560" w:firstLineChars="200"/>
        <w:jc w:val="left"/>
        <w:rPr>
          <w:rFonts w:ascii="宋体" w:hAnsi="宋体" w:cs="宋体"/>
          <w:b/>
          <w:color w:val="auto"/>
          <w:sz w:val="28"/>
          <w:szCs w:val="28"/>
          <w:highlight w:val="none"/>
        </w:rPr>
      </w:pPr>
      <w:r>
        <w:rPr>
          <w:rFonts w:hint="eastAsia" w:ascii="宋体" w:hAnsi="宋体" w:cs="宋体"/>
          <w:color w:val="auto"/>
          <w:sz w:val="28"/>
          <w:szCs w:val="28"/>
          <w:highlight w:val="none"/>
        </w:rPr>
        <w:t>4.2.1.5系统压力：≥400bar,可使用小粒径填料（&lt;2μm）色谱柱，实现快速分离。</w:t>
      </w:r>
    </w:p>
    <w:p w14:paraId="03EFE087">
      <w:pPr>
        <w:widowControl/>
        <w:tabs>
          <w:tab w:val="left" w:pos="851"/>
        </w:tabs>
        <w:spacing w:line="460" w:lineRule="exact"/>
        <w:ind w:firstLine="562" w:firstLineChars="200"/>
        <w:jc w:val="left"/>
        <w:rPr>
          <w:rFonts w:ascii="宋体" w:hAnsi="宋体" w:cs="宋体"/>
          <w:b/>
          <w:color w:val="auto"/>
          <w:sz w:val="28"/>
          <w:szCs w:val="28"/>
          <w:highlight w:val="none"/>
        </w:rPr>
      </w:pPr>
      <w:r>
        <w:rPr>
          <w:rFonts w:hint="eastAsia" w:ascii="宋体" w:hAnsi="宋体" w:cs="宋体"/>
          <w:b/>
          <w:color w:val="auto"/>
          <w:sz w:val="28"/>
          <w:szCs w:val="28"/>
          <w:highlight w:val="none"/>
        </w:rPr>
        <w:t>4.2.2控制单元</w:t>
      </w:r>
    </w:p>
    <w:p w14:paraId="1992A779">
      <w:pPr>
        <w:widowControl/>
        <w:tabs>
          <w:tab w:val="left" w:pos="851"/>
        </w:tabs>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4.2.2.1带有智能化液相控制的计算机单元用于控制仪器参数。</w:t>
      </w:r>
    </w:p>
    <w:p w14:paraId="5AAA610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▲4.2.2.2</w:t>
      </w:r>
      <w:bookmarkStart w:id="213" w:name="OLE_LINK74"/>
      <w:r>
        <w:rPr>
          <w:rFonts w:hint="eastAsia" w:ascii="宋体" w:hAnsi="宋体" w:cs="宋体"/>
          <w:color w:val="auto"/>
          <w:sz w:val="28"/>
          <w:szCs w:val="28"/>
          <w:highlight w:val="none"/>
        </w:rPr>
        <w:t>溶剂注入和系统平衡判定方式≥2种，系统自动智能判定，无需人工干预。</w:t>
      </w:r>
      <w:bookmarkEnd w:id="213"/>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54963B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▲4.2.2.3智能化控制单元可实现准备任务或是关机任务的设定，并能实现多种计划功能，包括实时开启，定时开启，以及循环定时开启。</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255562A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4.2.2.4智能化控制单元可记录每日运行样品的数量以及每日进样溶剂消耗与总溶剂消耗的占比情况。</w:t>
      </w:r>
    </w:p>
    <w:p w14:paraId="02CEBB14">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4.3 自动进样器</w:t>
      </w:r>
    </w:p>
    <w:p w14:paraId="4061FDB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4.3.1采用高压、阀进样技术，使用微型计量泵准确控制取样体积，</w:t>
      </w:r>
      <w:r>
        <w:rPr>
          <w:rFonts w:hint="eastAsia" w:ascii="宋体" w:hAnsi="宋体" w:cs="宋体"/>
          <w:bCs/>
          <w:color w:val="auto"/>
          <w:sz w:val="28"/>
          <w:szCs w:val="28"/>
          <w:highlight w:val="none"/>
        </w:rPr>
        <w:t>进样后，进样针始终置于流路中，</w:t>
      </w:r>
      <w:r>
        <w:rPr>
          <w:rFonts w:hint="eastAsia" w:ascii="宋体" w:hAnsi="宋体" w:cs="宋体"/>
          <w:color w:val="auto"/>
          <w:sz w:val="28"/>
          <w:szCs w:val="28"/>
          <w:highlight w:val="none"/>
        </w:rPr>
        <w:t>保证最小样品残留量；通过工作站，可启动洗针程序，自动清洗进样针的外壁。</w:t>
      </w:r>
    </w:p>
    <w:p w14:paraId="29DBE9D3">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▲4.3.2可进行编程进样，用于进行柱前衍生，柱前样品自动稀释，自动混合等复杂进样方式。用户可根据样品的粘度，调节取样及进样速度。</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EF62059">
      <w:pPr>
        <w:tabs>
          <w:tab w:val="left" w:pos="480"/>
        </w:tabs>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4.3.3进样精密度：＜ 0.25% RSD。</w:t>
      </w:r>
    </w:p>
    <w:p w14:paraId="6098067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4.3.4温度范围：4℃–110℃。</w:t>
      </w:r>
    </w:p>
    <w:p w14:paraId="21CDAE0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4.3.5自动进样器交叉污染≤0.004%。</w:t>
      </w:r>
    </w:p>
    <w:p w14:paraId="39F456D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▲4.3.6样品容量：＞130位。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4F2E1E08">
      <w:pPr>
        <w:tabs>
          <w:tab w:val="left" w:pos="480"/>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4.4 柱温箱</w:t>
      </w:r>
    </w:p>
    <w:p w14:paraId="5B019B2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▲4.4.1半导体控温，独立控温模块数量：≥2。</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64FFDF2">
      <w:pPr>
        <w:tabs>
          <w:tab w:val="left" w:pos="480"/>
        </w:tabs>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4.4.2柱温范围：</w:t>
      </w:r>
      <w:bookmarkStart w:id="214" w:name="OLE_LINK13"/>
      <w:r>
        <w:rPr>
          <w:rFonts w:hint="eastAsia" w:ascii="宋体" w:hAnsi="宋体" w:cs="宋体"/>
          <w:color w:val="auto"/>
          <w:sz w:val="28"/>
          <w:szCs w:val="28"/>
          <w:highlight w:val="none"/>
        </w:rPr>
        <w:t xml:space="preserve"> 4˚C～85˚C。</w:t>
      </w:r>
      <w:bookmarkEnd w:id="214"/>
    </w:p>
    <w:p w14:paraId="2EDCF99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▲4.4.3柱容量（30cm色谱柱）：≥4根，可升级配置柱选择阀在色谱柱间切换，而无需重新连接管线。</w:t>
      </w:r>
      <w:bookmarkEnd w:id="208"/>
      <w:bookmarkEnd w:id="209"/>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0B9369A">
      <w:pPr>
        <w:tabs>
          <w:tab w:val="left" w:pos="480"/>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4.5 检测器</w:t>
      </w:r>
    </w:p>
    <w:p w14:paraId="6394876C">
      <w:pPr>
        <w:tabs>
          <w:tab w:val="left" w:pos="851"/>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4.5.1二极管阵列紫外检测器（DAD）</w:t>
      </w:r>
    </w:p>
    <w:p w14:paraId="318342F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4.5.1.1检测器类型:1024 个二极管元件。</w:t>
      </w:r>
    </w:p>
    <w:p w14:paraId="61ED945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4.5.1.2信号数量:8。</w:t>
      </w:r>
    </w:p>
    <w:p w14:paraId="452020DF">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▲4.5.1.3波长范围：190～950nm，波长准确度±1nm。</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8A2160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▲4.5.1.4最大采样速率：120 Hz。</w:t>
      </w:r>
      <w:bookmarkEnd w:id="203"/>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4795422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4.5.1.5基线噪声:＜7×10</w:t>
      </w:r>
      <w:r>
        <w:rPr>
          <w:rFonts w:hint="eastAsia" w:ascii="宋体" w:hAnsi="宋体" w:cs="宋体"/>
          <w:color w:val="auto"/>
          <w:sz w:val="28"/>
          <w:szCs w:val="28"/>
          <w:highlight w:val="none"/>
          <w:vertAlign w:val="superscript"/>
        </w:rPr>
        <w:t>-6</w:t>
      </w:r>
      <w:r>
        <w:rPr>
          <w:rFonts w:hint="eastAsia" w:ascii="宋体" w:hAnsi="宋体" w:cs="宋体"/>
          <w:color w:val="auto"/>
          <w:sz w:val="28"/>
          <w:szCs w:val="28"/>
          <w:highlight w:val="none"/>
        </w:rPr>
        <w:t>AU（在 254 和750 nm 条件下）。</w:t>
      </w:r>
    </w:p>
    <w:p w14:paraId="5288AEF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4.5.1.6漂移:＜ 0.9×10</w:t>
      </w:r>
      <w:r>
        <w:rPr>
          <w:rFonts w:hint="eastAsia" w:ascii="宋体" w:hAnsi="宋体" w:cs="宋体"/>
          <w:color w:val="auto"/>
          <w:sz w:val="28"/>
          <w:szCs w:val="28"/>
          <w:highlight w:val="none"/>
          <w:vertAlign w:val="superscript"/>
        </w:rPr>
        <w:t>-3</w:t>
      </w:r>
      <w:r>
        <w:rPr>
          <w:rFonts w:hint="eastAsia" w:ascii="宋体" w:hAnsi="宋体" w:cs="宋体"/>
          <w:color w:val="auto"/>
          <w:sz w:val="28"/>
          <w:szCs w:val="28"/>
          <w:highlight w:val="none"/>
        </w:rPr>
        <w:t xml:space="preserve"> AU/hr（在 254 nm 条件下）。</w:t>
      </w:r>
    </w:p>
    <w:p w14:paraId="1C9AF22D">
      <w:pPr>
        <w:tabs>
          <w:tab w:val="left" w:pos="851"/>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4.5.2荧光检测器</w:t>
      </w:r>
    </w:p>
    <w:p w14:paraId="6C5A599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4.5.2.1检测类型:荧光检测器。</w:t>
      </w:r>
    </w:p>
    <w:p w14:paraId="578C0BF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4.5.2.2性能指标 单波长操作：•拉曼（H2O）&gt; 500 拉曼（H2O）&gt; 3000 （暗值时测量的噪音参考）。</w:t>
      </w:r>
    </w:p>
    <w:p w14:paraId="3DC4512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4.5.2.3激发单色器范围：可设置 200 nm ～ 1200 nm 。</w:t>
      </w:r>
    </w:p>
    <w:p w14:paraId="61A135D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4.5.2.4发射单色器范围：可设置 200 nm ～ 1200 nm 。</w:t>
      </w:r>
    </w:p>
    <w:p w14:paraId="637E9D1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4.5.2.5波长准确度: </w:t>
      </w:r>
      <w:bookmarkStart w:id="215" w:name="OLE_LINK152"/>
      <w:bookmarkStart w:id="216" w:name="OLE_LINK151"/>
      <w:r>
        <w:rPr>
          <w:rFonts w:hint="eastAsia" w:ascii="宋体" w:hAnsi="宋体" w:cs="宋体"/>
          <w:color w:val="auto"/>
          <w:sz w:val="28"/>
          <w:szCs w:val="28"/>
          <w:highlight w:val="none"/>
        </w:rPr>
        <w:t>±</w:t>
      </w:r>
      <w:bookmarkEnd w:id="215"/>
      <w:bookmarkEnd w:id="216"/>
      <w:r>
        <w:rPr>
          <w:rFonts w:hint="eastAsia" w:ascii="宋体" w:hAnsi="宋体" w:cs="宋体"/>
          <w:color w:val="auto"/>
          <w:sz w:val="28"/>
          <w:szCs w:val="28"/>
          <w:highlight w:val="none"/>
        </w:rPr>
        <w:t>3nm；重复性 ± 0.2 nm。</w:t>
      </w:r>
    </w:p>
    <w:p w14:paraId="6E4C6CBD">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4.6柱后衍生系统</w:t>
      </w:r>
    </w:p>
    <w:p w14:paraId="58DD5B0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4.6.1流速范围：0.001～10 mL/min。</w:t>
      </w:r>
    </w:p>
    <w:p w14:paraId="513F594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4.6.2流量精度：＜0.5%。</w:t>
      </w:r>
    </w:p>
    <w:p w14:paraId="66B0A1B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4.6.3流量准确度：±0.1%。</w:t>
      </w:r>
    </w:p>
    <w:p w14:paraId="55B0E90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4.6.4最大操作压力：40MPa。</w:t>
      </w:r>
    </w:p>
    <w:p w14:paraId="123DF0B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4.6.5工作温度：室温～150℃。</w:t>
      </w:r>
    </w:p>
    <w:p w14:paraId="60AC685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4.6.6温度重现性：±0.1℃。</w:t>
      </w:r>
    </w:p>
    <w:p w14:paraId="5E58056F">
      <w:pPr>
        <w:spacing w:line="460" w:lineRule="exact"/>
        <w:ind w:firstLine="562" w:firstLineChars="200"/>
        <w:rPr>
          <w:rFonts w:ascii="宋体" w:hAnsi="宋体" w:cs="宋体"/>
          <w:b/>
          <w:color w:val="auto"/>
          <w:sz w:val="28"/>
          <w:szCs w:val="28"/>
          <w:highlight w:val="none"/>
        </w:rPr>
      </w:pPr>
      <w:bookmarkStart w:id="217" w:name="OLE_LINK29"/>
      <w:bookmarkStart w:id="218" w:name="OLE_LINK30"/>
      <w:r>
        <w:rPr>
          <w:rFonts w:hint="eastAsia" w:ascii="宋体" w:hAnsi="宋体" w:cs="宋体"/>
          <w:b/>
          <w:color w:val="auto"/>
          <w:sz w:val="28"/>
          <w:szCs w:val="28"/>
          <w:highlight w:val="none"/>
        </w:rPr>
        <w:t>4.7 工作站</w:t>
      </w:r>
    </w:p>
    <w:p w14:paraId="711F46E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4.7.1</w:t>
      </w:r>
      <w:bookmarkStart w:id="219" w:name="OLE_LINK148"/>
      <w:r>
        <w:rPr>
          <w:rFonts w:hint="eastAsia" w:ascii="宋体" w:hAnsi="宋体" w:cs="宋体"/>
          <w:color w:val="auto"/>
          <w:sz w:val="28"/>
          <w:szCs w:val="28"/>
          <w:highlight w:val="none"/>
        </w:rPr>
        <w:t>基于局域网（LAN）仪器的尖端5级控制和监测保证实现快速而灵活的数据采集，并配以最高效率的数据分析和报告功能。中文色谱工作站，并提供操作手册。</w:t>
      </w:r>
      <w:bookmarkEnd w:id="219"/>
    </w:p>
    <w:p w14:paraId="35B4F21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4.7.2可控制液相色谱仪所有参数和运行，可实施编辑功能，自动进行序列样品分析；实时在线显示色谱图，积分并报告出分析结果，绘制标准曲线；具有自我诊断程序。</w:t>
      </w:r>
    </w:p>
    <w:bookmarkEnd w:id="217"/>
    <w:bookmarkEnd w:id="218"/>
    <w:p w14:paraId="71193A1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4.7.3操作环境：配置不低于：CPU i5，内存 16GB，500G固态硬盘，21英寸液晶显示器，64位中文专业版Windows11软件。</w:t>
      </w:r>
    </w:p>
    <w:p w14:paraId="1F6D785A">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5.液相色谱仪 (高效液相色谱仪-二极管阵列/蒸发光散射检测器)</w:t>
      </w:r>
    </w:p>
    <w:p w14:paraId="67932559">
      <w:pPr>
        <w:spacing w:line="460" w:lineRule="exact"/>
        <w:ind w:firstLine="562" w:firstLineChars="200"/>
        <w:rPr>
          <w:rFonts w:ascii="宋体" w:hAnsi="宋体" w:cs="宋体"/>
          <w:color w:val="auto"/>
          <w:sz w:val="28"/>
          <w:szCs w:val="28"/>
          <w:highlight w:val="none"/>
        </w:rPr>
      </w:pPr>
      <w:r>
        <w:rPr>
          <w:rFonts w:hint="eastAsia" w:ascii="宋体" w:hAnsi="宋体" w:cs="宋体"/>
          <w:b/>
          <w:bCs/>
          <w:color w:val="auto"/>
          <w:sz w:val="28"/>
          <w:szCs w:val="28"/>
          <w:highlight w:val="none"/>
        </w:rPr>
        <w:t>技术特点：</w:t>
      </w:r>
      <w:r>
        <w:rPr>
          <w:rFonts w:hint="eastAsia" w:ascii="宋体" w:hAnsi="宋体" w:cs="宋体"/>
          <w:color w:val="auto"/>
          <w:sz w:val="28"/>
          <w:szCs w:val="28"/>
          <w:highlight w:val="none"/>
        </w:rPr>
        <w:t>采用积木组合结构，组合方便配套灵活，后续升级空间大，最大限度的减少重复投资，由梯度泵、自动进样器、检测器和液相色谱工作站系统组成。</w:t>
      </w:r>
    </w:p>
    <w:p w14:paraId="3F6CC6BB">
      <w:pPr>
        <w:spacing w:line="460" w:lineRule="exact"/>
        <w:ind w:firstLine="562" w:firstLineChars="200"/>
        <w:rPr>
          <w:rFonts w:ascii="宋体" w:hAnsi="宋体" w:cs="宋体"/>
          <w:color w:val="auto"/>
          <w:sz w:val="28"/>
          <w:szCs w:val="28"/>
          <w:highlight w:val="none"/>
        </w:rPr>
      </w:pPr>
      <w:r>
        <w:rPr>
          <w:rFonts w:hint="eastAsia" w:ascii="宋体" w:hAnsi="宋体" w:cs="宋体"/>
          <w:b/>
          <w:bCs/>
          <w:color w:val="auto"/>
          <w:sz w:val="28"/>
          <w:szCs w:val="28"/>
          <w:highlight w:val="none"/>
        </w:rPr>
        <w:t>5.1 配置要求</w:t>
      </w:r>
    </w:p>
    <w:p w14:paraId="40C7A19E">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★5.1.1配置要求为高效液相色谱仪-二极管阵列/蒸发光散射检测器，包含四元高压梯度泵、自动进样器、柱温箱、柱后衍生系统、二极管阵列检测器、蒸发光散射检测器、仪器控制及数据处理系统。</w:t>
      </w:r>
    </w:p>
    <w:p w14:paraId="61B178C6">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5.2 泵</w:t>
      </w:r>
    </w:p>
    <w:p w14:paraId="55524125">
      <w:pPr>
        <w:widowControl/>
        <w:tabs>
          <w:tab w:val="left" w:pos="851"/>
        </w:tabs>
        <w:spacing w:line="460" w:lineRule="exact"/>
        <w:ind w:firstLine="562" w:firstLineChars="200"/>
        <w:jc w:val="left"/>
        <w:rPr>
          <w:rFonts w:ascii="宋体" w:hAnsi="宋体" w:cs="宋体"/>
          <w:b/>
          <w:color w:val="auto"/>
          <w:sz w:val="28"/>
          <w:szCs w:val="28"/>
          <w:highlight w:val="none"/>
        </w:rPr>
      </w:pPr>
      <w:r>
        <w:rPr>
          <w:rFonts w:hint="eastAsia" w:ascii="宋体" w:hAnsi="宋体" w:cs="宋体"/>
          <w:b/>
          <w:color w:val="auto"/>
          <w:sz w:val="28"/>
          <w:szCs w:val="28"/>
          <w:highlight w:val="none"/>
        </w:rPr>
        <w:t>5.2.1四元梯度泵</w:t>
      </w:r>
    </w:p>
    <w:p w14:paraId="1CFCC43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w:t>
      </w:r>
      <w:bookmarkStart w:id="220" w:name="OLE_LINK86"/>
      <w:bookmarkStart w:id="221" w:name="OLE_LINK85"/>
      <w:r>
        <w:rPr>
          <w:rFonts w:hint="eastAsia" w:ascii="宋体" w:hAnsi="宋体" w:cs="宋体"/>
          <w:color w:val="auto"/>
          <w:sz w:val="28"/>
          <w:szCs w:val="28"/>
          <w:highlight w:val="none"/>
        </w:rPr>
        <w:t>5.</w:t>
      </w:r>
      <w:bookmarkEnd w:id="220"/>
      <w:bookmarkEnd w:id="221"/>
      <w:r>
        <w:rPr>
          <w:rFonts w:hint="eastAsia" w:ascii="宋体" w:hAnsi="宋体" w:cs="宋体"/>
          <w:color w:val="auto"/>
          <w:sz w:val="28"/>
          <w:szCs w:val="28"/>
          <w:highlight w:val="none"/>
        </w:rPr>
        <w:t>2.1.1串联式双柱塞往复泵，自动连续可变冲程，最小冲程可至20ul，减小流动相输出的压力波动，最大冲程可至100ul，减小柱塞杆密封垫损耗；或者采用一体式独立柱塞，数控直线驱动色谱泵，非可变冲程。</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0D244E1D">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▲5.2.1.2泵传动装置采用齿轮和滚珠螺杆，保证泵的可靠性，并在较长的生命周期里保证一贯良好的精度。</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60706D4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5.2.1.3流量范围：≥0.001～10ml/min，递增率0.001ml/min。</w:t>
      </w:r>
    </w:p>
    <w:p w14:paraId="243CDE0C">
      <w:pPr>
        <w:widowControl/>
        <w:tabs>
          <w:tab w:val="left" w:pos="851"/>
        </w:tabs>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5.2.1.4流量精度：＜0.07%RSD。</w:t>
      </w:r>
    </w:p>
    <w:p w14:paraId="13ED21B8">
      <w:pPr>
        <w:widowControl/>
        <w:tabs>
          <w:tab w:val="left" w:pos="851"/>
        </w:tabs>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5.2.1.5系统压力：≥400bar,可使用小粒径填料（＜2μm）色谱柱，实现快速分离。</w:t>
      </w:r>
    </w:p>
    <w:p w14:paraId="455F34F2">
      <w:pPr>
        <w:widowControl/>
        <w:tabs>
          <w:tab w:val="left" w:pos="851"/>
        </w:tabs>
        <w:spacing w:line="460" w:lineRule="exact"/>
        <w:ind w:firstLine="560" w:firstLineChars="200"/>
        <w:jc w:val="left"/>
        <w:rPr>
          <w:rFonts w:ascii="宋体" w:hAnsi="宋体" w:cs="宋体"/>
          <w:b/>
          <w:color w:val="auto"/>
          <w:sz w:val="28"/>
          <w:szCs w:val="28"/>
          <w:highlight w:val="none"/>
        </w:rPr>
      </w:pPr>
      <w:r>
        <w:rPr>
          <w:rFonts w:hint="eastAsia" w:ascii="宋体" w:hAnsi="宋体" w:cs="宋体"/>
          <w:color w:val="auto"/>
          <w:sz w:val="28"/>
          <w:szCs w:val="28"/>
          <w:highlight w:val="none"/>
        </w:rPr>
        <w:t>5.</w:t>
      </w:r>
      <w:r>
        <w:rPr>
          <w:rFonts w:hint="eastAsia" w:ascii="宋体" w:hAnsi="宋体" w:cs="宋体"/>
          <w:b/>
          <w:color w:val="auto"/>
          <w:sz w:val="28"/>
          <w:szCs w:val="28"/>
          <w:highlight w:val="none"/>
        </w:rPr>
        <w:t>2.2控制单元</w:t>
      </w:r>
    </w:p>
    <w:p w14:paraId="2181DF82">
      <w:pPr>
        <w:widowControl/>
        <w:tabs>
          <w:tab w:val="left" w:pos="851"/>
        </w:tabs>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5.2.2.1带有智能化液相控制的计算机单元用于控制仪器参数。</w:t>
      </w:r>
    </w:p>
    <w:p w14:paraId="1963F225">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▲5.2.2.2溶剂注入和系统平衡判定方式≥2种，系统自动智能判定，无需人工干预。</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2C891607">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▲5.2.2.3智能化控制单元可实现大于100个准备任务或是关机任务的设定，并能实现三种以上的计划功能，包括实时开启，定时开启，以及循环定时开启。</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35CFD2B">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5.2.2.4智能化控制单元可记录每日运行样品的数量以及每日进样溶剂消耗与总溶剂消耗的占比情况。</w:t>
      </w:r>
    </w:p>
    <w:p w14:paraId="1D5ED634">
      <w:pPr>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5.3 自动进样器</w:t>
      </w:r>
    </w:p>
    <w:p w14:paraId="44FE38A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5.3.1采用高压、阀进样技术，使用微型计量泵准确控制取样体积，</w:t>
      </w:r>
      <w:r>
        <w:rPr>
          <w:rFonts w:hint="eastAsia" w:ascii="宋体" w:hAnsi="宋体" w:cs="宋体"/>
          <w:bCs/>
          <w:color w:val="auto"/>
          <w:sz w:val="28"/>
          <w:szCs w:val="28"/>
          <w:highlight w:val="none"/>
        </w:rPr>
        <w:t>进样后，进样针始终置于流路中，</w:t>
      </w:r>
      <w:r>
        <w:rPr>
          <w:rFonts w:hint="eastAsia" w:ascii="宋体" w:hAnsi="宋体" w:cs="宋体"/>
          <w:color w:val="auto"/>
          <w:sz w:val="28"/>
          <w:szCs w:val="28"/>
          <w:highlight w:val="none"/>
        </w:rPr>
        <w:t>保证最小样品残留量；通过工作站，可启动洗针程序，自动清洗进样针的外壁。</w:t>
      </w:r>
    </w:p>
    <w:p w14:paraId="7248BB10">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▲5.3.2可进行编程进样，用于进行柱前衍生，柱前样品自动稀释，自动混合等复杂进样方式。用户可根据样品的粘度，调节取样及进样速度。</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25873AE5">
      <w:pPr>
        <w:tabs>
          <w:tab w:val="left" w:pos="480"/>
        </w:tabs>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5.3.3进样精密度：＜0.25% RSD。</w:t>
      </w:r>
    </w:p>
    <w:p w14:paraId="38ABB779">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5.3.4温度范围：4℃</w:t>
      </w:r>
      <w:bookmarkStart w:id="222" w:name="OLE_LINK10"/>
      <w:r>
        <w:rPr>
          <w:rFonts w:hint="eastAsia" w:ascii="宋体" w:hAnsi="宋体" w:cs="宋体"/>
          <w:color w:val="auto"/>
          <w:sz w:val="28"/>
          <w:szCs w:val="28"/>
          <w:highlight w:val="none"/>
        </w:rPr>
        <w:t>～</w:t>
      </w:r>
      <w:bookmarkEnd w:id="222"/>
      <w:r>
        <w:rPr>
          <w:rFonts w:hint="eastAsia" w:ascii="宋体" w:hAnsi="宋体" w:cs="宋体"/>
          <w:color w:val="auto"/>
          <w:sz w:val="28"/>
          <w:szCs w:val="28"/>
          <w:highlight w:val="none"/>
        </w:rPr>
        <w:t>110℃。</w:t>
      </w:r>
    </w:p>
    <w:p w14:paraId="3A725F8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5.3.5自动进样器交叉污染：≤0.004%。</w:t>
      </w:r>
    </w:p>
    <w:p w14:paraId="19BE8E46">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▲5.3.6样品容量：＞130位。</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1F57B9C1">
      <w:pPr>
        <w:tabs>
          <w:tab w:val="left" w:pos="480"/>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5.4 柱温箱</w:t>
      </w:r>
    </w:p>
    <w:p w14:paraId="4E81EB2C">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▲5.4.1半导体温控设计，两个独立控温模块；内置预热器，流动相柱前预加热，有效防止流动相在色谱柱内的热交换，有利于色谱柱内快速温度平衡，及两相间的物质分配平衡。</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1BC0FEE">
      <w:pPr>
        <w:tabs>
          <w:tab w:val="left" w:pos="480"/>
        </w:tabs>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5.4.2</w:t>
      </w:r>
      <w:bookmarkStart w:id="223" w:name="OLE_LINK14"/>
      <w:r>
        <w:rPr>
          <w:rFonts w:hint="eastAsia" w:ascii="宋体" w:hAnsi="宋体" w:cs="宋体"/>
          <w:color w:val="auto"/>
          <w:sz w:val="28"/>
          <w:szCs w:val="28"/>
          <w:highlight w:val="none"/>
        </w:rPr>
        <w:t>柱温范围：4˚C～85˚C。</w:t>
      </w:r>
    </w:p>
    <w:bookmarkEnd w:id="223"/>
    <w:p w14:paraId="35981F64">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▲5.4.3</w:t>
      </w:r>
      <w:bookmarkStart w:id="224" w:name="OLE_LINK79"/>
      <w:r>
        <w:rPr>
          <w:rFonts w:hint="eastAsia" w:ascii="宋体" w:hAnsi="宋体" w:cs="宋体"/>
          <w:color w:val="auto"/>
          <w:sz w:val="28"/>
          <w:szCs w:val="28"/>
          <w:highlight w:val="none"/>
        </w:rPr>
        <w:t>柱容量（30cm色谱柱）：≥4根，可升级配置柱选择阀在色谱柱间切换，而无需重新连接管线。</w:t>
      </w:r>
      <w:bookmarkEnd w:id="224"/>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6B0CECC0">
      <w:pPr>
        <w:tabs>
          <w:tab w:val="left" w:pos="480"/>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5.5检测器</w:t>
      </w:r>
    </w:p>
    <w:p w14:paraId="4754BA67">
      <w:pPr>
        <w:tabs>
          <w:tab w:val="left" w:pos="851"/>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5.5.1二极管阵列紫外检测器（DAD）</w:t>
      </w:r>
    </w:p>
    <w:p w14:paraId="3D12221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5.5.1.1检测器类型:1024 个二极管元件</w:t>
      </w:r>
    </w:p>
    <w:p w14:paraId="5EFAB2A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5.5.1.2信号数量:8</w:t>
      </w:r>
    </w:p>
    <w:p w14:paraId="6776764A">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▲5.5.1.3波长范围：190～950nm，波长准确度±1nm。</w:t>
      </w:r>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735936A2">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▲5.5.1.4最大采样速率：120 Hz。</w:t>
      </w:r>
      <w:bookmarkStart w:id="225" w:name="OLE_LINK50"/>
      <w:bookmarkStart w:id="226" w:name="OLE_LINK49"/>
      <w:r>
        <w:rPr>
          <w:rFonts w:hint="eastAsia" w:ascii="宋体" w:hAnsi="宋体" w:cs="宋体"/>
          <w:b/>
          <w:bCs/>
          <w:color w:val="auto"/>
          <w:sz w:val="28"/>
          <w:szCs w:val="28"/>
          <w:highlight w:val="none"/>
        </w:rPr>
        <w:t>（如满足须提供官方技术参数文件、技术白皮书、官网参数页或第三方检测报告等公开可查的证明文件）</w:t>
      </w:r>
    </w:p>
    <w:p w14:paraId="6A875A7C">
      <w:pPr>
        <w:tabs>
          <w:tab w:val="left" w:pos="480"/>
        </w:tabs>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5.5.1.5基线噪声:＜7×10</w:t>
      </w:r>
      <w:r>
        <w:rPr>
          <w:rFonts w:hint="eastAsia" w:ascii="宋体" w:hAnsi="宋体" w:cs="宋体"/>
          <w:color w:val="auto"/>
          <w:sz w:val="28"/>
          <w:szCs w:val="28"/>
          <w:highlight w:val="none"/>
          <w:vertAlign w:val="superscript"/>
        </w:rPr>
        <w:t>-6</w:t>
      </w:r>
      <w:r>
        <w:rPr>
          <w:rFonts w:hint="eastAsia" w:ascii="宋体" w:hAnsi="宋体" w:cs="宋体"/>
          <w:color w:val="auto"/>
          <w:sz w:val="28"/>
          <w:szCs w:val="28"/>
          <w:highlight w:val="none"/>
        </w:rPr>
        <w:t xml:space="preserve">AU（在 254 nm 和750 </w:t>
      </w:r>
      <w:bookmarkStart w:id="227" w:name="OLE_LINK62"/>
      <w:bookmarkStart w:id="228" w:name="OLE_LINK63"/>
      <w:r>
        <w:rPr>
          <w:rFonts w:hint="eastAsia" w:ascii="宋体" w:hAnsi="宋体" w:cs="宋体"/>
          <w:color w:val="auto"/>
          <w:sz w:val="28"/>
          <w:szCs w:val="28"/>
          <w:highlight w:val="none"/>
        </w:rPr>
        <w:t>nm</w:t>
      </w:r>
      <w:bookmarkEnd w:id="227"/>
      <w:bookmarkEnd w:id="228"/>
      <w:r>
        <w:rPr>
          <w:rFonts w:hint="eastAsia" w:ascii="宋体" w:hAnsi="宋体" w:cs="宋体"/>
          <w:color w:val="auto"/>
          <w:sz w:val="28"/>
          <w:szCs w:val="28"/>
          <w:highlight w:val="none"/>
        </w:rPr>
        <w:t xml:space="preserve"> 条件下）。</w:t>
      </w:r>
    </w:p>
    <w:p w14:paraId="03E6520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5.5.1.6漂移:＜ 0.9</w:t>
      </w:r>
      <w:bookmarkStart w:id="229" w:name="OLE_LINK47"/>
      <w:bookmarkStart w:id="230" w:name="OLE_LINK48"/>
      <w:r>
        <w:rPr>
          <w:rFonts w:hint="eastAsia" w:ascii="宋体" w:hAnsi="宋体" w:cs="宋体"/>
          <w:color w:val="auto"/>
          <w:sz w:val="28"/>
          <w:szCs w:val="28"/>
          <w:highlight w:val="none"/>
        </w:rPr>
        <w:t>×</w:t>
      </w:r>
      <w:bookmarkEnd w:id="229"/>
      <w:bookmarkEnd w:id="230"/>
      <w:r>
        <w:rPr>
          <w:rFonts w:hint="eastAsia" w:ascii="宋体" w:hAnsi="宋体" w:cs="宋体"/>
          <w:color w:val="auto"/>
          <w:sz w:val="28"/>
          <w:szCs w:val="28"/>
          <w:highlight w:val="none"/>
        </w:rPr>
        <w:t>10</w:t>
      </w:r>
      <w:r>
        <w:rPr>
          <w:rFonts w:hint="eastAsia" w:ascii="宋体" w:hAnsi="宋体" w:cs="宋体"/>
          <w:color w:val="auto"/>
          <w:sz w:val="28"/>
          <w:szCs w:val="28"/>
          <w:highlight w:val="none"/>
          <w:vertAlign w:val="superscript"/>
        </w:rPr>
        <w:t>-3</w:t>
      </w:r>
      <w:r>
        <w:rPr>
          <w:rFonts w:hint="eastAsia" w:ascii="宋体" w:hAnsi="宋体" w:cs="宋体"/>
          <w:color w:val="auto"/>
          <w:sz w:val="28"/>
          <w:szCs w:val="28"/>
          <w:highlight w:val="none"/>
        </w:rPr>
        <w:t xml:space="preserve"> AU/hr（在 254 nm 条件下）。</w:t>
      </w:r>
    </w:p>
    <w:bookmarkEnd w:id="225"/>
    <w:bookmarkEnd w:id="226"/>
    <w:p w14:paraId="6D4A9E1E">
      <w:pPr>
        <w:tabs>
          <w:tab w:val="left" w:pos="851"/>
        </w:tabs>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5.5.2蒸发光散射检测器</w:t>
      </w:r>
    </w:p>
    <w:p w14:paraId="4D09DC5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5.5.2.1光源：LED 480 nm。</w:t>
      </w:r>
    </w:p>
    <w:p w14:paraId="26E314E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5.5.2.2检测器：光电倍增管(PMT)，含数字信号处理功能。</w:t>
      </w:r>
    </w:p>
    <w:p w14:paraId="6CB6715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5.5.2.3雾化器： 25～90℃。</w:t>
      </w:r>
    </w:p>
    <w:p w14:paraId="0BCF3EB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5.5.2.4蒸发器：非冷却，25～120℃；冷却式， 10～80℃</w:t>
      </w:r>
    </w:p>
    <w:p w14:paraId="14FE55E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5.5.2.5气体流量范围：0.9～3.25L/min。</w:t>
      </w:r>
    </w:p>
    <w:p w14:paraId="4ED484C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5.5.2.6短期噪音：＜0.2 mV。</w:t>
      </w:r>
    </w:p>
    <w:p w14:paraId="5C027BC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5.5.2.7漂移：对于两个模块， ＜1 mV/h。</w:t>
      </w:r>
    </w:p>
    <w:p w14:paraId="73988E4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5.5.2.8洗脱液流量范围：0.3</w:t>
      </w:r>
      <w:bookmarkStart w:id="231" w:name="OLE_LINK64"/>
      <w:bookmarkStart w:id="232" w:name="OLE_LINK65"/>
      <w:r>
        <w:rPr>
          <w:rFonts w:hint="eastAsia" w:ascii="宋体" w:hAnsi="宋体" w:cs="宋体"/>
          <w:color w:val="auto"/>
          <w:sz w:val="28"/>
          <w:szCs w:val="28"/>
          <w:highlight w:val="none"/>
        </w:rPr>
        <w:t>～</w:t>
      </w:r>
      <w:bookmarkEnd w:id="231"/>
      <w:bookmarkEnd w:id="232"/>
      <w:r>
        <w:rPr>
          <w:rFonts w:hint="eastAsia" w:ascii="宋体" w:hAnsi="宋体" w:cs="宋体"/>
          <w:color w:val="auto"/>
          <w:sz w:val="28"/>
          <w:szCs w:val="28"/>
          <w:highlight w:val="none"/>
        </w:rPr>
        <w:t>3ml/min。</w:t>
      </w:r>
    </w:p>
    <w:p w14:paraId="0BB1987B">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5.6 工作站</w:t>
      </w:r>
    </w:p>
    <w:p w14:paraId="6623CCA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5.6.1基于局域网（LAN）仪器的尖端5级控制和监测保证实现快速而灵活的数据采集，并配以最高效率的数据分析和报告功能。中文色谱工作站，并提供操作手册。</w:t>
      </w:r>
    </w:p>
    <w:p w14:paraId="410F4FF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5.6.2可控制液相色谱仪所有参数和运行，可实施编辑功能，自动进行序列样品分析；实时在线显示色谱图，积分并报告出分析结果，绘制标准曲线；具有自我诊断程序。</w:t>
      </w:r>
    </w:p>
    <w:p w14:paraId="17C423A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5.6.3操作环境：配置不低于：CPU i5，内存 16GB，500G固态硬盘，21英寸液晶显示器，64位中文专业版Windows11软件。</w:t>
      </w:r>
    </w:p>
    <w:p w14:paraId="2CE108FF">
      <w:pPr>
        <w:spacing w:line="460" w:lineRule="exact"/>
        <w:ind w:firstLine="562" w:firstLineChars="200"/>
        <w:rPr>
          <w:rFonts w:ascii="宋体" w:hAnsi="宋体" w:cs="宋体"/>
          <w:b/>
          <w:bCs/>
          <w:color w:val="auto"/>
          <w:sz w:val="28"/>
          <w:szCs w:val="28"/>
          <w:highlight w:val="none"/>
        </w:rPr>
      </w:pPr>
      <w:bookmarkStart w:id="233" w:name="OLE_LINK82"/>
      <w:bookmarkStart w:id="234" w:name="OLE_LINK81"/>
      <w:r>
        <w:rPr>
          <w:rFonts w:hint="eastAsia" w:ascii="宋体" w:hAnsi="宋体" w:cs="宋体"/>
          <w:b/>
          <w:bCs/>
          <w:color w:val="auto"/>
          <w:sz w:val="28"/>
          <w:szCs w:val="28"/>
          <w:highlight w:val="none"/>
        </w:rPr>
        <w:t>6.液相色谱串联质谱仪</w:t>
      </w:r>
    </w:p>
    <w:bookmarkEnd w:id="233"/>
    <w:bookmarkEnd w:id="234"/>
    <w:p w14:paraId="4104F7A8">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6.1配置要求</w:t>
      </w:r>
    </w:p>
    <w:p w14:paraId="79E5439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★6.1.1包含二元高压泵、自动进样器、柱温箱、ESI和APCI离子源、三重四极杆质谱主机、工作站及软件系统。</w:t>
      </w:r>
    </w:p>
    <w:p w14:paraId="2EB4897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6.1.2满足食品农药残留(GB 2763)、兽药残留(GB  31650)等涉及三重四极杆液质联用法检测标准要求。</w:t>
      </w:r>
    </w:p>
    <w:p w14:paraId="1A8B4FE1">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6.2 质谱技术性能</w:t>
      </w:r>
    </w:p>
    <w:p w14:paraId="1B7EBA7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6.2.1 离子源</w:t>
      </w:r>
    </w:p>
    <w:p w14:paraId="265809BB">
      <w:pPr>
        <w:spacing w:line="460" w:lineRule="exact"/>
        <w:ind w:firstLine="560" w:firstLineChars="200"/>
        <w:rPr>
          <w:rFonts w:ascii="宋体" w:hAnsi="宋体" w:cs="宋体"/>
          <w:color w:val="auto"/>
          <w:sz w:val="28"/>
          <w:szCs w:val="28"/>
          <w:highlight w:val="none"/>
        </w:rPr>
      </w:pPr>
      <w:bookmarkStart w:id="235" w:name="OLE_LINK94"/>
      <w:bookmarkStart w:id="236" w:name="OLE_LINK93"/>
      <w:r>
        <w:rPr>
          <w:rFonts w:hint="eastAsia" w:ascii="宋体" w:hAnsi="宋体" w:cs="宋体"/>
          <w:color w:val="auto"/>
          <w:sz w:val="28"/>
          <w:szCs w:val="28"/>
          <w:highlight w:val="none"/>
        </w:rPr>
        <w:t>6.</w:t>
      </w:r>
      <w:bookmarkEnd w:id="235"/>
      <w:bookmarkEnd w:id="236"/>
      <w:r>
        <w:rPr>
          <w:rFonts w:hint="eastAsia" w:ascii="宋体" w:hAnsi="宋体" w:cs="宋体"/>
          <w:color w:val="auto"/>
          <w:sz w:val="28"/>
          <w:szCs w:val="28"/>
          <w:highlight w:val="none"/>
        </w:rPr>
        <w:t>2.1.1离子源：独立的可加热电喷雾离子源（ESI源）和大气压化学电离源（APCI源），ESI与APCI切换只需更换源组件，无需拆卸离子源，实现快速便捷切换。</w:t>
      </w:r>
    </w:p>
    <w:p w14:paraId="3E742FF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6.2.1.2 ESI源加热温度≥550℃，不分流的情况下采用纯水作为溶剂，流速为50ul～2000ul/min或更宽。</w:t>
      </w:r>
    </w:p>
    <w:p w14:paraId="272543E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6.2.1.3 APCI源加热温度≥550℃，不分流的情况下采用纯水作为溶剂，流速为50ul～2000l/min或更宽。</w:t>
      </w:r>
    </w:p>
    <w:p w14:paraId="7E99930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6.2.2 离子传输系统</w:t>
      </w:r>
    </w:p>
    <w:p w14:paraId="5A7F879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6.2.2.1 离子传输系统为离子传输管结构，保护真空系统，具有真空隔断功能，离子传输管在清洗维护时质谱系统不用卸真空。</w:t>
      </w:r>
    </w:p>
    <w:p w14:paraId="59C8C864">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▲6.2.2.2离子传输组件带独立加热，最高加热温度≥400℃；组件可单独拆卸维护，拆卸时无需破坏质谱主真空。</w:t>
      </w:r>
      <w:r>
        <w:rPr>
          <w:rFonts w:hint="eastAsia" w:ascii="宋体" w:hAnsi="宋体" w:cs="宋体"/>
          <w:b/>
          <w:color w:val="auto"/>
          <w:sz w:val="28"/>
          <w:szCs w:val="28"/>
          <w:highlight w:val="none"/>
        </w:rPr>
        <w:t>（如满足需提供软件温度截图证明和免泄真空原理结构证明材料）</w:t>
      </w:r>
    </w:p>
    <w:p w14:paraId="0BAA426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 四极杆质量分析器</w:t>
      </w:r>
    </w:p>
    <w:p w14:paraId="7937632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6.2.3.1 Q1和Q3均采用分段式双曲面四极杆，保证高的离子传输效率。</w:t>
      </w:r>
    </w:p>
    <w:p w14:paraId="34CFCD97">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▲6.2.3.2分辨率(FWHM)：全质量范围内可到0.2 Da</w:t>
      </w:r>
      <w:bookmarkStart w:id="237" w:name="OLE_LINK3"/>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（如满足需提供软件截图作为证明材料）</w:t>
      </w:r>
    </w:p>
    <w:bookmarkEnd w:id="237"/>
    <w:p w14:paraId="297A9268">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▲6.2.3.3质量数范围（m/z）：最大质量数≥m/z 3000，或质荷比范围能满足现有国标食品相关小分子化合物的检测。</w:t>
      </w:r>
      <w:r>
        <w:rPr>
          <w:rFonts w:hint="eastAsia" w:ascii="宋体" w:hAnsi="宋体" w:cs="宋体"/>
          <w:b/>
          <w:bCs/>
          <w:color w:val="auto"/>
          <w:sz w:val="28"/>
          <w:szCs w:val="28"/>
          <w:highlight w:val="none"/>
        </w:rPr>
        <w:t>（如满足需提供软件截图作为证明材料）</w:t>
      </w:r>
    </w:p>
    <w:p w14:paraId="0948AE0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6.2.3.4质量轴稳定性：全质量范围内≤0.1 Da/24小时。</w:t>
      </w:r>
    </w:p>
    <w:p w14:paraId="2632FD8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6.2.3.5质量准确度：全质量范围内≤0.1 Da。</w:t>
      </w:r>
    </w:p>
    <w:p w14:paraId="1183A8C7">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▲6.2.3.6Q2碰撞池：弯曲设计，有效去除中性碎片。</w:t>
      </w:r>
      <w:r>
        <w:rPr>
          <w:rFonts w:hint="eastAsia" w:ascii="宋体" w:hAnsi="宋体" w:cs="宋体"/>
          <w:b/>
          <w:color w:val="auto"/>
          <w:sz w:val="28"/>
          <w:szCs w:val="28"/>
          <w:highlight w:val="none"/>
        </w:rPr>
        <w:t>（如满足需提供原理图作为证明材料）</w:t>
      </w:r>
    </w:p>
    <w:p w14:paraId="0933F6D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6.2.3.7 碰撞气：氩气或氮气。</w:t>
      </w:r>
    </w:p>
    <w:p w14:paraId="0EFBA42D">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 xml:space="preserve">▲6.2.3.8 </w:t>
      </w:r>
      <w:bookmarkStart w:id="238" w:name="OLE_LINK18"/>
      <w:bookmarkStart w:id="239" w:name="OLE_LINK19"/>
      <w:r>
        <w:rPr>
          <w:rFonts w:hint="eastAsia" w:ascii="宋体" w:hAnsi="宋体" w:cs="宋体"/>
          <w:color w:val="auto"/>
          <w:sz w:val="28"/>
          <w:szCs w:val="28"/>
          <w:highlight w:val="none"/>
        </w:rPr>
        <w:t>MRM(SRM)</w:t>
      </w:r>
      <w:bookmarkEnd w:id="238"/>
      <w:bookmarkEnd w:id="239"/>
      <w:r>
        <w:rPr>
          <w:rFonts w:hint="eastAsia" w:ascii="宋体" w:hAnsi="宋体" w:cs="宋体"/>
          <w:color w:val="auto"/>
          <w:sz w:val="28"/>
          <w:szCs w:val="28"/>
          <w:highlight w:val="none"/>
        </w:rPr>
        <w:t>最小驻留时间：≤0.5 ms。</w:t>
      </w:r>
      <w:r>
        <w:rPr>
          <w:rFonts w:hint="eastAsia" w:ascii="宋体" w:hAnsi="宋体" w:cs="宋体"/>
          <w:b/>
          <w:bCs/>
          <w:color w:val="auto"/>
          <w:sz w:val="28"/>
          <w:szCs w:val="28"/>
          <w:highlight w:val="none"/>
        </w:rPr>
        <w:t>（如满足需提供软件截图作为证明材料）</w:t>
      </w:r>
    </w:p>
    <w:p w14:paraId="135882A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6.2.3.9全扫描速度：≥15000Da/s。</w:t>
      </w:r>
    </w:p>
    <w:p w14:paraId="411C5D6F">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▲6.2.3.10 MRM(SRM)采集速度：≥800 MRM(SRM)/秒</w:t>
      </w:r>
      <w:bookmarkStart w:id="240" w:name="OLE_LINK4"/>
      <w:r>
        <w:rPr>
          <w:rFonts w:hint="eastAsia" w:ascii="宋体" w:hAnsi="宋体" w:cs="宋体"/>
          <w:color w:val="auto"/>
          <w:sz w:val="28"/>
          <w:szCs w:val="28"/>
          <w:highlight w:val="none"/>
        </w:rPr>
        <w:t>。</w:t>
      </w:r>
      <w:r>
        <w:rPr>
          <w:rFonts w:hint="eastAsia" w:ascii="宋体" w:hAnsi="宋体" w:cs="宋体"/>
          <w:b/>
          <w:bCs/>
          <w:color w:val="auto"/>
          <w:sz w:val="28"/>
          <w:szCs w:val="28"/>
          <w:highlight w:val="none"/>
        </w:rPr>
        <w:t>（如满足需提供软件截图作为证明材料）</w:t>
      </w:r>
    </w:p>
    <w:bookmarkEnd w:id="240"/>
    <w:p w14:paraId="5E64B99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▲6.2.3.11正负离子切换速度：≤5 ms。</w:t>
      </w:r>
      <w:r>
        <w:rPr>
          <w:rFonts w:hint="eastAsia" w:ascii="宋体" w:hAnsi="宋体" w:cs="宋体"/>
          <w:b/>
          <w:bCs/>
          <w:color w:val="auto"/>
          <w:sz w:val="28"/>
          <w:szCs w:val="28"/>
          <w:highlight w:val="none"/>
        </w:rPr>
        <w:t>（如满足需提供软件截图作为证明材料）</w:t>
      </w:r>
    </w:p>
    <w:p w14:paraId="676C0FA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6.2.3.12扫描功能：全扫描、选择离子扫描、多反应监测（MRM）或选择反应监测（SRM）、子离子扫描、母离子扫描、中性丢失扫描、混合模式扫描。</w:t>
      </w:r>
    </w:p>
    <w:p w14:paraId="6E25710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6.2.4 检测器：检测器为电子倍增器技术，能够确保正负模式下的信号强度和宽动态线性范围。</w:t>
      </w:r>
    </w:p>
    <w:p w14:paraId="770C52D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6.2.5 真空系统</w:t>
      </w:r>
    </w:p>
    <w:p w14:paraId="3A599CB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6.2.5.1 由分子涡轮泵和机械泵组成多级差分真空系统。</w:t>
      </w:r>
    </w:p>
    <w:p w14:paraId="02A964E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6.2.5.2 真空可达到5×10</w:t>
      </w:r>
      <w:r>
        <w:rPr>
          <w:rFonts w:hint="eastAsia" w:ascii="宋体" w:hAnsi="宋体" w:cs="宋体"/>
          <w:color w:val="auto"/>
          <w:sz w:val="28"/>
          <w:szCs w:val="28"/>
          <w:highlight w:val="none"/>
          <w:vertAlign w:val="superscript"/>
        </w:rPr>
        <w:t xml:space="preserve">-6 </w:t>
      </w:r>
      <w:r>
        <w:rPr>
          <w:rFonts w:hint="eastAsia" w:ascii="宋体" w:hAnsi="宋体" w:cs="宋体"/>
          <w:color w:val="auto"/>
          <w:sz w:val="28"/>
          <w:szCs w:val="28"/>
          <w:highlight w:val="none"/>
        </w:rPr>
        <w:t>Torr。</w:t>
      </w:r>
    </w:p>
    <w:p w14:paraId="26573591">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6.2.6 灵敏度</w:t>
      </w:r>
    </w:p>
    <w:p w14:paraId="2D22ED6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▲6.2.6.1 MS/MS灵敏度</w:t>
      </w:r>
    </w:p>
    <w:p w14:paraId="58CEFD9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ESI+：1pg利血平柱上进样，m/z 609&gt;195，信噪比（S/N）≥3000000：1，连续六针RSD≤5%。</w:t>
      </w:r>
    </w:p>
    <w:p w14:paraId="7DC8888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ESI-：1pg利氯霉素柱上进样，m/z 321&gt;152，信噪比≥3000000：1，连续六针RSD≤5%。</w:t>
      </w:r>
    </w:p>
    <w:p w14:paraId="45ADBC1A">
      <w:pPr>
        <w:spacing w:line="460" w:lineRule="exact"/>
        <w:ind w:firstLine="562" w:firstLineChars="200"/>
        <w:rPr>
          <w:rFonts w:ascii="宋体" w:hAnsi="宋体" w:cs="宋体"/>
          <w:color w:val="auto"/>
          <w:sz w:val="28"/>
          <w:szCs w:val="28"/>
          <w:highlight w:val="none"/>
        </w:rPr>
      </w:pPr>
      <w:r>
        <w:rPr>
          <w:rFonts w:hint="eastAsia" w:ascii="宋体" w:hAnsi="宋体" w:cs="宋体"/>
          <w:b/>
          <w:color w:val="auto"/>
          <w:sz w:val="28"/>
          <w:szCs w:val="28"/>
          <w:highlight w:val="none"/>
        </w:rPr>
        <w:t>(需提供具备资质计量单位计量报告证明和测试报告)</w:t>
      </w:r>
    </w:p>
    <w:p w14:paraId="5A2809F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▲6.2.6.2仪器检出限（IDL）：利血平和氯霉素进样量≤1fg时，重复测量10次，计算IDL均＜0.3fg。</w:t>
      </w:r>
      <w:r>
        <w:rPr>
          <w:rFonts w:hint="eastAsia" w:ascii="宋体" w:hAnsi="宋体" w:cs="宋体"/>
          <w:b/>
          <w:color w:val="auto"/>
          <w:sz w:val="28"/>
          <w:szCs w:val="28"/>
          <w:highlight w:val="none"/>
        </w:rPr>
        <w:t>(需提供具备资质计量单位计量报告证明和测试报告)</w:t>
      </w:r>
    </w:p>
    <w:p w14:paraId="097D775A">
      <w:pPr>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6.</w:t>
      </w:r>
      <w:r>
        <w:rPr>
          <w:rFonts w:hint="eastAsia" w:ascii="宋体" w:hAnsi="宋体" w:cs="宋体"/>
          <w:b/>
          <w:color w:val="auto"/>
          <w:sz w:val="28"/>
          <w:szCs w:val="28"/>
          <w:highlight w:val="none"/>
        </w:rPr>
        <w:t>3. 液相色谱技术性能</w:t>
      </w:r>
    </w:p>
    <w:p w14:paraId="61D5D04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 高压二元泵</w:t>
      </w:r>
    </w:p>
    <w:p w14:paraId="6C154E4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6.3.1.2 通道数量：6个。</w:t>
      </w:r>
    </w:p>
    <w:p w14:paraId="3625094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6.3.1.3 流量范围：0.001～2.000 mL/min或更宽，步进0.001 mL/min。</w:t>
      </w:r>
    </w:p>
    <w:p w14:paraId="46BE5A1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▲6.3.1.4 压力范围：≥</w:t>
      </w:r>
      <w:bookmarkStart w:id="241" w:name="OLE_LINK166"/>
      <w:bookmarkStart w:id="242" w:name="OLE_LINK167"/>
      <w:r>
        <w:rPr>
          <w:rFonts w:hint="eastAsia" w:ascii="宋体" w:hAnsi="宋体" w:cs="宋体"/>
          <w:color w:val="auto"/>
          <w:sz w:val="28"/>
          <w:szCs w:val="28"/>
          <w:highlight w:val="none"/>
        </w:rPr>
        <w:t>1300bar</w:t>
      </w:r>
      <w:bookmarkEnd w:id="241"/>
      <w:bookmarkEnd w:id="242"/>
      <w:r>
        <w:rPr>
          <w:rFonts w:hint="eastAsia" w:ascii="宋体" w:hAnsi="宋体" w:cs="宋体"/>
          <w:color w:val="auto"/>
          <w:sz w:val="28"/>
          <w:szCs w:val="28"/>
          <w:highlight w:val="none"/>
        </w:rPr>
        <w:t>（或130Mpa）。</w:t>
      </w:r>
      <w:r>
        <w:rPr>
          <w:rFonts w:hint="eastAsia" w:ascii="宋体" w:hAnsi="宋体" w:cs="宋体"/>
          <w:b/>
          <w:bCs/>
          <w:color w:val="auto"/>
          <w:sz w:val="28"/>
          <w:szCs w:val="28"/>
          <w:highlight w:val="none"/>
        </w:rPr>
        <w:t>（如满足需提供软件截图、官方技术参数文件或第三方检测报告作为证明材料）</w:t>
      </w:r>
    </w:p>
    <w:p w14:paraId="2AD9281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6.3.1.6 流量准确度：＜0.1%。</w:t>
      </w:r>
    </w:p>
    <w:p w14:paraId="6DAD6DF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6.3.1.7 流量精度：＜0.05%RSD。</w:t>
      </w:r>
    </w:p>
    <w:p w14:paraId="7F575F6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6.3.2自动进样器 </w:t>
      </w:r>
    </w:p>
    <w:p w14:paraId="12929A9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6.3.2.1 样品瓶位：不低于200位2ml样品瓶。</w:t>
      </w:r>
    </w:p>
    <w:p w14:paraId="4AA3478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6.3.2.3 进样体积：0.1～25μL或更宽。</w:t>
      </w:r>
    </w:p>
    <w:p w14:paraId="06CA572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6.3.2.6 交叉污染：≤0.0005%。</w:t>
      </w:r>
    </w:p>
    <w:p w14:paraId="018F3E3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6.3.2.7温控范围：4～40℃或更宽。</w:t>
      </w:r>
    </w:p>
    <w:p w14:paraId="45560AE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6.3.3柱温箱 </w:t>
      </w:r>
    </w:p>
    <w:p w14:paraId="5418646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6.3.3.3 温控范围：5～120℃或更宽。</w:t>
      </w:r>
    </w:p>
    <w:p w14:paraId="33063A1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6.3.3.4 温度准确度：≤0.5℃。</w:t>
      </w:r>
    </w:p>
    <w:p w14:paraId="29636E7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6.3.3.5 温度稳定性：≤0.1℃。</w:t>
      </w:r>
    </w:p>
    <w:p w14:paraId="5D4798B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6.3.3.6 容量：至少2支色谱柱，最长30cm。</w:t>
      </w:r>
    </w:p>
    <w:p w14:paraId="5C60B15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6.4 数据处理系统</w:t>
      </w:r>
    </w:p>
    <w:p w14:paraId="5754381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品牌主流工作站（质谱分析软件、操作系统软件等），工作站及软件具备液相和质谱的全自动控制、数据采集、数据处理、定性定量分析、建立数据库、谱库检索等功能；工作站及软件能够满足当今分析检测实验室需求，提供能够实现最优化痕量分析的全套系统解决方案。</w:t>
      </w:r>
    </w:p>
    <w:p w14:paraId="4360F991">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7.离子色谱仪（离子色谱-电导检测器+安培检测器）</w:t>
      </w:r>
    </w:p>
    <w:p w14:paraId="114FF78D">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7.1 配置要求</w:t>
      </w:r>
    </w:p>
    <w:p w14:paraId="4B78D391">
      <w:pPr>
        <w:spacing w:line="460" w:lineRule="exact"/>
        <w:ind w:firstLine="560" w:firstLineChars="200"/>
        <w:rPr>
          <w:rFonts w:ascii="宋体" w:hAnsi="宋体" w:cs="宋体"/>
          <w:color w:val="auto"/>
          <w:sz w:val="28"/>
          <w:szCs w:val="28"/>
          <w:highlight w:val="none"/>
        </w:rPr>
      </w:pPr>
      <w:bookmarkStart w:id="243" w:name="OLE_LINK87"/>
      <w:r>
        <w:rPr>
          <w:rFonts w:hint="eastAsia" w:ascii="宋体" w:hAnsi="宋体" w:cs="宋体"/>
          <w:color w:val="auto"/>
          <w:sz w:val="28"/>
          <w:szCs w:val="28"/>
          <w:highlight w:val="none"/>
        </w:rPr>
        <w:t>★7.</w:t>
      </w:r>
      <w:bookmarkEnd w:id="243"/>
      <w:r>
        <w:rPr>
          <w:rFonts w:hint="eastAsia" w:ascii="宋体" w:hAnsi="宋体" w:cs="宋体"/>
          <w:color w:val="auto"/>
          <w:sz w:val="28"/>
          <w:szCs w:val="28"/>
          <w:highlight w:val="none"/>
        </w:rPr>
        <w:t xml:space="preserve">1.1配置要求包括六通阀、高压泵、电导检测系统、安培检测系统、柱温箱、双色谱系统、自动进样器、梯度系统、自动淋洗液发生器、专业版软件工作站； </w:t>
      </w:r>
    </w:p>
    <w:p w14:paraId="2464AFE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7.1.2满足生活饮用水中氟化物</w:t>
      </w:r>
      <w:bookmarkStart w:id="244" w:name="OLE_LINK76"/>
      <w:r>
        <w:rPr>
          <w:rFonts w:hint="eastAsia" w:ascii="宋体" w:hAnsi="宋体" w:cs="宋体"/>
          <w:color w:val="auto"/>
          <w:sz w:val="28"/>
          <w:szCs w:val="28"/>
          <w:highlight w:val="none"/>
        </w:rPr>
        <w:t>、</w:t>
      </w:r>
      <w:bookmarkEnd w:id="244"/>
      <w:r>
        <w:rPr>
          <w:rFonts w:hint="eastAsia" w:ascii="宋体" w:hAnsi="宋体" w:cs="宋体"/>
          <w:color w:val="auto"/>
          <w:sz w:val="28"/>
          <w:szCs w:val="28"/>
          <w:highlight w:val="none"/>
        </w:rPr>
        <w:t>氯化物、硝酸盐、硫酸盐等常规无机阴离子，以及溴酸盐、氯酸盐、次氯酸盐、二氯乙酸、三氯乙酸、高氯酸盐等消毒副产物的定量分析；同时可完成食品中有机酸、糖类物质、氰化物等项目的定性筛查与定量检测。</w:t>
      </w:r>
    </w:p>
    <w:p w14:paraId="5DEAE59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7.1.3支持单系统、双系统自由切换，可通过软件一键切换运行模式，操作便捷；流路采用PEEK材料或其他耐酸碱材质。</w:t>
      </w:r>
    </w:p>
    <w:p w14:paraId="55A30100">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7.2工作条件</w:t>
      </w:r>
    </w:p>
    <w:p w14:paraId="5632660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7.2.1适配国内电网与实验室环境：交流相电压230V±10%、频率50/60Hz；适配运行环境温度+15℃～+30℃、相对湿度＜80%，可长期连续稳定运行。</w:t>
      </w:r>
    </w:p>
    <w:p w14:paraId="6D674C9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7.2.2电器插头符合国家标准，可按需匹配适配插座，并配备足量备品备件。</w:t>
      </w:r>
    </w:p>
    <w:p w14:paraId="7A2151B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7.2.3设备对水电、温湿度、电磁干扰、振动、接地等使用环境均可标准化适配，可提供完整环境适配方案及配套服务，相关费用全部含在投标报价内。</w:t>
      </w:r>
    </w:p>
    <w:p w14:paraId="620A103F">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7.3仪器技术要求</w:t>
      </w:r>
    </w:p>
    <w:p w14:paraId="5545EE7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 双系统自动进样器</w:t>
      </w:r>
    </w:p>
    <w:p w14:paraId="395DFE22">
      <w:pPr>
        <w:spacing w:line="460" w:lineRule="exact"/>
        <w:ind w:firstLine="560" w:firstLineChars="200"/>
        <w:rPr>
          <w:rFonts w:ascii="宋体" w:hAnsi="宋体" w:cs="宋体"/>
          <w:color w:val="auto"/>
          <w:sz w:val="28"/>
          <w:szCs w:val="28"/>
          <w:highlight w:val="none"/>
        </w:rPr>
      </w:pPr>
      <w:bookmarkStart w:id="245" w:name="OLE_LINK92"/>
      <w:bookmarkStart w:id="246" w:name="OLE_LINK91"/>
      <w:r>
        <w:rPr>
          <w:rFonts w:hint="eastAsia" w:ascii="宋体" w:hAnsi="宋体" w:cs="宋体"/>
          <w:color w:val="auto"/>
          <w:sz w:val="28"/>
          <w:szCs w:val="28"/>
          <w:highlight w:val="none"/>
        </w:rPr>
        <w:t>7.</w:t>
      </w:r>
      <w:bookmarkEnd w:id="245"/>
      <w:bookmarkEnd w:id="246"/>
      <w:r>
        <w:rPr>
          <w:rFonts w:hint="eastAsia" w:ascii="宋体" w:hAnsi="宋体" w:cs="宋体"/>
          <w:color w:val="auto"/>
          <w:sz w:val="28"/>
          <w:szCs w:val="28"/>
          <w:highlight w:val="none"/>
        </w:rPr>
        <w:t>3.1.1 样品盘容量≥100位，样品接触部位（含进样针）均为PEEK非金属材质，标配样品盘保护罩，减少外界环境对样品检测的干扰。</w:t>
      </w:r>
    </w:p>
    <w:p w14:paraId="7C1911B5">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7.3.1.2 进样精密度优异，RSD＜0.3%。</w:t>
      </w:r>
    </w:p>
    <w:p w14:paraId="42DAB85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7.3.1.3 支持单阴离子系统、双阴离子系统同步进样分析，适配多场景检测需求。</w:t>
      </w:r>
    </w:p>
    <w:p w14:paraId="338FFC9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7.3.2 整机离子色谱系统 </w:t>
      </w:r>
    </w:p>
    <w:p w14:paraId="186ADA53">
      <w:pPr>
        <w:tabs>
          <w:tab w:val="left" w:pos="480"/>
        </w:tabs>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▲7.3.2.1</w:t>
      </w:r>
      <w:bookmarkStart w:id="247" w:name="OLE_LINK168"/>
      <w:r>
        <w:rPr>
          <w:rFonts w:hint="eastAsia" w:ascii="宋体" w:hAnsi="宋体" w:cs="宋体"/>
          <w:color w:val="auto"/>
          <w:sz w:val="28"/>
          <w:szCs w:val="28"/>
          <w:highlight w:val="none"/>
        </w:rPr>
        <w:t>整机可兼容零死体积接头及管线。</w:t>
      </w:r>
      <w:r>
        <w:rPr>
          <w:rFonts w:hint="eastAsia" w:ascii="宋体" w:hAnsi="宋体" w:cs="宋体"/>
          <w:b/>
          <w:bCs/>
          <w:color w:val="auto"/>
          <w:sz w:val="28"/>
          <w:szCs w:val="28"/>
          <w:highlight w:val="none"/>
        </w:rPr>
        <w:t>（如满足需提供产品技术说明书、接口标准参数或第三方兼容性测试报告作为证明材料；使用第三方配件的，则需要提供技术说明和配套实物图）</w:t>
      </w:r>
    </w:p>
    <w:bookmarkEnd w:id="247"/>
    <w:p w14:paraId="7EBCAAD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7.3.2.2 设备搭载2套耐41Mpa（或6000psi）高压PEEK泵（标配原装泵前脱气装置），内置在线电解淋洗液发生器、电动六通阀；配置可升降温柱温箱，可同时容纳3根及以上色谱柱；主机内置双阴离子抑制器，无需外接模块即可安装使用，支持双电导检测器或1套电导+1套安培检测器组合配置；整机标配漏液传感器，实时监测泵体、色谱柱、六通阀、检测器及管路连接状态，实时预警漏液故障。</w:t>
      </w:r>
    </w:p>
    <w:p w14:paraId="04117B6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 高压双柱塞泵</w:t>
      </w:r>
    </w:p>
    <w:p w14:paraId="5B96B72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w:t>
      </w:r>
      <w:bookmarkStart w:id="248" w:name="OLE_LINK89"/>
      <w:r>
        <w:rPr>
          <w:rFonts w:hint="eastAsia" w:ascii="宋体" w:hAnsi="宋体" w:cs="宋体"/>
          <w:color w:val="auto"/>
          <w:sz w:val="28"/>
          <w:szCs w:val="28"/>
          <w:highlight w:val="none"/>
        </w:rPr>
        <w:t>7.3.3.</w:t>
      </w:r>
      <w:bookmarkEnd w:id="248"/>
      <w:r>
        <w:rPr>
          <w:rFonts w:hint="eastAsia" w:ascii="宋体" w:hAnsi="宋体" w:cs="宋体"/>
          <w:color w:val="auto"/>
          <w:sz w:val="28"/>
          <w:szCs w:val="28"/>
          <w:highlight w:val="none"/>
        </w:rPr>
        <w:t>1 配备高性能低脉冲高压双柱塞泵（等度+梯度），泵头全套部件（外壳、单向阀、阀芯、管路等）均为PEEK非金属材质；最大耐压≥</w:t>
      </w:r>
      <w:bookmarkStart w:id="249" w:name="OLE_LINK165"/>
      <w:bookmarkStart w:id="250" w:name="OLE_LINK164"/>
      <w:r>
        <w:rPr>
          <w:rFonts w:hint="eastAsia" w:ascii="宋体" w:hAnsi="宋体" w:cs="宋体"/>
          <w:color w:val="auto"/>
          <w:sz w:val="28"/>
          <w:szCs w:val="28"/>
          <w:highlight w:val="none"/>
        </w:rPr>
        <w:t>41Mpa（或6000psi）</w:t>
      </w:r>
      <w:bookmarkEnd w:id="249"/>
      <w:bookmarkEnd w:id="250"/>
      <w:r>
        <w:rPr>
          <w:rFonts w:hint="eastAsia" w:ascii="宋体" w:hAnsi="宋体" w:cs="宋体"/>
          <w:color w:val="auto"/>
          <w:sz w:val="28"/>
          <w:szCs w:val="28"/>
          <w:highlight w:val="none"/>
        </w:rPr>
        <w:t>，耐受pH0～14全范围淋洗液及反相有机溶剂，标配原装泵前脱气装置、淋洗液截止阀；梯度泵支持多阶淋洗梯度，可满足食品糖类物质检测需求。</w:t>
      </w:r>
    </w:p>
    <w:p w14:paraId="2DE531E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7.3.3.2 流速范围：0.00～20.00mL/min，流量最小步进增幅≤0.001mL/min。</w:t>
      </w:r>
    </w:p>
    <w:p w14:paraId="6E00AFD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7.3.3.3 流速设定误差、流速稳定性误差均＜0.1%。</w:t>
      </w:r>
    </w:p>
    <w:p w14:paraId="6955FDC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7.3.3.4 梯度精度与准确度：±0.5%。</w:t>
      </w:r>
    </w:p>
    <w:p w14:paraId="4683CA8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7.3.3.5梯度生成系统稳定可靠，可实现多阶淋洗梯度，梯度精度、准确度满足检测要求；单泵四相混合、多泵组合梯度等满足性能指标的技术路线均可。</w:t>
      </w:r>
    </w:p>
    <w:p w14:paraId="12C933B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7.3.3.6 设备压力波动＜1%，整机运行稳定。</w:t>
      </w:r>
    </w:p>
    <w:p w14:paraId="4E4AFFC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7.3.4 分析色谱柱 </w:t>
      </w:r>
    </w:p>
    <w:p w14:paraId="2BAB992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7.3.4.1 配套与主机兼容的高效高容量阴离子分析柱+保护柱，pH耐受范围0～14，最大耐压≥</w:t>
      </w:r>
      <w:bookmarkStart w:id="251" w:name="OLE_LINK78"/>
      <w:bookmarkStart w:id="252" w:name="OLE_LINK77"/>
      <w:r>
        <w:rPr>
          <w:rFonts w:hint="eastAsia" w:ascii="宋体" w:hAnsi="宋体" w:cs="宋体"/>
          <w:color w:val="auto"/>
          <w:sz w:val="28"/>
          <w:szCs w:val="28"/>
          <w:highlight w:val="none"/>
        </w:rPr>
        <w:t>3000psi</w:t>
      </w:r>
      <w:bookmarkEnd w:id="251"/>
      <w:bookmarkEnd w:id="252"/>
      <w:r>
        <w:rPr>
          <w:rFonts w:hint="eastAsia" w:ascii="宋体" w:hAnsi="宋体" w:cs="宋体"/>
          <w:color w:val="auto"/>
          <w:sz w:val="28"/>
          <w:szCs w:val="28"/>
          <w:highlight w:val="none"/>
        </w:rPr>
        <w:t>，耐受流速≥1.5mL/min，完全适配GB/T 5750-2023国标检测要求。</w:t>
      </w:r>
    </w:p>
    <w:p w14:paraId="3BF749C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7.3.4.2 单根色谱柱可一次性完成二氯乙酸、三氯乙酸、溴酸盐、氯酸盐、亚氯酸盐、高氯酸盐等消毒副产物及常规阴离子检测，所有组分同步检测可实现基线分离，分离度均＞1.5。</w:t>
      </w:r>
    </w:p>
    <w:p w14:paraId="72F58F84">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▲7.3.4.3</w:t>
      </w:r>
      <w:bookmarkStart w:id="253" w:name="OLE_LINK115"/>
      <w:bookmarkStart w:id="254" w:name="OLE_LINK114"/>
      <w:r>
        <w:rPr>
          <w:rFonts w:hint="eastAsia" w:ascii="宋体" w:hAnsi="宋体" w:cs="宋体"/>
          <w:b/>
          <w:bCs/>
          <w:color w:val="auto"/>
          <w:sz w:val="28"/>
          <w:szCs w:val="28"/>
          <w:highlight w:val="none"/>
        </w:rPr>
        <w:t>色谱系统可实现一次进样，5 分钟内完成氟、氯、溴、亚硝酸根、硝酸根、硫酸根、磷酸根七种离子同步检测，所有离子基线分离、分离度均＞1.5；可使用满足分离性能指标的色谱柱。（如满足需提供满足指标要求的实测图谱、厂家技术说明书、应用报告或第三方检测报告作为证明材料）</w:t>
      </w:r>
    </w:p>
    <w:bookmarkEnd w:id="253"/>
    <w:bookmarkEnd w:id="254"/>
    <w:p w14:paraId="28B5C00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7.3.5柱温箱</w:t>
      </w:r>
    </w:p>
    <w:p w14:paraId="6BB1526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7.3.5.1 控温范围：10℃～70℃宽域控温，温度控制稳定性＜0.05℃。</w:t>
      </w:r>
    </w:p>
    <w:p w14:paraId="5A5EE45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7.3.5.2 配备原装温控模块，采用非接触式加热技术，具备升降温、加热块预加热功能，可同时容纳3根及以上色谱柱。</w:t>
      </w:r>
    </w:p>
    <w:p w14:paraId="2DB2EA9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7.3.6 阴离子抑制器</w:t>
      </w:r>
    </w:p>
    <w:p w14:paraId="46869BB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7.3.6.1 配备双套自动电解连续再生微膜抑制系统，分别适配氢氧根、碳酸根体系；无需外加硫酸化学再生，无需蠕动泵等外接加液清洗装置；所有样品、标样统一单一抑制通道，可独立或同步工作，适配多体系阴离子检测。</w:t>
      </w:r>
    </w:p>
    <w:p w14:paraId="006C07E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7.3.7 电导检测器</w:t>
      </w:r>
    </w:p>
    <w:p w14:paraId="2D44F0B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7.3.7.1 信号输出范围：0～16000μS宽量程覆盖，适配多浓度样品检测。</w:t>
      </w:r>
    </w:p>
    <w:p w14:paraId="2202BB1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7.3.7.2 检测分辨率≤0.003nS/cm。</w:t>
      </w:r>
    </w:p>
    <w:p w14:paraId="12E842D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7.3.7.3 检测器最大耐受压力≥8Mpa，电导池控温范围：环境温度+5℃～60℃。</w:t>
      </w:r>
    </w:p>
    <w:p w14:paraId="043D5BB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7.3.7.4 搭载数字信号处理器，可自动适配μg/L～g/L宽浓度范围离子检测，无需手动调节量程，直接输出电导信号。</w:t>
      </w:r>
    </w:p>
    <w:p w14:paraId="5152BEF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 安培检测器</w:t>
      </w:r>
    </w:p>
    <w:p w14:paraId="6AED54B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7.3.8.1 采用微处理器数字控制，支持直流安培、积分安培、脉冲积分安培、循环伏安、3D扫描五种检测模式。</w:t>
      </w:r>
    </w:p>
    <w:p w14:paraId="2AC59E9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7.3.8.2 配备平衡扭矩安装旋钮，可稳定池体体积，设备安装调试便捷。</w:t>
      </w:r>
    </w:p>
    <w:p w14:paraId="59DA4EA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7.3.8.3 检测器噪音＜50pC，基线稳定、抗干扰能力强。</w:t>
      </w:r>
    </w:p>
    <w:p w14:paraId="54C3DA5E">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7.3.8.4 量程范围：积分安培50pC～200μC，直流安培5pA～74μA，量程覆盖范围广。</w:t>
      </w:r>
    </w:p>
    <w:p w14:paraId="4D90A769">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7.3.8.5 电位范围：-2.0V～2.0V，最小调节增幅0.001V。</w:t>
      </w:r>
    </w:p>
    <w:p w14:paraId="31AEC673">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▲7.3.8.6 搭载pH-Ag/AgCl复合型参比电极，pH耐受范围0～14；系统可实时监控电极pH值，预判电极工作状态，有效降低pH波动导致的基线漂移。</w:t>
      </w:r>
      <w:r>
        <w:rPr>
          <w:rFonts w:hint="eastAsia" w:ascii="宋体" w:hAnsi="宋体" w:cs="宋体"/>
          <w:b/>
          <w:bCs/>
          <w:color w:val="auto"/>
          <w:sz w:val="28"/>
          <w:szCs w:val="28"/>
          <w:highlight w:val="none"/>
        </w:rPr>
        <w:t>（如满足须提供显示电极pH监测数据的软件截图作为证明材料）</w:t>
      </w:r>
    </w:p>
    <w:p w14:paraId="4BBE7046">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▲7.3.8.7 软件内置四电位专用清洗波形，可通过氧化、还原双模式清洗工作电极表面，保障检测稳定性。</w:t>
      </w:r>
      <w:r>
        <w:rPr>
          <w:rFonts w:hint="eastAsia" w:ascii="宋体" w:hAnsi="宋体" w:cs="宋体"/>
          <w:b/>
          <w:bCs/>
          <w:color w:val="auto"/>
          <w:sz w:val="28"/>
          <w:szCs w:val="28"/>
          <w:highlight w:val="none"/>
        </w:rPr>
        <w:t>（</w:t>
      </w:r>
      <w:bookmarkStart w:id="255" w:name="OLE_LINK120"/>
      <w:bookmarkStart w:id="256" w:name="OLE_LINK121"/>
      <w:r>
        <w:rPr>
          <w:rFonts w:hint="eastAsia" w:ascii="宋体" w:hAnsi="宋体" w:cs="宋体"/>
          <w:b/>
          <w:bCs/>
          <w:color w:val="auto"/>
          <w:sz w:val="28"/>
          <w:szCs w:val="28"/>
          <w:highlight w:val="none"/>
        </w:rPr>
        <w:t>如满足须提供软件电位波形设置截图作为证明材料）</w:t>
      </w:r>
    </w:p>
    <w:bookmarkEnd w:id="255"/>
    <w:bookmarkEnd w:id="256"/>
    <w:p w14:paraId="2D48974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7.3.9 在线电解淋洗液发生器</w:t>
      </w:r>
    </w:p>
    <w:p w14:paraId="0299B8D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7.3.9.1 采用纯电解方式生成OH-碱性淋洗液，无溶液混合、稀释操作，淋洗液纯度更高，有效降低检测背景干扰。</w:t>
      </w:r>
    </w:p>
    <w:p w14:paraId="19CF1D6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7.3.9.2 支持高压梯度洗脱，梯度延迟体积小、响应速度快，梯度精度≤0.2%、准确度≤0.2%。</w:t>
      </w:r>
    </w:p>
    <w:p w14:paraId="6F170240">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7.3.9.3 操作便捷，软件一键输入浓度参数即可自动生成对应淋洗液，无需手动编辑复杂参数。</w:t>
      </w:r>
    </w:p>
    <w:p w14:paraId="1E13C166">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▲7.3.9.4 淋洗液具备余量监测或预警功能，可直观判断淋洗液存量。</w:t>
      </w:r>
      <w:bookmarkStart w:id="257" w:name="OLE_LINK123"/>
      <w:bookmarkStart w:id="258" w:name="OLE_LINK124"/>
      <w:r>
        <w:rPr>
          <w:rFonts w:hint="eastAsia" w:ascii="宋体" w:hAnsi="宋体" w:cs="宋体"/>
          <w:b/>
          <w:color w:val="auto"/>
          <w:sz w:val="28"/>
          <w:szCs w:val="28"/>
          <w:highlight w:val="none"/>
        </w:rPr>
        <w:t>（如满足须提供制造商官网可下载的操作手册截图或软件界面截图或设备实物截图作为证明材料）</w:t>
      </w:r>
      <w:bookmarkEnd w:id="257"/>
      <w:bookmarkEnd w:id="258"/>
    </w:p>
    <w:p w14:paraId="2734A04D">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▲7.3.9.5 标配高压自动脱气装置+连续电解自动再生捕获柱，双重净化淋洗液，降低基线干扰。</w:t>
      </w:r>
      <w:bookmarkStart w:id="259" w:name="OLE_LINK125"/>
      <w:bookmarkStart w:id="260" w:name="OLE_LINK126"/>
      <w:r>
        <w:rPr>
          <w:rFonts w:hint="eastAsia" w:ascii="宋体" w:hAnsi="宋体" w:cs="宋体"/>
          <w:b/>
          <w:bCs/>
          <w:color w:val="auto"/>
          <w:sz w:val="28"/>
          <w:szCs w:val="28"/>
          <w:highlight w:val="none"/>
        </w:rPr>
        <w:t>（如满足须提供制造商官网操作手册截图作为证明材料）</w:t>
      </w:r>
    </w:p>
    <w:bookmarkEnd w:id="259"/>
    <w:bookmarkEnd w:id="260"/>
    <w:p w14:paraId="7648358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7.3.10 数据控制系统</w:t>
      </w:r>
    </w:p>
    <w:p w14:paraId="5BECEB1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7.3.10.1 数据采集、处理一体化集成，数据修改、曲线校正后实时动态更新，支持样品信息自定义检索，数据查询高效便捷。</w:t>
      </w:r>
    </w:p>
    <w:p w14:paraId="7981B42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7.3.10.2 报告模板可自定义编辑，内置公式计算功能，编辑公式后可直接打印生成精准检测报告。</w:t>
      </w:r>
    </w:p>
    <w:p w14:paraId="1ED1162C">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▲7.3.10.3 设备信号采集频率≥90Hz，色谱图每秒采集点数≥90个，数据采集精准度高。</w:t>
      </w:r>
      <w:r>
        <w:rPr>
          <w:rFonts w:hint="eastAsia" w:ascii="宋体" w:hAnsi="宋体" w:cs="宋体"/>
          <w:b/>
          <w:bCs/>
          <w:color w:val="auto"/>
          <w:sz w:val="28"/>
          <w:szCs w:val="28"/>
          <w:highlight w:val="none"/>
        </w:rPr>
        <w:t>（如满足须提供含实时采集点数的色谱图截图作为证明材料）</w:t>
      </w:r>
    </w:p>
    <w:p w14:paraId="2459AEA7">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▲7.3.10.4 软件支持网络版升级，可联动控制离子色谱、气相、液相、质谱等多类设备；可升级离子色谱-高分辨质谱联用平台，适配饮用水消毒副产物、食品有机酸定性定量检测。（</w:t>
      </w:r>
      <w:r>
        <w:rPr>
          <w:rFonts w:hint="eastAsia" w:ascii="宋体" w:hAnsi="宋体" w:cs="宋体"/>
          <w:b/>
          <w:bCs/>
          <w:color w:val="auto"/>
          <w:sz w:val="28"/>
          <w:szCs w:val="28"/>
          <w:highlight w:val="none"/>
        </w:rPr>
        <w:t>如满足须提供官方升级证明或者第三方兼容证明或测试报告作为证明材料）</w:t>
      </w:r>
    </w:p>
    <w:p w14:paraId="4135DA2A">
      <w:pPr>
        <w:spacing w:line="460" w:lineRule="exact"/>
        <w:ind w:firstLine="560" w:firstLineChars="200"/>
        <w:rPr>
          <w:rFonts w:ascii="宋体" w:hAnsi="宋体" w:cs="宋体"/>
          <w:b/>
          <w:bCs/>
          <w:color w:val="auto"/>
          <w:sz w:val="28"/>
          <w:szCs w:val="28"/>
          <w:highlight w:val="none"/>
        </w:rPr>
      </w:pPr>
      <w:r>
        <w:rPr>
          <w:rFonts w:hint="eastAsia" w:ascii="宋体" w:hAnsi="宋体" w:cs="宋体"/>
          <w:color w:val="auto"/>
          <w:sz w:val="28"/>
          <w:szCs w:val="28"/>
          <w:highlight w:val="none"/>
        </w:rPr>
        <w:t>▲7.3.10.5仪器配套工作站具备色谱分离模拟、方法快速开发、辅助未知物定性能力，支持软件版本升级；可模拟 20 种以上糖类物质色谱分离效果。</w:t>
      </w:r>
      <w:bookmarkStart w:id="261" w:name="OLE_LINK132"/>
      <w:bookmarkStart w:id="262" w:name="OLE_LINK131"/>
      <w:r>
        <w:rPr>
          <w:rFonts w:hint="eastAsia" w:ascii="宋体" w:hAnsi="宋体" w:cs="宋体"/>
          <w:b/>
          <w:bCs/>
          <w:color w:val="auto"/>
          <w:sz w:val="28"/>
          <w:szCs w:val="28"/>
          <w:highlight w:val="none"/>
        </w:rPr>
        <w:t>（如满足须提供工作站功能说明文件或软件操作截图作为证明材料）</w:t>
      </w:r>
    </w:p>
    <w:bookmarkEnd w:id="261"/>
    <w:bookmarkEnd w:id="262"/>
    <w:p w14:paraId="1BA7150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7.3.11 实验室智能环境监控系统</w:t>
      </w:r>
    </w:p>
    <w:p w14:paraId="1B48B44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7.3.11.1 可实时观测实验室环境温度、湿度数据。</w:t>
      </w:r>
    </w:p>
    <w:p w14:paraId="59026136">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7.3.11.2 搭载面部识别来人提醒功能，实现实验室智能安防。</w:t>
      </w:r>
    </w:p>
    <w:p w14:paraId="7A8035C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7.3.11.3 配套专属手机APP，支持不少于3人远程实时观测实验室状态。</w:t>
      </w:r>
    </w:p>
    <w:p w14:paraId="6D8E194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7.3.11.4 具备温湿度超标自动报警功能，保障实验检测环境稳定合规。</w:t>
      </w:r>
    </w:p>
    <w:p w14:paraId="3F60AC47">
      <w:pPr>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7.4 设备专项适配与应用能力</w:t>
      </w:r>
    </w:p>
    <w:p w14:paraId="2E65947A">
      <w:pPr>
        <w:spacing w:line="460" w:lineRule="exact"/>
        <w:ind w:firstLine="560" w:firstLineChars="200"/>
        <w:rPr>
          <w:rFonts w:ascii="宋体" w:hAnsi="宋体" w:cs="宋体"/>
          <w:b/>
          <w:bCs/>
          <w:color w:val="auto"/>
          <w:sz w:val="28"/>
          <w:szCs w:val="28"/>
          <w:highlight w:val="none"/>
        </w:rPr>
      </w:pPr>
      <w:bookmarkStart w:id="263" w:name="OLE_LINK107"/>
      <w:r>
        <w:rPr>
          <w:rFonts w:hint="eastAsia" w:ascii="宋体" w:hAnsi="宋体" w:cs="宋体"/>
          <w:color w:val="auto"/>
          <w:sz w:val="28"/>
          <w:szCs w:val="28"/>
          <w:highlight w:val="none"/>
        </w:rPr>
        <w:t>▲</w:t>
      </w:r>
      <w:bookmarkEnd w:id="263"/>
      <w:r>
        <w:rPr>
          <w:rFonts w:hint="eastAsia" w:ascii="宋体" w:hAnsi="宋体" w:cs="宋体"/>
          <w:color w:val="auto"/>
          <w:sz w:val="28"/>
          <w:szCs w:val="28"/>
          <w:highlight w:val="none"/>
        </w:rPr>
        <w:t>7.4.1 所投品牌设备具备成熟的饮用水多离子同步检测应用体系，可同时分析氟离子、亚氯酸、溴酸盐、氯离子、二氯乙酸、亚硝酸、氯酸盐、溴离子、硝酸盐、三氯乙酸、硫酸根、磷酸根、草甘膦、高氯酸等项目。</w:t>
      </w:r>
      <w:r>
        <w:rPr>
          <w:rFonts w:hint="eastAsia" w:ascii="宋体" w:hAnsi="宋体" w:cs="宋体"/>
          <w:b/>
          <w:bCs/>
          <w:color w:val="auto"/>
          <w:sz w:val="28"/>
          <w:szCs w:val="28"/>
          <w:highlight w:val="none"/>
        </w:rPr>
        <w:t>（如满足须提供公开应用资料、CNKI知网检索文献截图或者第三方检测机构出具的性能检测报告作为证明材料）</w:t>
      </w:r>
    </w:p>
    <w:p w14:paraId="0DB0E2F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▲7.4.2 整机兼容毛细管型离子色谱、快速离子色谱检测模式，适配多类型检测实验需求。</w:t>
      </w:r>
      <w:r>
        <w:rPr>
          <w:rFonts w:hint="eastAsia" w:ascii="宋体" w:hAnsi="宋体" w:cs="宋体"/>
          <w:b/>
          <w:bCs/>
          <w:color w:val="auto"/>
          <w:sz w:val="28"/>
          <w:szCs w:val="28"/>
          <w:highlight w:val="none"/>
        </w:rPr>
        <w:t>（如满足须提供官方手册截图作为证明材料）</w:t>
      </w:r>
    </w:p>
    <w:p w14:paraId="5100A1F0">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注：①上述标注“★”的参数必须完全满足，需提供具体型号清单，未完全满足作无效投标处理。</w:t>
      </w:r>
    </w:p>
    <w:p w14:paraId="21ADF90C">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②上述所有要求提供佐证材料的，中标后签订合同前中标人需提供制造商官网可公开查询的技术参数页、产品说明书或第三方检测报告等客观证明材料佐证材料给采购人核查，不能提供的采购人有权拒签合同。</w:t>
      </w:r>
    </w:p>
    <w:p w14:paraId="4F63E605">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★五、本次所采购的仪器设备必须为国产设备或者国内生产的外国品牌设备。</w:t>
      </w:r>
    </w:p>
    <w:p w14:paraId="3F4FA31A">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六、商务部分</w:t>
      </w:r>
    </w:p>
    <w:p w14:paraId="26B2B391">
      <w:pPr>
        <w:spacing w:line="460" w:lineRule="exact"/>
        <w:ind w:firstLine="562" w:firstLineChars="200"/>
        <w:jc w:val="left"/>
        <w:rPr>
          <w:rFonts w:ascii="宋体" w:hAnsi="宋体" w:cs="宋体"/>
          <w:i/>
          <w:iCs/>
          <w:color w:val="auto"/>
          <w:sz w:val="28"/>
          <w:szCs w:val="28"/>
          <w:highlight w:val="none"/>
          <w:u w:val="single"/>
        </w:rPr>
      </w:pPr>
      <w:r>
        <w:rPr>
          <w:rFonts w:hint="eastAsia" w:ascii="宋体" w:hAnsi="宋体" w:cs="宋体"/>
          <w:b/>
          <w:bCs/>
          <w:color w:val="auto"/>
          <w:kern w:val="0"/>
          <w:sz w:val="28"/>
          <w:szCs w:val="28"/>
          <w:highlight w:val="none"/>
        </w:rPr>
        <w:t>★</w:t>
      </w:r>
      <w:r>
        <w:rPr>
          <w:rFonts w:hint="eastAsia" w:ascii="宋体" w:hAnsi="宋体" w:cs="宋体"/>
          <w:i/>
          <w:iCs/>
          <w:color w:val="auto"/>
          <w:sz w:val="28"/>
          <w:szCs w:val="28"/>
          <w:highlight w:val="none"/>
          <w:u w:val="single"/>
        </w:rPr>
        <w:t>1.投标人需出具参数偏离表的盖章承诺函（格式自拟）。</w:t>
      </w:r>
    </w:p>
    <w:p w14:paraId="5C79E115">
      <w:p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1.1承诺其提交的相关材料真实有效，承诺每项参数都可作为验收的依据，参数验收时如果不能符合标书要求，应按投标价的30%作为对业主的赔偿，仪器退回，合同作废。并承担虚假应标的相关责任。</w:t>
      </w:r>
    </w:p>
    <w:p w14:paraId="30F59634">
      <w:p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1.2承诺其投标产品为原厂家生产的全新产品，非翻新产品。供应商应提供符合国家标准或行业惯例的质保期及售后服务方案，保证仪器使用的稳定性，并由供应商承担相应的保修责任。</w:t>
      </w:r>
    </w:p>
    <w:p w14:paraId="0594CCF5">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kern w:val="0"/>
          <w:sz w:val="28"/>
          <w:szCs w:val="28"/>
          <w:highlight w:val="none"/>
        </w:rPr>
        <w:t>★</w:t>
      </w:r>
      <w:r>
        <w:rPr>
          <w:rFonts w:hint="eastAsia" w:ascii="宋体" w:hAnsi="宋体" w:cs="宋体"/>
          <w:b/>
          <w:bCs/>
          <w:color w:val="auto"/>
          <w:sz w:val="28"/>
          <w:szCs w:val="28"/>
          <w:highlight w:val="none"/>
        </w:rPr>
        <w:t>2.</w:t>
      </w:r>
      <w:r>
        <w:rPr>
          <w:rFonts w:hint="eastAsia" w:ascii="宋体" w:hAnsi="宋体" w:cs="宋体"/>
          <w:b/>
          <w:bCs/>
          <w:color w:val="auto"/>
          <w:sz w:val="28"/>
          <w:szCs w:val="28"/>
          <w:highlight w:val="none"/>
          <w:lang w:val="en-US" w:eastAsia="zh-CN"/>
        </w:rPr>
        <w:t>履行期限</w:t>
      </w:r>
      <w:r>
        <w:rPr>
          <w:rFonts w:hint="eastAsia" w:ascii="宋体" w:hAnsi="宋体" w:cs="宋体"/>
          <w:b/>
          <w:bCs/>
          <w:color w:val="auto"/>
          <w:sz w:val="28"/>
          <w:szCs w:val="28"/>
          <w:highlight w:val="none"/>
        </w:rPr>
        <w:t>：</w:t>
      </w:r>
    </w:p>
    <w:p w14:paraId="7C8A4563">
      <w:pPr>
        <w:spacing w:line="460" w:lineRule="exact"/>
        <w:ind w:firstLine="560" w:firstLineChars="20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合同签订45天内供货到位，货到30天内完成安装调试。</w:t>
      </w:r>
    </w:p>
    <w:p w14:paraId="56FD24B6">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3.交货条件：</w:t>
      </w:r>
    </w:p>
    <w:p w14:paraId="7EEE6E37">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3.1产品交货时，包装须完整无破损，供方还需提供装箱单、产品质检合格证明。</w:t>
      </w:r>
    </w:p>
    <w:p w14:paraId="79489689">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3.2运输及到货：由中标人负责办理运输及装卸，直接送至采购人安装指定地点，所有费用由供方承担。 </w:t>
      </w:r>
    </w:p>
    <w:p w14:paraId="072266AB">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3.3货物到达需方地址至验收合格期间，由供方负责保管，有关费用由供方承担。如在交付使用前发生设备损坏和不合格，需求单位有权要求退货，因此造成的一切损失由供应商承担。</w:t>
      </w:r>
    </w:p>
    <w:p w14:paraId="1A5A6F8D">
      <w:pPr>
        <w:spacing w:line="400" w:lineRule="exact"/>
        <w:ind w:firstLine="562" w:firstLineChars="200"/>
        <w:jc w:val="left"/>
        <w:rPr>
          <w:rFonts w:ascii="方正黑体_GBK"/>
          <w:b/>
          <w:color w:val="auto"/>
          <w:sz w:val="28"/>
          <w:szCs w:val="28"/>
          <w:highlight w:val="none"/>
        </w:rPr>
      </w:pPr>
      <w:r>
        <w:rPr>
          <w:rFonts w:hint="eastAsia" w:ascii="宋体" w:hAnsi="宋体" w:cs="宋体"/>
          <w:b/>
          <w:bCs/>
          <w:color w:val="auto"/>
          <w:kern w:val="0"/>
          <w:sz w:val="28"/>
          <w:szCs w:val="28"/>
          <w:highlight w:val="none"/>
        </w:rPr>
        <w:t>★</w:t>
      </w:r>
      <w:r>
        <w:rPr>
          <w:rFonts w:hint="eastAsia" w:ascii="宋体" w:hAnsi="宋体" w:eastAsia="方正仿宋_GBK" w:cs="宋体"/>
          <w:b/>
          <w:bCs/>
          <w:color w:val="auto"/>
          <w:sz w:val="28"/>
          <w:szCs w:val="28"/>
          <w:highlight w:val="none"/>
        </w:rPr>
        <w:t>4.</w:t>
      </w:r>
      <w:r>
        <w:rPr>
          <w:rFonts w:hint="eastAsia" w:ascii="宋体" w:hAnsi="宋体" w:cs="宋体"/>
          <w:b/>
          <w:bCs/>
          <w:color w:val="auto"/>
          <w:sz w:val="28"/>
          <w:szCs w:val="28"/>
          <w:highlight w:val="none"/>
        </w:rPr>
        <w:t>质保期：</w:t>
      </w:r>
    </w:p>
    <w:p w14:paraId="3ECE7CFA">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产品安装调试经采购人验收合格当天起，质保期≥1年，在质保期内，产品因故障停用，质保期相应顺延。</w:t>
      </w:r>
    </w:p>
    <w:p w14:paraId="6B9DE2FD">
      <w:pPr>
        <w:spacing w:line="460" w:lineRule="exact"/>
        <w:ind w:firstLine="562" w:firstLineChars="200"/>
        <w:jc w:val="left"/>
        <w:rPr>
          <w:rFonts w:ascii="宋体" w:hAnsi="宋体" w:cs="宋体"/>
          <w:color w:val="auto"/>
          <w:sz w:val="28"/>
          <w:szCs w:val="28"/>
          <w:highlight w:val="none"/>
        </w:rPr>
      </w:pPr>
      <w:r>
        <w:rPr>
          <w:rFonts w:hint="eastAsia" w:ascii="宋体" w:hAnsi="宋体" w:cs="宋体"/>
          <w:b/>
          <w:bCs/>
          <w:color w:val="auto"/>
          <w:sz w:val="28"/>
          <w:szCs w:val="28"/>
          <w:highlight w:val="none"/>
        </w:rPr>
        <w:t>5.安装与调试：</w:t>
      </w:r>
    </w:p>
    <w:p w14:paraId="67484773">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5.1在接到采购人通知安装、调试后1周内,中标人需安排工程技术人员到采购人现场安装、调试仪器,按仪器验收指标逐项测试,直至达到验收要求。标注“★”的技术参数必须符合其性能。</w:t>
      </w:r>
    </w:p>
    <w:p w14:paraId="0EB0C663">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5.2中标人负责本次采购设备的免费安装、调试(安装、调试过程所需耗品应由中标人免费提供)，保证培训人员能正常操作该设备的各种功能。中标人提供设备操作规范张贴设备上，提供设备操作规范电子档交于采购人。</w:t>
      </w:r>
    </w:p>
    <w:p w14:paraId="2A61EEAC">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5.3设备安装调试须在采购人书面通知安装、调试后30天内完成。</w:t>
      </w:r>
    </w:p>
    <w:p w14:paraId="79863607">
      <w:pPr>
        <w:pBdr>
          <w:top w:val="none" w:color="000000" w:sz="0" w:space="0"/>
          <w:left w:val="none" w:color="000000" w:sz="0" w:space="0"/>
          <w:bottom w:val="none" w:color="000000" w:sz="0" w:space="0"/>
          <w:right w:val="none" w:color="000000" w:sz="0" w:space="0"/>
        </w:pBd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5.4中标人</w:t>
      </w:r>
      <w:r>
        <w:rPr>
          <w:rFonts w:hint="eastAsia" w:ascii="宋体" w:hAnsi="宋体" w:cs="宋体"/>
          <w:color w:val="auto"/>
          <w:sz w:val="28"/>
          <w:szCs w:val="28"/>
          <w:highlight w:val="none"/>
        </w:rPr>
        <w:t>应遵守现场的一切规章制度，应自行负责现场的安全管理，安全、文明安装和调试。负责保管、看护进场的设备及附配件。承担安装调试期间安装场所的安全以及设备和安装调试人员的安全责任。</w:t>
      </w:r>
    </w:p>
    <w:p w14:paraId="54A0F67F">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6.验收：</w:t>
      </w:r>
    </w:p>
    <w:p w14:paraId="017EEC0F">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6.1中标人提供的商品必须满足标书中所列全部规格、型号、具体配置、技术条件及功能要求和供方承诺的其它指标。</w:t>
      </w:r>
    </w:p>
    <w:p w14:paraId="6B258935">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6.2中标人须提供完整的设备技术资料、货物制造商的出厂报告、产品保证书及产品说明书等。</w:t>
      </w:r>
    </w:p>
    <w:p w14:paraId="6050608D">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6.3中标人设备供货、安装施工、调试、工程验收、货物运输、售后服务等均应符合国家相关法律、法规以及国家标准、相关行业标准。提供设备的制造标准等有关资料必须符合国家相应的有关标准、规范要求。</w:t>
      </w:r>
    </w:p>
    <w:p w14:paraId="059BC82A">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6.4中标人根据合同要求进行系统安装、调试后，由采购人进行使用性能方面的验收，确保在使用过程内具有满意的性能。如质量不符合要求，供应商应无条件及时更换并不得以任何原因拖延。</w:t>
      </w:r>
    </w:p>
    <w:p w14:paraId="2AEA6226">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6.5采购人根据招标文件、中标供应商的投标文件、合同、制造厂商的产品验收标准及中华人民共和国有关标准进行验收。同时，有权委托国内第三方机构对设备的灵敏度、测量精度等技术性能进行验收。因中标人所提供的产品未达到招标文件中技术性能指标的，一律拒收，不予付款，需求单位有权因此终止合同的执行，中标人将自行承担所有经济损失；同时，采购人将保留向中标人因设备延迟到位而造成的不良影响追索相应“违约”责任的权利。</w:t>
      </w:r>
    </w:p>
    <w:p w14:paraId="02633666">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6.6设备安装完成后，无法在验收开始后10个工作日内达到投标文件的技术参数要求，视为验收不通过。验收无法达到投标文件承诺技术要求的，采购人根据合同约定追究供应商（投标人及制造商）违约责任，并将涉事投标供应商信息、投标产品生产厂家信息、投标产品信息等报送财政部门，在政府采购网进行公示并由财政部门根据《</w:t>
      </w:r>
      <w:r>
        <w:rPr>
          <w:rFonts w:hint="eastAsia" w:ascii="宋体" w:hAnsi="宋体" w:cs="宋体"/>
          <w:color w:val="auto"/>
          <w:sz w:val="28"/>
          <w:szCs w:val="28"/>
          <w:highlight w:val="none"/>
          <w:lang w:eastAsia="zh-CN"/>
        </w:rPr>
        <w:t>中华人民共和国政府采购法</w:t>
      </w: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中华人民共和国政府采购法实施条例</w:t>
      </w:r>
      <w:r>
        <w:rPr>
          <w:rFonts w:hint="eastAsia" w:ascii="宋体" w:hAnsi="宋体" w:cs="宋体"/>
          <w:color w:val="auto"/>
          <w:sz w:val="28"/>
          <w:szCs w:val="28"/>
          <w:highlight w:val="none"/>
        </w:rPr>
        <w:t>》等规定进行处罚。</w:t>
      </w:r>
    </w:p>
    <w:p w14:paraId="6E0985A4">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7.培训与方法支持：</w:t>
      </w:r>
    </w:p>
    <w:p w14:paraId="4ACFE871">
      <w:pPr>
        <w:spacing w:line="460" w:lineRule="exact"/>
        <w:ind w:firstLine="560" w:firstLineChars="200"/>
        <w:jc w:val="left"/>
        <w:rPr>
          <w:rFonts w:ascii="宋体" w:hAnsi="宋体" w:cs="宋体"/>
          <w:color w:val="auto"/>
          <w:sz w:val="28"/>
          <w:szCs w:val="28"/>
          <w:highlight w:val="none"/>
        </w:rPr>
      </w:pPr>
      <w:bookmarkStart w:id="264" w:name="_Hlk46925359"/>
      <w:r>
        <w:rPr>
          <w:rFonts w:hint="eastAsia" w:ascii="宋体" w:hAnsi="宋体" w:cs="宋体"/>
          <w:color w:val="auto"/>
          <w:sz w:val="28"/>
          <w:szCs w:val="28"/>
          <w:highlight w:val="none"/>
        </w:rPr>
        <w:t>7.1免费提供软件操作现场培训和应用培训。免费提供不少于2人次/套（台）操作人员前往供应商具备条件的场地进行相关软硬件的操作培训，内容包括仪器的基本原理、操作应用及仪器的维护保养知识，直到用户能正常使用和维护仪器。</w:t>
      </w:r>
    </w:p>
    <w:p w14:paraId="4364A09B">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7.2仪器设备安装后，需长期提供技术支持和维修服务，包括软件的免</w:t>
      </w:r>
      <w:r>
        <w:rPr>
          <w:rFonts w:hint="eastAsia" w:ascii="宋体" w:hAnsi="宋体" w:cs="宋体"/>
          <w:color w:val="auto"/>
          <w:sz w:val="28"/>
          <w:szCs w:val="28"/>
          <w:highlight w:val="none"/>
        </w:rPr>
        <w:t>费升级、为采购人提供需要的方法开发及应用资料。保修期内应用工程师每年免费上门进行方法开发及技术支持1次。</w:t>
      </w:r>
    </w:p>
    <w:bookmarkEnd w:id="264"/>
    <w:p w14:paraId="1670BFD4">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8.维修保证：</w:t>
      </w:r>
    </w:p>
    <w:p w14:paraId="488BE60F">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8.1质保期内每年提供一次原厂技术维护。中标供应商承诺质保期内提供原厂标准的技术维护服务。</w:t>
      </w:r>
    </w:p>
    <w:p w14:paraId="65D6D888">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8.2质保期内，由于产品本身在设计、制造、零部件或配件上的缺陷或质量问题而造成的故障，中标单位负责无条件免费维修或免费更换。质保期外根据采购人需要提供原厂保养和维修服务，优惠收取保养更换的配件费、人工费及其他费用。中标单位需长期提供优惠价格的主要零配件</w:t>
      </w:r>
    </w:p>
    <w:p w14:paraId="4104EADB">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8.3 仪器出现故障后，在收到采购人通知后2小时响应，24小时内到达现场。</w:t>
      </w:r>
    </w:p>
    <w:p w14:paraId="6CE5CB07">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8.4设备使用年限内（本次所投产品的年限为10年），供应商承诺保证配件、耗材供应的承诺函原件，不能提供或未按要求提供的采购人有权拒签合同。</w:t>
      </w:r>
    </w:p>
    <w:p w14:paraId="4C5FC856">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8.5需提供设备合格证、保修卡以及中文操作、培训教材、保养、维修手册。</w:t>
      </w:r>
    </w:p>
    <w:p w14:paraId="7AED79BE">
      <w:pPr>
        <w:spacing w:line="460" w:lineRule="exact"/>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9.付款方式：</w:t>
      </w:r>
    </w:p>
    <w:p w14:paraId="51B17E88">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不响应付款方式的，视同无效投标处理。</w:t>
      </w:r>
    </w:p>
    <w:p w14:paraId="56BC0779">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合同签订支付合同价的30%，货到后支付合同价的50%货款，安装、调试、验收合格之后支付合同价20%货款。</w:t>
      </w:r>
    </w:p>
    <w:p w14:paraId="6F63845A">
      <w:pPr>
        <w:spacing w:line="460" w:lineRule="exact"/>
        <w:ind w:firstLine="562"/>
        <w:rPr>
          <w:rFonts w:ascii="宋体" w:hAnsi="宋体" w:cs="宋体"/>
          <w:color w:val="auto"/>
          <w:sz w:val="28"/>
          <w:szCs w:val="28"/>
          <w:highlight w:val="none"/>
        </w:rPr>
      </w:pPr>
      <w:r>
        <w:rPr>
          <w:rFonts w:hint="eastAsia" w:ascii="宋体" w:hAnsi="宋体" w:cs="宋体"/>
          <w:color w:val="auto"/>
          <w:sz w:val="28"/>
          <w:szCs w:val="28"/>
          <w:highlight w:val="none"/>
        </w:rPr>
        <w:t>10.本次采购需切实履行绿色采购。</w:t>
      </w:r>
    </w:p>
    <w:p w14:paraId="5C5A713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10.1商品包装环保要求：应当按《关于印发〈商品包装政府采购需求标准（试行）〉、〈快递包装政府采购需求标准（试行）〉的通知》（财办库〔2020〕123号）文件执行。</w:t>
      </w:r>
    </w:p>
    <w:p w14:paraId="35085285">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（1）商品包装层数不得超过 3 层，空隙率不大于 40%；</w:t>
      </w:r>
    </w:p>
    <w:p w14:paraId="254EAFD0">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（2）商品包装尽可能使用单一材质的包装材料，如因功能需求</w:t>
      </w:r>
      <w:r>
        <w:rPr>
          <w:rFonts w:hint="eastAsia" w:ascii="宋体" w:hAnsi="宋体" w:cs="宋体"/>
          <w:color w:val="auto"/>
          <w:sz w:val="28"/>
          <w:szCs w:val="28"/>
          <w:highlight w:val="none"/>
          <w:lang w:eastAsia="zh-CN"/>
        </w:rPr>
        <w:t>必须</w:t>
      </w:r>
      <w:r>
        <w:rPr>
          <w:rFonts w:hint="eastAsia" w:ascii="宋体" w:hAnsi="宋体" w:cs="宋体"/>
          <w:color w:val="auto"/>
          <w:sz w:val="28"/>
          <w:szCs w:val="28"/>
          <w:highlight w:val="none"/>
        </w:rPr>
        <w:t>使用不同材质，不同材质间应便于分离；</w:t>
      </w:r>
    </w:p>
    <w:p w14:paraId="3291A718">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（3）商品包装中铅、汞、镉、六价铬的总含量应不大于100mg/kg；</w:t>
      </w:r>
    </w:p>
    <w:p w14:paraId="00102176">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（4）商品包装印刷使用的油墨中挥发性有机化合物(VOCs)含量应不大于 5%（以重量计）；</w:t>
      </w:r>
    </w:p>
    <w:p w14:paraId="3F8E0959">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（5）塑料材质商品包装上呈现的印刷颜色不得超过 6 色；</w:t>
      </w:r>
    </w:p>
    <w:p w14:paraId="196E5C38">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（6）纸质商品包装应使用 75%以上的可再生纤维原料生产；</w:t>
      </w:r>
    </w:p>
    <w:p w14:paraId="7EF35FF6">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（7）木质商品包装的原料应来源于可持续性森林。</w:t>
      </w:r>
    </w:p>
    <w:p w14:paraId="0C01201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10.2快递包装环保要求：</w:t>
      </w:r>
    </w:p>
    <w:p w14:paraId="222A352D">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（1）快递包装中重金属（铅、汞、镉、六价铬）总量应不大于 100mg/kg；</w:t>
      </w:r>
    </w:p>
    <w:p w14:paraId="13B79B22">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（2）快递包装印刷使用的油墨中不应添加邻苯二甲酸酯，其挥发性有机化合物(VOCs)含量应不大于5%（以重量计）；</w:t>
      </w:r>
    </w:p>
    <w:p w14:paraId="1D0A2EE4">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（3）快递包装中使用纸基材的包装材料，纸基材中的有机氯的含量应不大于 150 mg/kg；</w:t>
      </w:r>
    </w:p>
    <w:p w14:paraId="6CBAD5C6">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6264F613">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（5）快递中使用的塑料包装袋不得使用聚氯乙烯作为原料，且原料应为单一材质制成，生物分解率大于60%；</w:t>
      </w:r>
    </w:p>
    <w:p w14:paraId="10B7DFDF">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（6）快递中使用的充气类填充物不得使用聚氯乙烯作为 原料，且原料为单一材质制成，生物分解率大于60%；</w:t>
      </w:r>
    </w:p>
    <w:p w14:paraId="6B49EAAF">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（7）快递中使用的集装袋应为单一材质制成，其重复使用次数应不小于 80 次；</w:t>
      </w:r>
    </w:p>
    <w:p w14:paraId="5C30F39F">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（8）快递中应使用幅宽不大于45mm 的生物降解胶带；</w:t>
      </w:r>
    </w:p>
    <w:p w14:paraId="63512A8C">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（9）快递包装中不得使用溶剂型胶粘剂；</w:t>
      </w:r>
    </w:p>
    <w:p w14:paraId="4E93A29B">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（11）快递应使用电子面单；</w:t>
      </w:r>
    </w:p>
    <w:p w14:paraId="7AE89BB2">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（12）直接使用商品包装作为快递包装的商品，其商品包装满足《商品包装政府采购需求标准（试行）》即可；</w:t>
      </w:r>
    </w:p>
    <w:p w14:paraId="0189C8C0">
      <w:pPr>
        <w:spacing w:line="460" w:lineRule="exact"/>
        <w:ind w:firstLine="560"/>
        <w:rPr>
          <w:rFonts w:ascii="宋体" w:hAnsi="宋体" w:cs="宋体"/>
          <w:b/>
          <w:bCs/>
          <w:color w:val="auto"/>
          <w:kern w:val="0"/>
          <w:sz w:val="28"/>
          <w:szCs w:val="28"/>
          <w:highlight w:val="none"/>
        </w:rPr>
      </w:pPr>
      <w:r>
        <w:rPr>
          <w:rFonts w:hint="eastAsia" w:ascii="宋体" w:hAnsi="宋体" w:cs="宋体"/>
          <w:color w:val="auto"/>
          <w:sz w:val="28"/>
          <w:szCs w:val="28"/>
          <w:highlight w:val="none"/>
        </w:rPr>
        <w:t>（13）快递包装产品质量和封装方式应符合相关国家或行业标准技术指标要求。</w:t>
      </w:r>
    </w:p>
    <w:p w14:paraId="00CE5E19">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11.履约保证金</w:t>
      </w:r>
    </w:p>
    <w:p w14:paraId="623DDBB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11.1本项目中标后的履约保证金为项目中标价的10%，中标人的履约保证金须在中标通知书发出之日起至合同签订前汇入采购人账户（应当以数字人民币、支票、汇票或者金融机构、担保机构出具的保函等非现金形式提交），中标人凭中标通知书与采购人签订合同。超期或未有协商，则视为自动放弃中标资格。</w:t>
      </w:r>
    </w:p>
    <w:p w14:paraId="7197D54C">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11.2中标人全部履约合同义务，经采购人验收合格无质量、进度等问题的，采购人在本项目验收合格并正常运行后30日内一次性退还履约保证金，采购人若逾期退还履约保证金的，按照逾期部分的每日0.05%支付违约金；</w:t>
      </w:r>
    </w:p>
    <w:p w14:paraId="1B178363">
      <w:pPr>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rPr>
        <w:t>11.3发生以下情况的，履约保证金不予退还或部分退还：</w:t>
      </w:r>
    </w:p>
    <w:p w14:paraId="4FD6D01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a.签订合同后，中标人不履行合同义务的，采购人有权全额扣除履约保证金，全额不予退还，同时采购人亦有权终止合同，中标人还须承担相应的法律赔偿责任。</w:t>
      </w:r>
    </w:p>
    <w:p w14:paraId="1B5A1033">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b.中标人在履约过程中发生违约行为，给采购人造成损失的，采购人有权在中标人缴纳的履约保证金中予以扣款，以弥补采购人经济损失，不足的部分中标人另外补齐。</w:t>
      </w:r>
    </w:p>
    <w:p w14:paraId="326552FE">
      <w:pPr>
        <w:wordWrap w:val="0"/>
        <w:autoSpaceDE w:val="0"/>
        <w:autoSpaceDN w:val="0"/>
        <w:spacing w:line="460" w:lineRule="exact"/>
        <w:ind w:firstLine="560" w:firstLineChars="200"/>
        <w:rPr>
          <w:color w:val="auto"/>
          <w:highlight w:val="none"/>
        </w:rPr>
      </w:pPr>
      <w:r>
        <w:rPr>
          <w:rFonts w:hint="eastAsia" w:ascii="宋体" w:hAnsi="宋体" w:cs="宋体"/>
          <w:color w:val="auto"/>
          <w:sz w:val="28"/>
          <w:szCs w:val="28"/>
          <w:highlight w:val="none"/>
        </w:rPr>
        <w:t>11.4以履约保函（保险）形式向采购人缴纳的，按照《关于在全省政府采购领域推行电子履约保函（保险）的通知》，登录江苏政府采购网，选择“保险保函”模块，进行相关操作。投标人可</w:t>
      </w:r>
      <w:r>
        <w:rPr>
          <w:rFonts w:hint="eastAsia" w:ascii="宋体" w:hAnsi="宋体" w:cs="宋体"/>
          <w:color w:val="auto"/>
          <w:sz w:val="28"/>
          <w:szCs w:val="28"/>
          <w:highlight w:val="none"/>
          <w:lang w:eastAsia="zh-CN"/>
        </w:rPr>
        <w:t>登录</w:t>
      </w:r>
      <w:r>
        <w:rPr>
          <w:rFonts w:hint="eastAsia" w:ascii="宋体" w:hAnsi="宋体" w:cs="宋体"/>
          <w:color w:val="auto"/>
          <w:sz w:val="28"/>
          <w:szCs w:val="28"/>
          <w:highlight w:val="none"/>
        </w:rPr>
        <w:t>江苏政府采购网“资料下载”栏目下载“政府采购电子履约（保函）保险操作手册（网址：http://www.ccgp-jiangsu.gov.cn/jiangsu/paying.html)。</w:t>
      </w:r>
    </w:p>
    <w:p w14:paraId="4D255565">
      <w:pPr>
        <w:tabs>
          <w:tab w:val="left" w:pos="420"/>
        </w:tabs>
        <w:spacing w:line="460" w:lineRule="exact"/>
        <w:ind w:firstLine="562" w:firstLineChars="200"/>
        <w:rPr>
          <w:rFonts w:ascii="宋体" w:hAnsi="宋体" w:cs="宋体"/>
          <w:b/>
          <w:bCs/>
          <w:i/>
          <w:iCs/>
          <w:color w:val="auto"/>
          <w:kern w:val="0"/>
          <w:sz w:val="28"/>
          <w:szCs w:val="28"/>
          <w:highlight w:val="none"/>
          <w:u w:val="single"/>
        </w:rPr>
      </w:pPr>
      <w:r>
        <w:rPr>
          <w:rFonts w:hint="eastAsia" w:ascii="宋体" w:hAnsi="宋体" w:cs="宋体"/>
          <w:b/>
          <w:bCs/>
          <w:i/>
          <w:iCs/>
          <w:color w:val="auto"/>
          <w:kern w:val="0"/>
          <w:sz w:val="28"/>
          <w:szCs w:val="28"/>
          <w:highlight w:val="none"/>
          <w:u w:val="single"/>
        </w:rPr>
        <w:t>七、采购需求中必须满足的实质性要求</w:t>
      </w:r>
    </w:p>
    <w:p w14:paraId="5AFD305E">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（一）技术部分条款：</w:t>
      </w:r>
    </w:p>
    <w:p w14:paraId="78FD53F3">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1.技术参数标★项为实质性条款，投标人不得出现负偏离，否则作无效投标处理，提供《实质性要求响应及偏离表》（格式见附件13）。</w:t>
      </w:r>
    </w:p>
    <w:p w14:paraId="3C7431E0">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（二）商务部分条款</w:t>
      </w:r>
    </w:p>
    <w:p w14:paraId="22E2659E">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1.参数偏离表承诺函：</w:t>
      </w:r>
    </w:p>
    <w:p w14:paraId="59D9E341">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投标人需出具参数偏离表的盖章承诺函（格式如下）。</w:t>
      </w:r>
    </w:p>
    <w:p w14:paraId="1F6B3CDC">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1.1 承诺其提交的相关材料真实有效，承诺每项参数都可作为验收的依据，参数验收时如果不能符合标书要求，应按国家相关法律法规及标准合同文本执行违约责任作为对业主的赔偿，仪器退回，合同作废。并承担虚假应标的相关责任。</w:t>
      </w:r>
    </w:p>
    <w:p w14:paraId="2B84E661">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1.2 承诺其投标产品为原厂家生产的全新产品，非代工产品或翻新产品，厂家负责保修，保证仪器使用的稳定性。</w:t>
      </w:r>
    </w:p>
    <w:p w14:paraId="5DD233A9">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2.</w:t>
      </w:r>
      <w:r>
        <w:rPr>
          <w:rFonts w:hint="eastAsia" w:ascii="宋体" w:hAnsi="宋体" w:cs="宋体"/>
          <w:i/>
          <w:iCs/>
          <w:color w:val="auto"/>
          <w:sz w:val="28"/>
          <w:szCs w:val="28"/>
          <w:highlight w:val="none"/>
          <w:u w:val="single"/>
          <w:lang w:val="en-US" w:eastAsia="zh-CN"/>
        </w:rPr>
        <w:t>履行期限</w:t>
      </w:r>
      <w:r>
        <w:rPr>
          <w:rFonts w:hint="eastAsia" w:ascii="宋体" w:hAnsi="宋体" w:cs="宋体"/>
          <w:i/>
          <w:iCs/>
          <w:color w:val="auto"/>
          <w:sz w:val="28"/>
          <w:szCs w:val="28"/>
          <w:highlight w:val="none"/>
          <w:u w:val="single"/>
        </w:rPr>
        <w:t>：合同签订45天内供货到位，货到30天内完成安装调试。</w:t>
      </w:r>
    </w:p>
    <w:p w14:paraId="17F5D613">
      <w:pPr>
        <w:numPr>
          <w:ilvl w:val="255"/>
          <w:numId w:val="0"/>
        </w:numPr>
        <w:spacing w:line="460" w:lineRule="exact"/>
        <w:ind w:firstLine="560" w:firstLineChars="200"/>
        <w:jc w:val="left"/>
        <w:rPr>
          <w:rFonts w:ascii="宋体" w:hAnsi="宋体" w:cs="宋体"/>
          <w:i/>
          <w:iCs/>
          <w:color w:val="auto"/>
          <w:sz w:val="28"/>
          <w:szCs w:val="28"/>
          <w:highlight w:val="none"/>
          <w:u w:val="single"/>
        </w:rPr>
      </w:pPr>
      <w:r>
        <w:rPr>
          <w:rFonts w:hint="eastAsia" w:ascii="宋体" w:hAnsi="宋体" w:cs="宋体"/>
          <w:i/>
          <w:iCs/>
          <w:color w:val="auto"/>
          <w:sz w:val="28"/>
          <w:szCs w:val="28"/>
          <w:highlight w:val="none"/>
          <w:u w:val="single"/>
        </w:rPr>
        <w:t>3.质保期：产品安装调试经采购人验收合格当天起，质保期≥1年，在质保期内，产品因故障停用，质保期相应顺延。</w:t>
      </w:r>
    </w:p>
    <w:p w14:paraId="3B9E4B3A">
      <w:pPr>
        <w:spacing w:line="520" w:lineRule="exact"/>
        <w:ind w:firstLine="562" w:firstLineChars="200"/>
        <w:jc w:val="left"/>
        <w:rPr>
          <w:rFonts w:ascii="宋体" w:hAnsi="宋体" w:cs="宋体"/>
          <w:b/>
          <w:bCs/>
          <w:color w:val="auto"/>
          <w:sz w:val="32"/>
          <w:szCs w:val="32"/>
          <w:highlight w:val="none"/>
        </w:rPr>
      </w:pPr>
      <w:r>
        <w:rPr>
          <w:rFonts w:hint="eastAsia" w:ascii="宋体" w:hAnsi="宋体" w:cs="宋体"/>
          <w:b/>
          <w:bCs/>
          <w:i/>
          <w:iCs/>
          <w:color w:val="auto"/>
          <w:sz w:val="28"/>
          <w:szCs w:val="28"/>
          <w:highlight w:val="none"/>
          <w:u w:val="single"/>
        </w:rPr>
        <w:t>以上内容提供承诺函，不提供的或提供不满足要求的按无效标处理，承诺书格式如下：</w:t>
      </w:r>
    </w:p>
    <w:p w14:paraId="2F086A46">
      <w:pPr>
        <w:spacing w:line="520" w:lineRule="exact"/>
        <w:jc w:val="center"/>
        <w:rPr>
          <w:color w:val="auto"/>
          <w:sz w:val="28"/>
          <w:szCs w:val="28"/>
          <w:highlight w:val="none"/>
        </w:rPr>
      </w:pPr>
      <w:r>
        <w:rPr>
          <w:rFonts w:hint="eastAsia" w:ascii="宋体" w:hAnsi="宋体" w:cs="宋体"/>
          <w:b/>
          <w:bCs/>
          <w:color w:val="auto"/>
          <w:sz w:val="32"/>
          <w:szCs w:val="32"/>
          <w:highlight w:val="none"/>
        </w:rPr>
        <w:t>承诺书</w:t>
      </w:r>
    </w:p>
    <w:p w14:paraId="482CC202">
      <w:pPr>
        <w:tabs>
          <w:tab w:val="left" w:pos="420"/>
        </w:tabs>
        <w:spacing w:line="460" w:lineRule="exact"/>
        <w:rPr>
          <w:bCs/>
          <w:color w:val="auto"/>
          <w:sz w:val="28"/>
          <w:szCs w:val="28"/>
          <w:highlight w:val="none"/>
        </w:rPr>
      </w:pPr>
      <w:r>
        <w:rPr>
          <w:rFonts w:hint="eastAsia"/>
          <w:color w:val="auto"/>
          <w:sz w:val="28"/>
          <w:szCs w:val="28"/>
          <w:highlight w:val="none"/>
        </w:rPr>
        <w:t>南通市产品质量监督检验所</w:t>
      </w:r>
      <w:r>
        <w:rPr>
          <w:bCs/>
          <w:color w:val="auto"/>
          <w:sz w:val="28"/>
          <w:szCs w:val="28"/>
          <w:highlight w:val="none"/>
        </w:rPr>
        <w:t>：</w:t>
      </w:r>
    </w:p>
    <w:p w14:paraId="7066CD73">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我</w:t>
      </w:r>
      <w:r>
        <w:rPr>
          <w:bCs/>
          <w:color w:val="auto"/>
          <w:sz w:val="28"/>
          <w:szCs w:val="28"/>
          <w:highlight w:val="none"/>
        </w:rPr>
        <w:t>公司愿就由贵单位组织实施的</w:t>
      </w:r>
      <w:r>
        <w:rPr>
          <w:bCs/>
          <w:color w:val="auto"/>
          <w:sz w:val="28"/>
          <w:szCs w:val="28"/>
          <w:highlight w:val="none"/>
          <w:u w:val="single"/>
        </w:rPr>
        <w:t>（</w:t>
      </w:r>
      <w:r>
        <w:rPr>
          <w:rFonts w:hint="eastAsia"/>
          <w:bCs/>
          <w:color w:val="auto"/>
          <w:sz w:val="28"/>
          <w:szCs w:val="28"/>
          <w:highlight w:val="none"/>
          <w:u w:val="single"/>
        </w:rPr>
        <w:t>南通市产品质量监督检验所食品检验检测设备更新项目（第一批）</w:t>
      </w:r>
      <w:r>
        <w:rPr>
          <w:bCs/>
          <w:color w:val="auto"/>
          <w:sz w:val="28"/>
          <w:szCs w:val="28"/>
          <w:highlight w:val="none"/>
          <w:u w:val="single"/>
        </w:rPr>
        <w:t>)</w:t>
      </w:r>
      <w:r>
        <w:rPr>
          <w:bCs/>
          <w:color w:val="auto"/>
          <w:sz w:val="28"/>
          <w:szCs w:val="28"/>
          <w:highlight w:val="none"/>
        </w:rPr>
        <w:t>招标活动进行响应</w:t>
      </w:r>
      <w:r>
        <w:rPr>
          <w:rFonts w:hint="eastAsia"/>
          <w:bCs/>
          <w:color w:val="auto"/>
          <w:sz w:val="28"/>
          <w:szCs w:val="28"/>
          <w:highlight w:val="none"/>
        </w:rPr>
        <w:t>，我公司作如下承诺：</w:t>
      </w:r>
    </w:p>
    <w:p w14:paraId="26BAF22F">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如我公司中标，我公司承诺：</w:t>
      </w:r>
    </w:p>
    <w:p w14:paraId="6512CEC9">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（1）提交的相关材料真实有效，承诺每项参数都可作为验收的依据，参数验收时如果不能符合标书要求，应按投标价的30%作为对业主的赔偿，仪器退回，合同作废。并承担虚假应标的相关责任。</w:t>
      </w:r>
    </w:p>
    <w:p w14:paraId="7027F377">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（2）投标产品为原厂家生产的全新产品，非代工产品或翻新产品，厂家负责保修，保证仪器使用的稳定性。</w:t>
      </w:r>
    </w:p>
    <w:p w14:paraId="0362E4C6">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（3）履行期限：合同签订45天内供货到位，货到30天内完成安装调试。</w:t>
      </w:r>
    </w:p>
    <w:p w14:paraId="6B649B90">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（4）质保期：产品安装调试经采购人验收合格当天起，质保期≥1年，在质保期内，产品因故障停用，质保期相应顺延。</w:t>
      </w:r>
    </w:p>
    <w:p w14:paraId="4E5807D2">
      <w:pPr>
        <w:tabs>
          <w:tab w:val="left" w:pos="420"/>
        </w:tabs>
        <w:spacing w:line="460" w:lineRule="exact"/>
        <w:ind w:firstLine="560" w:firstLineChars="200"/>
        <w:rPr>
          <w:bCs/>
          <w:color w:val="auto"/>
          <w:sz w:val="28"/>
          <w:szCs w:val="28"/>
          <w:highlight w:val="none"/>
        </w:rPr>
      </w:pPr>
      <w:r>
        <w:rPr>
          <w:rFonts w:hint="eastAsia"/>
          <w:bCs/>
          <w:color w:val="auto"/>
          <w:sz w:val="28"/>
          <w:szCs w:val="28"/>
          <w:highlight w:val="none"/>
        </w:rPr>
        <w:t>我</w:t>
      </w:r>
      <w:r>
        <w:rPr>
          <w:bCs/>
          <w:color w:val="auto"/>
          <w:sz w:val="28"/>
          <w:szCs w:val="28"/>
          <w:highlight w:val="none"/>
        </w:rPr>
        <w:t>公司所提交的</w:t>
      </w:r>
      <w:r>
        <w:rPr>
          <w:rFonts w:hint="eastAsia"/>
          <w:bCs/>
          <w:color w:val="auto"/>
          <w:sz w:val="28"/>
          <w:szCs w:val="28"/>
          <w:highlight w:val="none"/>
        </w:rPr>
        <w:t>投标</w:t>
      </w:r>
      <w:r>
        <w:rPr>
          <w:bCs/>
          <w:color w:val="auto"/>
          <w:sz w:val="28"/>
          <w:szCs w:val="28"/>
          <w:highlight w:val="none"/>
        </w:rPr>
        <w:t>文件中所有关于</w:t>
      </w:r>
      <w:r>
        <w:rPr>
          <w:rFonts w:hint="eastAsia"/>
          <w:bCs/>
          <w:color w:val="auto"/>
          <w:sz w:val="28"/>
          <w:szCs w:val="28"/>
          <w:highlight w:val="none"/>
        </w:rPr>
        <w:t>以上条款</w:t>
      </w:r>
      <w:r>
        <w:rPr>
          <w:bCs/>
          <w:color w:val="auto"/>
          <w:sz w:val="28"/>
          <w:szCs w:val="28"/>
          <w:highlight w:val="none"/>
        </w:rPr>
        <w:t>响应的文件、证明和陈述均是真实的、准确的。若与真实情况不符，</w:t>
      </w:r>
      <w:r>
        <w:rPr>
          <w:rFonts w:hint="eastAsia"/>
          <w:bCs/>
          <w:color w:val="auto"/>
          <w:sz w:val="28"/>
          <w:szCs w:val="28"/>
          <w:highlight w:val="none"/>
        </w:rPr>
        <w:t>我</w:t>
      </w:r>
      <w:r>
        <w:rPr>
          <w:bCs/>
          <w:color w:val="auto"/>
          <w:sz w:val="28"/>
          <w:szCs w:val="28"/>
          <w:highlight w:val="none"/>
        </w:rPr>
        <w:t>公司愿意承担由此而产生的一切后果。</w:t>
      </w:r>
    </w:p>
    <w:p w14:paraId="199D2E84">
      <w:pPr>
        <w:spacing w:line="420" w:lineRule="exact"/>
        <w:rPr>
          <w:bCs/>
          <w:color w:val="auto"/>
          <w:sz w:val="28"/>
          <w:szCs w:val="28"/>
          <w:highlight w:val="none"/>
        </w:rPr>
      </w:pPr>
    </w:p>
    <w:p w14:paraId="4701C10B">
      <w:pPr>
        <w:tabs>
          <w:tab w:val="left" w:pos="420"/>
        </w:tabs>
        <w:spacing w:line="460" w:lineRule="exact"/>
        <w:ind w:firstLine="2520" w:firstLineChars="900"/>
        <w:rPr>
          <w:bCs/>
          <w:color w:val="auto"/>
          <w:sz w:val="28"/>
          <w:szCs w:val="28"/>
          <w:highlight w:val="none"/>
        </w:rPr>
      </w:pPr>
      <w:r>
        <w:rPr>
          <w:bCs/>
          <w:color w:val="auto"/>
          <w:sz w:val="28"/>
          <w:szCs w:val="28"/>
          <w:highlight w:val="none"/>
        </w:rPr>
        <w:t>投标人（盖公章）：</w:t>
      </w:r>
    </w:p>
    <w:p w14:paraId="478F1234">
      <w:pPr>
        <w:tabs>
          <w:tab w:val="left" w:pos="420"/>
        </w:tabs>
        <w:spacing w:line="460" w:lineRule="exact"/>
        <w:ind w:firstLine="2240" w:firstLineChars="800"/>
        <w:rPr>
          <w:bCs/>
          <w:color w:val="auto"/>
          <w:sz w:val="28"/>
          <w:szCs w:val="28"/>
          <w:highlight w:val="none"/>
        </w:rPr>
      </w:pPr>
      <w:r>
        <w:rPr>
          <w:bCs/>
          <w:color w:val="auto"/>
          <w:sz w:val="28"/>
          <w:szCs w:val="28"/>
          <w:highlight w:val="none"/>
        </w:rPr>
        <w:t xml:space="preserve"> 法定代表人（签字或盖章）：</w:t>
      </w:r>
    </w:p>
    <w:p w14:paraId="4DE4EA12">
      <w:pPr>
        <w:tabs>
          <w:tab w:val="left" w:pos="420"/>
        </w:tabs>
        <w:spacing w:line="460" w:lineRule="exact"/>
        <w:ind w:firstLine="2520" w:firstLineChars="900"/>
        <w:rPr>
          <w:bCs/>
          <w:color w:val="auto"/>
          <w:sz w:val="28"/>
          <w:szCs w:val="28"/>
          <w:highlight w:val="none"/>
        </w:rPr>
      </w:pPr>
      <w:r>
        <w:rPr>
          <w:bCs/>
          <w:color w:val="auto"/>
          <w:sz w:val="28"/>
          <w:szCs w:val="28"/>
          <w:highlight w:val="none"/>
        </w:rPr>
        <w:t xml:space="preserve">日期：    </w:t>
      </w:r>
    </w:p>
    <w:p w14:paraId="218DFE70">
      <w:pP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br w:type="page"/>
      </w:r>
    </w:p>
    <w:p w14:paraId="2261E746">
      <w:pPr>
        <w:tabs>
          <w:tab w:val="left" w:pos="420"/>
        </w:tabs>
        <w:spacing w:line="460" w:lineRule="exact"/>
        <w:ind w:firstLine="562" w:firstLineChars="200"/>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八、合同文本（仅供参考）：</w:t>
      </w:r>
    </w:p>
    <w:p w14:paraId="7DAE061F">
      <w:pPr>
        <w:pBdr>
          <w:top w:val="none" w:color="000000" w:sz="0" w:space="0"/>
          <w:left w:val="none" w:color="000000" w:sz="0" w:space="0"/>
          <w:bottom w:val="none" w:color="000000" w:sz="0" w:space="0"/>
          <w:right w:val="none" w:color="000000" w:sz="0" w:space="0"/>
        </w:pBdr>
        <w:spacing w:before="145" w:after="145"/>
        <w:jc w:val="center"/>
        <w:rPr>
          <w:rFonts w:ascii="宋体" w:hAnsi="宋体" w:cs="宋体"/>
          <w:color w:val="auto"/>
          <w:sz w:val="22"/>
          <w:szCs w:val="28"/>
          <w:highlight w:val="none"/>
        </w:rPr>
      </w:pPr>
      <w:r>
        <w:rPr>
          <w:rFonts w:hint="eastAsia" w:ascii="宋体" w:hAnsi="宋体" w:cs="宋体"/>
          <w:b/>
          <w:color w:val="auto"/>
          <w:sz w:val="32"/>
          <w:szCs w:val="28"/>
          <w:highlight w:val="none"/>
        </w:rPr>
        <w:t>南通市政府采购合同（货物）（合同编号）</w:t>
      </w:r>
    </w:p>
    <w:p w14:paraId="56C5244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highlight w:val="none"/>
        </w:rPr>
      </w:pPr>
      <w:r>
        <w:rPr>
          <w:rFonts w:hint="eastAsia" w:ascii="宋体" w:hAnsi="宋体" w:cs="宋体"/>
          <w:color w:val="auto"/>
          <w:sz w:val="28"/>
          <w:szCs w:val="28"/>
          <w:highlight w:val="none"/>
        </w:rPr>
        <w:t>项目名称：南通市产品质量监督检验所食品检验检测设备更新项目（第一批）</w:t>
      </w:r>
    </w:p>
    <w:p w14:paraId="2C5BEE6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项目编号：</w:t>
      </w:r>
    </w:p>
    <w:p w14:paraId="5EB2C5C3">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甲方</w:t>
      </w:r>
      <w:r>
        <w:rPr>
          <w:rFonts w:hint="eastAsia" w:ascii="宋体" w:hAnsi="宋体" w:cs="宋体"/>
          <w:color w:val="auto"/>
          <w:sz w:val="28"/>
          <w:szCs w:val="28"/>
          <w:highlight w:val="none"/>
        </w:rPr>
        <w:t>（买方）：_________</w:t>
      </w:r>
    </w:p>
    <w:p w14:paraId="14586C4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乙方</w:t>
      </w:r>
      <w:r>
        <w:rPr>
          <w:rFonts w:hint="eastAsia" w:ascii="宋体" w:hAnsi="宋体" w:cs="宋体"/>
          <w:color w:val="auto"/>
          <w:sz w:val="28"/>
          <w:szCs w:val="28"/>
          <w:highlight w:val="none"/>
        </w:rPr>
        <w:t>（卖方）：_________</w:t>
      </w:r>
    </w:p>
    <w:p w14:paraId="40222405">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color w:val="auto"/>
          <w:sz w:val="28"/>
          <w:szCs w:val="28"/>
          <w:highlight w:val="none"/>
        </w:rPr>
        <w:t>甲、乙双方根据</w:t>
      </w:r>
      <w:r>
        <w:rPr>
          <w:rFonts w:hint="eastAsia" w:ascii="宋体" w:hAnsi="宋体" w:cs="宋体"/>
          <w:color w:val="auto"/>
          <w:sz w:val="28"/>
          <w:szCs w:val="28"/>
          <w:highlight w:val="none"/>
          <w:u w:val="single"/>
        </w:rPr>
        <w:t>南通市产品质量监督检验所食品检验检测设备更新项目（第一批）</w:t>
      </w:r>
      <w:r>
        <w:rPr>
          <w:rFonts w:hint="eastAsia" w:ascii="宋体" w:hAnsi="宋体" w:cs="宋体"/>
          <w:color w:val="auto"/>
          <w:sz w:val="28"/>
          <w:szCs w:val="28"/>
          <w:highlight w:val="none"/>
        </w:rPr>
        <w:t>公开招标的结果，签署本合同。</w:t>
      </w:r>
    </w:p>
    <w:p w14:paraId="5EF46A70">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一、合同内容</w:t>
      </w:r>
    </w:p>
    <w:p w14:paraId="4A982B8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 标的名称：</w:t>
      </w:r>
    </w:p>
    <w:p w14:paraId="1727146C">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1.2标的质量：满足招标文件需求。</w:t>
      </w:r>
    </w:p>
    <w:p w14:paraId="7D64B25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 标的数量（规模）：详见招标文件及乙方投标文件。</w:t>
      </w:r>
    </w:p>
    <w:p w14:paraId="45505725">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 履行时间（期限）：</w:t>
      </w:r>
    </w:p>
    <w:p w14:paraId="41E8A4B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1.5 履行地点：甲方指定地点。</w:t>
      </w:r>
    </w:p>
    <w:p w14:paraId="3DEBCD1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二、合同价款</w:t>
      </w:r>
    </w:p>
    <w:p w14:paraId="71AB62B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2.1 本合同价款为人民币（大写）：</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元整（¥</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rPr>
        <w:t>）。</w:t>
      </w:r>
    </w:p>
    <w:p w14:paraId="339302C6">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三、技术资料</w:t>
      </w:r>
    </w:p>
    <w:p w14:paraId="5DA27F8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3.1乙方应按招标文件规定的时间向甲方提供使用货物(包含与货物相关的服务)的有关技术资料。</w:t>
      </w:r>
    </w:p>
    <w:p w14:paraId="662664E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3.2 没有甲方事先书面同意，乙方不得将由甲方提供的有关合同或任何合同条文、规格、计划、图纸、样品或资料提供给与履行本合同无关的任何其他人。即使向履行本合同有关人员提供，也应注意保密并限于履行合同的必需范围。</w:t>
      </w:r>
    </w:p>
    <w:p w14:paraId="5F89AFFF">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四、知识产权</w:t>
      </w:r>
    </w:p>
    <w:p w14:paraId="32C3B6AC">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7580AC3D">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五、产权担保</w:t>
      </w:r>
    </w:p>
    <w:p w14:paraId="4C4E670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5.1 乙方保证所交付货物（包含与货物相关的服务）的所有权完全属于乙方且无任何抵押、查封等产权瑕疵。</w:t>
      </w:r>
    </w:p>
    <w:p w14:paraId="678F8FA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b/>
          <w:bCs/>
          <w:color w:val="auto"/>
          <w:sz w:val="22"/>
          <w:szCs w:val="28"/>
          <w:highlight w:val="none"/>
        </w:rPr>
      </w:pPr>
      <w:r>
        <w:rPr>
          <w:rFonts w:hint="eastAsia" w:ascii="宋体" w:hAnsi="宋体" w:cs="宋体"/>
          <w:b/>
          <w:bCs/>
          <w:color w:val="auto"/>
          <w:sz w:val="28"/>
          <w:szCs w:val="28"/>
          <w:highlight w:val="none"/>
        </w:rPr>
        <w:t>六、合同转包或分包</w:t>
      </w:r>
    </w:p>
    <w:p w14:paraId="28AFF6DF">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6.1乙方不得将合同标的转包给他人履行。</w:t>
      </w:r>
    </w:p>
    <w:p w14:paraId="1358AAE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6.2乙方不得将合同标的分包给他人履行。</w:t>
      </w:r>
    </w:p>
    <w:p w14:paraId="06F44C52">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6.3乙方如有转包或未经甲方书面同意的分包行为，甲方有权终止本合同。</w:t>
      </w:r>
    </w:p>
    <w:p w14:paraId="209996D9">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七、合同款项支付</w:t>
      </w:r>
    </w:p>
    <w:p w14:paraId="326B712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7.1合同款项的支付方式及进度安排</w:t>
      </w:r>
    </w:p>
    <w:p w14:paraId="4A0ECF0C">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合同签订支付合同价的30%，货到后支付合同价50%货款，安装、调试、验收合格之后支付合同价的20%货款。</w:t>
      </w:r>
    </w:p>
    <w:p w14:paraId="678E06D1">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bCs/>
          <w:color w:val="auto"/>
          <w:sz w:val="28"/>
          <w:szCs w:val="28"/>
          <w:highlight w:val="none"/>
        </w:rPr>
      </w:pPr>
      <w:r>
        <w:rPr>
          <w:rFonts w:hint="eastAsia" w:ascii="宋体" w:hAnsi="宋体" w:cs="宋体"/>
          <w:bCs/>
          <w:color w:val="auto"/>
          <w:sz w:val="28"/>
          <w:szCs w:val="28"/>
          <w:highlight w:val="none"/>
        </w:rPr>
        <w:t>甲方支付上述款项之前，乙方须向甲方提供有效发票，否则甲方有权拒绝支付上述款项，合同款项通过财政直接支付方式支付至乙方指定账户。</w:t>
      </w:r>
    </w:p>
    <w:p w14:paraId="3FCBBF5E">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八、税费</w:t>
      </w:r>
    </w:p>
    <w:p w14:paraId="0B22A70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8.1本合同所涉及的一切税费均由乙方负担。</w:t>
      </w:r>
    </w:p>
    <w:p w14:paraId="2E9A272F">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九、履约保证金</w:t>
      </w:r>
    </w:p>
    <w:p w14:paraId="292D0C0B">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64432FE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9.2乙方全部履约合同义务，经甲方验收合格无质量、进度等问题的，甲方在本项目验收合格并正常运行后30日内一次性退还履约保证金，甲方若逾期退还履约保证金的，按照逾期部分的每日0.05%支付违约金；</w:t>
      </w:r>
    </w:p>
    <w:p w14:paraId="434CF870">
      <w:pPr>
        <w:spacing w:line="460" w:lineRule="exact"/>
        <w:ind w:firstLine="560" w:firstLineChars="200"/>
        <w:outlineLvl w:val="4"/>
        <w:rPr>
          <w:rFonts w:ascii="宋体" w:hAnsi="宋体" w:cs="宋体"/>
          <w:color w:val="auto"/>
          <w:sz w:val="28"/>
          <w:szCs w:val="28"/>
          <w:highlight w:val="none"/>
        </w:rPr>
      </w:pPr>
      <w:r>
        <w:rPr>
          <w:rFonts w:hint="eastAsia" w:ascii="宋体" w:hAnsi="宋体" w:cs="宋体"/>
          <w:color w:val="auto"/>
          <w:sz w:val="28"/>
          <w:szCs w:val="28"/>
          <w:highlight w:val="none"/>
        </w:rPr>
        <w:t>9.3发生以下情况的，履约保证金不予退还或部分退还：</w:t>
      </w:r>
    </w:p>
    <w:p w14:paraId="2C9DFA6D">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010A88D8">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27D0C44B">
      <w:pPr>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9.4以履约保函（保险）形式向甲方缴纳的，按照《关于在全省政府采购领域推行电子履约保函（保险）的通知》，登录江苏政府采购网，选择“保险保函”模块，进行相关操作。乙方</w:t>
      </w:r>
      <w:r>
        <w:rPr>
          <w:rFonts w:hint="eastAsia" w:ascii="宋体" w:hAnsi="宋体" w:cs="宋体"/>
          <w:color w:val="auto"/>
          <w:sz w:val="28"/>
          <w:szCs w:val="28"/>
          <w:highlight w:val="none"/>
          <w:lang w:eastAsia="zh-CN"/>
        </w:rPr>
        <w:t>可登录</w:t>
      </w:r>
      <w:r>
        <w:rPr>
          <w:rFonts w:hint="eastAsia" w:ascii="宋体" w:hAnsi="宋体" w:cs="宋体"/>
          <w:color w:val="auto"/>
          <w:sz w:val="28"/>
          <w:szCs w:val="28"/>
          <w:highlight w:val="none"/>
        </w:rPr>
        <w:t xml:space="preserve">江苏政府采购网“资料下载”栏目下载“政府采购电子履约（保函）保险操作手册（网址：http://www.ccgp-jiangsu.gov.cn/jiangsu/paying.html)。 </w:t>
      </w:r>
    </w:p>
    <w:p w14:paraId="446C9F3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十、质量保修范围和保修期及售后服务</w:t>
      </w:r>
    </w:p>
    <w:p w14:paraId="1584569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10.1设备生产厂家免费保修期≥1年（验收合格之日起开始计算），质保期内，产品因故障停用，质保期相应顺延。质保期内每年提供一次原厂技术维护。乙方中标后签订合同前提供符合国家标准及招标文件要求的售后服务承诺，不能提供或未按要求提供的甲方有权拒签合同。</w:t>
      </w:r>
    </w:p>
    <w:p w14:paraId="5078A707">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10.2质保期内，由于产品本身在设计、制造、零部件或配件上的缺陷或质量问题而造成的故障，乙方负责无条件免费维修或免费更换。质保期外根据甲方需要提供原厂保养和维修服务，优惠收取保养更换的配件费、人工费及其他费用。乙方需长期提供优惠价格的主要零配件</w:t>
      </w:r>
    </w:p>
    <w:p w14:paraId="597EAE4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10.3 仪器出现故障后，在收到甲方通知后2小时响应，24小时内到达现场。</w:t>
      </w:r>
    </w:p>
    <w:p w14:paraId="38236D1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10.4设备使用年限内（本次所投产品的年限为10年），乙方中标后签订合同前提供在设备使用年限内保障配件耗材供应及售后服务的承诺并纳入合同违约责任条款约束。不能提供或未按要求提供的甲方有权拒签合同。</w:t>
      </w:r>
    </w:p>
    <w:p w14:paraId="23BC40E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10.5需提供设备合格证、保修卡以及中文操作、培训教材、保养、维修手册。</w:t>
      </w:r>
    </w:p>
    <w:p w14:paraId="16C5224E">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十一、项目验收</w:t>
      </w:r>
    </w:p>
    <w:p w14:paraId="13C438C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11.1 甲方依法组织履约验收工作。</w:t>
      </w:r>
    </w:p>
    <w:p w14:paraId="1F41305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9B1B26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11.3 对于实际使用人和甲方分离的项目，甲方邀请实际使用人参与验收。</w:t>
      </w:r>
    </w:p>
    <w:p w14:paraId="73F00014">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11.4 如有必要，甲方邀请参加本项目的其他供应商或第三方专业机构及专家参与验收，相关意见将作为验收书的参考资料。</w:t>
      </w:r>
    </w:p>
    <w:p w14:paraId="683E5A2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w:t>
      </w:r>
    </w:p>
    <w:p w14:paraId="43BBCCB0">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8"/>
          <w:szCs w:val="28"/>
          <w:highlight w:val="none"/>
          <w:lang w:eastAsia="zh-CN"/>
        </w:rPr>
        <w:t>中华人民共和国民法典</w:t>
      </w:r>
      <w:r>
        <w:rPr>
          <w:rFonts w:hint="eastAsia" w:ascii="宋体" w:hAnsi="宋体" w:cs="宋体"/>
          <w:color w:val="auto"/>
          <w:sz w:val="28"/>
          <w:szCs w:val="28"/>
          <w:highlight w:val="none"/>
        </w:rPr>
        <w:t>》。乙方在履约过程中有政府采购法律法规规定的违法违规情形的,甲方将及时报告本级财政部门。</w:t>
      </w:r>
    </w:p>
    <w:p w14:paraId="77CAD590">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十二、货物的包装、发运及运输</w:t>
      </w:r>
    </w:p>
    <w:p w14:paraId="52822335">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快递包装政府采购需求标准（试行）》的规定。</w:t>
      </w:r>
    </w:p>
    <w:p w14:paraId="559DA01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12.2 使用说明书、质量检验证明书、随配附件和工具以及清单一并附于货物内。</w:t>
      </w:r>
    </w:p>
    <w:p w14:paraId="756FC22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12.3 乙方在货物发运手续办理完毕后24小时内或货到甲方48小时前书面通知甲方，以准备接货。</w:t>
      </w:r>
    </w:p>
    <w:p w14:paraId="32E29C7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12.4 货物在交付甲方前发生的风险均由乙方承担。</w:t>
      </w:r>
    </w:p>
    <w:p w14:paraId="4D8F670C">
      <w:pPr>
        <w:pBdr>
          <w:top w:val="none" w:color="000000" w:sz="0" w:space="0"/>
          <w:left w:val="none" w:color="000000" w:sz="0" w:space="0"/>
          <w:bottom w:val="none" w:color="000000" w:sz="0" w:space="0"/>
          <w:right w:val="none" w:color="000000" w:sz="0" w:space="0"/>
        </w:pBdr>
        <w:spacing w:line="499" w:lineRule="atLeast"/>
        <w:ind w:right="26" w:firstLine="420"/>
        <w:rPr>
          <w:rFonts w:ascii="宋体" w:hAnsi="宋体" w:cs="宋体"/>
          <w:color w:val="auto"/>
          <w:sz w:val="22"/>
          <w:szCs w:val="28"/>
          <w:highlight w:val="none"/>
        </w:rPr>
      </w:pPr>
      <w:r>
        <w:rPr>
          <w:rFonts w:hint="eastAsia" w:ascii="宋体" w:hAnsi="宋体" w:cs="宋体"/>
          <w:color w:val="auto"/>
          <w:sz w:val="28"/>
          <w:szCs w:val="28"/>
          <w:highlight w:val="none"/>
        </w:rPr>
        <w:t>12.5 货物在规定的交付期限内由乙方送达甲方指定地点视为交付，乙方同时需书面通知甲方货物已送达。</w:t>
      </w:r>
    </w:p>
    <w:p w14:paraId="3F320306">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十三、违约责任</w:t>
      </w:r>
    </w:p>
    <w:p w14:paraId="727CFC5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13.1 甲方无正当理由拒收货物的，甲方向乙方偿付拒收货款总值</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u w:val="single"/>
        </w:rPr>
        <w:t>5% </w:t>
      </w:r>
      <w:r>
        <w:rPr>
          <w:rFonts w:hint="eastAsia" w:ascii="宋体" w:hAnsi="宋体" w:cs="宋体"/>
          <w:color w:val="auto"/>
          <w:sz w:val="28"/>
          <w:szCs w:val="28"/>
          <w:highlight w:val="none"/>
        </w:rPr>
        <w:t>的违约金。</w:t>
      </w:r>
    </w:p>
    <w:p w14:paraId="1C125F5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13.2 甲方无故逾期验收和办理货款支付手续的,甲方应按逾期付款总额每日</w:t>
      </w:r>
      <w:r>
        <w:rPr>
          <w:rFonts w:hint="eastAsia" w:ascii="宋体" w:hAnsi="宋体" w:cs="宋体"/>
          <w:color w:val="auto"/>
          <w:sz w:val="28"/>
          <w:szCs w:val="28"/>
          <w:highlight w:val="none"/>
          <w:u w:val="single"/>
        </w:rPr>
        <w:t> </w:t>
      </w:r>
      <w:r>
        <w:rPr>
          <w:rFonts w:hint="eastAsia" w:ascii="宋体" w:hAnsi="宋体" w:cs="宋体"/>
          <w:color w:val="auto"/>
          <w:sz w:val="28"/>
          <w:szCs w:val="28"/>
          <w:highlight w:val="none"/>
          <w:u w:val="single"/>
        </w:rPr>
        <w:t>千分之六 </w:t>
      </w:r>
      <w:r>
        <w:rPr>
          <w:rFonts w:hint="eastAsia" w:ascii="宋体" w:hAnsi="宋体" w:cs="宋体"/>
          <w:color w:val="auto"/>
          <w:sz w:val="28"/>
          <w:szCs w:val="28"/>
          <w:highlight w:val="none"/>
        </w:rPr>
        <w:t>向乙方支付违约金。</w:t>
      </w:r>
    </w:p>
    <w:p w14:paraId="07D9140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13.3 乙方逾期交付货物的扣除全部履约保证金，乙方另应按逾期交货总额每日</w:t>
      </w:r>
      <w:r>
        <w:rPr>
          <w:rFonts w:hint="eastAsia" w:ascii="宋体" w:hAnsi="宋体" w:cs="宋体"/>
          <w:color w:val="auto"/>
          <w:sz w:val="28"/>
          <w:szCs w:val="28"/>
          <w:highlight w:val="none"/>
          <w:u w:val="single"/>
        </w:rPr>
        <w:t>千分之六</w:t>
      </w:r>
      <w:r>
        <w:rPr>
          <w:rFonts w:hint="eastAsia" w:ascii="宋体" w:hAnsi="宋体" w:cs="宋体"/>
          <w:color w:val="auto"/>
          <w:sz w:val="28"/>
          <w:szCs w:val="28"/>
          <w:highlight w:val="none"/>
        </w:rPr>
        <w:t xml:space="preserve">向甲方支付违约金，由甲方从待付货款中扣除。乙方未能在合同约定供货期限（合同签订后 45 天）前交货的，甲方拒收货物并终止合同，乙方并按合同价的50%赔偿给甲方。 </w:t>
      </w:r>
    </w:p>
    <w:p w14:paraId="147AF51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且无需支付乙方任何费用。</w:t>
      </w:r>
    </w:p>
    <w:p w14:paraId="31E1580F">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十四、不可抗力事件处理</w:t>
      </w:r>
    </w:p>
    <w:p w14:paraId="6EB0A581">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14.1 在合同有效期内，任何一方因不可抗力事件导致不能履行合同，则合同履行期可延长，其延长期与不可抗力影响期相同。</w:t>
      </w:r>
    </w:p>
    <w:p w14:paraId="03D07D2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14.2 不可抗力事件发生后，应立即通知对方，并寄送有关权威机构出具的证明。</w:t>
      </w:r>
    </w:p>
    <w:p w14:paraId="7CE3BE4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14.3 不可抗力事件延续120天以上，甲乙双方应通过友好协商，确定是否继续履行合同。</w:t>
      </w:r>
    </w:p>
    <w:p w14:paraId="6A86A4D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十五、解决争议的方法</w:t>
      </w:r>
    </w:p>
    <w:p w14:paraId="7A60B62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15.1甲乙双方因合同签订、履行而发生的一切争议，应通过友好协商解决。如协商不成的，由甲方所在地人民法院管辖。</w:t>
      </w:r>
    </w:p>
    <w:p w14:paraId="5C702A38">
      <w:pPr>
        <w:pBdr>
          <w:top w:val="none" w:color="000000" w:sz="0" w:space="0"/>
          <w:left w:val="none" w:color="000000" w:sz="0" w:space="0"/>
          <w:bottom w:val="none" w:color="000000" w:sz="0" w:space="0"/>
          <w:right w:val="none" w:color="000000" w:sz="0" w:space="0"/>
        </w:pBdr>
        <w:spacing w:line="499" w:lineRule="atLeast"/>
        <w:ind w:firstLine="422"/>
        <w:rPr>
          <w:rFonts w:ascii="宋体" w:hAnsi="宋体" w:cs="宋体"/>
          <w:color w:val="auto"/>
          <w:sz w:val="22"/>
          <w:szCs w:val="28"/>
          <w:highlight w:val="none"/>
        </w:rPr>
      </w:pPr>
      <w:r>
        <w:rPr>
          <w:rFonts w:hint="eastAsia" w:ascii="宋体" w:hAnsi="宋体" w:cs="宋体"/>
          <w:b/>
          <w:color w:val="auto"/>
          <w:sz w:val="28"/>
          <w:szCs w:val="28"/>
          <w:highlight w:val="none"/>
        </w:rPr>
        <w:t>十六、合同生效及其它</w:t>
      </w:r>
    </w:p>
    <w:p w14:paraId="5A146D49">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16.1 合同经甲乙双方法定代表人或授权委托代表人签字并加盖单位公章后生效。</w:t>
      </w:r>
    </w:p>
    <w:p w14:paraId="1305D0E7">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16.2本合同未尽事宜，遵照《中华人民共和国民法典》《中华人民共和国政府采购法》有关条文执行。</w:t>
      </w:r>
    </w:p>
    <w:p w14:paraId="2CF57A3B">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16.3 本合同正本一式两份，具有同等法律效力，甲方、乙方各执一份。</w:t>
      </w:r>
    </w:p>
    <w:p w14:paraId="40BA81DD">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（以下无正文）</w:t>
      </w:r>
    </w:p>
    <w:p w14:paraId="4ACA2FC8">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w:t>
      </w:r>
    </w:p>
    <w:p w14:paraId="65EA24BA">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xml:space="preserve">甲方（盖章）：              乙方（盖章）： </w:t>
      </w:r>
    </w:p>
    <w:p w14:paraId="6706450E">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 xml:space="preserve">地址：                     地址： </w:t>
      </w:r>
    </w:p>
    <w:p w14:paraId="4CAF679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8"/>
          <w:szCs w:val="28"/>
          <w:highlight w:val="none"/>
        </w:rPr>
      </w:pPr>
      <w:r>
        <w:rPr>
          <w:rFonts w:hint="eastAsia" w:ascii="宋体" w:hAnsi="宋体" w:cs="宋体"/>
          <w:color w:val="auto"/>
          <w:sz w:val="28"/>
          <w:szCs w:val="28"/>
          <w:highlight w:val="none"/>
        </w:rPr>
        <w:t>法定代表人或授权代表：      法定代表人或授权代表：</w:t>
      </w:r>
    </w:p>
    <w:p w14:paraId="168450A3">
      <w:pPr>
        <w:pBdr>
          <w:top w:val="none" w:color="000000" w:sz="0" w:space="0"/>
          <w:left w:val="none" w:color="000000" w:sz="0" w:space="0"/>
          <w:bottom w:val="none" w:color="000000" w:sz="0" w:space="0"/>
          <w:right w:val="none" w:color="000000" w:sz="0" w:space="0"/>
        </w:pBdr>
        <w:spacing w:line="499" w:lineRule="atLeast"/>
        <w:ind w:firstLine="420"/>
        <w:rPr>
          <w:rFonts w:ascii="宋体" w:hAnsi="宋体" w:cs="宋体"/>
          <w:color w:val="auto"/>
          <w:sz w:val="22"/>
          <w:szCs w:val="28"/>
          <w:highlight w:val="none"/>
        </w:rPr>
      </w:pPr>
      <w:r>
        <w:rPr>
          <w:rFonts w:hint="eastAsia" w:ascii="宋体" w:hAnsi="宋体" w:cs="宋体"/>
          <w:color w:val="auto"/>
          <w:sz w:val="28"/>
          <w:szCs w:val="28"/>
          <w:highlight w:val="none"/>
        </w:rPr>
        <w:t>联系电话：               联系电话：</w:t>
      </w:r>
    </w:p>
    <w:p w14:paraId="68021792">
      <w:pPr>
        <w:pBdr>
          <w:top w:val="none" w:color="000000" w:sz="0" w:space="0"/>
          <w:left w:val="none" w:color="000000" w:sz="0" w:space="0"/>
          <w:bottom w:val="none" w:color="000000" w:sz="0" w:space="0"/>
          <w:right w:val="none" w:color="000000" w:sz="0" w:space="0"/>
        </w:pBdr>
        <w:spacing w:line="499" w:lineRule="atLeast"/>
        <w:ind w:firstLine="367"/>
        <w:jc w:val="center"/>
        <w:rPr>
          <w:rFonts w:ascii="宋体" w:hAnsi="宋体" w:cs="宋体"/>
          <w:color w:val="auto"/>
          <w:sz w:val="22"/>
          <w:szCs w:val="28"/>
          <w:highlight w:val="none"/>
        </w:rPr>
      </w:pPr>
      <w:r>
        <w:rPr>
          <w:rFonts w:hint="eastAsia" w:ascii="宋体" w:hAnsi="宋体" w:cs="宋体"/>
          <w:color w:val="auto"/>
          <w:sz w:val="22"/>
          <w:szCs w:val="28"/>
          <w:highlight w:val="none"/>
        </w:rPr>
        <w:t>                 </w:t>
      </w:r>
      <w:r>
        <w:rPr>
          <w:rFonts w:hint="eastAsia" w:ascii="宋体" w:hAnsi="宋体" w:cs="宋体"/>
          <w:color w:val="auto"/>
          <w:sz w:val="28"/>
          <w:szCs w:val="28"/>
          <w:highlight w:val="none"/>
        </w:rPr>
        <w:t>   </w:t>
      </w:r>
    </w:p>
    <w:p w14:paraId="63318207">
      <w:pPr>
        <w:pBdr>
          <w:top w:val="none" w:color="000000" w:sz="0" w:space="0"/>
          <w:left w:val="none" w:color="000000" w:sz="0" w:space="0"/>
          <w:bottom w:val="none" w:color="000000" w:sz="0" w:space="0"/>
          <w:right w:val="none" w:color="000000" w:sz="0" w:space="0"/>
        </w:pBdr>
        <w:spacing w:line="460" w:lineRule="exact"/>
        <w:ind w:firstLine="560" w:firstLineChars="200"/>
        <w:jc w:val="left"/>
        <w:rPr>
          <w:rFonts w:ascii="宋体" w:hAnsi="宋体" w:cs="宋体"/>
          <w:b/>
          <w:color w:val="auto"/>
          <w:sz w:val="32"/>
          <w:szCs w:val="32"/>
          <w:highlight w:val="none"/>
        </w:rPr>
      </w:pPr>
      <w:r>
        <w:rPr>
          <w:rFonts w:hint="eastAsia" w:ascii="宋体" w:hAnsi="宋体" w:cs="宋体"/>
          <w:color w:val="auto"/>
          <w:sz w:val="28"/>
          <w:szCs w:val="28"/>
          <w:highlight w:val="none"/>
        </w:rPr>
        <w:t>              签订日期：年  月 日</w:t>
      </w:r>
    </w:p>
    <w:p w14:paraId="77AD6154">
      <w:pPr>
        <w:spacing w:line="460" w:lineRule="exact"/>
        <w:jc w:val="center"/>
        <w:outlineLvl w:val="0"/>
        <w:rPr>
          <w:rFonts w:ascii="宋体" w:hAnsi="宋体" w:cs="宋体"/>
          <w:bCs/>
          <w:color w:val="auto"/>
          <w:sz w:val="36"/>
          <w:szCs w:val="36"/>
          <w:highlight w:val="none"/>
        </w:rPr>
      </w:pPr>
      <w:r>
        <w:rPr>
          <w:rFonts w:hint="eastAsia" w:ascii="宋体" w:hAnsi="宋体" w:cs="宋体"/>
          <w:bCs/>
          <w:color w:val="auto"/>
          <w:sz w:val="24"/>
          <w:highlight w:val="none"/>
        </w:rPr>
        <w:br w:type="page"/>
      </w:r>
      <w:bookmarkStart w:id="265" w:name="_Toc26259"/>
      <w:bookmarkStart w:id="266" w:name="_Toc30320"/>
      <w:r>
        <w:rPr>
          <w:rFonts w:hint="eastAsia" w:ascii="宋体" w:hAnsi="宋体" w:cs="宋体"/>
          <w:bCs/>
          <w:color w:val="auto"/>
          <w:sz w:val="36"/>
          <w:szCs w:val="36"/>
          <w:highlight w:val="none"/>
        </w:rPr>
        <w:t>第四部分  开标和评标</w:t>
      </w:r>
      <w:bookmarkEnd w:id="265"/>
      <w:bookmarkEnd w:id="266"/>
    </w:p>
    <w:p w14:paraId="3C1C3EB1">
      <w:pPr>
        <w:pStyle w:val="79"/>
        <w:snapToGrid w:val="0"/>
        <w:spacing w:before="0" w:after="0" w:line="460" w:lineRule="exact"/>
        <w:ind w:left="0" w:right="0" w:firstLine="562" w:firstLineChars="200"/>
        <w:jc w:val="left"/>
        <w:outlineLvl w:val="1"/>
        <w:rPr>
          <w:rFonts w:ascii="宋体" w:hAnsi="宋体" w:cs="宋体"/>
          <w:b/>
          <w:color w:val="auto"/>
          <w:kern w:val="2"/>
          <w:sz w:val="28"/>
          <w:szCs w:val="28"/>
          <w:highlight w:val="none"/>
        </w:rPr>
      </w:pPr>
      <w:bookmarkStart w:id="267" w:name="_Toc29131"/>
      <w:r>
        <w:rPr>
          <w:rFonts w:hint="eastAsia" w:ascii="宋体" w:hAnsi="宋体" w:cs="宋体"/>
          <w:b/>
          <w:color w:val="auto"/>
          <w:kern w:val="2"/>
          <w:sz w:val="28"/>
          <w:szCs w:val="28"/>
          <w:highlight w:val="none"/>
        </w:rPr>
        <w:t>一、开标</w:t>
      </w:r>
      <w:bookmarkEnd w:id="267"/>
    </w:p>
    <w:p w14:paraId="0839535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不见面远程开标模式：开标当天各投标人在各自地点通过苏采云系统及时登录不见面开标大厅，参加投标活动。</w:t>
      </w:r>
    </w:p>
    <w:p w14:paraId="687C998B">
      <w:pPr>
        <w:pStyle w:val="79"/>
        <w:snapToGrid w:val="0"/>
        <w:spacing w:before="0" w:after="0" w:line="460" w:lineRule="exact"/>
        <w:ind w:left="0" w:right="0" w:firstLine="562" w:firstLineChars="200"/>
        <w:jc w:val="left"/>
        <w:outlineLvl w:val="1"/>
        <w:rPr>
          <w:rFonts w:ascii="宋体" w:hAnsi="宋体" w:cs="宋体"/>
          <w:b/>
          <w:color w:val="auto"/>
          <w:kern w:val="2"/>
          <w:sz w:val="28"/>
          <w:szCs w:val="28"/>
          <w:highlight w:val="none"/>
        </w:rPr>
      </w:pPr>
      <w:bookmarkStart w:id="268" w:name="_Toc28154"/>
      <w:r>
        <w:rPr>
          <w:rFonts w:hint="eastAsia" w:ascii="宋体" w:hAnsi="宋体" w:cs="宋体"/>
          <w:b/>
          <w:color w:val="auto"/>
          <w:kern w:val="2"/>
          <w:sz w:val="28"/>
          <w:szCs w:val="28"/>
          <w:highlight w:val="none"/>
        </w:rPr>
        <w:t>二、评标流程和评标标准</w:t>
      </w:r>
      <w:bookmarkEnd w:id="268"/>
    </w:p>
    <w:p w14:paraId="1FACB41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采用综合评分法。分资格审查、商务技术标、价格标、三部分评审，总分值为100分，加分和减分因素除外。</w:t>
      </w:r>
    </w:p>
    <w:p w14:paraId="1053D8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7E09F0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7EF242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评委在认真审阅投标文件的基础上，根据各投标文件的响应程度独立评判，不得统一打分。</w:t>
      </w:r>
    </w:p>
    <w:p w14:paraId="432D04B2">
      <w:pPr>
        <w:adjustRightInd w:val="0"/>
        <w:snapToGrid w:val="0"/>
        <w:spacing w:line="460" w:lineRule="exact"/>
        <w:ind w:firstLine="562" w:firstLineChars="200"/>
        <w:outlineLvl w:val="2"/>
        <w:rPr>
          <w:rFonts w:ascii="宋体" w:hAnsi="宋体" w:cs="宋体"/>
          <w:b/>
          <w:color w:val="auto"/>
          <w:sz w:val="28"/>
          <w:szCs w:val="28"/>
          <w:highlight w:val="none"/>
        </w:rPr>
      </w:pPr>
      <w:bookmarkStart w:id="269" w:name="_Toc13980"/>
      <w:r>
        <w:rPr>
          <w:rFonts w:hint="eastAsia" w:ascii="宋体" w:hAnsi="宋体" w:cs="宋体"/>
          <w:b/>
          <w:color w:val="auto"/>
          <w:sz w:val="28"/>
          <w:szCs w:val="28"/>
          <w:highlight w:val="none"/>
        </w:rPr>
        <w:t>（一）采购人（代表）对投标人资格进行审查。</w:t>
      </w:r>
      <w:bookmarkEnd w:id="269"/>
    </w:p>
    <w:p w14:paraId="325E1B0E">
      <w:pPr>
        <w:pStyle w:val="83"/>
        <w:adjustRightInd w:val="0"/>
        <w:snapToGrid w:val="0"/>
        <w:spacing w:line="460" w:lineRule="exact"/>
        <w:ind w:firstLine="560" w:firstLineChars="200"/>
        <w:rPr>
          <w:rFonts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2FB32230">
      <w:pPr>
        <w:adjustRightInd w:val="0"/>
        <w:snapToGrid w:val="0"/>
        <w:spacing w:line="460" w:lineRule="exact"/>
        <w:ind w:firstLine="562" w:firstLineChars="200"/>
        <w:jc w:val="left"/>
        <w:outlineLvl w:val="2"/>
        <w:rPr>
          <w:rFonts w:ascii="宋体" w:hAnsi="宋体" w:cs="宋体"/>
          <w:b/>
          <w:color w:val="auto"/>
          <w:sz w:val="28"/>
          <w:szCs w:val="28"/>
          <w:highlight w:val="none"/>
        </w:rPr>
      </w:pPr>
      <w:bookmarkStart w:id="270" w:name="_Toc8474"/>
      <w:r>
        <w:rPr>
          <w:rFonts w:hint="eastAsia" w:ascii="宋体" w:hAnsi="宋体" w:cs="宋体"/>
          <w:b/>
          <w:color w:val="auto"/>
          <w:sz w:val="28"/>
          <w:szCs w:val="28"/>
          <w:highlight w:val="none"/>
        </w:rPr>
        <w:t>（二）评标委员会对符合资格投标人的投标文件进行符合性审查。</w:t>
      </w:r>
      <w:bookmarkEnd w:id="270"/>
    </w:p>
    <w:p w14:paraId="450A6724">
      <w:pPr>
        <w:pStyle w:val="83"/>
        <w:adjustRightInd w:val="0"/>
        <w:snapToGrid w:val="0"/>
        <w:spacing w:line="460" w:lineRule="exact"/>
        <w:ind w:firstLine="560" w:firstLineChars="200"/>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p>
    <w:p w14:paraId="14BB5120">
      <w:pPr>
        <w:adjustRightInd w:val="0"/>
        <w:snapToGrid w:val="0"/>
        <w:spacing w:line="460" w:lineRule="exact"/>
        <w:ind w:firstLine="562" w:firstLineChars="200"/>
        <w:jc w:val="left"/>
        <w:outlineLvl w:val="2"/>
        <w:rPr>
          <w:rFonts w:ascii="宋体" w:hAnsi="宋体" w:cs="宋体"/>
          <w:color w:val="auto"/>
          <w:sz w:val="28"/>
          <w:szCs w:val="28"/>
          <w:highlight w:val="none"/>
          <w:lang w:val="zh-CN"/>
        </w:rPr>
      </w:pPr>
      <w:bookmarkStart w:id="271" w:name="_Toc24736"/>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rPr>
        <w:t>70</w:t>
      </w:r>
      <w:r>
        <w:rPr>
          <w:rFonts w:hint="eastAsia" w:ascii="宋体" w:hAnsi="宋体" w:cs="宋体"/>
          <w:color w:val="auto"/>
          <w:sz w:val="28"/>
          <w:szCs w:val="28"/>
          <w:highlight w:val="none"/>
          <w:lang w:val="zh-CN"/>
        </w:rPr>
        <w:t>分</w:t>
      </w:r>
      <w:bookmarkEnd w:id="271"/>
    </w:p>
    <w:p w14:paraId="7838549F">
      <w:pPr>
        <w:autoSpaceDE w:val="0"/>
        <w:autoSpaceDN w:val="0"/>
        <w:adjustRightInd w:val="0"/>
        <w:snapToGrid w:val="0"/>
        <w:spacing w:line="460" w:lineRule="exact"/>
        <w:ind w:firstLine="560" w:firstLineChars="200"/>
        <w:rPr>
          <w:rFonts w:ascii="宋体" w:hAnsi="宋体" w:cs="宋体"/>
          <w:color w:val="auto"/>
          <w:sz w:val="28"/>
          <w:szCs w:val="28"/>
          <w:highlight w:val="none"/>
        </w:rPr>
      </w:pPr>
      <w:bookmarkStart w:id="272" w:name="_Toc126"/>
      <w:r>
        <w:rPr>
          <w:rFonts w:hint="eastAsia" w:ascii="宋体" w:hAnsi="宋体" w:cs="宋体"/>
          <w:color w:val="auto"/>
          <w:sz w:val="28"/>
          <w:szCs w:val="28"/>
          <w:highlight w:val="none"/>
        </w:rPr>
        <w:t>各投标人得分为评委会成员评分的算术平均分，分值保留小数点后两位。</w:t>
      </w:r>
    </w:p>
    <w:tbl>
      <w:tblPr>
        <w:tblStyle w:val="37"/>
        <w:tblpPr w:leftFromText="180" w:rightFromText="180" w:vertAnchor="text" w:tblpXSpec="center" w:tblpY="1"/>
        <w:tblOverlap w:val="never"/>
        <w:tblW w:w="5191" w:type="pct"/>
        <w:tblInd w:w="0" w:type="dxa"/>
        <w:tblLayout w:type="autofit"/>
        <w:tblCellMar>
          <w:top w:w="0" w:type="dxa"/>
          <w:left w:w="108" w:type="dxa"/>
          <w:bottom w:w="0" w:type="dxa"/>
          <w:right w:w="108" w:type="dxa"/>
        </w:tblCellMar>
      </w:tblPr>
      <w:tblGrid>
        <w:gridCol w:w="657"/>
        <w:gridCol w:w="1064"/>
        <w:gridCol w:w="4748"/>
        <w:gridCol w:w="765"/>
        <w:gridCol w:w="726"/>
        <w:gridCol w:w="889"/>
      </w:tblGrid>
      <w:tr w14:paraId="207E7EB6">
        <w:tblPrEx>
          <w:tblCellMar>
            <w:top w:w="0" w:type="dxa"/>
            <w:left w:w="108" w:type="dxa"/>
            <w:bottom w:w="0" w:type="dxa"/>
            <w:right w:w="108" w:type="dxa"/>
          </w:tblCellMar>
        </w:tblPrEx>
        <w:trPr>
          <w:trHeight w:val="780" w:hRule="atLeast"/>
        </w:trPr>
        <w:tc>
          <w:tcPr>
            <w:tcW w:w="371" w:type="pct"/>
            <w:tcBorders>
              <w:top w:val="single" w:color="000000" w:sz="4" w:space="0"/>
              <w:left w:val="single" w:color="000000" w:sz="4" w:space="0"/>
              <w:bottom w:val="single" w:color="000000" w:sz="4" w:space="0"/>
              <w:right w:val="single" w:color="auto" w:sz="4" w:space="0"/>
            </w:tcBorders>
            <w:vAlign w:val="center"/>
          </w:tcPr>
          <w:p w14:paraId="795246E3">
            <w:pPr>
              <w:widowControl/>
              <w:spacing w:line="460" w:lineRule="exact"/>
              <w:jc w:val="center"/>
              <w:textAlignment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601" w:type="pct"/>
            <w:tcBorders>
              <w:top w:val="single" w:color="000000" w:sz="4" w:space="0"/>
              <w:left w:val="single" w:color="auto" w:sz="4" w:space="0"/>
              <w:bottom w:val="single" w:color="000000" w:sz="4" w:space="0"/>
              <w:right w:val="single" w:color="000000" w:sz="4" w:space="0"/>
            </w:tcBorders>
            <w:vAlign w:val="center"/>
          </w:tcPr>
          <w:p w14:paraId="4BA36323">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评分因素</w:t>
            </w:r>
          </w:p>
        </w:tc>
        <w:tc>
          <w:tcPr>
            <w:tcW w:w="2681" w:type="pct"/>
            <w:tcBorders>
              <w:top w:val="single" w:color="000000" w:sz="4" w:space="0"/>
              <w:left w:val="single" w:color="000000" w:sz="4" w:space="0"/>
              <w:bottom w:val="single" w:color="000000" w:sz="4" w:space="0"/>
              <w:right w:val="single" w:color="000000" w:sz="4" w:space="0"/>
            </w:tcBorders>
            <w:vAlign w:val="center"/>
          </w:tcPr>
          <w:p w14:paraId="59A2E283">
            <w:pPr>
              <w:widowControl/>
              <w:spacing w:line="460" w:lineRule="exact"/>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评分标准</w:t>
            </w:r>
          </w:p>
        </w:tc>
        <w:tc>
          <w:tcPr>
            <w:tcW w:w="432" w:type="pct"/>
            <w:tcBorders>
              <w:top w:val="single" w:color="000000" w:sz="4" w:space="0"/>
              <w:left w:val="single" w:color="000000" w:sz="4" w:space="0"/>
              <w:bottom w:val="single" w:color="000000" w:sz="4" w:space="0"/>
              <w:right w:val="single" w:color="000000" w:sz="4" w:space="0"/>
            </w:tcBorders>
            <w:vAlign w:val="center"/>
          </w:tcPr>
          <w:p w14:paraId="4B140FFC">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最高分</w:t>
            </w:r>
          </w:p>
        </w:tc>
        <w:tc>
          <w:tcPr>
            <w:tcW w:w="410" w:type="pct"/>
            <w:tcBorders>
              <w:top w:val="single" w:color="000000" w:sz="4" w:space="0"/>
              <w:left w:val="single" w:color="000000" w:sz="4" w:space="0"/>
              <w:bottom w:val="single" w:color="000000" w:sz="4" w:space="0"/>
              <w:right w:val="single" w:color="000000" w:sz="4" w:space="0"/>
            </w:tcBorders>
            <w:vAlign w:val="center"/>
          </w:tcPr>
          <w:p w14:paraId="3302A7A8">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最低分</w:t>
            </w:r>
          </w:p>
        </w:tc>
        <w:tc>
          <w:tcPr>
            <w:tcW w:w="502" w:type="pct"/>
            <w:tcBorders>
              <w:top w:val="single" w:color="000000" w:sz="4" w:space="0"/>
              <w:left w:val="single" w:color="000000" w:sz="4" w:space="0"/>
              <w:bottom w:val="single" w:color="000000" w:sz="4" w:space="0"/>
              <w:right w:val="single" w:color="000000" w:sz="4" w:space="0"/>
            </w:tcBorders>
            <w:vAlign w:val="center"/>
          </w:tcPr>
          <w:p w14:paraId="3F9D4D54">
            <w:pPr>
              <w:widowControl/>
              <w:spacing w:line="460" w:lineRule="exact"/>
              <w:jc w:val="center"/>
              <w:textAlignment w:val="center"/>
              <w:rPr>
                <w:rFonts w:ascii="宋体" w:hAnsi="宋体" w:cs="宋体"/>
                <w:b/>
                <w:bCs/>
                <w:color w:val="auto"/>
                <w:kern w:val="0"/>
                <w:sz w:val="24"/>
                <w:highlight w:val="none"/>
              </w:rPr>
            </w:pPr>
            <w:r>
              <w:rPr>
                <w:rFonts w:hint="eastAsia" w:ascii="宋体" w:hAnsi="宋体" w:cs="宋体"/>
                <w:b/>
                <w:bCs/>
                <w:color w:val="auto"/>
                <w:kern w:val="0"/>
                <w:sz w:val="24"/>
                <w:highlight w:val="none"/>
              </w:rPr>
              <w:t>主/客观分</w:t>
            </w:r>
          </w:p>
        </w:tc>
      </w:tr>
      <w:tr w14:paraId="52C5DE7F">
        <w:tblPrEx>
          <w:tblCellMar>
            <w:top w:w="0" w:type="dxa"/>
            <w:left w:w="108" w:type="dxa"/>
            <w:bottom w:w="0" w:type="dxa"/>
            <w:right w:w="108" w:type="dxa"/>
          </w:tblCellMar>
        </w:tblPrEx>
        <w:trPr>
          <w:trHeight w:val="934" w:hRule="atLeast"/>
        </w:trPr>
        <w:tc>
          <w:tcPr>
            <w:tcW w:w="371" w:type="pct"/>
            <w:tcBorders>
              <w:top w:val="single" w:color="000000" w:sz="4" w:space="0"/>
              <w:left w:val="single" w:color="000000" w:sz="4" w:space="0"/>
              <w:bottom w:val="single" w:color="000000" w:sz="4" w:space="0"/>
              <w:right w:val="single" w:color="auto" w:sz="4" w:space="0"/>
            </w:tcBorders>
            <w:vAlign w:val="center"/>
          </w:tcPr>
          <w:p w14:paraId="0C17889B">
            <w:pPr>
              <w:jc w:val="left"/>
              <w:rPr>
                <w:rFonts w:ascii="宋体" w:hAnsi="宋体" w:cs="宋体"/>
                <w:color w:val="auto"/>
                <w:sz w:val="24"/>
                <w:highlight w:val="none"/>
              </w:rPr>
            </w:pPr>
            <w:r>
              <w:rPr>
                <w:rFonts w:hint="eastAsia" w:ascii="宋体" w:hAnsi="宋体" w:cs="宋体"/>
                <w:color w:val="auto"/>
                <w:sz w:val="24"/>
                <w:highlight w:val="none"/>
              </w:rPr>
              <w:t>1</w:t>
            </w:r>
          </w:p>
        </w:tc>
        <w:tc>
          <w:tcPr>
            <w:tcW w:w="601" w:type="pct"/>
            <w:tcBorders>
              <w:top w:val="single" w:color="000000" w:sz="4" w:space="0"/>
              <w:left w:val="single" w:color="auto" w:sz="4" w:space="0"/>
              <w:bottom w:val="single" w:color="000000" w:sz="4" w:space="0"/>
              <w:right w:val="single" w:color="000000" w:sz="4" w:space="0"/>
            </w:tcBorders>
            <w:vAlign w:val="center"/>
          </w:tcPr>
          <w:p w14:paraId="29937AC3">
            <w:pPr>
              <w:jc w:val="left"/>
              <w:rPr>
                <w:rFonts w:ascii="宋体" w:hAnsi="宋体" w:cs="宋体"/>
                <w:color w:val="auto"/>
                <w:sz w:val="24"/>
                <w:highlight w:val="none"/>
              </w:rPr>
            </w:pPr>
            <w:r>
              <w:rPr>
                <w:rFonts w:hint="eastAsia" w:ascii="宋体" w:hAnsi="宋体" w:cs="宋体"/>
                <w:color w:val="auto"/>
                <w:sz w:val="24"/>
                <w:highlight w:val="none"/>
              </w:rPr>
              <w:t>设备性能及技术参数响应情况</w:t>
            </w:r>
          </w:p>
        </w:tc>
        <w:tc>
          <w:tcPr>
            <w:tcW w:w="2681" w:type="pct"/>
            <w:tcBorders>
              <w:top w:val="single" w:color="000000" w:sz="4" w:space="0"/>
              <w:left w:val="single" w:color="000000" w:sz="4" w:space="0"/>
              <w:bottom w:val="single" w:color="000000" w:sz="4" w:space="0"/>
              <w:right w:val="single" w:color="000000" w:sz="4" w:space="0"/>
            </w:tcBorders>
            <w:vAlign w:val="center"/>
          </w:tcPr>
          <w:p w14:paraId="7C89BF25">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产品技术要求完全满足得45分。加▲的条款，每负偏离一项扣1分；没有标识的技术参数条款，每负偏离一项扣0.5分，45分扣完为止。本项最高45分。标“★”项参数必须完全满足，未完全满足作无效投标处理。</w:t>
            </w:r>
          </w:p>
          <w:p w14:paraId="35897F5D">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注：投标人提供《技术部分参数响应偏离表》及招标文件要求提供的相关佐证材料。未按要求提供佐证材料的视为负偏离。</w:t>
            </w:r>
          </w:p>
        </w:tc>
        <w:tc>
          <w:tcPr>
            <w:tcW w:w="432" w:type="pct"/>
            <w:tcBorders>
              <w:top w:val="single" w:color="000000" w:sz="4" w:space="0"/>
              <w:left w:val="single" w:color="000000" w:sz="4" w:space="0"/>
              <w:bottom w:val="single" w:color="000000" w:sz="4" w:space="0"/>
              <w:right w:val="single" w:color="000000" w:sz="4" w:space="0"/>
            </w:tcBorders>
            <w:vAlign w:val="center"/>
          </w:tcPr>
          <w:p w14:paraId="2A105E7E">
            <w:pPr>
              <w:jc w:val="left"/>
              <w:rPr>
                <w:rFonts w:ascii="宋体" w:hAnsi="宋体" w:cs="宋体"/>
                <w:color w:val="auto"/>
                <w:sz w:val="24"/>
                <w:highlight w:val="none"/>
              </w:rPr>
            </w:pPr>
            <w:r>
              <w:rPr>
                <w:rFonts w:hint="eastAsia" w:ascii="宋体" w:hAnsi="宋体" w:cs="宋体"/>
                <w:color w:val="auto"/>
                <w:sz w:val="24"/>
                <w:highlight w:val="none"/>
              </w:rPr>
              <w:t>45分</w:t>
            </w:r>
          </w:p>
        </w:tc>
        <w:tc>
          <w:tcPr>
            <w:tcW w:w="410" w:type="pct"/>
            <w:tcBorders>
              <w:top w:val="single" w:color="000000" w:sz="4" w:space="0"/>
              <w:left w:val="single" w:color="000000" w:sz="4" w:space="0"/>
              <w:bottom w:val="single" w:color="000000" w:sz="4" w:space="0"/>
              <w:right w:val="single" w:color="000000" w:sz="4" w:space="0"/>
            </w:tcBorders>
            <w:vAlign w:val="center"/>
          </w:tcPr>
          <w:p w14:paraId="24668F7F">
            <w:pPr>
              <w:jc w:val="left"/>
              <w:rPr>
                <w:rFonts w:ascii="宋体" w:hAnsi="宋体" w:cs="宋体"/>
                <w:color w:val="auto"/>
                <w:sz w:val="24"/>
                <w:highlight w:val="none"/>
              </w:rPr>
            </w:pPr>
            <w:r>
              <w:rPr>
                <w:rFonts w:hint="eastAsia" w:ascii="宋体" w:hAnsi="宋体" w:cs="宋体"/>
                <w:color w:val="auto"/>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E48E04F">
            <w:pPr>
              <w:jc w:val="left"/>
              <w:rPr>
                <w:rFonts w:ascii="宋体" w:hAnsi="宋体" w:cs="宋体"/>
                <w:color w:val="auto"/>
                <w:sz w:val="24"/>
                <w:highlight w:val="none"/>
              </w:rPr>
            </w:pPr>
            <w:r>
              <w:rPr>
                <w:rFonts w:hint="eastAsia" w:ascii="宋体" w:hAnsi="宋体" w:cs="宋体"/>
                <w:color w:val="auto"/>
                <w:sz w:val="24"/>
                <w:highlight w:val="none"/>
              </w:rPr>
              <w:t>客观分</w:t>
            </w:r>
          </w:p>
        </w:tc>
      </w:tr>
      <w:tr w14:paraId="67E17B81">
        <w:tblPrEx>
          <w:tblCellMar>
            <w:top w:w="0" w:type="dxa"/>
            <w:left w:w="108" w:type="dxa"/>
            <w:bottom w:w="0" w:type="dxa"/>
            <w:right w:w="108" w:type="dxa"/>
          </w:tblCellMar>
        </w:tblPrEx>
        <w:trPr>
          <w:trHeight w:val="396" w:hRule="atLeast"/>
        </w:trPr>
        <w:tc>
          <w:tcPr>
            <w:tcW w:w="371" w:type="pct"/>
            <w:tcBorders>
              <w:top w:val="single" w:color="000000" w:sz="4" w:space="0"/>
              <w:left w:val="single" w:color="000000" w:sz="4" w:space="0"/>
              <w:bottom w:val="single" w:color="000000" w:sz="4" w:space="0"/>
              <w:right w:val="single" w:color="000000" w:sz="4" w:space="0"/>
            </w:tcBorders>
            <w:vAlign w:val="center"/>
          </w:tcPr>
          <w:p w14:paraId="66FE2817">
            <w:pPr>
              <w:jc w:val="left"/>
              <w:rPr>
                <w:rFonts w:ascii="宋体" w:hAnsi="宋体" w:cs="宋体"/>
                <w:color w:val="auto"/>
                <w:sz w:val="24"/>
                <w:highlight w:val="none"/>
              </w:rPr>
            </w:pPr>
            <w:r>
              <w:rPr>
                <w:rFonts w:hint="eastAsia" w:ascii="宋体" w:hAnsi="宋体" w:cs="宋体"/>
                <w:color w:val="auto"/>
                <w:sz w:val="24"/>
                <w:highlight w:val="none"/>
              </w:rPr>
              <w:t>2</w:t>
            </w:r>
          </w:p>
        </w:tc>
        <w:tc>
          <w:tcPr>
            <w:tcW w:w="601" w:type="pct"/>
            <w:tcBorders>
              <w:top w:val="single" w:color="000000" w:sz="4" w:space="0"/>
              <w:left w:val="single" w:color="000000" w:sz="4" w:space="0"/>
              <w:bottom w:val="single" w:color="000000" w:sz="4" w:space="0"/>
              <w:right w:val="single" w:color="000000" w:sz="4" w:space="0"/>
            </w:tcBorders>
            <w:vAlign w:val="center"/>
          </w:tcPr>
          <w:p w14:paraId="575EDA7D">
            <w:pPr>
              <w:jc w:val="left"/>
              <w:rPr>
                <w:rFonts w:ascii="宋体" w:hAnsi="宋体" w:cs="宋体"/>
                <w:color w:val="auto"/>
                <w:sz w:val="24"/>
                <w:highlight w:val="none"/>
              </w:rPr>
            </w:pPr>
            <w:r>
              <w:rPr>
                <w:rFonts w:hint="eastAsia" w:ascii="宋体" w:hAnsi="宋体" w:cs="宋体"/>
                <w:color w:val="auto"/>
                <w:sz w:val="24"/>
                <w:highlight w:val="none"/>
              </w:rPr>
              <w:t>技术方案</w:t>
            </w:r>
          </w:p>
        </w:tc>
        <w:tc>
          <w:tcPr>
            <w:tcW w:w="2681" w:type="pct"/>
            <w:tcBorders>
              <w:top w:val="single" w:color="000000" w:sz="4" w:space="0"/>
              <w:left w:val="single" w:color="000000" w:sz="4" w:space="0"/>
              <w:bottom w:val="single" w:color="000000" w:sz="4" w:space="0"/>
              <w:right w:val="single" w:color="000000" w:sz="4" w:space="0"/>
            </w:tcBorders>
            <w:vAlign w:val="center"/>
          </w:tcPr>
          <w:p w14:paraId="09C9FEF0">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人需针对7台设备分别提供详细技术方案，内容包含：设备产地、型号、配置、技术方案介绍并从产品成熟度、技术优势、食品检测行业应用情况、服务保障等方面阐述支撑本项目实际需求。每台设备最高2分，合计本项最高14分。单台设备评分规则：①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食品领域实际用户使用案例，确保能够保持稳定的运行状态。产品性能成熟度方面，该产品在市场上稳定性，其产品在性能、质量、可靠性等方面均得到了认可和好评，服务保障内容完善，得2分；②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食品领域实际用户使用案例，案例比较单一，能够保持较长时间的稳定运行状态。产品性能成熟度方面，该产品在市场上表现较为稳定，其性能、质量、可靠性等方面获得了多数用户的认可，得1分；③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得0.5分；④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得0分。</w:t>
            </w:r>
          </w:p>
        </w:tc>
        <w:tc>
          <w:tcPr>
            <w:tcW w:w="432" w:type="pct"/>
            <w:tcBorders>
              <w:top w:val="single" w:color="000000" w:sz="4" w:space="0"/>
              <w:left w:val="single" w:color="000000" w:sz="4" w:space="0"/>
              <w:bottom w:val="single" w:color="000000" w:sz="4" w:space="0"/>
              <w:right w:val="single" w:color="000000" w:sz="4" w:space="0"/>
            </w:tcBorders>
            <w:vAlign w:val="center"/>
          </w:tcPr>
          <w:p w14:paraId="3DF4664B">
            <w:pPr>
              <w:jc w:val="center"/>
              <w:rPr>
                <w:rFonts w:ascii="宋体" w:hAnsi="宋体" w:cs="宋体"/>
                <w:color w:val="auto"/>
                <w:sz w:val="24"/>
                <w:highlight w:val="none"/>
              </w:rPr>
            </w:pPr>
            <w:r>
              <w:rPr>
                <w:rFonts w:hint="eastAsia" w:ascii="宋体" w:hAnsi="宋体" w:cs="宋体"/>
                <w:color w:val="auto"/>
                <w:sz w:val="24"/>
                <w:highlight w:val="none"/>
              </w:rPr>
              <w:t>14分</w:t>
            </w:r>
          </w:p>
        </w:tc>
        <w:tc>
          <w:tcPr>
            <w:tcW w:w="410" w:type="pct"/>
            <w:tcBorders>
              <w:top w:val="single" w:color="000000" w:sz="4" w:space="0"/>
              <w:left w:val="single" w:color="000000" w:sz="4" w:space="0"/>
              <w:bottom w:val="single" w:color="000000" w:sz="4" w:space="0"/>
              <w:right w:val="single" w:color="000000" w:sz="4" w:space="0"/>
            </w:tcBorders>
            <w:vAlign w:val="center"/>
          </w:tcPr>
          <w:p w14:paraId="13CE5459">
            <w:pPr>
              <w:jc w:val="left"/>
              <w:rPr>
                <w:rFonts w:ascii="宋体" w:hAnsi="宋体" w:cs="宋体"/>
                <w:color w:val="auto"/>
                <w:sz w:val="24"/>
                <w:highlight w:val="none"/>
              </w:rPr>
            </w:pPr>
            <w:r>
              <w:rPr>
                <w:rFonts w:hint="eastAsia" w:ascii="宋体" w:hAnsi="宋体" w:cs="宋体"/>
                <w:color w:val="auto"/>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2833B8B4">
            <w:pPr>
              <w:jc w:val="left"/>
              <w:rPr>
                <w:rFonts w:ascii="宋体" w:hAnsi="宋体" w:cs="宋体"/>
                <w:color w:val="auto"/>
                <w:sz w:val="24"/>
                <w:highlight w:val="none"/>
              </w:rPr>
            </w:pPr>
            <w:r>
              <w:rPr>
                <w:rFonts w:hint="eastAsia" w:ascii="宋体" w:hAnsi="宋体" w:cs="宋体"/>
                <w:color w:val="auto"/>
                <w:sz w:val="24"/>
                <w:highlight w:val="none"/>
              </w:rPr>
              <w:t>主观分</w:t>
            </w:r>
          </w:p>
        </w:tc>
      </w:tr>
      <w:tr w14:paraId="3B1A24DF">
        <w:tblPrEx>
          <w:tblCellMar>
            <w:top w:w="0" w:type="dxa"/>
            <w:left w:w="108" w:type="dxa"/>
            <w:bottom w:w="0" w:type="dxa"/>
            <w:right w:w="108" w:type="dxa"/>
          </w:tblCellMar>
        </w:tblPrEx>
        <w:trPr>
          <w:trHeight w:val="1532" w:hRule="atLeast"/>
        </w:trPr>
        <w:tc>
          <w:tcPr>
            <w:tcW w:w="371" w:type="pct"/>
            <w:tcBorders>
              <w:top w:val="single" w:color="000000" w:sz="4" w:space="0"/>
              <w:left w:val="single" w:color="000000" w:sz="4" w:space="0"/>
              <w:bottom w:val="single" w:color="000000" w:sz="4" w:space="0"/>
              <w:right w:val="single" w:color="000000" w:sz="4" w:space="0"/>
            </w:tcBorders>
            <w:vAlign w:val="center"/>
          </w:tcPr>
          <w:p w14:paraId="02262518">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601" w:type="pct"/>
            <w:tcBorders>
              <w:top w:val="single" w:color="000000" w:sz="4" w:space="0"/>
              <w:left w:val="single" w:color="000000" w:sz="4" w:space="0"/>
              <w:bottom w:val="single" w:color="000000" w:sz="4" w:space="0"/>
              <w:right w:val="single" w:color="000000" w:sz="4" w:space="0"/>
            </w:tcBorders>
            <w:vAlign w:val="center"/>
          </w:tcPr>
          <w:p w14:paraId="4126E72B">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供货、安装与调试</w:t>
            </w:r>
          </w:p>
        </w:tc>
        <w:tc>
          <w:tcPr>
            <w:tcW w:w="2681" w:type="pct"/>
            <w:tcBorders>
              <w:top w:val="single" w:color="000000" w:sz="4" w:space="0"/>
              <w:left w:val="single" w:color="000000" w:sz="4" w:space="0"/>
              <w:bottom w:val="single" w:color="000000" w:sz="4" w:space="0"/>
              <w:right w:val="single" w:color="000000" w:sz="4" w:space="0"/>
            </w:tcBorders>
            <w:vAlign w:val="center"/>
          </w:tcPr>
          <w:p w14:paraId="21BDF68A">
            <w:pPr>
              <w:numPr>
                <w:ilvl w:val="255"/>
                <w:numId w:val="0"/>
              </w:numPr>
              <w:rPr>
                <w:rFonts w:ascii="宋体" w:hAnsi="宋体" w:cs="宋体"/>
                <w:color w:val="auto"/>
                <w:sz w:val="24"/>
                <w:highlight w:val="none"/>
              </w:rPr>
            </w:pPr>
            <w:r>
              <w:rPr>
                <w:rFonts w:hint="eastAsia" w:ascii="宋体" w:hAnsi="宋体" w:cs="宋体"/>
                <w:color w:val="auto"/>
                <w:sz w:val="24"/>
                <w:highlight w:val="none"/>
              </w:rPr>
              <w:t>评标委员会根据投标人提供的针对本项目的供货、安装与调试方案进行综合评审，内容包括①人员配置②进度计划及进度保障措施③测试与试运行④安装过程的质量管理、安全保障、环境保护措施；⑤</w:t>
            </w:r>
            <w:r>
              <w:rPr>
                <w:rFonts w:ascii="宋体" w:hAnsi="宋体" w:cs="宋体"/>
                <w:color w:val="auto"/>
                <w:sz w:val="24"/>
                <w:highlight w:val="none"/>
              </w:rPr>
              <w:t>到货开箱验收及设备保管保护措施</w:t>
            </w:r>
            <w:r>
              <w:rPr>
                <w:rFonts w:hint="eastAsia" w:ascii="宋体" w:hAnsi="宋体" w:cs="宋体"/>
                <w:color w:val="auto"/>
                <w:sz w:val="24"/>
                <w:highlight w:val="none"/>
              </w:rPr>
              <w:t>；⑥包装运输安排。</w:t>
            </w:r>
          </w:p>
          <w:p w14:paraId="4B7AD466">
            <w:pPr>
              <w:widowControl/>
              <w:jc w:val="left"/>
              <w:textAlignment w:val="center"/>
              <w:rPr>
                <w:rFonts w:ascii="宋体" w:hAnsi="宋体" w:cs="宋体"/>
                <w:color w:val="auto"/>
                <w:sz w:val="24"/>
                <w:highlight w:val="none"/>
              </w:rPr>
            </w:pPr>
            <w:r>
              <w:rPr>
                <w:rFonts w:hint="eastAsia" w:ascii="宋体" w:hAnsi="宋体" w:cs="宋体"/>
                <w:color w:val="auto"/>
                <w:sz w:val="24"/>
                <w:highlight w:val="none"/>
              </w:rPr>
              <w:t>每个方面满分0.5分，每个方面缺失扣0.5分，每个方面每有一处内容存在缺陷或不足的扣0.25分，0.5分扣完为止。本项最多得3分。</w:t>
            </w:r>
          </w:p>
          <w:p w14:paraId="0E1BA617">
            <w:pPr>
              <w:numPr>
                <w:ilvl w:val="255"/>
                <w:numId w:val="0"/>
              </w:numPr>
              <w:rPr>
                <w:rFonts w:ascii="宋体" w:hAnsi="宋体" w:cs="宋体"/>
                <w:color w:val="auto"/>
                <w:sz w:val="24"/>
                <w:highlight w:val="none"/>
              </w:rPr>
            </w:pPr>
            <w:r>
              <w:rPr>
                <w:rFonts w:hint="eastAsia" w:ascii="宋体" w:hAnsi="宋体" w:cs="宋体"/>
                <w:color w:val="auto"/>
                <w:sz w:val="24"/>
                <w:highlight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432" w:type="pct"/>
            <w:tcBorders>
              <w:top w:val="single" w:color="000000" w:sz="4" w:space="0"/>
              <w:left w:val="single" w:color="000000" w:sz="4" w:space="0"/>
              <w:bottom w:val="single" w:color="000000" w:sz="4" w:space="0"/>
              <w:right w:val="single" w:color="000000" w:sz="4" w:space="0"/>
            </w:tcBorders>
            <w:vAlign w:val="center"/>
          </w:tcPr>
          <w:p w14:paraId="12F5C407">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3分</w:t>
            </w:r>
          </w:p>
        </w:tc>
        <w:tc>
          <w:tcPr>
            <w:tcW w:w="410" w:type="pct"/>
            <w:tcBorders>
              <w:top w:val="single" w:color="000000" w:sz="4" w:space="0"/>
              <w:left w:val="single" w:color="000000" w:sz="4" w:space="0"/>
              <w:bottom w:val="single" w:color="000000" w:sz="4" w:space="0"/>
              <w:right w:val="single" w:color="000000" w:sz="4" w:space="0"/>
            </w:tcBorders>
            <w:vAlign w:val="center"/>
          </w:tcPr>
          <w:p w14:paraId="34CE9A85">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3F5CFB4D">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sz w:val="24"/>
                <w:highlight w:val="none"/>
              </w:rPr>
              <w:t>主观分</w:t>
            </w:r>
          </w:p>
        </w:tc>
      </w:tr>
      <w:tr w14:paraId="3673F3B9">
        <w:tblPrEx>
          <w:tblCellMar>
            <w:top w:w="0" w:type="dxa"/>
            <w:left w:w="108" w:type="dxa"/>
            <w:bottom w:w="0" w:type="dxa"/>
            <w:right w:w="108" w:type="dxa"/>
          </w:tblCellMar>
        </w:tblPrEx>
        <w:trPr>
          <w:trHeight w:val="396" w:hRule="atLeast"/>
        </w:trPr>
        <w:tc>
          <w:tcPr>
            <w:tcW w:w="371" w:type="pct"/>
            <w:tcBorders>
              <w:top w:val="single" w:color="000000" w:sz="4" w:space="0"/>
              <w:left w:val="single" w:color="000000" w:sz="4" w:space="0"/>
              <w:bottom w:val="single" w:color="000000" w:sz="4" w:space="0"/>
              <w:right w:val="single" w:color="000000" w:sz="4" w:space="0"/>
            </w:tcBorders>
            <w:vAlign w:val="center"/>
          </w:tcPr>
          <w:p w14:paraId="0ABEFC61">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601" w:type="pct"/>
            <w:tcBorders>
              <w:top w:val="single" w:color="000000" w:sz="4" w:space="0"/>
              <w:left w:val="single" w:color="000000" w:sz="4" w:space="0"/>
              <w:bottom w:val="single" w:color="000000" w:sz="4" w:space="0"/>
              <w:right w:val="single" w:color="000000" w:sz="4" w:space="0"/>
            </w:tcBorders>
            <w:vAlign w:val="center"/>
          </w:tcPr>
          <w:p w14:paraId="7F144B52">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人员培训方案</w:t>
            </w:r>
          </w:p>
        </w:tc>
        <w:tc>
          <w:tcPr>
            <w:tcW w:w="2681" w:type="pct"/>
            <w:tcBorders>
              <w:top w:val="single" w:color="000000" w:sz="4" w:space="0"/>
              <w:left w:val="single" w:color="000000" w:sz="4" w:space="0"/>
              <w:bottom w:val="single" w:color="000000" w:sz="4" w:space="0"/>
              <w:right w:val="single" w:color="000000" w:sz="4" w:space="0"/>
            </w:tcBorders>
            <w:vAlign w:val="center"/>
          </w:tcPr>
          <w:p w14:paraId="0DDD53F9">
            <w:pPr>
              <w:rPr>
                <w:rFonts w:ascii="宋体" w:hAnsi="宋体" w:cs="宋体"/>
                <w:color w:val="auto"/>
                <w:sz w:val="24"/>
                <w:highlight w:val="none"/>
              </w:rPr>
            </w:pPr>
            <w:r>
              <w:rPr>
                <w:rFonts w:hint="eastAsia" w:ascii="宋体" w:hAnsi="宋体" w:cs="宋体"/>
                <w:color w:val="auto"/>
                <w:sz w:val="24"/>
                <w:highlight w:val="none"/>
              </w:rPr>
              <w:t>评标委员会根据投标人提供的人员培训方案进行综合评审，内容包括①培训人员数量②培训次数③人员素质④培训内容。</w:t>
            </w:r>
          </w:p>
          <w:p w14:paraId="05994B1F">
            <w:pPr>
              <w:widowControl/>
              <w:jc w:val="left"/>
              <w:textAlignment w:val="center"/>
              <w:rPr>
                <w:rFonts w:ascii="宋体" w:hAnsi="宋体" w:cs="宋体"/>
                <w:color w:val="auto"/>
                <w:sz w:val="24"/>
                <w:highlight w:val="none"/>
              </w:rPr>
            </w:pPr>
            <w:r>
              <w:rPr>
                <w:rFonts w:hint="eastAsia" w:ascii="宋体" w:hAnsi="宋体" w:cs="宋体"/>
                <w:color w:val="auto"/>
                <w:sz w:val="24"/>
                <w:highlight w:val="none"/>
              </w:rPr>
              <w:t>每个方面满分0.5分，每个方面缺失扣0.5分，每个方面每有一处内容存在缺陷或不足的扣0.25分，0.5分扣完为止。本项最多得2分。</w:t>
            </w:r>
          </w:p>
          <w:p w14:paraId="324D6758">
            <w:pPr>
              <w:rPr>
                <w:rFonts w:ascii="宋体" w:hAnsi="宋体" w:cs="宋体"/>
                <w:color w:val="auto"/>
                <w:sz w:val="24"/>
                <w:highlight w:val="none"/>
              </w:rPr>
            </w:pPr>
            <w:r>
              <w:rPr>
                <w:rFonts w:hint="eastAsia" w:ascii="宋体" w:hAnsi="宋体" w:cs="宋体"/>
                <w:color w:val="auto"/>
                <w:sz w:val="24"/>
                <w:highlight w:val="none"/>
              </w:rPr>
              <w:t>注：内容不完整或有缺陷或不足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432" w:type="pct"/>
            <w:tcBorders>
              <w:top w:val="single" w:color="000000" w:sz="4" w:space="0"/>
              <w:left w:val="single" w:color="000000" w:sz="4" w:space="0"/>
              <w:bottom w:val="single" w:color="000000" w:sz="4" w:space="0"/>
              <w:right w:val="single" w:color="000000" w:sz="4" w:space="0"/>
            </w:tcBorders>
            <w:vAlign w:val="center"/>
          </w:tcPr>
          <w:p w14:paraId="2A5F3737">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2分</w:t>
            </w:r>
          </w:p>
        </w:tc>
        <w:tc>
          <w:tcPr>
            <w:tcW w:w="410" w:type="pct"/>
            <w:tcBorders>
              <w:top w:val="single" w:color="000000" w:sz="4" w:space="0"/>
              <w:left w:val="single" w:color="000000" w:sz="4" w:space="0"/>
              <w:bottom w:val="single" w:color="000000" w:sz="4" w:space="0"/>
              <w:right w:val="single" w:color="000000" w:sz="4" w:space="0"/>
            </w:tcBorders>
            <w:vAlign w:val="center"/>
          </w:tcPr>
          <w:p w14:paraId="15901A2D">
            <w:pPr>
              <w:widowControl/>
              <w:spacing w:line="460" w:lineRule="exact"/>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15019C88">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sz w:val="24"/>
                <w:highlight w:val="none"/>
              </w:rPr>
              <w:t>主观分</w:t>
            </w:r>
          </w:p>
        </w:tc>
      </w:tr>
      <w:tr w14:paraId="13465C0F">
        <w:tblPrEx>
          <w:tblCellMar>
            <w:top w:w="0" w:type="dxa"/>
            <w:left w:w="108" w:type="dxa"/>
            <w:bottom w:w="0" w:type="dxa"/>
            <w:right w:w="108" w:type="dxa"/>
          </w:tblCellMar>
        </w:tblPrEx>
        <w:trPr>
          <w:trHeight w:val="2610" w:hRule="atLeast"/>
        </w:trPr>
        <w:tc>
          <w:tcPr>
            <w:tcW w:w="371" w:type="pct"/>
            <w:tcBorders>
              <w:top w:val="single" w:color="000000" w:sz="4" w:space="0"/>
              <w:left w:val="single" w:color="000000" w:sz="4" w:space="0"/>
              <w:bottom w:val="single" w:color="000000" w:sz="4" w:space="0"/>
              <w:right w:val="single" w:color="000000" w:sz="4" w:space="0"/>
            </w:tcBorders>
            <w:vAlign w:val="center"/>
          </w:tcPr>
          <w:p w14:paraId="40793426">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5</w:t>
            </w:r>
          </w:p>
        </w:tc>
        <w:tc>
          <w:tcPr>
            <w:tcW w:w="601" w:type="pct"/>
            <w:tcBorders>
              <w:top w:val="single" w:color="000000" w:sz="4" w:space="0"/>
              <w:left w:val="single" w:color="000000" w:sz="4" w:space="0"/>
              <w:bottom w:val="single" w:color="000000" w:sz="4" w:space="0"/>
              <w:right w:val="single" w:color="000000" w:sz="4" w:space="0"/>
            </w:tcBorders>
            <w:vAlign w:val="center"/>
          </w:tcPr>
          <w:p w14:paraId="30D069B2">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售后维保服务</w:t>
            </w:r>
          </w:p>
        </w:tc>
        <w:tc>
          <w:tcPr>
            <w:tcW w:w="2681" w:type="pct"/>
            <w:tcBorders>
              <w:top w:val="single" w:color="000000" w:sz="4" w:space="0"/>
              <w:left w:val="single" w:color="000000" w:sz="4" w:space="0"/>
              <w:bottom w:val="single" w:color="000000" w:sz="4" w:space="0"/>
              <w:right w:val="single" w:color="000000" w:sz="4" w:space="0"/>
            </w:tcBorders>
            <w:vAlign w:val="center"/>
          </w:tcPr>
          <w:p w14:paraId="16CB34E4">
            <w:pPr>
              <w:rPr>
                <w:rFonts w:ascii="宋体" w:hAnsi="宋体" w:cs="宋体"/>
                <w:color w:val="auto"/>
                <w:sz w:val="24"/>
                <w:highlight w:val="none"/>
              </w:rPr>
            </w:pPr>
            <w:r>
              <w:rPr>
                <w:rFonts w:hint="eastAsia" w:ascii="宋体" w:hAnsi="宋体" w:cs="宋体"/>
                <w:color w:val="auto"/>
                <w:sz w:val="24"/>
                <w:highlight w:val="none"/>
              </w:rPr>
              <w:t>评标委员会根据投标人提供的售后维保服务方案</w:t>
            </w:r>
            <w:r>
              <w:rPr>
                <w:rFonts w:hint="eastAsia" w:ascii="宋体" w:hAnsi="宋体" w:cs="宋体"/>
                <w:color w:val="auto"/>
                <w:kern w:val="0"/>
                <w:sz w:val="24"/>
                <w:highlight w:val="none"/>
              </w:rPr>
              <w:t>进行综合评审，内容包括</w:t>
            </w:r>
            <w:r>
              <w:rPr>
                <w:rFonts w:hint="eastAsia" w:ascii="宋体" w:hAnsi="宋体" w:cs="宋体"/>
                <w:color w:val="auto"/>
                <w:sz w:val="24"/>
                <w:highlight w:val="none"/>
              </w:rPr>
              <w:t>①服务内容②服务响应时间③服务承诺及保障措施④备件供应及质量保证⑤质保期满后的维修方案⑥故障处理及应急响应流程</w:t>
            </w:r>
          </w:p>
          <w:p w14:paraId="16FFA8FA">
            <w:pPr>
              <w:widowControl/>
              <w:jc w:val="left"/>
              <w:textAlignment w:val="center"/>
              <w:rPr>
                <w:rFonts w:ascii="宋体" w:hAnsi="宋体" w:cs="宋体"/>
                <w:color w:val="auto"/>
                <w:sz w:val="24"/>
                <w:highlight w:val="none"/>
              </w:rPr>
            </w:pPr>
            <w:r>
              <w:rPr>
                <w:rFonts w:hint="eastAsia" w:ascii="宋体" w:hAnsi="宋体" w:cs="宋体"/>
                <w:color w:val="auto"/>
                <w:sz w:val="24"/>
                <w:highlight w:val="none"/>
              </w:rPr>
              <w:t>每个方面满分0.5分，每个方面缺失扣0.5分，每个方面每有一处内容存在缺陷或不足的扣0.25分，0.5分扣完为止。本项最多得3分。</w:t>
            </w:r>
          </w:p>
          <w:p w14:paraId="2E4541DA">
            <w:pPr>
              <w:rPr>
                <w:rFonts w:ascii="宋体" w:hAnsi="宋体" w:cs="宋体"/>
                <w:color w:val="auto"/>
                <w:sz w:val="24"/>
                <w:highlight w:val="none"/>
              </w:rPr>
            </w:pPr>
            <w:r>
              <w:rPr>
                <w:rFonts w:hint="eastAsia" w:ascii="宋体" w:hAnsi="宋体" w:cs="宋体"/>
                <w:color w:val="auto"/>
                <w:kern w:val="0"/>
                <w:sz w:val="24"/>
                <w:highlight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432" w:type="pct"/>
            <w:tcBorders>
              <w:top w:val="single" w:color="000000" w:sz="4" w:space="0"/>
              <w:left w:val="single" w:color="000000" w:sz="4" w:space="0"/>
              <w:bottom w:val="single" w:color="000000" w:sz="4" w:space="0"/>
              <w:right w:val="single" w:color="000000" w:sz="4" w:space="0"/>
            </w:tcBorders>
            <w:vAlign w:val="center"/>
          </w:tcPr>
          <w:p w14:paraId="08082D61">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3分</w:t>
            </w:r>
          </w:p>
        </w:tc>
        <w:tc>
          <w:tcPr>
            <w:tcW w:w="410" w:type="pct"/>
            <w:tcBorders>
              <w:top w:val="single" w:color="000000" w:sz="4" w:space="0"/>
              <w:left w:val="single" w:color="000000" w:sz="4" w:space="0"/>
              <w:bottom w:val="single" w:color="000000" w:sz="4" w:space="0"/>
              <w:right w:val="single" w:color="000000" w:sz="4" w:space="0"/>
            </w:tcBorders>
            <w:vAlign w:val="center"/>
          </w:tcPr>
          <w:p w14:paraId="19BC3468">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1DAF8822">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主观分</w:t>
            </w:r>
          </w:p>
        </w:tc>
      </w:tr>
      <w:tr w14:paraId="3D4D8FF3">
        <w:tblPrEx>
          <w:tblCellMar>
            <w:top w:w="0" w:type="dxa"/>
            <w:left w:w="108" w:type="dxa"/>
            <w:bottom w:w="0" w:type="dxa"/>
            <w:right w:w="108" w:type="dxa"/>
          </w:tblCellMar>
        </w:tblPrEx>
        <w:trPr>
          <w:trHeight w:val="575" w:hRule="atLeast"/>
        </w:trPr>
        <w:tc>
          <w:tcPr>
            <w:tcW w:w="371" w:type="pct"/>
            <w:tcBorders>
              <w:top w:val="single" w:color="000000" w:sz="4" w:space="0"/>
              <w:left w:val="single" w:color="000000" w:sz="4" w:space="0"/>
              <w:bottom w:val="single" w:color="000000" w:sz="4" w:space="0"/>
              <w:right w:val="single" w:color="000000" w:sz="4" w:space="0"/>
            </w:tcBorders>
            <w:vAlign w:val="center"/>
          </w:tcPr>
          <w:p w14:paraId="169D0B7E">
            <w:pPr>
              <w:widowControl/>
              <w:spacing w:line="460" w:lineRule="exact"/>
              <w:jc w:val="center"/>
              <w:textAlignment w:val="center"/>
              <w:rPr>
                <w:rFonts w:ascii="宋体" w:hAnsi="宋体" w:cs="宋体"/>
                <w:b/>
                <w:bCs/>
                <w:color w:val="auto"/>
                <w:sz w:val="24"/>
                <w:highlight w:val="none"/>
              </w:rPr>
            </w:pPr>
            <w:r>
              <w:rPr>
                <w:rFonts w:hint="eastAsia" w:ascii="宋体" w:hAnsi="宋体" w:cs="宋体"/>
                <w:color w:val="auto"/>
                <w:kern w:val="0"/>
                <w:sz w:val="24"/>
                <w:highlight w:val="none"/>
              </w:rPr>
              <w:t>6</w:t>
            </w:r>
          </w:p>
        </w:tc>
        <w:tc>
          <w:tcPr>
            <w:tcW w:w="601" w:type="pct"/>
            <w:tcBorders>
              <w:top w:val="single" w:color="000000" w:sz="4" w:space="0"/>
              <w:left w:val="single" w:color="000000" w:sz="4" w:space="0"/>
              <w:bottom w:val="single" w:color="000000" w:sz="4" w:space="0"/>
              <w:right w:val="single" w:color="000000" w:sz="4" w:space="0"/>
            </w:tcBorders>
            <w:vAlign w:val="center"/>
          </w:tcPr>
          <w:p w14:paraId="5DC43AF2">
            <w:pPr>
              <w:widowControl/>
              <w:spacing w:line="460" w:lineRule="exact"/>
              <w:jc w:val="center"/>
              <w:textAlignment w:val="center"/>
              <w:rPr>
                <w:rFonts w:ascii="宋体" w:hAnsi="宋体" w:cs="宋体"/>
                <w:color w:val="auto"/>
                <w:sz w:val="24"/>
                <w:highlight w:val="none"/>
              </w:rPr>
            </w:pPr>
            <w:r>
              <w:rPr>
                <w:rFonts w:hint="eastAsia" w:ascii="宋体" w:hAnsi="宋体" w:cs="宋体"/>
                <w:color w:val="auto"/>
                <w:sz w:val="24"/>
                <w:highlight w:val="none"/>
              </w:rPr>
              <w:t>技术支持</w:t>
            </w:r>
          </w:p>
        </w:tc>
        <w:tc>
          <w:tcPr>
            <w:tcW w:w="2681" w:type="pct"/>
            <w:tcBorders>
              <w:top w:val="single" w:color="000000" w:sz="4" w:space="0"/>
              <w:left w:val="single" w:color="000000" w:sz="4" w:space="0"/>
              <w:bottom w:val="single" w:color="000000" w:sz="4" w:space="0"/>
              <w:right w:val="single" w:color="000000" w:sz="4" w:space="0"/>
            </w:tcBorders>
            <w:vAlign w:val="center"/>
          </w:tcPr>
          <w:p w14:paraId="5107FBE7">
            <w:pPr>
              <w:rPr>
                <w:rFonts w:ascii="宋体" w:hAnsi="宋体" w:cs="宋体"/>
                <w:color w:val="auto"/>
                <w:sz w:val="24"/>
                <w:highlight w:val="none"/>
              </w:rPr>
            </w:pPr>
            <w:r>
              <w:rPr>
                <w:rFonts w:hint="eastAsia" w:ascii="宋体" w:hAnsi="宋体" w:cs="宋体"/>
                <w:color w:val="auto"/>
                <w:sz w:val="24"/>
                <w:highlight w:val="none"/>
              </w:rPr>
              <w:t>评标委员会根据投标人提供的技术支持方案进行综合评分，内容包括①方法开发支持；②方法验证支持；③技术支持内容详细程度；④技术支持可行性；⑤技术支持响应及时性；⑥技术支持人员配置及保障措施。</w:t>
            </w:r>
          </w:p>
          <w:p w14:paraId="7A660BB7">
            <w:pPr>
              <w:widowControl/>
              <w:jc w:val="left"/>
              <w:rPr>
                <w:rFonts w:ascii="宋体" w:hAnsi="宋体" w:cs="宋体"/>
                <w:color w:val="auto"/>
                <w:sz w:val="24"/>
                <w:highlight w:val="none"/>
              </w:rPr>
            </w:pPr>
            <w:r>
              <w:rPr>
                <w:rFonts w:hint="eastAsia" w:ascii="宋体" w:hAnsi="宋体" w:cs="宋体"/>
                <w:color w:val="auto"/>
                <w:sz w:val="24"/>
                <w:highlight w:val="none"/>
              </w:rPr>
              <w:t>每个方面满分0.5分，每个方面缺失扣0.5分，每个方面每有一处内容存在缺陷或不足的扣0.25分，0.5分扣完为止。本项最多得3分。</w:t>
            </w:r>
          </w:p>
          <w:p w14:paraId="755D39F3">
            <w:pPr>
              <w:rPr>
                <w:rFonts w:ascii="宋体" w:hAnsi="宋体" w:cs="宋体"/>
                <w:color w:val="auto"/>
                <w:sz w:val="24"/>
                <w:highlight w:val="none"/>
              </w:rPr>
            </w:pPr>
            <w:r>
              <w:rPr>
                <w:rFonts w:hint="eastAsia" w:ascii="宋体" w:hAnsi="宋体" w:cs="宋体"/>
                <w:color w:val="auto"/>
                <w:kern w:val="0"/>
                <w:sz w:val="24"/>
                <w:highlight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432" w:type="pct"/>
            <w:tcBorders>
              <w:top w:val="single" w:color="000000" w:sz="4" w:space="0"/>
              <w:left w:val="single" w:color="000000" w:sz="4" w:space="0"/>
              <w:bottom w:val="single" w:color="000000" w:sz="4" w:space="0"/>
              <w:right w:val="single" w:color="000000" w:sz="4" w:space="0"/>
            </w:tcBorders>
            <w:vAlign w:val="center"/>
          </w:tcPr>
          <w:p w14:paraId="1720FAFB">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3分</w:t>
            </w:r>
          </w:p>
        </w:tc>
        <w:tc>
          <w:tcPr>
            <w:tcW w:w="410" w:type="pct"/>
            <w:tcBorders>
              <w:top w:val="single" w:color="000000" w:sz="4" w:space="0"/>
              <w:left w:val="single" w:color="000000" w:sz="4" w:space="0"/>
              <w:bottom w:val="single" w:color="000000" w:sz="4" w:space="0"/>
              <w:right w:val="single" w:color="000000" w:sz="4" w:space="0"/>
            </w:tcBorders>
            <w:vAlign w:val="center"/>
          </w:tcPr>
          <w:p w14:paraId="6EB9B191">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0分</w:t>
            </w:r>
          </w:p>
        </w:tc>
        <w:tc>
          <w:tcPr>
            <w:tcW w:w="502" w:type="pct"/>
            <w:tcBorders>
              <w:top w:val="single" w:color="000000" w:sz="4" w:space="0"/>
              <w:left w:val="single" w:color="000000" w:sz="4" w:space="0"/>
              <w:bottom w:val="single" w:color="000000" w:sz="4" w:space="0"/>
              <w:right w:val="single" w:color="000000" w:sz="4" w:space="0"/>
            </w:tcBorders>
            <w:vAlign w:val="center"/>
          </w:tcPr>
          <w:p w14:paraId="08CDA369">
            <w:pPr>
              <w:widowControl/>
              <w:spacing w:line="460" w:lineRule="exact"/>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主观分</w:t>
            </w:r>
          </w:p>
        </w:tc>
      </w:tr>
    </w:tbl>
    <w:p w14:paraId="5B26C9BD">
      <w:pPr>
        <w:autoSpaceDE w:val="0"/>
        <w:autoSpaceDN w:val="0"/>
        <w:adjustRightInd w:val="0"/>
        <w:snapToGrid w:val="0"/>
        <w:spacing w:line="460" w:lineRule="exact"/>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rPr>
        <w:t>30</w:t>
      </w:r>
      <w:r>
        <w:rPr>
          <w:rFonts w:hint="eastAsia" w:ascii="宋体" w:hAnsi="宋体" w:cs="宋体"/>
          <w:color w:val="auto"/>
          <w:sz w:val="28"/>
          <w:szCs w:val="28"/>
          <w:highlight w:val="none"/>
          <w:lang w:val="zh-CN"/>
        </w:rPr>
        <w:t>分</w:t>
      </w:r>
      <w:bookmarkEnd w:id="272"/>
    </w:p>
    <w:p w14:paraId="4F7A637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07FDB51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投标报价得分=（评标基准价/投标报价）×30</w:t>
      </w:r>
    </w:p>
    <w:p w14:paraId="0B5211F6">
      <w:pPr>
        <w:adjustRightInd w:val="0"/>
        <w:snapToGrid w:val="0"/>
        <w:spacing w:line="460" w:lineRule="exact"/>
        <w:outlineLvl w:val="2"/>
        <w:rPr>
          <w:rFonts w:hAnsi="宋体" w:cs="宋体"/>
          <w:bCs/>
          <w:color w:val="auto"/>
          <w:highlight w:val="none"/>
        </w:rPr>
      </w:pPr>
      <w:bookmarkStart w:id="273" w:name="_Toc13123"/>
      <w:r>
        <w:rPr>
          <w:rFonts w:hint="eastAsia" w:ascii="宋体" w:hAnsi="宋体" w:cs="宋体"/>
          <w:b/>
          <w:color w:val="auto"/>
          <w:sz w:val="28"/>
          <w:szCs w:val="28"/>
          <w:highlight w:val="none"/>
        </w:rPr>
        <w:t>（五）</w:t>
      </w:r>
      <w:r>
        <w:rPr>
          <w:rFonts w:hint="eastAsia" w:ascii="宋体" w:hAnsi="宋体" w:cs="宋体"/>
          <w:b/>
          <w:bCs/>
          <w:color w:val="auto"/>
          <w:sz w:val="28"/>
          <w:szCs w:val="28"/>
          <w:highlight w:val="none"/>
        </w:rPr>
        <w:t>政府采购政策功能落实</w:t>
      </w:r>
    </w:p>
    <w:p w14:paraId="10B81ADC">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（一）采购本国产品的支持政策</w:t>
      </w:r>
    </w:p>
    <w:p w14:paraId="70F31B01">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A97CB6">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BE96FF4">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3.本项目政府采购活动中既有本国产品又有非本国产品参与竞争的，依法对本国产品给予价格评审优惠，对本国产品的报价给予20%的价格扣除，用扣除后的价格参与评审。</w:t>
      </w:r>
    </w:p>
    <w:p w14:paraId="0DF8355D">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72CF81E">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5.投标人需按照招标文件的要求提供《关于符合本国产品标准的声明函》（以下简称《声明函》）（格式见附件2），如不提供将不享受本国产品价格评审优惠。</w:t>
      </w:r>
    </w:p>
    <w:p w14:paraId="0E011685">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139DCCB6">
      <w:pPr>
        <w:spacing w:line="5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A201C92">
      <w:pPr>
        <w:adjustRightInd w:val="0"/>
        <w:snapToGrid w:val="0"/>
        <w:spacing w:line="460" w:lineRule="exact"/>
        <w:ind w:firstLine="562" w:firstLineChars="20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（六）中标人的确定</w:t>
      </w:r>
      <w:bookmarkEnd w:id="273"/>
    </w:p>
    <w:p w14:paraId="464E0404">
      <w:pPr>
        <w:adjustRightInd w:val="0"/>
        <w:snapToGrid w:val="0"/>
        <w:spacing w:line="460" w:lineRule="exact"/>
        <w:ind w:firstLine="570"/>
        <w:rPr>
          <w:rFonts w:ascii="宋体" w:hAnsi="宋体" w:cs="宋体"/>
          <w:bCs/>
          <w:color w:val="auto"/>
          <w:sz w:val="28"/>
          <w:szCs w:val="28"/>
          <w:highlight w:val="none"/>
        </w:rPr>
      </w:pPr>
      <w:r>
        <w:rPr>
          <w:rFonts w:hint="eastAsia" w:ascii="宋体" w:hAnsi="宋体" w:cs="宋体"/>
          <w:bCs/>
          <w:color w:val="auto"/>
          <w:sz w:val="28"/>
          <w:szCs w:val="28"/>
          <w:highlight w:val="none"/>
        </w:rPr>
        <w:t>采用综合评分法的，评审结果按评审后得分由高到低顺序排列。得分相同的，按投标报价由低到高顺序排列。得分且投标报价相同的并列。采取随机抽取的方式确定。</w:t>
      </w:r>
    </w:p>
    <w:p w14:paraId="615104B9">
      <w:pPr>
        <w:adjustRightInd w:val="0"/>
        <w:snapToGrid w:val="0"/>
        <w:spacing w:line="460" w:lineRule="exact"/>
        <w:ind w:firstLine="562" w:firstLineChars="200"/>
        <w:outlineLvl w:val="2"/>
        <w:rPr>
          <w:rFonts w:ascii="宋体" w:hAnsi="宋体" w:cs="宋体"/>
          <w:b/>
          <w:color w:val="auto"/>
          <w:sz w:val="28"/>
          <w:szCs w:val="28"/>
          <w:highlight w:val="none"/>
        </w:rPr>
      </w:pPr>
      <w:bookmarkStart w:id="274" w:name="_Toc13"/>
      <w:r>
        <w:rPr>
          <w:rFonts w:hint="eastAsia" w:ascii="宋体" w:hAnsi="宋体" w:cs="宋体"/>
          <w:b/>
          <w:color w:val="auto"/>
          <w:sz w:val="28"/>
          <w:szCs w:val="28"/>
          <w:highlight w:val="none"/>
        </w:rPr>
        <w:t>（七）公告中标结果</w:t>
      </w:r>
      <w:bookmarkEnd w:id="274"/>
    </w:p>
    <w:p w14:paraId="2B03B34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自确定中标人之日起2个工作日内，在江苏政府采购网公告中标结果，公告期限为1个工作日。</w:t>
      </w:r>
    </w:p>
    <w:p w14:paraId="1140E2AF">
      <w:pPr>
        <w:adjustRightInd w:val="0"/>
        <w:snapToGrid w:val="0"/>
        <w:spacing w:line="420" w:lineRule="exact"/>
        <w:ind w:firstLine="562" w:firstLineChars="200"/>
        <w:outlineLvl w:val="2"/>
        <w:rPr>
          <w:rFonts w:ascii="宋体" w:hAnsi="宋体" w:cs="宋体"/>
          <w:b/>
          <w:bCs/>
          <w:color w:val="auto"/>
          <w:sz w:val="28"/>
          <w:szCs w:val="28"/>
          <w:highlight w:val="none"/>
        </w:rPr>
      </w:pPr>
      <w:bookmarkStart w:id="275" w:name="_Toc27458"/>
      <w:r>
        <w:rPr>
          <w:rFonts w:hint="eastAsia" w:ascii="宋体" w:hAnsi="宋体" w:cs="宋体"/>
          <w:b/>
          <w:color w:val="auto"/>
          <w:sz w:val="28"/>
          <w:szCs w:val="28"/>
          <w:highlight w:val="none"/>
        </w:rPr>
        <w:t>（八）</w:t>
      </w:r>
      <w:r>
        <w:rPr>
          <w:rFonts w:hint="eastAsia" w:ascii="宋体" w:hAnsi="宋体" w:cs="宋体"/>
          <w:b/>
          <w:bCs/>
          <w:color w:val="auto"/>
          <w:sz w:val="28"/>
          <w:szCs w:val="28"/>
          <w:highlight w:val="none"/>
        </w:rPr>
        <w:t>发放中标通知书</w:t>
      </w:r>
      <w:bookmarkEnd w:id="275"/>
    </w:p>
    <w:p w14:paraId="7CBDE39A">
      <w:pPr>
        <w:adjustRightInd w:val="0"/>
        <w:snapToGrid w:val="0"/>
        <w:spacing w:line="42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公告中标结果的同时，采购人</w:t>
      </w:r>
      <w:r>
        <w:rPr>
          <w:rFonts w:hint="eastAsia" w:ascii="宋体" w:hAnsi="宋体" w:cs="宋体"/>
          <w:bCs/>
          <w:color w:val="auto"/>
          <w:sz w:val="28"/>
          <w:szCs w:val="28"/>
          <w:highlight w:val="none"/>
        </w:rPr>
        <w:t>向中标人发放中标通知书。</w:t>
      </w:r>
    </w:p>
    <w:p w14:paraId="2DFA7B44">
      <w:pPr>
        <w:adjustRightInd w:val="0"/>
        <w:snapToGrid w:val="0"/>
        <w:spacing w:line="42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中标通知书发出后，采购人不得违法改变中标结果，中标人无正当理由不得放弃中标。</w:t>
      </w:r>
    </w:p>
    <w:p w14:paraId="10A74013">
      <w:pPr>
        <w:adjustRightInd w:val="0"/>
        <w:snapToGrid w:val="0"/>
        <w:spacing w:line="420" w:lineRule="exact"/>
        <w:ind w:firstLine="562" w:firstLineChars="200"/>
        <w:outlineLvl w:val="2"/>
        <w:rPr>
          <w:rFonts w:ascii="宋体" w:hAnsi="宋体" w:cs="宋体"/>
          <w:b/>
          <w:color w:val="auto"/>
          <w:sz w:val="28"/>
          <w:szCs w:val="28"/>
          <w:highlight w:val="none"/>
        </w:rPr>
      </w:pPr>
      <w:bookmarkStart w:id="276" w:name="_Toc19733"/>
      <w:r>
        <w:rPr>
          <w:rFonts w:hint="eastAsia" w:ascii="宋体" w:hAnsi="宋体" w:cs="宋体"/>
          <w:b/>
          <w:color w:val="auto"/>
          <w:sz w:val="28"/>
          <w:szCs w:val="28"/>
          <w:highlight w:val="none"/>
        </w:rPr>
        <w:t>（九）其他</w:t>
      </w:r>
      <w:bookmarkEnd w:id="276"/>
    </w:p>
    <w:p w14:paraId="79BD6420">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当中标人无正当理由放弃中标，被查实存在影响中标结果的违法行为等情形，采购人有权按照政府采购相关法律法规的规定对其采取惩戒措施，包含但不限于列入采购失信人黑名单等措施。</w:t>
      </w:r>
    </w:p>
    <w:p w14:paraId="18477A0A">
      <w:pPr>
        <w:adjustRightInd w:val="0"/>
        <w:snapToGrid w:val="0"/>
        <w:spacing w:line="42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p>
    <w:p w14:paraId="42283C89">
      <w:pPr>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bookmarkStart w:id="277" w:name="_Toc23874"/>
      <w:bookmarkStart w:id="278" w:name="_Toc7997"/>
      <w:r>
        <w:rPr>
          <w:rFonts w:hint="eastAsia" w:ascii="宋体" w:hAnsi="宋体" w:cs="宋体"/>
          <w:bCs/>
          <w:color w:val="auto"/>
          <w:sz w:val="36"/>
          <w:szCs w:val="36"/>
          <w:highlight w:val="none"/>
        </w:rPr>
        <w:t>第五部分 质疑与投诉</w:t>
      </w:r>
      <w:bookmarkEnd w:id="277"/>
      <w:bookmarkEnd w:id="278"/>
    </w:p>
    <w:p w14:paraId="45A056BD">
      <w:pPr>
        <w:adjustRightInd w:val="0"/>
        <w:snapToGrid w:val="0"/>
        <w:spacing w:line="460" w:lineRule="exact"/>
        <w:ind w:firstLine="560" w:firstLineChars="200"/>
        <w:outlineLvl w:val="1"/>
        <w:rPr>
          <w:rFonts w:ascii="宋体" w:hAnsi="宋体" w:cs="宋体"/>
          <w:color w:val="auto"/>
          <w:sz w:val="28"/>
          <w:szCs w:val="28"/>
          <w:highlight w:val="none"/>
        </w:rPr>
      </w:pPr>
      <w:bookmarkStart w:id="279" w:name="_Toc23571"/>
      <w:r>
        <w:rPr>
          <w:rFonts w:hint="eastAsia" w:ascii="宋体" w:hAnsi="宋体" w:cs="宋体"/>
          <w:color w:val="auto"/>
          <w:sz w:val="28"/>
          <w:szCs w:val="28"/>
          <w:highlight w:val="none"/>
        </w:rPr>
        <w:t>一、质疑事项</w:t>
      </w:r>
      <w:bookmarkEnd w:id="279"/>
    </w:p>
    <w:p w14:paraId="2747ABB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1.提出质疑的投标人应当是参与所质疑项目采购活动的投标人。潜在投标人依法获取其可质疑的招标文件的，可以对招标文件提出质疑。</w:t>
      </w:r>
    </w:p>
    <w:p w14:paraId="6F268B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2.投标人认为招标文件、采购过程和采购结果使自己的权益受到损害的，可以在知道或应知其权益受到损害之日起七个工作日内，以书面形式向代理机构或采购人提出质疑。上述应知其权益受到损害之日，是指：</w:t>
      </w:r>
    </w:p>
    <w:p w14:paraId="2F8B2CB3">
      <w:pPr>
        <w:pStyle w:val="5"/>
        <w:adjustRightInd w:val="0"/>
        <w:snapToGrid w:val="0"/>
        <w:spacing w:line="46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2.1对可以质疑的招标文件提出质疑的，为收到招标文件之日或者招标文件公告期限届满之日；采购项目开标后，不再接受投标人对采购文件（含更正公告等）内容的异议或质询（质疑）。</w:t>
      </w:r>
    </w:p>
    <w:p w14:paraId="1E8D41B7">
      <w:pPr>
        <w:adjustRightInd w:val="0"/>
        <w:snapToGrid w:val="0"/>
        <w:spacing w:line="460" w:lineRule="exact"/>
        <w:ind w:firstLine="562" w:firstLineChars="200"/>
        <w:outlineLvl w:val="2"/>
        <w:rPr>
          <w:rFonts w:ascii="宋体" w:hAnsi="宋体" w:cs="宋体"/>
          <w:b/>
          <w:bCs/>
          <w:color w:val="auto"/>
          <w:kern w:val="0"/>
          <w:sz w:val="28"/>
          <w:szCs w:val="28"/>
          <w:highlight w:val="none"/>
        </w:rPr>
      </w:pPr>
      <w:bookmarkStart w:id="280" w:name="_Toc32024"/>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bookmarkEnd w:id="280"/>
    </w:p>
    <w:p w14:paraId="44D92816">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其中：对评审过程中涉及的密封检查、身份核对、澄清等程序性事项，投标人如有异议的，必须当场提出。否则，均视为投标人无异议。无论是否中标，投标人事后不得再就前述事项提出任何异议或质疑投诉。</w:t>
      </w:r>
    </w:p>
    <w:p w14:paraId="0C70D55E">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55233129">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投标人应当在法定质疑期内一次性提出针对同一采购程序环节的质疑。</w:t>
      </w:r>
    </w:p>
    <w:p w14:paraId="783F3C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5AF211CF">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color w:val="auto"/>
          <w:sz w:val="28"/>
          <w:szCs w:val="28"/>
          <w:highlight w:val="none"/>
        </w:rPr>
        <w:t>4.对招标方式、招标文件中项目需求、投标人资格条件、评审方法和评审标准、资格审查结果等应当由采购人答复的质疑，请向采购人提出，由采购人负责答复。投标人对其他事项的质疑，请向招标代理机构提出，由采购人或招标代理机构负责答复。</w:t>
      </w:r>
    </w:p>
    <w:p w14:paraId="5D18EE2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投标人提起质疑采取书面形式，可以现场送达，也可以邮寄。</w:t>
      </w:r>
    </w:p>
    <w:p w14:paraId="5C1A359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采购人及招标代理机构质疑接收人及联系方式，见招标文件第一部分。</w:t>
      </w:r>
    </w:p>
    <w:p w14:paraId="0ECEC87F">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5.投标人提出质疑应当提交质疑函和必要的证明材料，否则不予受理。质疑函应当包括下列内容：</w:t>
      </w:r>
    </w:p>
    <w:p w14:paraId="75E52542">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投标人的姓名或者名称、地址、邮编、联系人及联系电话；</w:t>
      </w:r>
    </w:p>
    <w:p w14:paraId="06432938">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8A79A29">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1646019">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03C799D">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A1FB156">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40F41FDB">
      <w:pPr>
        <w:adjustRightInd w:val="0"/>
        <w:snapToGrid w:val="0"/>
        <w:spacing w:line="460" w:lineRule="exact"/>
        <w:ind w:firstLine="562" w:firstLineChars="200"/>
        <w:rPr>
          <w:rFonts w:ascii="宋体" w:hAnsi="宋体" w:cs="宋体"/>
          <w:b/>
          <w:bCs/>
          <w:color w:val="auto"/>
          <w:sz w:val="28"/>
          <w:szCs w:val="28"/>
          <w:highlight w:val="none"/>
        </w:rPr>
      </w:pPr>
      <w:r>
        <w:rPr>
          <w:rFonts w:hint="eastAsia" w:ascii="宋体" w:hAnsi="宋体" w:cs="宋体"/>
          <w:b/>
          <w:bCs/>
          <w:color w:val="auto"/>
          <w:sz w:val="28"/>
          <w:szCs w:val="28"/>
          <w:highlight w:val="none"/>
        </w:rPr>
        <w:t>投标人为自然人的，应当由本人签字；投标人为法人或者其他组织的，应当由法定代表人、主要负责人，或者其授权代表签字或者盖章，并加盖公章。</w:t>
      </w:r>
    </w:p>
    <w:p w14:paraId="786E019A">
      <w:pPr>
        <w:adjustRightInd w:val="0"/>
        <w:snapToGrid w:val="0"/>
        <w:spacing w:line="460" w:lineRule="exact"/>
        <w:ind w:firstLine="560" w:firstLineChars="200"/>
        <w:outlineLvl w:val="3"/>
        <w:rPr>
          <w:rFonts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2218D8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F0FD96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5488BA6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6.3未参加招标活动的投标人或在招标活动中自身权益未受到损害的投标人所提出的质疑。</w:t>
      </w:r>
    </w:p>
    <w:p w14:paraId="265E86F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p>
    <w:p w14:paraId="1E3EFE4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投标文件接收截止后，投标人未进行投标登记的，不能就投标文件接收截止后的招投标过程、中标结果提出质疑；在投标过程中，凡主持人或评标小组明确提出须由投标人确认的事项，投标人当场无异议的，事后不得提出质疑。</w:t>
      </w:r>
    </w:p>
    <w:p w14:paraId="0AE6CB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6B2F83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FC1D01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19CC760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71F00E6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526CAAEA">
      <w:pPr>
        <w:adjustRightInd w:val="0"/>
        <w:snapToGrid w:val="0"/>
        <w:spacing w:line="460" w:lineRule="exact"/>
        <w:ind w:firstLine="560" w:firstLineChars="200"/>
        <w:outlineLvl w:val="1"/>
        <w:rPr>
          <w:rFonts w:ascii="宋体" w:hAnsi="宋体" w:cs="宋体"/>
          <w:color w:val="auto"/>
          <w:sz w:val="28"/>
          <w:szCs w:val="28"/>
          <w:highlight w:val="none"/>
        </w:rPr>
      </w:pPr>
      <w:bookmarkStart w:id="281" w:name="_Toc32547"/>
      <w:r>
        <w:rPr>
          <w:rFonts w:hint="eastAsia" w:ascii="宋体" w:hAnsi="宋体" w:cs="宋体"/>
          <w:color w:val="auto"/>
          <w:sz w:val="28"/>
          <w:szCs w:val="28"/>
          <w:highlight w:val="none"/>
        </w:rPr>
        <w:t>二、《质疑函》的受理和回复</w:t>
      </w:r>
      <w:bookmarkEnd w:id="281"/>
    </w:p>
    <w:p w14:paraId="10B09BE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36B020F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C482DC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5F4F27E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22D3101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D3FBB5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5.因质疑情况复杂，组织论证或审查时间较长的，采购人、代理机构以书面形式通知质疑人，可适当延长质疑回复处理时间。</w:t>
      </w:r>
    </w:p>
    <w:p w14:paraId="6CB885ED">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①质疑成立的处理。采购人或代理机构终止招标，并建议有关部门给相关当事人予以处理。</w:t>
      </w:r>
    </w:p>
    <w:p w14:paraId="5F68A759">
      <w:pPr>
        <w:adjustRightInd w:val="0"/>
        <w:snapToGrid w:val="0"/>
        <w:spacing w:line="460" w:lineRule="exact"/>
        <w:ind w:firstLine="560" w:firstLineChars="200"/>
        <w:contextualSpacing/>
        <w:outlineLvl w:val="2"/>
        <w:rPr>
          <w:rFonts w:ascii="宋体" w:hAnsi="宋体" w:cs="宋体"/>
          <w:color w:val="auto"/>
          <w:sz w:val="28"/>
          <w:szCs w:val="28"/>
          <w:highlight w:val="none"/>
        </w:rPr>
      </w:pPr>
      <w:bookmarkStart w:id="282" w:name="_Toc18082"/>
      <w:r>
        <w:rPr>
          <w:rFonts w:hint="eastAsia" w:ascii="宋体" w:hAnsi="宋体" w:cs="宋体"/>
          <w:color w:val="auto"/>
          <w:sz w:val="28"/>
          <w:szCs w:val="28"/>
          <w:highlight w:val="none"/>
        </w:rPr>
        <w:t>②质疑不成立的处理。</w:t>
      </w:r>
      <w:bookmarkEnd w:id="282"/>
    </w:p>
    <w:p w14:paraId="67B12804">
      <w:pPr>
        <w:adjustRightInd w:val="0"/>
        <w:snapToGrid w:val="0"/>
        <w:spacing w:line="460" w:lineRule="exact"/>
        <w:ind w:firstLine="560" w:firstLineChars="200"/>
        <w:contextualSpacing/>
        <w:outlineLvl w:val="3"/>
        <w:rPr>
          <w:rFonts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72B8F2C2">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0EFCC853">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394406BE">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4）质疑人虽提供了相关佐证材料，但不能证明其质疑成立的，采购人或代理机构请质疑人补充相关佐证材料，仍不能证明其质疑成立的，作违约处理。</w:t>
      </w:r>
    </w:p>
    <w:p w14:paraId="7AA1484C">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5）质疑人不能提供相关佐证材料的，采购人、代理机构已指出，质疑人仍然坚持提出质疑的，作违约处理。</w:t>
      </w:r>
    </w:p>
    <w:p w14:paraId="3B3882F2">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6）对明显有违事实的、经相关专家或评标小组认定无依据的、经其他投标人举证无依据的质疑，作违约处理，视情在采购人官网媒体予以披露。</w:t>
      </w:r>
    </w:p>
    <w:p w14:paraId="60DA69EE">
      <w:pPr>
        <w:adjustRightInd w:val="0"/>
        <w:snapToGrid w:val="0"/>
        <w:spacing w:line="460" w:lineRule="exact"/>
        <w:ind w:firstLine="560" w:firstLineChars="200"/>
        <w:contextualSpacing/>
        <w:outlineLvl w:val="4"/>
        <w:rPr>
          <w:rFonts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7FEF317F">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51390720">
      <w:pPr>
        <w:adjustRightInd w:val="0"/>
        <w:snapToGrid w:val="0"/>
        <w:spacing w:line="460" w:lineRule="exact"/>
        <w:ind w:firstLine="560" w:firstLineChars="200"/>
        <w:contextualSpacing/>
        <w:rPr>
          <w:rFonts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四、投诉不成立的作违约处理。投标人进行质疑后，采购人回复质疑不成立，投标人仍进行投诉的，并最终投诉不成立的，作违约处理。</w:t>
      </w:r>
    </w:p>
    <w:p w14:paraId="3E07B13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五、《质疑函》《质疑回复函》，质疑、举报、投诉不成立等相关情况，视情在采购人官网等相关媒体予以披露。</w:t>
      </w:r>
    </w:p>
    <w:p w14:paraId="3EE852D6">
      <w:pPr>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六、质疑人对采购人或代理机构的答复不满意或者采购人、代理机构未在规定的时间内作出答复的，可以在答复期满后15个工作日内向相关监督管理部门投诉。</w:t>
      </w:r>
    </w:p>
    <w:p w14:paraId="3255B02D">
      <w:pPr>
        <w:jc w:val="center"/>
        <w:rPr>
          <w:rFonts w:ascii="宋体" w:hAnsi="宋体" w:cs="宋体"/>
          <w:bCs/>
          <w:color w:val="auto"/>
          <w:sz w:val="36"/>
          <w:szCs w:val="36"/>
          <w:highlight w:val="none"/>
        </w:rPr>
      </w:pPr>
    </w:p>
    <w:p w14:paraId="4D5A0C50">
      <w:pPr>
        <w:jc w:val="center"/>
        <w:rPr>
          <w:rFonts w:ascii="宋体" w:hAnsi="宋体" w:cs="宋体"/>
          <w:bCs/>
          <w:color w:val="auto"/>
          <w:sz w:val="36"/>
          <w:szCs w:val="36"/>
          <w:highlight w:val="none"/>
        </w:rPr>
      </w:pPr>
    </w:p>
    <w:p w14:paraId="3E703B9F">
      <w:pPr>
        <w:jc w:val="center"/>
        <w:rPr>
          <w:rFonts w:ascii="宋体" w:hAnsi="宋体" w:cs="宋体"/>
          <w:bCs/>
          <w:color w:val="auto"/>
          <w:sz w:val="36"/>
          <w:szCs w:val="36"/>
          <w:highlight w:val="none"/>
        </w:rPr>
      </w:pPr>
    </w:p>
    <w:p w14:paraId="4AF4503F">
      <w:pPr>
        <w:jc w:val="center"/>
        <w:rPr>
          <w:rFonts w:ascii="宋体" w:hAnsi="宋体" w:cs="宋体"/>
          <w:bCs/>
          <w:color w:val="auto"/>
          <w:sz w:val="36"/>
          <w:szCs w:val="36"/>
          <w:highlight w:val="none"/>
        </w:rPr>
      </w:pPr>
    </w:p>
    <w:p w14:paraId="37D619D0">
      <w:pPr>
        <w:jc w:val="center"/>
        <w:outlineLvl w:val="0"/>
        <w:rPr>
          <w:rFonts w:ascii="宋体" w:hAnsi="宋体" w:cs="宋体"/>
          <w:bCs/>
          <w:color w:val="auto"/>
          <w:sz w:val="36"/>
          <w:szCs w:val="36"/>
          <w:highlight w:val="none"/>
        </w:rPr>
      </w:pPr>
      <w:bookmarkStart w:id="283" w:name="_Toc20594"/>
      <w:bookmarkStart w:id="284" w:name="_Toc12704"/>
      <w:r>
        <w:rPr>
          <w:rFonts w:hint="eastAsia" w:ascii="宋体" w:hAnsi="宋体" w:cs="宋体"/>
          <w:bCs/>
          <w:color w:val="auto"/>
          <w:sz w:val="36"/>
          <w:szCs w:val="36"/>
          <w:highlight w:val="none"/>
        </w:rPr>
        <w:t>第六部分  投标文件组成</w:t>
      </w:r>
      <w:bookmarkEnd w:id="283"/>
      <w:bookmarkEnd w:id="284"/>
    </w:p>
    <w:p w14:paraId="7F02C94A">
      <w:pPr>
        <w:spacing w:line="460" w:lineRule="exact"/>
        <w:ind w:left="480"/>
        <w:outlineLvl w:val="1"/>
        <w:rPr>
          <w:rFonts w:ascii="宋体" w:hAnsi="宋体" w:cs="宋体"/>
          <w:b/>
          <w:color w:val="auto"/>
          <w:sz w:val="28"/>
          <w:szCs w:val="28"/>
          <w:highlight w:val="none"/>
        </w:rPr>
      </w:pPr>
      <w:bookmarkStart w:id="285" w:name="_Toc30344"/>
      <w:r>
        <w:rPr>
          <w:rFonts w:hint="eastAsia" w:ascii="宋体" w:hAnsi="宋体" w:cs="宋体"/>
          <w:b/>
          <w:color w:val="auto"/>
          <w:sz w:val="28"/>
          <w:szCs w:val="28"/>
          <w:highlight w:val="none"/>
        </w:rPr>
        <w:t>一、基本目录</w:t>
      </w:r>
      <w:bookmarkEnd w:id="285"/>
    </w:p>
    <w:p w14:paraId="495AC5BA">
      <w:pPr>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1</w:t>
      </w:r>
      <w:r>
        <w:rPr>
          <w:rFonts w:hint="eastAsia" w:ascii="宋体" w:hAnsi="宋体" w:cs="宋体"/>
          <w:color w:val="auto"/>
          <w:kern w:val="0"/>
          <w:sz w:val="28"/>
          <w:szCs w:val="28"/>
          <w:highlight w:val="none"/>
          <w:lang w:val="zh-CN"/>
        </w:rPr>
        <w:t>.开标一览表（</w:t>
      </w:r>
      <w:r>
        <w:rPr>
          <w:rFonts w:hint="eastAsia" w:ascii="宋体" w:hAnsi="宋体" w:cs="宋体"/>
          <w:bCs/>
          <w:color w:val="auto"/>
          <w:sz w:val="28"/>
          <w:szCs w:val="28"/>
          <w:highlight w:val="none"/>
        </w:rPr>
        <w:t>苏采云系统固定格式</w:t>
      </w:r>
      <w:r>
        <w:rPr>
          <w:rFonts w:hint="eastAsia" w:ascii="宋体" w:hAnsi="宋体" w:cs="宋体"/>
          <w:color w:val="auto"/>
          <w:kern w:val="0"/>
          <w:sz w:val="28"/>
          <w:szCs w:val="28"/>
          <w:highlight w:val="none"/>
          <w:lang w:val="zh-CN"/>
        </w:rPr>
        <w:t>）；</w:t>
      </w:r>
    </w:p>
    <w:p w14:paraId="37746CB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2.分项报价表（</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1）；</w:t>
      </w:r>
    </w:p>
    <w:p w14:paraId="08015D7C">
      <w:pPr>
        <w:adjustRightInd w:val="0"/>
        <w:snapToGrid w:val="0"/>
        <w:spacing w:line="460" w:lineRule="exact"/>
        <w:ind w:firstLine="560" w:firstLineChars="200"/>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3.关于符合本国产品标准的声明函</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2）；</w:t>
      </w:r>
    </w:p>
    <w:p w14:paraId="1A1779E1">
      <w:pPr>
        <w:adjustRightInd w:val="0"/>
        <w:snapToGrid w:val="0"/>
        <w:spacing w:line="46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4</w:t>
      </w:r>
      <w:r>
        <w:rPr>
          <w:rFonts w:hint="eastAsia" w:ascii="宋体" w:hAnsi="宋体" w:cs="宋体"/>
          <w:bCs/>
          <w:color w:val="auto"/>
          <w:kern w:val="0"/>
          <w:sz w:val="28"/>
          <w:szCs w:val="28"/>
          <w:highlight w:val="none"/>
          <w:lang w:val="zh-CN"/>
        </w:rPr>
        <w:t>.投标人情况一览表（格式见附件</w:t>
      </w:r>
      <w:r>
        <w:rPr>
          <w:rFonts w:hint="eastAsia" w:ascii="宋体" w:hAnsi="宋体" w:cs="宋体"/>
          <w:bCs/>
          <w:color w:val="auto"/>
          <w:kern w:val="0"/>
          <w:sz w:val="28"/>
          <w:szCs w:val="28"/>
          <w:highlight w:val="none"/>
        </w:rPr>
        <w:t>3</w:t>
      </w:r>
      <w:r>
        <w:rPr>
          <w:rFonts w:hint="eastAsia" w:ascii="宋体" w:hAnsi="宋体" w:cs="宋体"/>
          <w:bCs/>
          <w:color w:val="auto"/>
          <w:kern w:val="0"/>
          <w:sz w:val="28"/>
          <w:szCs w:val="28"/>
          <w:highlight w:val="none"/>
          <w:lang w:val="zh-CN"/>
        </w:rPr>
        <w:t>）；</w:t>
      </w:r>
    </w:p>
    <w:p w14:paraId="3617D1B3">
      <w:pPr>
        <w:adjustRightInd w:val="0"/>
        <w:snapToGrid w:val="0"/>
        <w:spacing w:line="46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rPr>
        <w:t>5</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rPr>
        <w:t>4</w:t>
      </w:r>
      <w:r>
        <w:rPr>
          <w:rFonts w:hint="eastAsia" w:ascii="宋体" w:hAnsi="宋体" w:cs="宋体"/>
          <w:bCs/>
          <w:color w:val="auto"/>
          <w:kern w:val="0"/>
          <w:sz w:val="28"/>
          <w:szCs w:val="28"/>
          <w:highlight w:val="none"/>
          <w:lang w:val="zh-CN"/>
        </w:rPr>
        <w:t>）；</w:t>
      </w:r>
    </w:p>
    <w:p w14:paraId="57EA439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kern w:val="0"/>
          <w:sz w:val="28"/>
          <w:szCs w:val="28"/>
          <w:highlight w:val="none"/>
        </w:rPr>
        <w:t>6.</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rPr>
        <w:t>5</w:t>
      </w:r>
      <w:r>
        <w:rPr>
          <w:rFonts w:hint="eastAsia" w:ascii="宋体" w:hAnsi="宋体" w:cs="宋体"/>
          <w:bCs/>
          <w:color w:val="auto"/>
          <w:kern w:val="0"/>
          <w:sz w:val="28"/>
          <w:szCs w:val="28"/>
          <w:highlight w:val="none"/>
          <w:lang w:val="zh-CN"/>
        </w:rPr>
        <w:t>）；</w:t>
      </w:r>
    </w:p>
    <w:p w14:paraId="6426D1F2">
      <w:pPr>
        <w:spacing w:line="440" w:lineRule="exact"/>
        <w:ind w:firstLine="560" w:firstLineChars="200"/>
        <w:rPr>
          <w:rFonts w:ascii="宋体" w:hAnsi="宋体" w:cs="宋体"/>
          <w:color w:val="auto"/>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val="zh-CN"/>
        </w:rPr>
        <w:t>投标人信用承诺书</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zh-CN"/>
        </w:rPr>
        <w:t>格式见附件</w:t>
      </w:r>
      <w:r>
        <w:rPr>
          <w:rFonts w:hint="eastAsia" w:ascii="宋体" w:hAnsi="宋体" w:cs="宋体"/>
          <w:color w:val="auto"/>
          <w:sz w:val="28"/>
          <w:szCs w:val="28"/>
          <w:highlight w:val="none"/>
        </w:rPr>
        <w:t>6）；</w:t>
      </w:r>
    </w:p>
    <w:p w14:paraId="668FB188">
      <w:pPr>
        <w:spacing w:line="460" w:lineRule="exact"/>
        <w:ind w:left="480"/>
        <w:outlineLvl w:val="1"/>
        <w:rPr>
          <w:rFonts w:ascii="宋体" w:hAnsi="宋体" w:cs="宋体"/>
          <w:b/>
          <w:color w:val="auto"/>
          <w:sz w:val="28"/>
          <w:szCs w:val="28"/>
          <w:highlight w:val="none"/>
        </w:rPr>
      </w:pPr>
      <w:bookmarkStart w:id="286" w:name="_Toc19557"/>
      <w:r>
        <w:rPr>
          <w:rFonts w:hint="eastAsia" w:ascii="宋体" w:hAnsi="宋体" w:cs="宋体"/>
          <w:b/>
          <w:color w:val="auto"/>
          <w:sz w:val="28"/>
          <w:szCs w:val="28"/>
          <w:highlight w:val="none"/>
        </w:rPr>
        <w:t>二、资格审查内容</w:t>
      </w:r>
      <w:bookmarkEnd w:id="286"/>
    </w:p>
    <w:p w14:paraId="5E855CC5">
      <w:pPr>
        <w:adjustRightInd w:val="0"/>
        <w:snapToGrid w:val="0"/>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投标人符合《</w:t>
      </w:r>
      <w:r>
        <w:rPr>
          <w:rFonts w:hint="eastAsia" w:ascii="宋体" w:hAnsi="宋体" w:cs="宋体"/>
          <w:color w:val="auto"/>
          <w:sz w:val="28"/>
          <w:szCs w:val="28"/>
          <w:highlight w:val="none"/>
        </w:rPr>
        <w:t>中华人民共和国政府采购法</w:t>
      </w:r>
      <w:r>
        <w:rPr>
          <w:rFonts w:hint="eastAsia" w:ascii="宋体" w:hAnsi="宋体" w:cs="宋体"/>
          <w:color w:val="auto"/>
          <w:kern w:val="0"/>
          <w:sz w:val="28"/>
          <w:szCs w:val="28"/>
          <w:highlight w:val="none"/>
        </w:rPr>
        <w:t>》第二十二条规定条件的承诺函</w:t>
      </w:r>
      <w:r>
        <w:rPr>
          <w:rFonts w:hint="eastAsia" w:ascii="宋体" w:hAnsi="宋体" w:cs="宋体"/>
          <w:color w:val="auto"/>
          <w:kern w:val="0"/>
          <w:sz w:val="28"/>
          <w:szCs w:val="28"/>
          <w:highlight w:val="none"/>
          <w:lang w:val="zh-CN"/>
        </w:rPr>
        <w:t>（格式见附件</w:t>
      </w:r>
      <w:r>
        <w:rPr>
          <w:rFonts w:hint="eastAsia" w:ascii="宋体" w:hAnsi="宋体" w:cs="宋体"/>
          <w:color w:val="auto"/>
          <w:kern w:val="0"/>
          <w:sz w:val="28"/>
          <w:szCs w:val="28"/>
          <w:highlight w:val="none"/>
        </w:rPr>
        <w:t>7</w:t>
      </w:r>
      <w:r>
        <w:rPr>
          <w:rFonts w:hint="eastAsia" w:ascii="宋体" w:hAnsi="宋体" w:cs="宋体"/>
          <w:color w:val="auto"/>
          <w:kern w:val="0"/>
          <w:sz w:val="28"/>
          <w:szCs w:val="28"/>
          <w:highlight w:val="none"/>
          <w:lang w:val="zh-CN"/>
        </w:rPr>
        <w:t>）；</w:t>
      </w:r>
    </w:p>
    <w:p w14:paraId="635AECC7">
      <w:pPr>
        <w:adjustRightInd w:val="0"/>
        <w:snapToGrid w:val="0"/>
        <w:spacing w:line="440" w:lineRule="exact"/>
        <w:ind w:firstLine="560" w:firstLineChars="200"/>
        <w:outlineLvl w:val="2"/>
        <w:rPr>
          <w:rFonts w:ascii="宋体" w:hAnsi="宋体" w:cs="宋体"/>
          <w:color w:val="auto"/>
          <w:kern w:val="0"/>
          <w:sz w:val="28"/>
          <w:szCs w:val="28"/>
          <w:highlight w:val="none"/>
          <w:lang w:val="zh-CN"/>
        </w:rPr>
      </w:pPr>
      <w:bookmarkStart w:id="287" w:name="_Toc31323"/>
      <w:r>
        <w:rPr>
          <w:rFonts w:hint="eastAsia" w:ascii="宋体" w:hAnsi="宋体" w:cs="宋体"/>
          <w:color w:val="auto"/>
          <w:kern w:val="0"/>
          <w:sz w:val="28"/>
          <w:szCs w:val="28"/>
          <w:highlight w:val="none"/>
          <w:lang w:val="zh-CN"/>
        </w:rPr>
        <w:t>2.法定代表人身份证明书（格式见附件</w:t>
      </w:r>
      <w:r>
        <w:rPr>
          <w:rFonts w:hint="eastAsia" w:ascii="宋体" w:hAnsi="宋体" w:cs="宋体"/>
          <w:color w:val="auto"/>
          <w:kern w:val="0"/>
          <w:sz w:val="28"/>
          <w:szCs w:val="28"/>
          <w:highlight w:val="none"/>
        </w:rPr>
        <w:t>8</w:t>
      </w:r>
      <w:r>
        <w:rPr>
          <w:rFonts w:hint="eastAsia" w:ascii="宋体" w:hAnsi="宋体" w:cs="宋体"/>
          <w:color w:val="auto"/>
          <w:kern w:val="0"/>
          <w:sz w:val="28"/>
          <w:szCs w:val="28"/>
          <w:highlight w:val="none"/>
          <w:lang w:val="zh-CN"/>
        </w:rPr>
        <w:t>）；</w:t>
      </w:r>
      <w:bookmarkEnd w:id="287"/>
    </w:p>
    <w:p w14:paraId="4E2C3ED6">
      <w:pPr>
        <w:adjustRightInd w:val="0"/>
        <w:snapToGrid w:val="0"/>
        <w:spacing w:line="44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w:t>
      </w:r>
      <w:r>
        <w:rPr>
          <w:rFonts w:hint="eastAsia" w:ascii="宋体" w:hAnsi="宋体" w:cs="宋体"/>
          <w:color w:val="auto"/>
          <w:kern w:val="0"/>
          <w:sz w:val="28"/>
          <w:szCs w:val="28"/>
          <w:highlight w:val="none"/>
        </w:rPr>
        <w:t>投标</w:t>
      </w:r>
      <w:r>
        <w:rPr>
          <w:rFonts w:hint="eastAsia" w:ascii="宋体" w:hAnsi="宋体" w:cs="宋体"/>
          <w:color w:val="auto"/>
          <w:kern w:val="0"/>
          <w:sz w:val="28"/>
          <w:szCs w:val="28"/>
          <w:highlight w:val="none"/>
          <w:lang w:val="zh-CN"/>
        </w:rPr>
        <w:t>代表本人身份证复印件（格式见附件</w:t>
      </w:r>
      <w:r>
        <w:rPr>
          <w:rFonts w:hint="eastAsia" w:ascii="宋体" w:hAnsi="宋体" w:cs="宋体"/>
          <w:color w:val="auto"/>
          <w:kern w:val="0"/>
          <w:sz w:val="28"/>
          <w:szCs w:val="28"/>
          <w:highlight w:val="none"/>
        </w:rPr>
        <w:t>9</w:t>
      </w:r>
      <w:r>
        <w:rPr>
          <w:rFonts w:hint="eastAsia" w:ascii="宋体" w:hAnsi="宋体" w:cs="宋体"/>
          <w:color w:val="auto"/>
          <w:kern w:val="0"/>
          <w:sz w:val="28"/>
          <w:szCs w:val="28"/>
          <w:highlight w:val="none"/>
          <w:lang w:val="zh-CN"/>
        </w:rPr>
        <w:t>）；</w:t>
      </w:r>
    </w:p>
    <w:p w14:paraId="1727FC97">
      <w:pPr>
        <w:spacing w:line="460" w:lineRule="exact"/>
        <w:ind w:firstLine="562"/>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4.提供有效的营业执照复印件；</w:t>
      </w:r>
    </w:p>
    <w:p w14:paraId="71BDA303">
      <w:pPr>
        <w:spacing w:line="460" w:lineRule="exact"/>
        <w:ind w:firstLine="562"/>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zh-CN"/>
        </w:rPr>
        <w:t>其它需要提交的资格审查文件（以下满足其一即可）：</w:t>
      </w:r>
    </w:p>
    <w:p w14:paraId="33CF3C14">
      <w:pPr>
        <w:snapToGrid w:val="0"/>
        <w:spacing w:line="400" w:lineRule="exact"/>
        <w:ind w:firstLine="560" w:firstLineChars="200"/>
        <w:contextualSpacing/>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.1小微企业声明函（如是，格式见附件10）；</w:t>
      </w:r>
    </w:p>
    <w:p w14:paraId="4F2EC91B">
      <w:pPr>
        <w:snapToGrid w:val="0"/>
        <w:spacing w:line="400" w:lineRule="exact"/>
        <w:ind w:firstLine="560" w:firstLineChars="200"/>
        <w:contextualSpacing/>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.2残疾人福利性单位声明</w:t>
      </w:r>
      <w:bookmarkStart w:id="300" w:name="_GoBack"/>
      <w:bookmarkEnd w:id="300"/>
      <w:r>
        <w:rPr>
          <w:rFonts w:hint="eastAsia" w:ascii="宋体" w:hAnsi="宋体" w:cs="宋体"/>
          <w:bCs/>
          <w:color w:val="auto"/>
          <w:sz w:val="28"/>
          <w:szCs w:val="28"/>
          <w:highlight w:val="none"/>
        </w:rPr>
        <w:t>函（如是，格式见附件11）；</w:t>
      </w:r>
    </w:p>
    <w:p w14:paraId="3F801EFB">
      <w:pPr>
        <w:snapToGrid w:val="0"/>
        <w:spacing w:line="400" w:lineRule="exact"/>
        <w:ind w:firstLine="560" w:firstLineChars="200"/>
        <w:contextualSpacing/>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.3监狱和戒毒企业证明材料（如是，格式见附件12）。</w:t>
      </w:r>
    </w:p>
    <w:p w14:paraId="769782E4">
      <w:pPr>
        <w:spacing w:line="46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rPr>
        <w:t>注：上述“资格审查内容”中1-4条投标人必须逐条响应，否则作无效响应处理。</w:t>
      </w:r>
    </w:p>
    <w:p w14:paraId="0654CCB7">
      <w:pPr>
        <w:spacing w:line="460" w:lineRule="exact"/>
        <w:ind w:left="480"/>
        <w:outlineLvl w:val="1"/>
        <w:rPr>
          <w:rFonts w:ascii="宋体" w:hAnsi="宋体" w:cs="宋体"/>
          <w:b/>
          <w:color w:val="auto"/>
          <w:sz w:val="28"/>
          <w:szCs w:val="28"/>
          <w:highlight w:val="none"/>
        </w:rPr>
      </w:pPr>
      <w:bookmarkStart w:id="288" w:name="_Toc2566"/>
      <w:r>
        <w:rPr>
          <w:rFonts w:hint="eastAsia" w:ascii="宋体" w:hAnsi="宋体" w:cs="宋体"/>
          <w:b/>
          <w:color w:val="auto"/>
          <w:sz w:val="28"/>
          <w:szCs w:val="28"/>
          <w:highlight w:val="none"/>
        </w:rPr>
        <w:t>三、符合性审查内容</w:t>
      </w:r>
      <w:bookmarkEnd w:id="288"/>
    </w:p>
    <w:p w14:paraId="3313E414">
      <w:pPr>
        <w:spacing w:line="460" w:lineRule="exact"/>
        <w:ind w:firstLine="560"/>
        <w:rPr>
          <w:rFonts w:ascii="宋体" w:hAnsi="宋体" w:cs="宋体"/>
          <w:bCs/>
          <w:color w:val="auto"/>
          <w:sz w:val="28"/>
          <w:szCs w:val="28"/>
          <w:highlight w:val="none"/>
          <w:lang w:val="zh-CN"/>
        </w:rPr>
      </w:pPr>
      <w:bookmarkStart w:id="289" w:name="_Toc21971"/>
      <w:r>
        <w:rPr>
          <w:rFonts w:hint="eastAsia" w:ascii="宋体" w:hAnsi="宋体" w:cs="宋体"/>
          <w:bCs/>
          <w:color w:val="auto"/>
          <w:sz w:val="28"/>
          <w:szCs w:val="28"/>
          <w:highlight w:val="none"/>
          <w:lang w:val="zh-CN"/>
        </w:rPr>
        <w:t>按招标文件第三部分 项目需求“六、采购需求中必须满足的实质性要求”提供《实质性要求响应及偏离表》（格式见13）及承诺书等。</w:t>
      </w:r>
    </w:p>
    <w:p w14:paraId="03ACBC8C">
      <w:pPr>
        <w:spacing w:line="440" w:lineRule="exact"/>
        <w:ind w:firstLine="562"/>
        <w:jc w:val="left"/>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四、商务技术文件</w:t>
      </w:r>
      <w:bookmarkEnd w:id="289"/>
    </w:p>
    <w:p w14:paraId="5BD789FB">
      <w:pPr>
        <w:spacing w:line="460" w:lineRule="exact"/>
        <w:ind w:firstLine="560"/>
        <w:rPr>
          <w:rFonts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商务技术评分标准中须提供的相关得分佐证材料；</w:t>
      </w:r>
    </w:p>
    <w:p w14:paraId="504CCEBA">
      <w:pPr>
        <w:snapToGrid w:val="0"/>
        <w:spacing w:line="400" w:lineRule="exact"/>
        <w:ind w:firstLine="560" w:firstLineChars="200"/>
        <w:contextualSpacing/>
        <w:rPr>
          <w:rFonts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投标人认为需要提交的其他商务技术材料。</w:t>
      </w:r>
    </w:p>
    <w:p w14:paraId="6EE971F8">
      <w:pPr>
        <w:snapToGrid w:val="0"/>
        <w:spacing w:line="400" w:lineRule="exact"/>
        <w:ind w:firstLine="562" w:firstLineChars="200"/>
        <w:contextualSpacing/>
        <w:rPr>
          <w:rFonts w:ascii="宋体" w:hAnsi="宋体" w:cs="宋体"/>
          <w:b/>
          <w:color w:val="auto"/>
          <w:sz w:val="28"/>
          <w:szCs w:val="28"/>
          <w:highlight w:val="none"/>
        </w:rPr>
      </w:pPr>
    </w:p>
    <w:p w14:paraId="1DDFDFD3">
      <w:pPr>
        <w:spacing w:line="480" w:lineRule="exact"/>
        <w:rPr>
          <w:rFonts w:ascii="宋体" w:hAnsi="宋体" w:cs="宋体"/>
          <w:color w:val="auto"/>
          <w:sz w:val="28"/>
          <w:szCs w:val="28"/>
          <w:highlight w:val="none"/>
        </w:rPr>
      </w:pPr>
      <w:r>
        <w:rPr>
          <w:rFonts w:hint="eastAsia" w:ascii="宋体" w:hAnsi="宋体" w:cs="宋体"/>
          <w:color w:val="auto"/>
          <w:kern w:val="0"/>
          <w:sz w:val="32"/>
          <w:szCs w:val="32"/>
          <w:highlight w:val="none"/>
          <w:lang w:val="zh-CN"/>
        </w:rPr>
        <w:br w:type="page"/>
      </w:r>
    </w:p>
    <w:p w14:paraId="7E896613">
      <w:pPr>
        <w:snapToGrid w:val="0"/>
        <w:spacing w:line="460" w:lineRule="exact"/>
        <w:contextualSpacing/>
        <w:rPr>
          <w:rFonts w:ascii="宋体" w:hAnsi="宋体" w:cs="宋体"/>
          <w:color w:val="auto"/>
          <w:kern w:val="0"/>
          <w:sz w:val="28"/>
          <w:szCs w:val="28"/>
          <w:highlight w:val="none"/>
        </w:rPr>
      </w:pPr>
      <w:r>
        <w:rPr>
          <w:rFonts w:hint="eastAsia" w:ascii="宋体" w:hAnsi="宋体" w:cs="宋体"/>
          <w:color w:val="auto"/>
          <w:kern w:val="0"/>
          <w:sz w:val="28"/>
          <w:szCs w:val="28"/>
          <w:highlight w:val="none"/>
        </w:rPr>
        <w:t>附件1</w:t>
      </w:r>
    </w:p>
    <w:p w14:paraId="6ADCEA79">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投标分项报价表</w:t>
      </w:r>
    </w:p>
    <w:tbl>
      <w:tblPr>
        <w:tblStyle w:val="37"/>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866"/>
        <w:gridCol w:w="987"/>
        <w:gridCol w:w="987"/>
        <w:gridCol w:w="987"/>
        <w:gridCol w:w="987"/>
        <w:gridCol w:w="987"/>
        <w:gridCol w:w="987"/>
        <w:gridCol w:w="987"/>
      </w:tblGrid>
      <w:tr w14:paraId="6CEC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3861F996">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1866" w:type="dxa"/>
            <w:tcBorders>
              <w:top w:val="single" w:color="auto" w:sz="4" w:space="0"/>
              <w:left w:val="nil"/>
              <w:bottom w:val="single" w:color="auto" w:sz="4" w:space="0"/>
              <w:right w:val="single" w:color="auto" w:sz="4" w:space="0"/>
            </w:tcBorders>
            <w:noWrap/>
            <w:vAlign w:val="center"/>
          </w:tcPr>
          <w:p w14:paraId="19C14CA2">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仪器/设备名称</w:t>
            </w:r>
          </w:p>
        </w:tc>
        <w:tc>
          <w:tcPr>
            <w:tcW w:w="987" w:type="dxa"/>
            <w:tcBorders>
              <w:top w:val="single" w:color="auto" w:sz="4" w:space="0"/>
              <w:left w:val="nil"/>
              <w:bottom w:val="single" w:color="auto" w:sz="4" w:space="0"/>
              <w:right w:val="single" w:color="auto" w:sz="4" w:space="0"/>
            </w:tcBorders>
            <w:noWrap/>
            <w:vAlign w:val="center"/>
          </w:tcPr>
          <w:p w14:paraId="3181A1CA">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数量</w:t>
            </w:r>
          </w:p>
        </w:tc>
        <w:tc>
          <w:tcPr>
            <w:tcW w:w="987" w:type="dxa"/>
            <w:tcBorders>
              <w:top w:val="single" w:color="auto" w:sz="4" w:space="0"/>
              <w:left w:val="nil"/>
              <w:bottom w:val="single" w:color="auto" w:sz="4" w:space="0"/>
              <w:right w:val="single" w:color="auto" w:sz="4" w:space="0"/>
            </w:tcBorders>
            <w:noWrap/>
            <w:vAlign w:val="center"/>
          </w:tcPr>
          <w:p w14:paraId="5FB3921E">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品牌（如有）</w:t>
            </w:r>
          </w:p>
        </w:tc>
        <w:tc>
          <w:tcPr>
            <w:tcW w:w="987" w:type="dxa"/>
            <w:tcBorders>
              <w:top w:val="single" w:color="auto" w:sz="4" w:space="0"/>
              <w:left w:val="nil"/>
              <w:bottom w:val="single" w:color="auto" w:sz="4" w:space="0"/>
              <w:right w:val="single" w:color="auto" w:sz="4" w:space="0"/>
            </w:tcBorders>
            <w:noWrap/>
            <w:vAlign w:val="center"/>
          </w:tcPr>
          <w:p w14:paraId="07EDC5DD">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规格型号</w:t>
            </w:r>
          </w:p>
        </w:tc>
        <w:tc>
          <w:tcPr>
            <w:tcW w:w="987" w:type="dxa"/>
            <w:tcBorders>
              <w:top w:val="single" w:color="auto" w:sz="4" w:space="0"/>
              <w:left w:val="nil"/>
              <w:bottom w:val="single" w:color="auto" w:sz="4" w:space="0"/>
              <w:right w:val="single" w:color="auto" w:sz="4" w:space="0"/>
            </w:tcBorders>
            <w:noWrap/>
            <w:vAlign w:val="center"/>
          </w:tcPr>
          <w:p w14:paraId="07FD1F0D">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制造商名称</w:t>
            </w:r>
          </w:p>
        </w:tc>
        <w:tc>
          <w:tcPr>
            <w:tcW w:w="987" w:type="dxa"/>
            <w:tcBorders>
              <w:top w:val="single" w:color="auto" w:sz="4" w:space="0"/>
              <w:left w:val="nil"/>
              <w:bottom w:val="single" w:color="auto" w:sz="4" w:space="0"/>
              <w:right w:val="single" w:color="auto" w:sz="4" w:space="0"/>
            </w:tcBorders>
            <w:noWrap/>
            <w:vAlign w:val="center"/>
          </w:tcPr>
          <w:p w14:paraId="2F3CA660">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产地</w:t>
            </w:r>
          </w:p>
        </w:tc>
        <w:tc>
          <w:tcPr>
            <w:tcW w:w="987" w:type="dxa"/>
            <w:tcBorders>
              <w:top w:val="single" w:color="auto" w:sz="4" w:space="0"/>
              <w:left w:val="nil"/>
              <w:bottom w:val="single" w:color="auto" w:sz="4" w:space="0"/>
              <w:right w:val="single" w:color="auto" w:sz="4" w:space="0"/>
            </w:tcBorders>
            <w:noWrap/>
            <w:vAlign w:val="center"/>
          </w:tcPr>
          <w:p w14:paraId="321E0197">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投标单价（元）</w:t>
            </w:r>
          </w:p>
        </w:tc>
        <w:tc>
          <w:tcPr>
            <w:tcW w:w="987" w:type="dxa"/>
            <w:tcBorders>
              <w:top w:val="single" w:color="auto" w:sz="4" w:space="0"/>
              <w:left w:val="nil"/>
              <w:bottom w:val="single" w:color="auto" w:sz="4" w:space="0"/>
              <w:right w:val="single" w:color="auto" w:sz="4" w:space="0"/>
            </w:tcBorders>
            <w:noWrap/>
            <w:vAlign w:val="center"/>
          </w:tcPr>
          <w:p w14:paraId="22969D11">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投标合价（元）</w:t>
            </w:r>
          </w:p>
        </w:tc>
      </w:tr>
      <w:tr w14:paraId="1AB3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32DA8094">
            <w:pPr>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1866" w:type="dxa"/>
            <w:tcBorders>
              <w:top w:val="single" w:color="auto" w:sz="4" w:space="0"/>
              <w:left w:val="nil"/>
              <w:bottom w:val="single" w:color="auto" w:sz="4" w:space="0"/>
              <w:right w:val="single" w:color="auto" w:sz="4" w:space="0"/>
            </w:tcBorders>
            <w:noWrap/>
            <w:vAlign w:val="center"/>
          </w:tcPr>
          <w:p w14:paraId="0CC3CC2F">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气相色谱仪（顶空-气相色谱仪-氢火焰离子化检测器+电子捕获检测器）</w:t>
            </w:r>
          </w:p>
        </w:tc>
        <w:tc>
          <w:tcPr>
            <w:tcW w:w="987" w:type="dxa"/>
            <w:tcBorders>
              <w:top w:val="single" w:color="auto" w:sz="4" w:space="0"/>
              <w:left w:val="nil"/>
              <w:bottom w:val="single" w:color="auto" w:sz="4" w:space="0"/>
              <w:right w:val="single" w:color="auto" w:sz="4" w:space="0"/>
            </w:tcBorders>
            <w:noWrap/>
            <w:vAlign w:val="center"/>
          </w:tcPr>
          <w:p w14:paraId="31E03920">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677BB844">
            <w:pPr>
              <w:spacing w:line="320" w:lineRule="exact"/>
              <w:contextualSpacing/>
              <w:jc w:val="center"/>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3E485E68">
            <w:pPr>
              <w:spacing w:line="320" w:lineRule="exact"/>
              <w:contextualSpacing/>
              <w:jc w:val="center"/>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DB9CC0B">
            <w:pPr>
              <w:spacing w:line="320" w:lineRule="exact"/>
              <w:contextualSpacing/>
              <w:jc w:val="center"/>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E9C8E74">
            <w:pPr>
              <w:spacing w:line="320" w:lineRule="exact"/>
              <w:contextualSpacing/>
              <w:jc w:val="center"/>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4AB021F6">
            <w:pPr>
              <w:spacing w:line="320" w:lineRule="exact"/>
              <w:contextualSpacing/>
              <w:jc w:val="center"/>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3C2578C4">
            <w:pPr>
              <w:spacing w:line="320" w:lineRule="exact"/>
              <w:contextualSpacing/>
              <w:jc w:val="center"/>
              <w:rPr>
                <w:rFonts w:ascii="宋体" w:hAnsi="宋体" w:cs="宋体"/>
                <w:color w:val="auto"/>
                <w:sz w:val="28"/>
                <w:szCs w:val="28"/>
                <w:highlight w:val="none"/>
              </w:rPr>
            </w:pPr>
          </w:p>
        </w:tc>
      </w:tr>
      <w:tr w14:paraId="09FB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71470C99">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1866" w:type="dxa"/>
            <w:tcBorders>
              <w:top w:val="single" w:color="auto" w:sz="4" w:space="0"/>
              <w:left w:val="nil"/>
              <w:bottom w:val="single" w:color="auto" w:sz="4" w:space="0"/>
              <w:right w:val="single" w:color="auto" w:sz="4" w:space="0"/>
            </w:tcBorders>
            <w:noWrap/>
            <w:vAlign w:val="center"/>
          </w:tcPr>
          <w:p w14:paraId="33C0EA26">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气相色谱仪（气相色谱仪-氢火焰离子化检测器+电子捕获检测器）</w:t>
            </w:r>
          </w:p>
        </w:tc>
        <w:tc>
          <w:tcPr>
            <w:tcW w:w="987" w:type="dxa"/>
            <w:tcBorders>
              <w:top w:val="single" w:color="auto" w:sz="4" w:space="0"/>
              <w:left w:val="nil"/>
              <w:bottom w:val="single" w:color="auto" w:sz="4" w:space="0"/>
              <w:right w:val="single" w:color="auto" w:sz="4" w:space="0"/>
            </w:tcBorders>
            <w:noWrap/>
            <w:vAlign w:val="center"/>
          </w:tcPr>
          <w:p w14:paraId="0FA1D69E">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5F24E48B">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6EA5026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1C2FD722">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6999B182">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6CD9F3C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5D084177">
            <w:pPr>
              <w:spacing w:line="320" w:lineRule="exact"/>
              <w:rPr>
                <w:rFonts w:ascii="宋体" w:hAnsi="宋体" w:cs="宋体"/>
                <w:color w:val="auto"/>
                <w:sz w:val="28"/>
                <w:szCs w:val="28"/>
                <w:highlight w:val="none"/>
              </w:rPr>
            </w:pPr>
          </w:p>
        </w:tc>
      </w:tr>
      <w:tr w14:paraId="0153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00954A3E">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1866" w:type="dxa"/>
            <w:tcBorders>
              <w:top w:val="single" w:color="auto" w:sz="4" w:space="0"/>
              <w:left w:val="nil"/>
              <w:bottom w:val="single" w:color="auto" w:sz="4" w:space="0"/>
              <w:right w:val="single" w:color="auto" w:sz="4" w:space="0"/>
            </w:tcBorders>
            <w:noWrap/>
            <w:vAlign w:val="center"/>
          </w:tcPr>
          <w:p w14:paraId="55A68080">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气相色谱质谱联用仪</w:t>
            </w:r>
          </w:p>
        </w:tc>
        <w:tc>
          <w:tcPr>
            <w:tcW w:w="987" w:type="dxa"/>
            <w:tcBorders>
              <w:top w:val="single" w:color="auto" w:sz="4" w:space="0"/>
              <w:left w:val="nil"/>
              <w:bottom w:val="single" w:color="auto" w:sz="4" w:space="0"/>
              <w:right w:val="single" w:color="auto" w:sz="4" w:space="0"/>
            </w:tcBorders>
            <w:noWrap/>
            <w:vAlign w:val="center"/>
          </w:tcPr>
          <w:p w14:paraId="11472F57">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60F68BD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1821F23F">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40528247">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8D34BEE">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F9A8F72">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618928B7">
            <w:pPr>
              <w:spacing w:line="320" w:lineRule="exact"/>
              <w:rPr>
                <w:rFonts w:ascii="宋体" w:hAnsi="宋体" w:cs="宋体"/>
                <w:color w:val="auto"/>
                <w:sz w:val="28"/>
                <w:szCs w:val="28"/>
                <w:highlight w:val="none"/>
              </w:rPr>
            </w:pPr>
          </w:p>
        </w:tc>
      </w:tr>
      <w:tr w14:paraId="4F1A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4437804F">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1866" w:type="dxa"/>
            <w:tcBorders>
              <w:top w:val="single" w:color="auto" w:sz="4" w:space="0"/>
              <w:left w:val="nil"/>
              <w:bottom w:val="single" w:color="auto" w:sz="4" w:space="0"/>
              <w:right w:val="single" w:color="auto" w:sz="4" w:space="0"/>
            </w:tcBorders>
            <w:noWrap/>
            <w:vAlign w:val="center"/>
          </w:tcPr>
          <w:p w14:paraId="14E59214">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液相色谱仪（高效液相色谱仪-二极管阵列/荧光检测器+柱后衍生）</w:t>
            </w:r>
          </w:p>
        </w:tc>
        <w:tc>
          <w:tcPr>
            <w:tcW w:w="987" w:type="dxa"/>
            <w:tcBorders>
              <w:top w:val="single" w:color="auto" w:sz="4" w:space="0"/>
              <w:left w:val="nil"/>
              <w:bottom w:val="single" w:color="auto" w:sz="4" w:space="0"/>
              <w:right w:val="single" w:color="auto" w:sz="4" w:space="0"/>
            </w:tcBorders>
            <w:noWrap/>
            <w:vAlign w:val="center"/>
          </w:tcPr>
          <w:p w14:paraId="3EF5C525">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3E7EC07A">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E3CED9A">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449212C2">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5B2AEF2F">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E8A49A3">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E66F9C2">
            <w:pPr>
              <w:spacing w:line="320" w:lineRule="exact"/>
              <w:rPr>
                <w:rFonts w:ascii="宋体" w:hAnsi="宋体" w:cs="宋体"/>
                <w:color w:val="auto"/>
                <w:sz w:val="28"/>
                <w:szCs w:val="28"/>
                <w:highlight w:val="none"/>
              </w:rPr>
            </w:pPr>
          </w:p>
        </w:tc>
      </w:tr>
      <w:tr w14:paraId="5B3F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3242C1F2">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1866" w:type="dxa"/>
            <w:tcBorders>
              <w:top w:val="single" w:color="auto" w:sz="4" w:space="0"/>
              <w:left w:val="nil"/>
              <w:bottom w:val="single" w:color="auto" w:sz="4" w:space="0"/>
              <w:right w:val="single" w:color="auto" w:sz="4" w:space="0"/>
            </w:tcBorders>
            <w:noWrap/>
            <w:vAlign w:val="center"/>
          </w:tcPr>
          <w:p w14:paraId="3B1F4342">
            <w:pPr>
              <w:autoSpaceDE w:val="0"/>
              <w:autoSpaceDN w:val="0"/>
              <w:adjustRightInd w:val="0"/>
              <w:snapToGrid w:val="0"/>
              <w:spacing w:line="320" w:lineRule="exact"/>
              <w:contextualSpacing/>
              <w:jc w:val="center"/>
              <w:rPr>
                <w:rFonts w:ascii="宋体" w:hAnsi="宋体" w:cs="宋体"/>
                <w:b/>
                <w:color w:val="auto"/>
                <w:sz w:val="28"/>
                <w:szCs w:val="28"/>
                <w:highlight w:val="none"/>
              </w:rPr>
            </w:pPr>
            <w:r>
              <w:rPr>
                <w:rFonts w:hint="eastAsia" w:ascii="宋体" w:hAnsi="宋体" w:cs="宋体"/>
                <w:color w:val="auto"/>
                <w:sz w:val="28"/>
                <w:szCs w:val="28"/>
                <w:highlight w:val="none"/>
              </w:rPr>
              <w:t>液相色谱仪(高效液相色谱仪-二极管阵列/蒸发光散射检测器)</w:t>
            </w:r>
          </w:p>
        </w:tc>
        <w:tc>
          <w:tcPr>
            <w:tcW w:w="987" w:type="dxa"/>
            <w:tcBorders>
              <w:top w:val="single" w:color="auto" w:sz="4" w:space="0"/>
              <w:left w:val="nil"/>
              <w:bottom w:val="single" w:color="auto" w:sz="4" w:space="0"/>
              <w:right w:val="single" w:color="auto" w:sz="4" w:space="0"/>
            </w:tcBorders>
            <w:noWrap/>
            <w:vAlign w:val="center"/>
          </w:tcPr>
          <w:p w14:paraId="29963819">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0A7B2021">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6240D62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3976E43F">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35E8985">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4F91445">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38DE9D36">
            <w:pPr>
              <w:spacing w:line="320" w:lineRule="exact"/>
              <w:rPr>
                <w:rFonts w:ascii="宋体" w:hAnsi="宋体" w:cs="宋体"/>
                <w:color w:val="auto"/>
                <w:sz w:val="28"/>
                <w:szCs w:val="28"/>
                <w:highlight w:val="none"/>
              </w:rPr>
            </w:pPr>
          </w:p>
        </w:tc>
      </w:tr>
      <w:tr w14:paraId="347B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5B503641">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1866" w:type="dxa"/>
            <w:tcBorders>
              <w:top w:val="single" w:color="auto" w:sz="4" w:space="0"/>
              <w:left w:val="nil"/>
              <w:bottom w:val="single" w:color="auto" w:sz="4" w:space="0"/>
              <w:right w:val="single" w:color="auto" w:sz="4" w:space="0"/>
            </w:tcBorders>
            <w:noWrap/>
            <w:vAlign w:val="center"/>
          </w:tcPr>
          <w:p w14:paraId="745035AF">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液相色谱串联质谱仪</w:t>
            </w:r>
          </w:p>
        </w:tc>
        <w:tc>
          <w:tcPr>
            <w:tcW w:w="987" w:type="dxa"/>
            <w:tcBorders>
              <w:top w:val="single" w:color="auto" w:sz="4" w:space="0"/>
              <w:left w:val="nil"/>
              <w:bottom w:val="single" w:color="auto" w:sz="4" w:space="0"/>
              <w:right w:val="single" w:color="auto" w:sz="4" w:space="0"/>
            </w:tcBorders>
            <w:noWrap/>
            <w:vAlign w:val="center"/>
          </w:tcPr>
          <w:p w14:paraId="6EC7F00F">
            <w:pPr>
              <w:autoSpaceDE w:val="0"/>
              <w:autoSpaceDN w:val="0"/>
              <w:adjustRightInd w:val="0"/>
              <w:snapToGrid w:val="0"/>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44E38FB3">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18B0BBC">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4652EC9">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4AF5E03">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CF29C6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17C07863">
            <w:pPr>
              <w:spacing w:line="320" w:lineRule="exact"/>
              <w:rPr>
                <w:rFonts w:ascii="宋体" w:hAnsi="宋体" w:cs="宋体"/>
                <w:color w:val="auto"/>
                <w:sz w:val="28"/>
                <w:szCs w:val="28"/>
                <w:highlight w:val="none"/>
              </w:rPr>
            </w:pPr>
          </w:p>
        </w:tc>
      </w:tr>
      <w:tr w14:paraId="0821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14CAE33E">
            <w:pPr>
              <w:spacing w:line="32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1866" w:type="dxa"/>
            <w:tcBorders>
              <w:top w:val="single" w:color="auto" w:sz="4" w:space="0"/>
              <w:left w:val="nil"/>
              <w:bottom w:val="single" w:color="auto" w:sz="4" w:space="0"/>
              <w:right w:val="single" w:color="auto" w:sz="4" w:space="0"/>
            </w:tcBorders>
            <w:noWrap/>
            <w:vAlign w:val="center"/>
          </w:tcPr>
          <w:p w14:paraId="30729F5F">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离子色谱仪（离子色谱-电导检测器+安培检测器）</w:t>
            </w:r>
          </w:p>
        </w:tc>
        <w:tc>
          <w:tcPr>
            <w:tcW w:w="987" w:type="dxa"/>
            <w:tcBorders>
              <w:top w:val="single" w:color="auto" w:sz="4" w:space="0"/>
              <w:left w:val="nil"/>
              <w:bottom w:val="single" w:color="auto" w:sz="4" w:space="0"/>
              <w:right w:val="single" w:color="auto" w:sz="4" w:space="0"/>
            </w:tcBorders>
            <w:noWrap/>
            <w:vAlign w:val="center"/>
          </w:tcPr>
          <w:p w14:paraId="2E5C0F8E">
            <w:pPr>
              <w:autoSpaceDE w:val="0"/>
              <w:autoSpaceDN w:val="0"/>
              <w:adjustRightInd w:val="0"/>
              <w:snapToGrid w:val="0"/>
              <w:spacing w:line="320" w:lineRule="exact"/>
              <w:contextualSpacing/>
              <w:jc w:val="center"/>
              <w:rPr>
                <w:rFonts w:ascii="宋体" w:hAnsi="宋体" w:cs="宋体"/>
                <w:color w:val="auto"/>
                <w:sz w:val="28"/>
                <w:szCs w:val="28"/>
                <w:highlight w:val="none"/>
              </w:rPr>
            </w:pPr>
            <w:r>
              <w:rPr>
                <w:rFonts w:hint="eastAsia" w:ascii="宋体" w:hAnsi="宋体" w:cs="宋体"/>
                <w:color w:val="auto"/>
                <w:sz w:val="28"/>
                <w:szCs w:val="28"/>
                <w:highlight w:val="none"/>
              </w:rPr>
              <w:t>1套</w:t>
            </w:r>
          </w:p>
        </w:tc>
        <w:tc>
          <w:tcPr>
            <w:tcW w:w="987" w:type="dxa"/>
            <w:tcBorders>
              <w:top w:val="single" w:color="auto" w:sz="4" w:space="0"/>
              <w:left w:val="nil"/>
              <w:bottom w:val="single" w:color="auto" w:sz="4" w:space="0"/>
              <w:right w:val="single" w:color="auto" w:sz="4" w:space="0"/>
            </w:tcBorders>
            <w:noWrap/>
            <w:vAlign w:val="center"/>
          </w:tcPr>
          <w:p w14:paraId="6A2F214B">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010D327">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76BCF6B">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274D5899">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8FA3D9A">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7805AE28">
            <w:pPr>
              <w:spacing w:line="320" w:lineRule="exact"/>
              <w:rPr>
                <w:rFonts w:ascii="宋体" w:hAnsi="宋体" w:cs="宋体"/>
                <w:color w:val="auto"/>
                <w:sz w:val="28"/>
                <w:szCs w:val="28"/>
                <w:highlight w:val="none"/>
              </w:rPr>
            </w:pPr>
          </w:p>
        </w:tc>
      </w:tr>
      <w:tr w14:paraId="6550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01" w:type="dxa"/>
            <w:tcBorders>
              <w:top w:val="single" w:color="auto" w:sz="4" w:space="0"/>
              <w:left w:val="single" w:color="auto" w:sz="4" w:space="0"/>
              <w:bottom w:val="single" w:color="auto" w:sz="4" w:space="0"/>
              <w:right w:val="single" w:color="auto" w:sz="4" w:space="0"/>
            </w:tcBorders>
            <w:noWrap/>
            <w:vAlign w:val="center"/>
          </w:tcPr>
          <w:p w14:paraId="0A526B08">
            <w:pPr>
              <w:spacing w:line="320" w:lineRule="exact"/>
              <w:jc w:val="center"/>
              <w:rPr>
                <w:rFonts w:ascii="宋体" w:hAnsi="宋体" w:cs="宋体"/>
                <w:color w:val="auto"/>
                <w:sz w:val="28"/>
                <w:szCs w:val="28"/>
                <w:highlight w:val="none"/>
              </w:rPr>
            </w:pPr>
          </w:p>
        </w:tc>
        <w:tc>
          <w:tcPr>
            <w:tcW w:w="6801" w:type="dxa"/>
            <w:gridSpan w:val="6"/>
            <w:tcBorders>
              <w:top w:val="single" w:color="auto" w:sz="4" w:space="0"/>
              <w:left w:val="nil"/>
              <w:bottom w:val="single" w:color="auto" w:sz="4" w:space="0"/>
              <w:right w:val="single" w:color="auto" w:sz="4" w:space="0"/>
            </w:tcBorders>
            <w:noWrap/>
            <w:vAlign w:val="center"/>
          </w:tcPr>
          <w:p w14:paraId="71A26A27">
            <w:pPr>
              <w:spacing w:line="320" w:lineRule="exact"/>
              <w:rPr>
                <w:rFonts w:ascii="宋体" w:hAnsi="宋体" w:cs="宋体"/>
                <w:color w:val="auto"/>
                <w:sz w:val="28"/>
                <w:szCs w:val="28"/>
                <w:highlight w:val="none"/>
              </w:rPr>
            </w:pPr>
            <w:r>
              <w:rPr>
                <w:rFonts w:hint="eastAsia" w:ascii="宋体" w:hAnsi="宋体" w:cs="宋体"/>
                <w:color w:val="auto"/>
                <w:sz w:val="28"/>
                <w:szCs w:val="28"/>
                <w:highlight w:val="none"/>
              </w:rPr>
              <w:t>合计（元）</w:t>
            </w:r>
          </w:p>
        </w:tc>
        <w:tc>
          <w:tcPr>
            <w:tcW w:w="987" w:type="dxa"/>
            <w:tcBorders>
              <w:top w:val="single" w:color="auto" w:sz="4" w:space="0"/>
              <w:left w:val="nil"/>
              <w:bottom w:val="single" w:color="auto" w:sz="4" w:space="0"/>
              <w:right w:val="single" w:color="auto" w:sz="4" w:space="0"/>
            </w:tcBorders>
            <w:noWrap/>
            <w:vAlign w:val="center"/>
          </w:tcPr>
          <w:p w14:paraId="4559F4AD">
            <w:pPr>
              <w:spacing w:line="320" w:lineRule="exact"/>
              <w:rPr>
                <w:rFonts w:ascii="宋体" w:hAnsi="宋体" w:cs="宋体"/>
                <w:color w:val="auto"/>
                <w:sz w:val="28"/>
                <w:szCs w:val="28"/>
                <w:highlight w:val="none"/>
              </w:rPr>
            </w:pPr>
          </w:p>
        </w:tc>
        <w:tc>
          <w:tcPr>
            <w:tcW w:w="987" w:type="dxa"/>
            <w:tcBorders>
              <w:top w:val="single" w:color="auto" w:sz="4" w:space="0"/>
              <w:left w:val="nil"/>
              <w:bottom w:val="single" w:color="auto" w:sz="4" w:space="0"/>
              <w:right w:val="single" w:color="auto" w:sz="4" w:space="0"/>
            </w:tcBorders>
            <w:noWrap/>
            <w:vAlign w:val="center"/>
          </w:tcPr>
          <w:p w14:paraId="0979FD5D">
            <w:pPr>
              <w:spacing w:line="320" w:lineRule="exact"/>
              <w:rPr>
                <w:rFonts w:ascii="宋体" w:hAnsi="宋体" w:cs="宋体"/>
                <w:color w:val="auto"/>
                <w:sz w:val="28"/>
                <w:szCs w:val="28"/>
                <w:highlight w:val="none"/>
              </w:rPr>
            </w:pPr>
          </w:p>
        </w:tc>
      </w:tr>
      <w:tr w14:paraId="01CEF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576" w:type="dxa"/>
            <w:gridSpan w:val="9"/>
            <w:tcBorders>
              <w:top w:val="single" w:color="auto" w:sz="4" w:space="0"/>
              <w:left w:val="single" w:color="auto" w:sz="4" w:space="0"/>
              <w:bottom w:val="single" w:color="auto" w:sz="4" w:space="0"/>
              <w:right w:val="single" w:color="auto" w:sz="4" w:space="0"/>
            </w:tcBorders>
            <w:noWrap/>
            <w:vAlign w:val="center"/>
          </w:tcPr>
          <w:p w14:paraId="08AEC1E3">
            <w:pPr>
              <w:spacing w:line="320" w:lineRule="exact"/>
              <w:rPr>
                <w:rFonts w:ascii="宋体" w:hAnsi="宋体" w:cs="宋体"/>
                <w:color w:val="auto"/>
                <w:sz w:val="28"/>
                <w:szCs w:val="28"/>
                <w:highlight w:val="none"/>
              </w:rPr>
            </w:pPr>
            <w:r>
              <w:rPr>
                <w:rFonts w:hint="eastAsia" w:ascii="宋体" w:hAnsi="宋体" w:cs="宋体"/>
                <w:color w:val="auto"/>
                <w:sz w:val="28"/>
                <w:szCs w:val="28"/>
                <w:highlight w:val="none"/>
              </w:rPr>
              <w:t>本采购包中提供的符合本国产品标准的产品成本之和占该采购包提供的全部产品成本之和的比例为%。</w:t>
            </w:r>
          </w:p>
        </w:tc>
      </w:tr>
    </w:tbl>
    <w:p w14:paraId="339B9359">
      <w:pPr>
        <w:pStyle w:val="158"/>
        <w:ind w:left="0" w:firstLine="0"/>
        <w:rPr>
          <w:rFonts w:ascii="宋体" w:hAnsi="宋体" w:eastAsia="宋体" w:cs="宋体"/>
          <w:b/>
          <w:color w:val="auto"/>
          <w:szCs w:val="28"/>
          <w:highlight w:val="none"/>
        </w:rPr>
      </w:pPr>
    </w:p>
    <w:p w14:paraId="4FC52716">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3F5B316E">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333E770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2.“投标分项报价表”中“投标总报价”数额应当与“开标一览表”中“投标总报价”数额一致。</w:t>
      </w:r>
    </w:p>
    <w:p w14:paraId="1F336366">
      <w:pPr>
        <w:spacing w:line="480" w:lineRule="exact"/>
        <w:rPr>
          <w:rFonts w:ascii="宋体" w:hAnsi="宋体" w:cs="宋体"/>
          <w:color w:val="auto"/>
          <w:kern w:val="0"/>
          <w:sz w:val="32"/>
          <w:szCs w:val="32"/>
          <w:highlight w:val="none"/>
          <w:lang w:val="zh-CN"/>
        </w:rPr>
      </w:pPr>
      <w:r>
        <w:rPr>
          <w:rFonts w:hint="eastAsia" w:ascii="宋体" w:hAnsi="宋体" w:cs="宋体"/>
          <w:color w:val="auto"/>
          <w:sz w:val="28"/>
          <w:szCs w:val="28"/>
          <w:highlight w:val="none"/>
        </w:rPr>
        <w:t>3.投标人需认真填写本报价表，尤其注意规格型号的准确填写。</w:t>
      </w:r>
    </w:p>
    <w:p w14:paraId="3231BB7C">
      <w:pPr>
        <w:spacing w:line="480" w:lineRule="exact"/>
        <w:rPr>
          <w:rFonts w:ascii="宋体" w:hAnsi="宋体" w:cs="宋体"/>
          <w:color w:val="auto"/>
          <w:sz w:val="28"/>
          <w:szCs w:val="28"/>
          <w:highlight w:val="none"/>
        </w:rPr>
        <w:sectPr>
          <w:headerReference r:id="rId3" w:type="default"/>
          <w:footerReference r:id="rId4" w:type="default"/>
          <w:pgSz w:w="11907" w:h="16839"/>
          <w:pgMar w:top="1440" w:right="1800" w:bottom="1440" w:left="1800" w:header="720" w:footer="720" w:gutter="0"/>
          <w:cols w:space="720" w:num="1"/>
          <w:docGrid w:linePitch="286" w:charSpace="0"/>
        </w:sectPr>
      </w:pPr>
      <w:r>
        <w:rPr>
          <w:rFonts w:hint="eastAsia" w:ascii="宋体" w:hAnsi="宋体" w:cs="宋体"/>
          <w:color w:val="auto"/>
          <w:sz w:val="28"/>
          <w:szCs w:val="28"/>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2DBBEEB">
      <w:pPr>
        <w:snapToGrid w:val="0"/>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附件2</w:t>
      </w:r>
    </w:p>
    <w:p w14:paraId="072C3B14">
      <w:pPr>
        <w:spacing w:before="50" w:line="360" w:lineRule="auto"/>
        <w:ind w:left="100"/>
        <w:jc w:val="center"/>
        <w:outlineLvl w:val="2"/>
        <w:rPr>
          <w:rFonts w:hAnsi="宋体" w:cs="方正魏碑_GBK"/>
          <w:b/>
          <w:bCs/>
          <w:color w:val="auto"/>
          <w:sz w:val="28"/>
          <w:szCs w:val="28"/>
          <w:highlight w:val="none"/>
        </w:rPr>
      </w:pPr>
      <w:r>
        <w:rPr>
          <w:rFonts w:hint="eastAsia" w:hAnsi="宋体"/>
          <w:b/>
          <w:bCs/>
          <w:color w:val="auto"/>
          <w:sz w:val="28"/>
          <w:szCs w:val="28"/>
          <w:highlight w:val="none"/>
        </w:rPr>
        <w:t>关于符合本国产品标准的声明函</w:t>
      </w:r>
    </w:p>
    <w:p w14:paraId="3D18D999">
      <w:pPr>
        <w:spacing w:line="360" w:lineRule="auto"/>
        <w:ind w:firstLine="420"/>
        <w:rPr>
          <w:rFonts w:hAnsi="宋体" w:cs="方正魏碑_GBK"/>
          <w:color w:val="auto"/>
          <w:sz w:val="28"/>
          <w:szCs w:val="28"/>
          <w:highlight w:val="none"/>
        </w:rPr>
      </w:pPr>
      <w:r>
        <w:rPr>
          <w:rFonts w:hint="eastAsia" w:hAnsi="宋体" w:cs="方正魏碑_GBK"/>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7B620D15">
      <w:pPr>
        <w:spacing w:before="30" w:after="30" w:line="360" w:lineRule="auto"/>
        <w:ind w:firstLine="420"/>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1.</w:t>
      </w:r>
      <w:r>
        <w:rPr>
          <w:rFonts w:hint="eastAsia" w:hAnsi="宋体" w:cs="方正魏碑_GBK"/>
          <w:color w:val="auto"/>
          <w:sz w:val="28"/>
          <w:szCs w:val="28"/>
          <w:highlight w:val="none"/>
          <w:u w:val="single"/>
          <w:shd w:val="clear" w:color="auto" w:fill="FFFFFF"/>
        </w:rPr>
        <w:t>（产品名称1）</w:t>
      </w:r>
      <w:r>
        <w:rPr>
          <w:rFonts w:hint="eastAsia" w:hAnsi="宋体" w:cs="方正魏碑_GBK"/>
          <w:color w:val="auto"/>
          <w:sz w:val="28"/>
          <w:szCs w:val="28"/>
          <w:highlight w:val="none"/>
          <w:shd w:val="clear" w:color="auto" w:fill="FFFFFF"/>
          <w:vertAlign w:val="superscript"/>
        </w:rPr>
        <w:t>1</w:t>
      </w:r>
      <w:r>
        <w:rPr>
          <w:rFonts w:hint="eastAsia" w:hAnsi="宋体" w:cs="方正魏碑_GBK"/>
          <w:color w:val="auto"/>
          <w:sz w:val="28"/>
          <w:szCs w:val="28"/>
          <w:highlight w:val="none"/>
          <w:shd w:val="clear" w:color="auto" w:fill="FFFFFF"/>
        </w:rPr>
        <w:t>，生产厂为</w:t>
      </w:r>
      <w:r>
        <w:rPr>
          <w:rFonts w:hint="eastAsia" w:hAnsi="宋体" w:cs="方正魏碑_GBK"/>
          <w:color w:val="auto"/>
          <w:sz w:val="28"/>
          <w:szCs w:val="28"/>
          <w:highlight w:val="none"/>
          <w:u w:val="single"/>
          <w:shd w:val="clear" w:color="auto" w:fill="FFFFFF"/>
        </w:rPr>
        <w:t>（厂名）</w:t>
      </w:r>
      <w:r>
        <w:rPr>
          <w:rFonts w:hint="eastAsia" w:hAnsi="宋体" w:cs="方正魏碑_GBK"/>
          <w:color w:val="auto"/>
          <w:sz w:val="28"/>
          <w:szCs w:val="28"/>
          <w:highlight w:val="none"/>
          <w:shd w:val="clear" w:color="auto" w:fill="FFFFFF"/>
          <w:vertAlign w:val="superscript"/>
        </w:rPr>
        <w:t>2</w:t>
      </w:r>
      <w:r>
        <w:rPr>
          <w:rFonts w:hint="eastAsia" w:hAnsi="宋体" w:cs="方正魏碑_GBK"/>
          <w:color w:val="auto"/>
          <w:sz w:val="28"/>
          <w:szCs w:val="28"/>
          <w:highlight w:val="none"/>
          <w:shd w:val="clear" w:color="auto" w:fill="FFFFFF"/>
        </w:rPr>
        <w:t>，厂址为</w:t>
      </w:r>
      <w:r>
        <w:rPr>
          <w:rFonts w:hint="eastAsia" w:hAnsi="宋体" w:cs="方正魏碑_GBK"/>
          <w:color w:val="auto"/>
          <w:sz w:val="28"/>
          <w:szCs w:val="28"/>
          <w:highlight w:val="none"/>
          <w:u w:val="single"/>
          <w:shd w:val="clear" w:color="auto" w:fill="FFFFFF"/>
        </w:rPr>
        <w:t>（生产厂址）</w:t>
      </w:r>
      <w:r>
        <w:rPr>
          <w:rFonts w:hint="eastAsia" w:hAnsi="宋体" w:cs="方正魏碑_GBK"/>
          <w:color w:val="auto"/>
          <w:sz w:val="28"/>
          <w:szCs w:val="28"/>
          <w:highlight w:val="none"/>
          <w:shd w:val="clear" w:color="auto" w:fill="FFFFFF"/>
        </w:rPr>
        <w:t>。</w:t>
      </w:r>
      <w:r>
        <w:rPr>
          <w:rFonts w:hint="eastAsia" w:hAnsi="宋体" w:cs="方正魏碑_GBK"/>
          <w:color w:val="auto"/>
          <w:sz w:val="28"/>
          <w:szCs w:val="28"/>
          <w:highlight w:val="none"/>
          <w:u w:val="single"/>
          <w:shd w:val="clear" w:color="auto" w:fill="FFFFFF"/>
        </w:rPr>
        <w:t xml:space="preserve"> （产品名称1） </w:t>
      </w:r>
      <w:r>
        <w:rPr>
          <w:rFonts w:hint="eastAsia" w:hAnsi="宋体" w:cs="方正魏碑_GBK"/>
          <w:color w:val="auto"/>
          <w:sz w:val="28"/>
          <w:szCs w:val="28"/>
          <w:highlight w:val="none"/>
          <w:shd w:val="clear" w:color="auto" w:fill="FFFFFF"/>
        </w:rPr>
        <w:t>的中国境内生产的组件成本占比≥</w:t>
      </w:r>
      <w:r>
        <w:rPr>
          <w:rFonts w:hint="eastAsia" w:hAnsi="宋体" w:cs="方正魏碑_GBK"/>
          <w:color w:val="auto"/>
          <w:sz w:val="28"/>
          <w:szCs w:val="28"/>
          <w:highlight w:val="none"/>
          <w:u w:val="single"/>
          <w:shd w:val="clear" w:color="auto" w:fill="FFFFFF"/>
        </w:rPr>
        <w:t>（规定</w:t>
      </w:r>
      <w:r>
        <w:rPr>
          <w:rFonts w:hAnsi="宋体" w:cs="方正魏碑_GBK"/>
          <w:color w:val="auto"/>
          <w:sz w:val="28"/>
          <w:szCs w:val="28"/>
          <w:highlight w:val="none"/>
          <w:u w:val="single"/>
          <w:shd w:val="clear" w:color="auto" w:fill="FFFFFF"/>
        </w:rPr>
        <w:t>比例</w:t>
      </w:r>
      <w:r>
        <w:rPr>
          <w:rFonts w:hint="eastAsia" w:hAnsi="宋体" w:cs="方正魏碑_GBK"/>
          <w:color w:val="auto"/>
          <w:sz w:val="28"/>
          <w:szCs w:val="28"/>
          <w:highlight w:val="none"/>
          <w:u w:val="single"/>
          <w:shd w:val="clear" w:color="auto" w:fill="FFFFFF"/>
        </w:rPr>
        <w:t>）</w:t>
      </w:r>
      <w:r>
        <w:rPr>
          <w:rFonts w:hint="eastAsia" w:hAnsi="宋体" w:cs="方正魏碑_GBK"/>
          <w:color w:val="auto"/>
          <w:sz w:val="28"/>
          <w:szCs w:val="28"/>
          <w:highlight w:val="none"/>
          <w:shd w:val="clear" w:color="auto" w:fill="FFFFFF"/>
          <w:vertAlign w:val="superscript"/>
        </w:rPr>
        <w:t>3</w:t>
      </w:r>
      <w:r>
        <w:rPr>
          <w:rFonts w:hint="eastAsia" w:hAnsi="宋体" w:cs="方正魏碑_GBK"/>
          <w:color w:val="auto"/>
          <w:sz w:val="28"/>
          <w:szCs w:val="28"/>
          <w:highlight w:val="none"/>
          <w:shd w:val="clear" w:color="auto" w:fill="FFFFFF"/>
        </w:rPr>
        <w:t>。</w:t>
      </w:r>
      <w:r>
        <w:rPr>
          <w:rFonts w:hint="eastAsia" w:hAnsi="宋体" w:cs="方正魏碑_GBK"/>
          <w:color w:val="auto"/>
          <w:sz w:val="28"/>
          <w:szCs w:val="28"/>
          <w:highlight w:val="none"/>
          <w:u w:val="single"/>
          <w:shd w:val="clear" w:color="auto" w:fill="FFFFFF"/>
        </w:rPr>
        <w:t>（产品名称1）</w:t>
      </w:r>
      <w:r>
        <w:rPr>
          <w:rFonts w:hint="eastAsia" w:hAnsi="宋体" w:cs="方正魏碑_GBK"/>
          <w:color w:val="auto"/>
          <w:sz w:val="28"/>
          <w:szCs w:val="28"/>
          <w:highlight w:val="none"/>
          <w:shd w:val="clear" w:color="auto" w:fill="FFFFFF"/>
        </w:rPr>
        <w:t>的</w:t>
      </w:r>
      <w:r>
        <w:rPr>
          <w:rFonts w:hint="eastAsia" w:hAnsi="宋体" w:cs="方正魏碑_GBK"/>
          <w:color w:val="auto"/>
          <w:sz w:val="28"/>
          <w:szCs w:val="28"/>
          <w:highlight w:val="none"/>
          <w:u w:val="single"/>
          <w:shd w:val="clear" w:color="auto" w:fill="FFFFFF"/>
        </w:rPr>
        <w:t>（关键</w:t>
      </w:r>
      <w:r>
        <w:rPr>
          <w:rFonts w:hAnsi="宋体" w:cs="方正魏碑_GBK"/>
          <w:color w:val="auto"/>
          <w:sz w:val="28"/>
          <w:szCs w:val="28"/>
          <w:highlight w:val="none"/>
          <w:u w:val="single"/>
          <w:shd w:val="clear" w:color="auto" w:fill="FFFFFF"/>
        </w:rPr>
        <w:t>组件</w:t>
      </w:r>
      <w:r>
        <w:rPr>
          <w:rFonts w:hint="eastAsia" w:hAnsi="宋体" w:cs="方正魏碑_GBK"/>
          <w:color w:val="auto"/>
          <w:sz w:val="28"/>
          <w:szCs w:val="28"/>
          <w:highlight w:val="none"/>
          <w:u w:val="single"/>
          <w:shd w:val="clear" w:color="auto" w:fill="FFFFFF"/>
        </w:rPr>
        <w:t>）</w:t>
      </w:r>
      <w:r>
        <w:rPr>
          <w:rFonts w:hint="eastAsia" w:hAnsi="宋体" w:cs="方正魏碑_GBK"/>
          <w:color w:val="auto"/>
          <w:sz w:val="28"/>
          <w:szCs w:val="28"/>
          <w:highlight w:val="none"/>
          <w:shd w:val="clear" w:color="auto" w:fill="FFFFFF"/>
          <w:vertAlign w:val="superscript"/>
        </w:rPr>
        <w:t>4</w:t>
      </w:r>
      <w:r>
        <w:rPr>
          <w:rFonts w:hint="eastAsia" w:hAnsi="宋体" w:cs="方正魏碑_GBK"/>
          <w:color w:val="auto"/>
          <w:sz w:val="28"/>
          <w:szCs w:val="28"/>
          <w:highlight w:val="none"/>
          <w:shd w:val="clear" w:color="auto" w:fill="FFFFFF"/>
        </w:rPr>
        <w:t>在中国境内生产。</w:t>
      </w:r>
      <w:r>
        <w:rPr>
          <w:rFonts w:hint="eastAsia" w:hAnsi="宋体" w:cs="方正魏碑_GBK"/>
          <w:color w:val="auto"/>
          <w:sz w:val="28"/>
          <w:szCs w:val="28"/>
          <w:highlight w:val="none"/>
          <w:u w:val="single"/>
          <w:shd w:val="clear" w:color="auto" w:fill="FFFFFF"/>
        </w:rPr>
        <w:t>（产品名称1）</w:t>
      </w:r>
      <w:r>
        <w:rPr>
          <w:rFonts w:hint="eastAsia" w:hAnsi="宋体" w:cs="方正魏碑_GBK"/>
          <w:color w:val="auto"/>
          <w:sz w:val="28"/>
          <w:szCs w:val="28"/>
          <w:highlight w:val="none"/>
          <w:shd w:val="clear" w:color="auto" w:fill="FFFFFF"/>
        </w:rPr>
        <w:t>的</w:t>
      </w:r>
      <w:r>
        <w:rPr>
          <w:rFonts w:hint="eastAsia" w:hAnsi="宋体" w:cs="方正魏碑_GBK"/>
          <w:color w:val="auto"/>
          <w:sz w:val="28"/>
          <w:szCs w:val="28"/>
          <w:highlight w:val="none"/>
          <w:u w:val="single"/>
          <w:shd w:val="clear" w:color="auto" w:fill="FFFFFF"/>
        </w:rPr>
        <w:t>（关键工序）</w:t>
      </w:r>
      <w:r>
        <w:rPr>
          <w:rFonts w:hint="eastAsia" w:hAnsi="宋体" w:cs="方正魏碑_GBK"/>
          <w:color w:val="auto"/>
          <w:sz w:val="28"/>
          <w:szCs w:val="28"/>
          <w:highlight w:val="none"/>
          <w:shd w:val="clear" w:color="auto" w:fill="FFFFFF"/>
          <w:vertAlign w:val="superscript"/>
        </w:rPr>
        <w:t>5</w:t>
      </w:r>
      <w:r>
        <w:rPr>
          <w:rFonts w:hint="eastAsia" w:hAnsi="宋体" w:cs="方正魏碑_GBK"/>
          <w:color w:val="auto"/>
          <w:sz w:val="28"/>
          <w:szCs w:val="28"/>
          <w:highlight w:val="none"/>
          <w:shd w:val="clear" w:color="auto" w:fill="FFFFFF"/>
        </w:rPr>
        <w:t>在中国境内完成。</w:t>
      </w:r>
    </w:p>
    <w:p w14:paraId="76965A39">
      <w:pPr>
        <w:spacing w:before="30" w:after="30" w:line="360" w:lineRule="auto"/>
        <w:ind w:firstLine="420"/>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2.</w:t>
      </w:r>
      <w:r>
        <w:rPr>
          <w:rFonts w:hint="eastAsia" w:hAnsi="宋体" w:cs="方正魏碑_GBK"/>
          <w:color w:val="auto"/>
          <w:sz w:val="28"/>
          <w:szCs w:val="28"/>
          <w:highlight w:val="none"/>
          <w:u w:val="single"/>
          <w:shd w:val="clear" w:color="auto" w:fill="FFFFFF"/>
        </w:rPr>
        <w:t>（产品名称2）</w:t>
      </w:r>
      <w:r>
        <w:rPr>
          <w:rFonts w:hint="eastAsia" w:hAnsi="宋体" w:cs="方正魏碑_GBK"/>
          <w:color w:val="auto"/>
          <w:sz w:val="28"/>
          <w:szCs w:val="28"/>
          <w:highlight w:val="none"/>
          <w:shd w:val="clear" w:color="auto" w:fill="FFFFFF"/>
        </w:rPr>
        <w:t>，生产厂为</w:t>
      </w:r>
      <w:r>
        <w:rPr>
          <w:rFonts w:hint="eastAsia" w:hAnsi="宋体" w:cs="方正魏碑_GBK"/>
          <w:color w:val="auto"/>
          <w:sz w:val="28"/>
          <w:szCs w:val="28"/>
          <w:highlight w:val="none"/>
          <w:u w:val="single"/>
          <w:shd w:val="clear" w:color="auto" w:fill="FFFFFF"/>
        </w:rPr>
        <w:t>（厂名）</w:t>
      </w:r>
      <w:r>
        <w:rPr>
          <w:rFonts w:hint="eastAsia" w:hAnsi="宋体" w:cs="方正魏碑_GBK"/>
          <w:color w:val="auto"/>
          <w:sz w:val="28"/>
          <w:szCs w:val="28"/>
          <w:highlight w:val="none"/>
          <w:shd w:val="clear" w:color="auto" w:fill="FFFFFF"/>
        </w:rPr>
        <w:t>，厂址为</w:t>
      </w:r>
      <w:r>
        <w:rPr>
          <w:rFonts w:hint="eastAsia" w:hAnsi="宋体" w:cs="方正魏碑_GBK"/>
          <w:color w:val="auto"/>
          <w:sz w:val="28"/>
          <w:szCs w:val="28"/>
          <w:highlight w:val="none"/>
          <w:u w:val="single"/>
          <w:shd w:val="clear" w:color="auto" w:fill="FFFFFF"/>
        </w:rPr>
        <w:t>（生产厂址）</w:t>
      </w:r>
      <w:r>
        <w:rPr>
          <w:rFonts w:hint="eastAsia" w:hAnsi="宋体" w:cs="方正魏碑_GBK"/>
          <w:color w:val="auto"/>
          <w:sz w:val="28"/>
          <w:szCs w:val="28"/>
          <w:highlight w:val="none"/>
          <w:shd w:val="clear" w:color="auto" w:fill="FFFFFF"/>
        </w:rPr>
        <w:t>。</w:t>
      </w:r>
      <w:r>
        <w:rPr>
          <w:rFonts w:hint="eastAsia" w:hAnsi="宋体" w:cs="方正魏碑_GBK"/>
          <w:color w:val="auto"/>
          <w:sz w:val="28"/>
          <w:szCs w:val="28"/>
          <w:highlight w:val="none"/>
          <w:u w:val="single"/>
          <w:shd w:val="clear" w:color="auto" w:fill="FFFFFF"/>
        </w:rPr>
        <w:t>（产品名称2）</w:t>
      </w:r>
      <w:r>
        <w:rPr>
          <w:rFonts w:hint="eastAsia" w:hAnsi="宋体" w:cs="方正魏碑_GBK"/>
          <w:color w:val="auto"/>
          <w:sz w:val="28"/>
          <w:szCs w:val="28"/>
          <w:highlight w:val="none"/>
          <w:shd w:val="clear" w:color="auto" w:fill="FFFFFF"/>
        </w:rPr>
        <w:t>的中国境内生产的组件成本占比≥</w:t>
      </w:r>
      <w:r>
        <w:rPr>
          <w:rFonts w:hint="eastAsia" w:hAnsi="宋体" w:cs="方正魏碑_GBK"/>
          <w:color w:val="auto"/>
          <w:sz w:val="28"/>
          <w:szCs w:val="28"/>
          <w:highlight w:val="none"/>
          <w:u w:val="single"/>
          <w:shd w:val="clear" w:color="auto" w:fill="FFFFFF"/>
        </w:rPr>
        <w:t>（规定</w:t>
      </w:r>
      <w:r>
        <w:rPr>
          <w:rFonts w:hAnsi="宋体" w:cs="方正魏碑_GBK"/>
          <w:color w:val="auto"/>
          <w:sz w:val="28"/>
          <w:szCs w:val="28"/>
          <w:highlight w:val="none"/>
          <w:u w:val="single"/>
          <w:shd w:val="clear" w:color="auto" w:fill="FFFFFF"/>
        </w:rPr>
        <w:t>比例</w:t>
      </w:r>
      <w:r>
        <w:rPr>
          <w:rFonts w:hint="eastAsia" w:hAnsi="宋体" w:cs="方正魏碑_GBK"/>
          <w:color w:val="auto"/>
          <w:sz w:val="28"/>
          <w:szCs w:val="28"/>
          <w:highlight w:val="none"/>
          <w:u w:val="single"/>
          <w:shd w:val="clear" w:color="auto" w:fill="FFFFFF"/>
        </w:rPr>
        <w:t>）</w:t>
      </w:r>
      <w:r>
        <w:rPr>
          <w:rFonts w:hint="eastAsia" w:hAnsi="宋体" w:cs="方正魏碑_GBK"/>
          <w:color w:val="auto"/>
          <w:sz w:val="28"/>
          <w:szCs w:val="28"/>
          <w:highlight w:val="none"/>
          <w:shd w:val="clear" w:color="auto" w:fill="FFFFFF"/>
        </w:rPr>
        <w:t>。</w:t>
      </w:r>
      <w:r>
        <w:rPr>
          <w:rFonts w:hint="eastAsia" w:hAnsi="宋体" w:cs="方正魏碑_GBK"/>
          <w:color w:val="auto"/>
          <w:sz w:val="28"/>
          <w:szCs w:val="28"/>
          <w:highlight w:val="none"/>
          <w:u w:val="single"/>
          <w:shd w:val="clear" w:color="auto" w:fill="FFFFFF"/>
        </w:rPr>
        <w:t>（产品名称2）</w:t>
      </w:r>
      <w:r>
        <w:rPr>
          <w:rFonts w:hint="eastAsia" w:hAnsi="宋体" w:cs="方正魏碑_GBK"/>
          <w:color w:val="auto"/>
          <w:sz w:val="28"/>
          <w:szCs w:val="28"/>
          <w:highlight w:val="none"/>
          <w:shd w:val="clear" w:color="auto" w:fill="FFFFFF"/>
        </w:rPr>
        <w:t>的</w:t>
      </w:r>
      <w:r>
        <w:rPr>
          <w:rFonts w:hint="eastAsia" w:hAnsi="宋体" w:cs="方正魏碑_GBK"/>
          <w:color w:val="auto"/>
          <w:sz w:val="28"/>
          <w:szCs w:val="28"/>
          <w:highlight w:val="none"/>
          <w:u w:val="single"/>
          <w:shd w:val="clear" w:color="auto" w:fill="FFFFFF"/>
        </w:rPr>
        <w:t>（关键</w:t>
      </w:r>
      <w:r>
        <w:rPr>
          <w:rFonts w:hAnsi="宋体" w:cs="方正魏碑_GBK"/>
          <w:color w:val="auto"/>
          <w:sz w:val="28"/>
          <w:szCs w:val="28"/>
          <w:highlight w:val="none"/>
          <w:u w:val="single"/>
          <w:shd w:val="clear" w:color="auto" w:fill="FFFFFF"/>
        </w:rPr>
        <w:t>组件</w:t>
      </w:r>
      <w:r>
        <w:rPr>
          <w:rFonts w:hint="eastAsia" w:hAnsi="宋体" w:cs="方正魏碑_GBK"/>
          <w:color w:val="auto"/>
          <w:sz w:val="28"/>
          <w:szCs w:val="28"/>
          <w:highlight w:val="none"/>
          <w:u w:val="single"/>
          <w:shd w:val="clear" w:color="auto" w:fill="FFFFFF"/>
        </w:rPr>
        <w:t>）</w:t>
      </w:r>
      <w:r>
        <w:rPr>
          <w:rFonts w:hint="eastAsia" w:hAnsi="宋体" w:cs="方正魏碑_GBK"/>
          <w:color w:val="auto"/>
          <w:sz w:val="28"/>
          <w:szCs w:val="28"/>
          <w:highlight w:val="none"/>
          <w:shd w:val="clear" w:color="auto" w:fill="FFFFFF"/>
        </w:rPr>
        <w:t>在中国境内生产。</w:t>
      </w:r>
      <w:r>
        <w:rPr>
          <w:rFonts w:hint="eastAsia" w:hAnsi="宋体" w:cs="方正魏碑_GBK"/>
          <w:color w:val="auto"/>
          <w:sz w:val="28"/>
          <w:szCs w:val="28"/>
          <w:highlight w:val="none"/>
          <w:u w:val="single"/>
          <w:shd w:val="clear" w:color="auto" w:fill="FFFFFF"/>
        </w:rPr>
        <w:t>（产品名称2）</w:t>
      </w:r>
      <w:r>
        <w:rPr>
          <w:rFonts w:hint="eastAsia" w:hAnsi="宋体" w:cs="方正魏碑_GBK"/>
          <w:color w:val="auto"/>
          <w:sz w:val="28"/>
          <w:szCs w:val="28"/>
          <w:highlight w:val="none"/>
          <w:shd w:val="clear" w:color="auto" w:fill="FFFFFF"/>
        </w:rPr>
        <w:t>的</w:t>
      </w:r>
      <w:r>
        <w:rPr>
          <w:rFonts w:hint="eastAsia" w:hAnsi="宋体" w:cs="方正魏碑_GBK"/>
          <w:color w:val="auto"/>
          <w:sz w:val="28"/>
          <w:szCs w:val="28"/>
          <w:highlight w:val="none"/>
          <w:u w:val="single"/>
          <w:shd w:val="clear" w:color="auto" w:fill="FFFFFF"/>
        </w:rPr>
        <w:t>（关键工序）</w:t>
      </w:r>
      <w:r>
        <w:rPr>
          <w:rFonts w:hint="eastAsia" w:hAnsi="宋体" w:cs="方正魏碑_GBK"/>
          <w:color w:val="auto"/>
          <w:sz w:val="28"/>
          <w:szCs w:val="28"/>
          <w:highlight w:val="none"/>
          <w:shd w:val="clear" w:color="auto" w:fill="FFFFFF"/>
        </w:rPr>
        <w:t>在中国境内完成。</w:t>
      </w:r>
    </w:p>
    <w:p w14:paraId="10566A2C">
      <w:pPr>
        <w:spacing w:before="30" w:after="30" w:line="360" w:lineRule="auto"/>
        <w:ind w:firstLine="420"/>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w:t>
      </w:r>
    </w:p>
    <w:p w14:paraId="751D6799">
      <w:pPr>
        <w:spacing w:before="30" w:after="30" w:line="360" w:lineRule="auto"/>
        <w:ind w:firstLine="420"/>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本公司（单位）对上述声明内容的真实性负责。如有虚假，愿承担相应法律责任。</w:t>
      </w:r>
    </w:p>
    <w:p w14:paraId="3992CC27">
      <w:pPr>
        <w:spacing w:before="30" w:after="30" w:line="360" w:lineRule="auto"/>
        <w:rPr>
          <w:rFonts w:hAnsi="宋体" w:cs="方正魏碑_GBK"/>
          <w:color w:val="auto"/>
          <w:sz w:val="28"/>
          <w:szCs w:val="28"/>
          <w:highlight w:val="none"/>
        </w:rPr>
      </w:pPr>
    </w:p>
    <w:p w14:paraId="5F113BA1">
      <w:pPr>
        <w:tabs>
          <w:tab w:val="left" w:pos="4860"/>
        </w:tabs>
        <w:spacing w:line="360" w:lineRule="auto"/>
        <w:ind w:right="1560" w:firstLine="444"/>
        <w:jc w:val="center"/>
        <w:rPr>
          <w:rFonts w:hAnsi="宋体"/>
          <w:color w:val="auto"/>
          <w:sz w:val="28"/>
          <w:szCs w:val="28"/>
          <w:highlight w:val="none"/>
        </w:rPr>
      </w:pPr>
      <w:r>
        <w:rPr>
          <w:rFonts w:hint="eastAsia" w:hAnsi="宋体"/>
          <w:color w:val="auto"/>
          <w:sz w:val="28"/>
          <w:szCs w:val="28"/>
          <w:highlight w:val="none"/>
        </w:rPr>
        <w:t xml:space="preserve">               投标人名称（盖章）：</w:t>
      </w:r>
    </w:p>
    <w:p w14:paraId="7BBB47DB">
      <w:pPr>
        <w:tabs>
          <w:tab w:val="left" w:pos="4860"/>
        </w:tabs>
        <w:spacing w:line="360" w:lineRule="auto"/>
        <w:ind w:right="1560" w:firstLine="420"/>
        <w:jc w:val="center"/>
        <w:rPr>
          <w:rFonts w:hAnsi="宋体" w:cs="方正魏碑_GBK"/>
          <w:color w:val="auto"/>
          <w:sz w:val="28"/>
          <w:szCs w:val="28"/>
          <w:highlight w:val="none"/>
        </w:rPr>
      </w:pPr>
      <w:r>
        <w:rPr>
          <w:rFonts w:hint="eastAsia" w:hAnsi="宋体"/>
          <w:color w:val="auto"/>
          <w:sz w:val="28"/>
          <w:szCs w:val="28"/>
          <w:highlight w:val="none"/>
        </w:rPr>
        <w:t xml:space="preserve">                              日  期：</w:t>
      </w:r>
      <w:r>
        <w:rPr>
          <w:rFonts w:hint="eastAsia" w:hAnsi="宋体" w:cs="方正魏碑_GBK"/>
          <w:color w:val="auto"/>
          <w:sz w:val="28"/>
          <w:szCs w:val="28"/>
          <w:highlight w:val="none"/>
          <w:shd w:val="clear" w:color="auto" w:fill="FFFFFF"/>
        </w:rPr>
        <w:t>   </w:t>
      </w:r>
    </w:p>
    <w:p w14:paraId="010CB1A0">
      <w:pPr>
        <w:spacing w:before="30" w:after="30" w:line="360" w:lineRule="auto"/>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__________________</w:t>
      </w:r>
    </w:p>
    <w:p w14:paraId="3BFAB1E2">
      <w:pPr>
        <w:spacing w:before="30" w:after="30" w:line="360" w:lineRule="auto"/>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1.产品如有型号，请在“产品名称”栏一并填写。</w:t>
      </w:r>
    </w:p>
    <w:p w14:paraId="2C2893AC">
      <w:pPr>
        <w:spacing w:before="30" w:after="30" w:line="360" w:lineRule="auto"/>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2.生产厂名与厂址应与生产厂营业执照载明的相关信息保持一致。</w:t>
      </w:r>
    </w:p>
    <w:p w14:paraId="530BE7CC">
      <w:pPr>
        <w:spacing w:before="30" w:after="30" w:line="360" w:lineRule="auto"/>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3.该产品的中国境内生产的组件成本占比相关要求实施前，“规定比例”栏可不填，下同。</w:t>
      </w:r>
    </w:p>
    <w:p w14:paraId="44B8BAE2">
      <w:pPr>
        <w:spacing w:before="30" w:after="30" w:line="360" w:lineRule="auto"/>
        <w:rPr>
          <w:rFonts w:hAnsi="宋体" w:cs="方正魏碑_GBK"/>
          <w:color w:val="auto"/>
          <w:sz w:val="28"/>
          <w:szCs w:val="28"/>
          <w:highlight w:val="none"/>
        </w:rPr>
      </w:pPr>
      <w:r>
        <w:rPr>
          <w:rFonts w:hint="eastAsia" w:hAnsi="宋体" w:cs="方正魏碑_GBK"/>
          <w:color w:val="auto"/>
          <w:sz w:val="28"/>
          <w:szCs w:val="28"/>
          <w:highlight w:val="none"/>
          <w:shd w:val="clear" w:color="auto" w:fill="FFFFFF"/>
        </w:rPr>
        <w:t>4.该产品的关键组件要求实施前，“关键组件”栏可不填，下同。</w:t>
      </w:r>
    </w:p>
    <w:p w14:paraId="500FC41A">
      <w:pPr>
        <w:spacing w:before="30" w:after="30" w:line="360" w:lineRule="auto"/>
        <w:rPr>
          <w:rFonts w:hAnsi="宋体" w:cs="方正魏碑_GBK"/>
          <w:color w:val="auto"/>
          <w:sz w:val="28"/>
          <w:szCs w:val="28"/>
          <w:highlight w:val="none"/>
          <w:shd w:val="clear" w:color="auto" w:fill="FFFFFF"/>
        </w:rPr>
      </w:pPr>
      <w:r>
        <w:rPr>
          <w:rFonts w:hint="eastAsia" w:hAnsi="宋体" w:cs="方正魏碑_GBK"/>
          <w:color w:val="auto"/>
          <w:sz w:val="28"/>
          <w:szCs w:val="28"/>
          <w:highlight w:val="none"/>
          <w:shd w:val="clear" w:color="auto" w:fill="FFFFFF"/>
        </w:rPr>
        <w:t>5.该产品的关键工序要求实施前，“关键工序”栏可不填，下同。</w:t>
      </w:r>
    </w:p>
    <w:p w14:paraId="4CCEF205">
      <w:pPr>
        <w:snapToGrid w:val="0"/>
        <w:spacing w:line="300" w:lineRule="auto"/>
        <w:rPr>
          <w:rFonts w:ascii="宋体" w:hAnsi="宋体" w:cs="宋体"/>
          <w:color w:val="auto"/>
          <w:sz w:val="28"/>
          <w:szCs w:val="28"/>
          <w:highlight w:val="none"/>
        </w:rPr>
        <w:sectPr>
          <w:pgSz w:w="11907" w:h="16839"/>
          <w:pgMar w:top="1440" w:right="1800" w:bottom="1440" w:left="1800" w:header="720" w:footer="720" w:gutter="0"/>
          <w:cols w:space="720" w:num="1"/>
          <w:docGrid w:linePitch="286" w:charSpace="0"/>
        </w:sectPr>
      </w:pPr>
    </w:p>
    <w:p w14:paraId="19B2EF9E">
      <w:pPr>
        <w:snapToGrid w:val="0"/>
        <w:spacing w:line="300" w:lineRule="auto"/>
        <w:rPr>
          <w:rFonts w:ascii="宋体" w:hAnsi="宋体" w:cs="宋体"/>
          <w:color w:val="auto"/>
          <w:sz w:val="28"/>
          <w:szCs w:val="28"/>
          <w:highlight w:val="none"/>
        </w:rPr>
      </w:pPr>
      <w:r>
        <w:rPr>
          <w:rFonts w:hint="eastAsia" w:ascii="宋体" w:hAnsi="宋体" w:cs="宋体"/>
          <w:color w:val="auto"/>
          <w:sz w:val="32"/>
          <w:szCs w:val="32"/>
          <w:highlight w:val="none"/>
        </w:rPr>
        <w:t>附件3</w:t>
      </w:r>
    </w:p>
    <w:p w14:paraId="33CED590">
      <w:pPr>
        <w:tabs>
          <w:tab w:val="left" w:pos="1260"/>
        </w:tabs>
        <w:snapToGrid w:val="0"/>
        <w:spacing w:line="300" w:lineRule="auto"/>
        <w:contextualSpacing/>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投标人情况一览表</w:t>
      </w:r>
    </w:p>
    <w:tbl>
      <w:tblPr>
        <w:tblStyle w:val="37"/>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95"/>
        <w:gridCol w:w="765"/>
        <w:gridCol w:w="283"/>
        <w:gridCol w:w="1050"/>
        <w:gridCol w:w="567"/>
        <w:gridCol w:w="946"/>
        <w:gridCol w:w="1263"/>
        <w:gridCol w:w="61"/>
        <w:gridCol w:w="1212"/>
        <w:gridCol w:w="168"/>
        <w:gridCol w:w="1438"/>
      </w:tblGrid>
      <w:tr w14:paraId="5CB2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2" w:type="dxa"/>
            <w:gridSpan w:val="2"/>
            <w:tcBorders>
              <w:top w:val="double" w:color="auto" w:sz="4" w:space="0"/>
              <w:left w:val="double" w:color="auto" w:sz="4" w:space="0"/>
            </w:tcBorders>
            <w:vAlign w:val="center"/>
          </w:tcPr>
          <w:p w14:paraId="30C4D47F">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单位名称</w:t>
            </w:r>
          </w:p>
        </w:tc>
        <w:tc>
          <w:tcPr>
            <w:tcW w:w="7753" w:type="dxa"/>
            <w:gridSpan w:val="10"/>
            <w:tcBorders>
              <w:top w:val="double" w:color="auto" w:sz="4" w:space="0"/>
              <w:right w:val="double" w:color="auto" w:sz="4" w:space="0"/>
            </w:tcBorders>
            <w:vAlign w:val="center"/>
          </w:tcPr>
          <w:p w14:paraId="72E89441">
            <w:pPr>
              <w:tabs>
                <w:tab w:val="left" w:pos="4320"/>
              </w:tabs>
              <w:rPr>
                <w:rFonts w:ascii="宋体" w:hAnsi="宋体" w:cs="宋体"/>
                <w:color w:val="auto"/>
                <w:sz w:val="28"/>
                <w:szCs w:val="28"/>
                <w:highlight w:val="none"/>
              </w:rPr>
            </w:pPr>
          </w:p>
        </w:tc>
      </w:tr>
      <w:tr w14:paraId="5274E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177" w:type="dxa"/>
            <w:gridSpan w:val="3"/>
            <w:tcBorders>
              <w:left w:val="double" w:color="auto" w:sz="4" w:space="0"/>
              <w:right w:val="single" w:color="auto" w:sz="4" w:space="0"/>
            </w:tcBorders>
            <w:vAlign w:val="center"/>
          </w:tcPr>
          <w:p w14:paraId="4D68F922">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单位优势及特长</w:t>
            </w:r>
          </w:p>
        </w:tc>
        <w:tc>
          <w:tcPr>
            <w:tcW w:w="6988" w:type="dxa"/>
            <w:gridSpan w:val="9"/>
            <w:tcBorders>
              <w:left w:val="single" w:color="auto" w:sz="4" w:space="0"/>
              <w:right w:val="double" w:color="auto" w:sz="4" w:space="0"/>
            </w:tcBorders>
            <w:vAlign w:val="center"/>
          </w:tcPr>
          <w:p w14:paraId="2529F6C6">
            <w:pPr>
              <w:tabs>
                <w:tab w:val="left" w:pos="4320"/>
              </w:tabs>
              <w:rPr>
                <w:rFonts w:ascii="宋体" w:hAnsi="宋体" w:cs="宋体"/>
                <w:color w:val="auto"/>
                <w:sz w:val="28"/>
                <w:szCs w:val="28"/>
                <w:highlight w:val="none"/>
              </w:rPr>
            </w:pPr>
          </w:p>
        </w:tc>
      </w:tr>
      <w:tr w14:paraId="2D27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5C936FAC">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单位</w:t>
            </w:r>
          </w:p>
          <w:p w14:paraId="60961540">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概况</w:t>
            </w:r>
          </w:p>
        </w:tc>
        <w:tc>
          <w:tcPr>
            <w:tcW w:w="1360" w:type="dxa"/>
            <w:gridSpan w:val="2"/>
            <w:vAlign w:val="center"/>
          </w:tcPr>
          <w:p w14:paraId="183531D9">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职工总数</w:t>
            </w:r>
          </w:p>
        </w:tc>
        <w:tc>
          <w:tcPr>
            <w:tcW w:w="1333" w:type="dxa"/>
            <w:gridSpan w:val="2"/>
            <w:vAlign w:val="center"/>
          </w:tcPr>
          <w:p w14:paraId="415933E9">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人</w:t>
            </w:r>
          </w:p>
        </w:tc>
        <w:tc>
          <w:tcPr>
            <w:tcW w:w="567" w:type="dxa"/>
            <w:vMerge w:val="restart"/>
            <w:vAlign w:val="center"/>
          </w:tcPr>
          <w:p w14:paraId="506E7400">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上一年主要经济指标</w:t>
            </w:r>
          </w:p>
        </w:tc>
        <w:tc>
          <w:tcPr>
            <w:tcW w:w="946" w:type="dxa"/>
            <w:vAlign w:val="center"/>
          </w:tcPr>
          <w:p w14:paraId="03B0ECC0">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营业额</w:t>
            </w:r>
          </w:p>
        </w:tc>
        <w:tc>
          <w:tcPr>
            <w:tcW w:w="1324" w:type="dxa"/>
            <w:gridSpan w:val="2"/>
            <w:vAlign w:val="center"/>
          </w:tcPr>
          <w:p w14:paraId="11ADCD61">
            <w:pPr>
              <w:tabs>
                <w:tab w:val="left" w:pos="4320"/>
              </w:tabs>
              <w:rPr>
                <w:rFonts w:ascii="宋体" w:hAnsi="宋体" w:cs="宋体"/>
                <w:color w:val="auto"/>
                <w:sz w:val="28"/>
                <w:szCs w:val="28"/>
                <w:highlight w:val="none"/>
              </w:rPr>
            </w:pPr>
          </w:p>
        </w:tc>
        <w:tc>
          <w:tcPr>
            <w:tcW w:w="1380" w:type="dxa"/>
            <w:gridSpan w:val="2"/>
            <w:vAlign w:val="center"/>
          </w:tcPr>
          <w:p w14:paraId="6C0F3562">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实现利润</w:t>
            </w:r>
          </w:p>
        </w:tc>
        <w:tc>
          <w:tcPr>
            <w:tcW w:w="1438" w:type="dxa"/>
            <w:tcBorders>
              <w:right w:val="double" w:color="auto" w:sz="4" w:space="0"/>
            </w:tcBorders>
            <w:vAlign w:val="center"/>
          </w:tcPr>
          <w:p w14:paraId="43DCBB54">
            <w:pPr>
              <w:tabs>
                <w:tab w:val="left" w:pos="4320"/>
              </w:tabs>
              <w:rPr>
                <w:rFonts w:ascii="宋体" w:hAnsi="宋体" w:cs="宋体"/>
                <w:color w:val="auto"/>
                <w:sz w:val="28"/>
                <w:szCs w:val="28"/>
                <w:highlight w:val="none"/>
              </w:rPr>
            </w:pPr>
          </w:p>
        </w:tc>
      </w:tr>
      <w:tr w14:paraId="57DC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52164383">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663C4971">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流动资金</w:t>
            </w:r>
          </w:p>
        </w:tc>
        <w:tc>
          <w:tcPr>
            <w:tcW w:w="1333" w:type="dxa"/>
            <w:gridSpan w:val="2"/>
            <w:vAlign w:val="center"/>
          </w:tcPr>
          <w:p w14:paraId="6B33F85B">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万元</w:t>
            </w:r>
          </w:p>
        </w:tc>
        <w:tc>
          <w:tcPr>
            <w:tcW w:w="567" w:type="dxa"/>
            <w:vMerge w:val="continue"/>
            <w:vAlign w:val="center"/>
          </w:tcPr>
          <w:p w14:paraId="715F788B">
            <w:pPr>
              <w:tabs>
                <w:tab w:val="left" w:pos="4320"/>
              </w:tabs>
              <w:rPr>
                <w:rFonts w:ascii="宋体" w:hAnsi="宋体" w:cs="宋体"/>
                <w:color w:val="auto"/>
                <w:sz w:val="28"/>
                <w:szCs w:val="28"/>
                <w:highlight w:val="none"/>
              </w:rPr>
            </w:pPr>
          </w:p>
        </w:tc>
        <w:tc>
          <w:tcPr>
            <w:tcW w:w="946" w:type="dxa"/>
            <w:vMerge w:val="restart"/>
            <w:vAlign w:val="center"/>
          </w:tcPr>
          <w:p w14:paraId="10452799">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主要</w:t>
            </w:r>
          </w:p>
          <w:p w14:paraId="6C694F40">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产品</w:t>
            </w:r>
          </w:p>
        </w:tc>
        <w:tc>
          <w:tcPr>
            <w:tcW w:w="4142" w:type="dxa"/>
            <w:gridSpan w:val="5"/>
            <w:tcBorders>
              <w:right w:val="double" w:color="auto" w:sz="4" w:space="0"/>
            </w:tcBorders>
            <w:vAlign w:val="center"/>
          </w:tcPr>
          <w:p w14:paraId="23269830">
            <w:pPr>
              <w:tabs>
                <w:tab w:val="left" w:pos="4320"/>
              </w:tabs>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1.</w:t>
            </w:r>
          </w:p>
        </w:tc>
      </w:tr>
      <w:tr w14:paraId="0750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trPr>
        <w:tc>
          <w:tcPr>
            <w:tcW w:w="817" w:type="dxa"/>
            <w:vMerge w:val="continue"/>
            <w:tcBorders>
              <w:left w:val="double" w:color="auto" w:sz="4" w:space="0"/>
            </w:tcBorders>
            <w:vAlign w:val="center"/>
          </w:tcPr>
          <w:p w14:paraId="5FC32E9C">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6BDEF8B4">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固定资产</w:t>
            </w:r>
          </w:p>
          <w:p w14:paraId="7412AFC8">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（万元）</w:t>
            </w:r>
          </w:p>
        </w:tc>
        <w:tc>
          <w:tcPr>
            <w:tcW w:w="1333" w:type="dxa"/>
            <w:gridSpan w:val="2"/>
            <w:vAlign w:val="center"/>
          </w:tcPr>
          <w:p w14:paraId="2724C11A">
            <w:pPr>
              <w:tabs>
                <w:tab w:val="left" w:pos="-48"/>
                <w:tab w:val="left" w:pos="4320"/>
              </w:tabs>
              <w:ind w:right="-133" w:hanging="48"/>
              <w:rPr>
                <w:rFonts w:ascii="宋体" w:hAnsi="宋体" w:cs="宋体"/>
                <w:color w:val="auto"/>
                <w:sz w:val="28"/>
                <w:szCs w:val="28"/>
                <w:highlight w:val="none"/>
              </w:rPr>
            </w:pPr>
            <w:r>
              <w:rPr>
                <w:rFonts w:hint="eastAsia" w:ascii="宋体" w:hAnsi="宋体" w:cs="宋体"/>
                <w:color w:val="auto"/>
                <w:sz w:val="28"/>
                <w:szCs w:val="28"/>
                <w:highlight w:val="none"/>
              </w:rPr>
              <w:t>原值：</w:t>
            </w:r>
          </w:p>
          <w:p w14:paraId="7B252B6F">
            <w:pPr>
              <w:tabs>
                <w:tab w:val="left" w:pos="-48"/>
                <w:tab w:val="left" w:pos="4320"/>
              </w:tabs>
              <w:ind w:hanging="48"/>
              <w:jc w:val="right"/>
              <w:rPr>
                <w:rFonts w:ascii="宋体" w:hAnsi="宋体" w:cs="宋体"/>
                <w:color w:val="auto"/>
                <w:sz w:val="28"/>
                <w:szCs w:val="28"/>
                <w:highlight w:val="none"/>
              </w:rPr>
            </w:pPr>
          </w:p>
          <w:p w14:paraId="589C66C4">
            <w:pPr>
              <w:tabs>
                <w:tab w:val="left" w:pos="-48"/>
                <w:tab w:val="left" w:pos="4320"/>
              </w:tabs>
              <w:ind w:right="-133" w:hanging="48"/>
              <w:rPr>
                <w:rFonts w:ascii="宋体" w:hAnsi="宋体" w:cs="宋体"/>
                <w:color w:val="auto"/>
                <w:sz w:val="28"/>
                <w:szCs w:val="28"/>
                <w:highlight w:val="none"/>
              </w:rPr>
            </w:pPr>
            <w:r>
              <w:rPr>
                <w:rFonts w:hint="eastAsia" w:ascii="宋体" w:hAnsi="宋体" w:cs="宋体"/>
                <w:color w:val="auto"/>
                <w:sz w:val="28"/>
                <w:szCs w:val="28"/>
                <w:highlight w:val="none"/>
              </w:rPr>
              <w:t>净值：</w:t>
            </w:r>
          </w:p>
          <w:p w14:paraId="139B2ED1">
            <w:pPr>
              <w:tabs>
                <w:tab w:val="left" w:pos="-48"/>
                <w:tab w:val="left" w:pos="4320"/>
              </w:tabs>
              <w:ind w:hanging="48"/>
              <w:jc w:val="right"/>
              <w:rPr>
                <w:rFonts w:ascii="宋体" w:hAnsi="宋体" w:cs="宋体"/>
                <w:color w:val="auto"/>
                <w:sz w:val="28"/>
                <w:szCs w:val="28"/>
                <w:highlight w:val="none"/>
              </w:rPr>
            </w:pPr>
          </w:p>
        </w:tc>
        <w:tc>
          <w:tcPr>
            <w:tcW w:w="567" w:type="dxa"/>
            <w:vMerge w:val="continue"/>
            <w:vAlign w:val="center"/>
          </w:tcPr>
          <w:p w14:paraId="3965E3F1">
            <w:pPr>
              <w:tabs>
                <w:tab w:val="left" w:pos="4320"/>
              </w:tabs>
              <w:rPr>
                <w:rFonts w:ascii="宋体" w:hAnsi="宋体" w:cs="宋体"/>
                <w:color w:val="auto"/>
                <w:sz w:val="28"/>
                <w:szCs w:val="28"/>
                <w:highlight w:val="none"/>
              </w:rPr>
            </w:pPr>
          </w:p>
        </w:tc>
        <w:tc>
          <w:tcPr>
            <w:tcW w:w="946" w:type="dxa"/>
            <w:vMerge w:val="continue"/>
            <w:vAlign w:val="center"/>
          </w:tcPr>
          <w:p w14:paraId="0D15F5B8">
            <w:pPr>
              <w:tabs>
                <w:tab w:val="left" w:pos="4320"/>
              </w:tabs>
              <w:jc w:val="center"/>
              <w:rPr>
                <w:rFonts w:ascii="宋体" w:hAnsi="宋体" w:cs="宋体"/>
                <w:color w:val="auto"/>
                <w:sz w:val="28"/>
                <w:szCs w:val="28"/>
                <w:highlight w:val="none"/>
              </w:rPr>
            </w:pPr>
          </w:p>
        </w:tc>
        <w:tc>
          <w:tcPr>
            <w:tcW w:w="4142" w:type="dxa"/>
            <w:gridSpan w:val="5"/>
            <w:tcBorders>
              <w:right w:val="double" w:color="auto" w:sz="4" w:space="0"/>
            </w:tcBorders>
            <w:vAlign w:val="center"/>
          </w:tcPr>
          <w:p w14:paraId="50E4EB67">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2.</w:t>
            </w:r>
          </w:p>
        </w:tc>
      </w:tr>
      <w:tr w14:paraId="5AEE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7931653B">
            <w:pPr>
              <w:tabs>
                <w:tab w:val="left" w:pos="4320"/>
              </w:tabs>
              <w:ind w:left="311" w:hanging="310" w:hangingChars="111"/>
              <w:rPr>
                <w:rFonts w:ascii="宋体" w:hAnsi="宋体" w:cs="宋体"/>
                <w:color w:val="auto"/>
                <w:sz w:val="28"/>
                <w:szCs w:val="28"/>
                <w:highlight w:val="none"/>
              </w:rPr>
            </w:pPr>
          </w:p>
        </w:tc>
        <w:tc>
          <w:tcPr>
            <w:tcW w:w="1360" w:type="dxa"/>
            <w:gridSpan w:val="2"/>
            <w:vAlign w:val="center"/>
          </w:tcPr>
          <w:p w14:paraId="7548A4BE">
            <w:pPr>
              <w:tabs>
                <w:tab w:val="left" w:pos="4320"/>
              </w:tabs>
              <w:jc w:val="center"/>
              <w:rPr>
                <w:rFonts w:ascii="宋体" w:hAnsi="宋体" w:cs="宋体"/>
                <w:color w:val="auto"/>
                <w:sz w:val="28"/>
                <w:szCs w:val="28"/>
                <w:highlight w:val="none"/>
              </w:rPr>
            </w:pPr>
            <w:r>
              <w:rPr>
                <w:rFonts w:hint="eastAsia" w:ascii="宋体" w:hAnsi="宋体" w:cs="宋体"/>
                <w:color w:val="auto"/>
                <w:sz w:val="28"/>
                <w:szCs w:val="28"/>
                <w:highlight w:val="none"/>
              </w:rPr>
              <w:t>占地面积</w:t>
            </w:r>
          </w:p>
        </w:tc>
        <w:tc>
          <w:tcPr>
            <w:tcW w:w="1333" w:type="dxa"/>
            <w:gridSpan w:val="2"/>
            <w:vAlign w:val="center"/>
          </w:tcPr>
          <w:p w14:paraId="57EF418F">
            <w:pPr>
              <w:tabs>
                <w:tab w:val="left" w:pos="4320"/>
              </w:tabs>
              <w:jc w:val="right"/>
              <w:rPr>
                <w:rFonts w:ascii="宋体" w:hAnsi="宋体" w:cs="宋体"/>
                <w:color w:val="auto"/>
                <w:sz w:val="28"/>
                <w:szCs w:val="28"/>
                <w:highlight w:val="none"/>
              </w:rPr>
            </w:pPr>
            <w:r>
              <w:rPr>
                <w:rFonts w:hint="eastAsia" w:ascii="宋体" w:hAnsi="宋体" w:cs="宋体"/>
                <w:color w:val="auto"/>
                <w:sz w:val="28"/>
                <w:szCs w:val="28"/>
                <w:highlight w:val="none"/>
              </w:rPr>
              <w:t>M</w:t>
            </w:r>
            <w:r>
              <w:rPr>
                <w:rFonts w:hint="eastAsia" w:ascii="宋体" w:hAnsi="宋体" w:cs="宋体"/>
                <w:color w:val="auto"/>
                <w:sz w:val="28"/>
                <w:szCs w:val="28"/>
                <w:highlight w:val="none"/>
                <w:vertAlign w:val="superscript"/>
              </w:rPr>
              <w:t>2</w:t>
            </w:r>
          </w:p>
        </w:tc>
        <w:tc>
          <w:tcPr>
            <w:tcW w:w="567" w:type="dxa"/>
            <w:vMerge w:val="continue"/>
            <w:vAlign w:val="center"/>
          </w:tcPr>
          <w:p w14:paraId="16A76CE4">
            <w:pPr>
              <w:tabs>
                <w:tab w:val="left" w:pos="4320"/>
              </w:tabs>
              <w:rPr>
                <w:rFonts w:ascii="宋体" w:hAnsi="宋体" w:cs="宋体"/>
                <w:color w:val="auto"/>
                <w:sz w:val="28"/>
                <w:szCs w:val="28"/>
                <w:highlight w:val="none"/>
              </w:rPr>
            </w:pPr>
          </w:p>
        </w:tc>
        <w:tc>
          <w:tcPr>
            <w:tcW w:w="946" w:type="dxa"/>
            <w:vMerge w:val="continue"/>
            <w:vAlign w:val="center"/>
          </w:tcPr>
          <w:p w14:paraId="3700E339">
            <w:pPr>
              <w:tabs>
                <w:tab w:val="left" w:pos="4320"/>
              </w:tabs>
              <w:jc w:val="center"/>
              <w:rPr>
                <w:rFonts w:ascii="宋体" w:hAnsi="宋体" w:cs="宋体"/>
                <w:color w:val="auto"/>
                <w:sz w:val="28"/>
                <w:szCs w:val="28"/>
                <w:highlight w:val="none"/>
              </w:rPr>
            </w:pPr>
          </w:p>
        </w:tc>
        <w:tc>
          <w:tcPr>
            <w:tcW w:w="4142" w:type="dxa"/>
            <w:gridSpan w:val="5"/>
            <w:tcBorders>
              <w:right w:val="double" w:color="auto" w:sz="4" w:space="0"/>
            </w:tcBorders>
            <w:vAlign w:val="center"/>
          </w:tcPr>
          <w:p w14:paraId="51E1E5CB">
            <w:pPr>
              <w:tabs>
                <w:tab w:val="left" w:pos="4320"/>
              </w:tabs>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3.</w:t>
            </w:r>
          </w:p>
        </w:tc>
      </w:tr>
      <w:tr w14:paraId="27C7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29B8129E">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本次</w:t>
            </w:r>
          </w:p>
          <w:p w14:paraId="138139BC">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投标</w:t>
            </w:r>
          </w:p>
          <w:p w14:paraId="07CCAAD9">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产品</w:t>
            </w:r>
          </w:p>
          <w:p w14:paraId="62F203C3">
            <w:pPr>
              <w:tabs>
                <w:tab w:val="left" w:pos="4320"/>
              </w:tabs>
              <w:ind w:left="311" w:hanging="310" w:hangingChars="111"/>
              <w:rPr>
                <w:rFonts w:ascii="宋体" w:hAnsi="宋体" w:cs="宋体"/>
                <w:color w:val="auto"/>
                <w:sz w:val="28"/>
                <w:szCs w:val="28"/>
                <w:highlight w:val="none"/>
              </w:rPr>
            </w:pPr>
            <w:r>
              <w:rPr>
                <w:rFonts w:hint="eastAsia" w:ascii="宋体" w:hAnsi="宋体" w:cs="宋体"/>
                <w:color w:val="auto"/>
                <w:sz w:val="28"/>
                <w:szCs w:val="28"/>
                <w:highlight w:val="none"/>
              </w:rPr>
              <w:t>情况</w:t>
            </w:r>
          </w:p>
        </w:tc>
        <w:tc>
          <w:tcPr>
            <w:tcW w:w="1643" w:type="dxa"/>
            <w:gridSpan w:val="3"/>
            <w:vAlign w:val="center"/>
          </w:tcPr>
          <w:p w14:paraId="5EC495D4">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本次投标</w:t>
            </w:r>
          </w:p>
          <w:p w14:paraId="26C4F604">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产品名称</w:t>
            </w:r>
          </w:p>
        </w:tc>
        <w:tc>
          <w:tcPr>
            <w:tcW w:w="1617" w:type="dxa"/>
            <w:gridSpan w:val="2"/>
            <w:vAlign w:val="center"/>
          </w:tcPr>
          <w:p w14:paraId="1AB66F65">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型    号</w:t>
            </w:r>
          </w:p>
        </w:tc>
        <w:tc>
          <w:tcPr>
            <w:tcW w:w="946" w:type="dxa"/>
            <w:vAlign w:val="center"/>
          </w:tcPr>
          <w:p w14:paraId="4F748B4C">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上年</w:t>
            </w:r>
          </w:p>
          <w:p w14:paraId="65B48C06">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产销量</w:t>
            </w:r>
          </w:p>
        </w:tc>
        <w:tc>
          <w:tcPr>
            <w:tcW w:w="1263" w:type="dxa"/>
            <w:vAlign w:val="center"/>
          </w:tcPr>
          <w:p w14:paraId="78C0292B">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产品技术先进水平</w:t>
            </w:r>
          </w:p>
        </w:tc>
        <w:tc>
          <w:tcPr>
            <w:tcW w:w="1273" w:type="dxa"/>
            <w:gridSpan w:val="2"/>
            <w:vAlign w:val="center"/>
          </w:tcPr>
          <w:p w14:paraId="3C3DEB69">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曾获何级何种奖励</w:t>
            </w:r>
          </w:p>
        </w:tc>
        <w:tc>
          <w:tcPr>
            <w:tcW w:w="1606" w:type="dxa"/>
            <w:gridSpan w:val="2"/>
            <w:tcBorders>
              <w:right w:val="double" w:color="auto" w:sz="4" w:space="0"/>
            </w:tcBorders>
            <w:vAlign w:val="center"/>
          </w:tcPr>
          <w:p w14:paraId="02A1B0A7">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主要用户</w:t>
            </w:r>
          </w:p>
          <w:p w14:paraId="308329F8">
            <w:pPr>
              <w:tabs>
                <w:tab w:val="left" w:pos="4320"/>
              </w:tabs>
              <w:spacing w:before="60" w:after="60"/>
              <w:jc w:val="center"/>
              <w:rPr>
                <w:rFonts w:ascii="宋体" w:hAnsi="宋体" w:cs="宋体"/>
                <w:color w:val="auto"/>
                <w:sz w:val="28"/>
                <w:szCs w:val="28"/>
                <w:highlight w:val="none"/>
              </w:rPr>
            </w:pPr>
            <w:r>
              <w:rPr>
                <w:rFonts w:hint="eastAsia" w:ascii="宋体" w:hAnsi="宋体" w:cs="宋体"/>
                <w:color w:val="auto"/>
                <w:sz w:val="28"/>
                <w:szCs w:val="28"/>
                <w:highlight w:val="none"/>
              </w:rPr>
              <w:t>名称</w:t>
            </w:r>
          </w:p>
        </w:tc>
      </w:tr>
      <w:tr w14:paraId="46262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78565CAB">
            <w:pPr>
              <w:tabs>
                <w:tab w:val="left" w:pos="4320"/>
              </w:tabs>
              <w:rPr>
                <w:rFonts w:ascii="宋体" w:hAnsi="宋体" w:cs="宋体"/>
                <w:color w:val="auto"/>
                <w:sz w:val="28"/>
                <w:szCs w:val="28"/>
                <w:highlight w:val="none"/>
              </w:rPr>
            </w:pPr>
          </w:p>
        </w:tc>
        <w:tc>
          <w:tcPr>
            <w:tcW w:w="1643" w:type="dxa"/>
            <w:gridSpan w:val="3"/>
            <w:vAlign w:val="center"/>
          </w:tcPr>
          <w:p w14:paraId="135BCFB1">
            <w:pPr>
              <w:tabs>
                <w:tab w:val="left" w:pos="4320"/>
              </w:tabs>
              <w:rPr>
                <w:rFonts w:ascii="宋体" w:hAnsi="宋体" w:cs="宋体"/>
                <w:color w:val="auto"/>
                <w:sz w:val="28"/>
                <w:szCs w:val="28"/>
                <w:highlight w:val="none"/>
              </w:rPr>
            </w:pPr>
          </w:p>
        </w:tc>
        <w:tc>
          <w:tcPr>
            <w:tcW w:w="1617" w:type="dxa"/>
            <w:gridSpan w:val="2"/>
            <w:vAlign w:val="center"/>
          </w:tcPr>
          <w:p w14:paraId="15CE062B">
            <w:pPr>
              <w:tabs>
                <w:tab w:val="left" w:pos="4320"/>
              </w:tabs>
              <w:rPr>
                <w:rFonts w:ascii="宋体" w:hAnsi="宋体" w:cs="宋体"/>
                <w:color w:val="auto"/>
                <w:sz w:val="28"/>
                <w:szCs w:val="28"/>
                <w:highlight w:val="none"/>
              </w:rPr>
            </w:pPr>
          </w:p>
        </w:tc>
        <w:tc>
          <w:tcPr>
            <w:tcW w:w="946" w:type="dxa"/>
            <w:vAlign w:val="center"/>
          </w:tcPr>
          <w:p w14:paraId="2E322B43">
            <w:pPr>
              <w:tabs>
                <w:tab w:val="left" w:pos="4320"/>
              </w:tabs>
              <w:rPr>
                <w:rFonts w:ascii="宋体" w:hAnsi="宋体" w:cs="宋体"/>
                <w:color w:val="auto"/>
                <w:sz w:val="28"/>
                <w:szCs w:val="28"/>
                <w:highlight w:val="none"/>
              </w:rPr>
            </w:pPr>
          </w:p>
        </w:tc>
        <w:tc>
          <w:tcPr>
            <w:tcW w:w="1263" w:type="dxa"/>
            <w:vAlign w:val="center"/>
          </w:tcPr>
          <w:p w14:paraId="37568F21">
            <w:pPr>
              <w:tabs>
                <w:tab w:val="left" w:pos="4320"/>
              </w:tabs>
              <w:rPr>
                <w:rFonts w:ascii="宋体" w:hAnsi="宋体" w:cs="宋体"/>
                <w:color w:val="auto"/>
                <w:sz w:val="28"/>
                <w:szCs w:val="28"/>
                <w:highlight w:val="none"/>
              </w:rPr>
            </w:pPr>
          </w:p>
        </w:tc>
        <w:tc>
          <w:tcPr>
            <w:tcW w:w="1273" w:type="dxa"/>
            <w:gridSpan w:val="2"/>
            <w:vAlign w:val="center"/>
          </w:tcPr>
          <w:p w14:paraId="15F07F29">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1A28FEC3">
            <w:pPr>
              <w:tabs>
                <w:tab w:val="left" w:pos="4320"/>
              </w:tabs>
              <w:rPr>
                <w:rFonts w:ascii="宋体" w:hAnsi="宋体" w:cs="宋体"/>
                <w:color w:val="auto"/>
                <w:sz w:val="28"/>
                <w:szCs w:val="28"/>
                <w:highlight w:val="none"/>
              </w:rPr>
            </w:pPr>
          </w:p>
        </w:tc>
      </w:tr>
      <w:tr w14:paraId="0C71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6B88ADA1">
            <w:pPr>
              <w:tabs>
                <w:tab w:val="left" w:pos="4320"/>
              </w:tabs>
              <w:rPr>
                <w:rFonts w:ascii="宋体" w:hAnsi="宋体" w:cs="宋体"/>
                <w:color w:val="auto"/>
                <w:sz w:val="28"/>
                <w:szCs w:val="28"/>
                <w:highlight w:val="none"/>
              </w:rPr>
            </w:pPr>
          </w:p>
        </w:tc>
        <w:tc>
          <w:tcPr>
            <w:tcW w:w="1643" w:type="dxa"/>
            <w:gridSpan w:val="3"/>
            <w:vAlign w:val="center"/>
          </w:tcPr>
          <w:p w14:paraId="2E3764EE">
            <w:pPr>
              <w:tabs>
                <w:tab w:val="left" w:pos="4320"/>
              </w:tabs>
              <w:rPr>
                <w:rFonts w:ascii="宋体" w:hAnsi="宋体" w:cs="宋体"/>
                <w:color w:val="auto"/>
                <w:sz w:val="28"/>
                <w:szCs w:val="28"/>
                <w:highlight w:val="none"/>
              </w:rPr>
            </w:pPr>
          </w:p>
        </w:tc>
        <w:tc>
          <w:tcPr>
            <w:tcW w:w="1617" w:type="dxa"/>
            <w:gridSpan w:val="2"/>
            <w:vAlign w:val="center"/>
          </w:tcPr>
          <w:p w14:paraId="14241D32">
            <w:pPr>
              <w:tabs>
                <w:tab w:val="left" w:pos="4320"/>
              </w:tabs>
              <w:rPr>
                <w:rFonts w:ascii="宋体" w:hAnsi="宋体" w:cs="宋体"/>
                <w:color w:val="auto"/>
                <w:sz w:val="28"/>
                <w:szCs w:val="28"/>
                <w:highlight w:val="none"/>
              </w:rPr>
            </w:pPr>
          </w:p>
        </w:tc>
        <w:tc>
          <w:tcPr>
            <w:tcW w:w="946" w:type="dxa"/>
            <w:vAlign w:val="center"/>
          </w:tcPr>
          <w:p w14:paraId="573567DE">
            <w:pPr>
              <w:tabs>
                <w:tab w:val="left" w:pos="4320"/>
              </w:tabs>
              <w:rPr>
                <w:rFonts w:ascii="宋体" w:hAnsi="宋体" w:cs="宋体"/>
                <w:color w:val="auto"/>
                <w:sz w:val="28"/>
                <w:szCs w:val="28"/>
                <w:highlight w:val="none"/>
              </w:rPr>
            </w:pPr>
          </w:p>
        </w:tc>
        <w:tc>
          <w:tcPr>
            <w:tcW w:w="1263" w:type="dxa"/>
            <w:vAlign w:val="center"/>
          </w:tcPr>
          <w:p w14:paraId="7E521D15">
            <w:pPr>
              <w:tabs>
                <w:tab w:val="left" w:pos="4320"/>
              </w:tabs>
              <w:rPr>
                <w:rFonts w:ascii="宋体" w:hAnsi="宋体" w:cs="宋体"/>
                <w:color w:val="auto"/>
                <w:sz w:val="28"/>
                <w:szCs w:val="28"/>
                <w:highlight w:val="none"/>
              </w:rPr>
            </w:pPr>
          </w:p>
        </w:tc>
        <w:tc>
          <w:tcPr>
            <w:tcW w:w="1273" w:type="dxa"/>
            <w:gridSpan w:val="2"/>
            <w:vAlign w:val="center"/>
          </w:tcPr>
          <w:p w14:paraId="4E9598D5">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4C3BF2A1">
            <w:pPr>
              <w:tabs>
                <w:tab w:val="left" w:pos="4320"/>
              </w:tabs>
              <w:rPr>
                <w:rFonts w:ascii="宋体" w:hAnsi="宋体" w:cs="宋体"/>
                <w:color w:val="auto"/>
                <w:sz w:val="28"/>
                <w:szCs w:val="28"/>
                <w:highlight w:val="none"/>
              </w:rPr>
            </w:pPr>
          </w:p>
        </w:tc>
      </w:tr>
      <w:tr w14:paraId="258B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0E2C41C5">
            <w:pPr>
              <w:tabs>
                <w:tab w:val="left" w:pos="4320"/>
              </w:tabs>
              <w:rPr>
                <w:rFonts w:ascii="宋体" w:hAnsi="宋体" w:cs="宋体"/>
                <w:color w:val="auto"/>
                <w:sz w:val="28"/>
                <w:szCs w:val="28"/>
                <w:highlight w:val="none"/>
              </w:rPr>
            </w:pPr>
          </w:p>
        </w:tc>
        <w:tc>
          <w:tcPr>
            <w:tcW w:w="1643" w:type="dxa"/>
            <w:gridSpan w:val="3"/>
            <w:vAlign w:val="center"/>
          </w:tcPr>
          <w:p w14:paraId="6DCC6D13">
            <w:pPr>
              <w:tabs>
                <w:tab w:val="left" w:pos="4320"/>
              </w:tabs>
              <w:rPr>
                <w:rFonts w:ascii="宋体" w:hAnsi="宋体" w:cs="宋体"/>
                <w:color w:val="auto"/>
                <w:sz w:val="28"/>
                <w:szCs w:val="28"/>
                <w:highlight w:val="none"/>
              </w:rPr>
            </w:pPr>
          </w:p>
        </w:tc>
        <w:tc>
          <w:tcPr>
            <w:tcW w:w="1617" w:type="dxa"/>
            <w:gridSpan w:val="2"/>
            <w:vAlign w:val="center"/>
          </w:tcPr>
          <w:p w14:paraId="53AFF0E0">
            <w:pPr>
              <w:tabs>
                <w:tab w:val="left" w:pos="4320"/>
              </w:tabs>
              <w:rPr>
                <w:rFonts w:ascii="宋体" w:hAnsi="宋体" w:cs="宋体"/>
                <w:color w:val="auto"/>
                <w:sz w:val="28"/>
                <w:szCs w:val="28"/>
                <w:highlight w:val="none"/>
              </w:rPr>
            </w:pPr>
          </w:p>
        </w:tc>
        <w:tc>
          <w:tcPr>
            <w:tcW w:w="946" w:type="dxa"/>
            <w:vAlign w:val="center"/>
          </w:tcPr>
          <w:p w14:paraId="35AD286D">
            <w:pPr>
              <w:tabs>
                <w:tab w:val="left" w:pos="4320"/>
              </w:tabs>
              <w:rPr>
                <w:rFonts w:ascii="宋体" w:hAnsi="宋体" w:cs="宋体"/>
                <w:color w:val="auto"/>
                <w:sz w:val="28"/>
                <w:szCs w:val="28"/>
                <w:highlight w:val="none"/>
              </w:rPr>
            </w:pPr>
          </w:p>
        </w:tc>
        <w:tc>
          <w:tcPr>
            <w:tcW w:w="1263" w:type="dxa"/>
            <w:vAlign w:val="center"/>
          </w:tcPr>
          <w:p w14:paraId="47BC82B3">
            <w:pPr>
              <w:tabs>
                <w:tab w:val="left" w:pos="4320"/>
              </w:tabs>
              <w:rPr>
                <w:rFonts w:ascii="宋体" w:hAnsi="宋体" w:cs="宋体"/>
                <w:color w:val="auto"/>
                <w:sz w:val="28"/>
                <w:szCs w:val="28"/>
                <w:highlight w:val="none"/>
              </w:rPr>
            </w:pPr>
          </w:p>
        </w:tc>
        <w:tc>
          <w:tcPr>
            <w:tcW w:w="1273" w:type="dxa"/>
            <w:gridSpan w:val="2"/>
            <w:vAlign w:val="center"/>
          </w:tcPr>
          <w:p w14:paraId="72490F26">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290D2F54">
            <w:pPr>
              <w:tabs>
                <w:tab w:val="left" w:pos="4320"/>
              </w:tabs>
              <w:rPr>
                <w:rFonts w:ascii="宋体" w:hAnsi="宋体" w:cs="宋体"/>
                <w:color w:val="auto"/>
                <w:sz w:val="28"/>
                <w:szCs w:val="28"/>
                <w:highlight w:val="none"/>
              </w:rPr>
            </w:pPr>
          </w:p>
        </w:tc>
      </w:tr>
      <w:tr w14:paraId="1530C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tcBorders>
              <w:left w:val="double" w:color="auto" w:sz="4" w:space="0"/>
            </w:tcBorders>
            <w:vAlign w:val="center"/>
          </w:tcPr>
          <w:p w14:paraId="5F0C6085">
            <w:pPr>
              <w:tabs>
                <w:tab w:val="left" w:pos="4320"/>
              </w:tabs>
              <w:rPr>
                <w:rFonts w:ascii="宋体" w:hAnsi="宋体" w:cs="宋体"/>
                <w:color w:val="auto"/>
                <w:sz w:val="28"/>
                <w:szCs w:val="28"/>
                <w:highlight w:val="none"/>
              </w:rPr>
            </w:pPr>
          </w:p>
        </w:tc>
        <w:tc>
          <w:tcPr>
            <w:tcW w:w="1643" w:type="dxa"/>
            <w:gridSpan w:val="3"/>
            <w:vAlign w:val="center"/>
          </w:tcPr>
          <w:p w14:paraId="7DF46FDB">
            <w:pPr>
              <w:tabs>
                <w:tab w:val="left" w:pos="4320"/>
              </w:tabs>
              <w:rPr>
                <w:rFonts w:ascii="宋体" w:hAnsi="宋体" w:cs="宋体"/>
                <w:color w:val="auto"/>
                <w:sz w:val="28"/>
                <w:szCs w:val="28"/>
                <w:highlight w:val="none"/>
              </w:rPr>
            </w:pPr>
          </w:p>
        </w:tc>
        <w:tc>
          <w:tcPr>
            <w:tcW w:w="1617" w:type="dxa"/>
            <w:gridSpan w:val="2"/>
            <w:vAlign w:val="center"/>
          </w:tcPr>
          <w:p w14:paraId="6CB24023">
            <w:pPr>
              <w:tabs>
                <w:tab w:val="left" w:pos="4320"/>
              </w:tabs>
              <w:rPr>
                <w:rFonts w:ascii="宋体" w:hAnsi="宋体" w:cs="宋体"/>
                <w:color w:val="auto"/>
                <w:sz w:val="28"/>
                <w:szCs w:val="28"/>
                <w:highlight w:val="none"/>
              </w:rPr>
            </w:pPr>
          </w:p>
        </w:tc>
        <w:tc>
          <w:tcPr>
            <w:tcW w:w="946" w:type="dxa"/>
            <w:vAlign w:val="center"/>
          </w:tcPr>
          <w:p w14:paraId="18E8A220">
            <w:pPr>
              <w:tabs>
                <w:tab w:val="left" w:pos="4320"/>
              </w:tabs>
              <w:rPr>
                <w:rFonts w:ascii="宋体" w:hAnsi="宋体" w:cs="宋体"/>
                <w:color w:val="auto"/>
                <w:sz w:val="28"/>
                <w:szCs w:val="28"/>
                <w:highlight w:val="none"/>
              </w:rPr>
            </w:pPr>
          </w:p>
        </w:tc>
        <w:tc>
          <w:tcPr>
            <w:tcW w:w="1263" w:type="dxa"/>
            <w:vAlign w:val="center"/>
          </w:tcPr>
          <w:p w14:paraId="48C5128D">
            <w:pPr>
              <w:tabs>
                <w:tab w:val="left" w:pos="4320"/>
              </w:tabs>
              <w:rPr>
                <w:rFonts w:ascii="宋体" w:hAnsi="宋体" w:cs="宋体"/>
                <w:color w:val="auto"/>
                <w:sz w:val="28"/>
                <w:szCs w:val="28"/>
                <w:highlight w:val="none"/>
              </w:rPr>
            </w:pPr>
          </w:p>
        </w:tc>
        <w:tc>
          <w:tcPr>
            <w:tcW w:w="1273" w:type="dxa"/>
            <w:gridSpan w:val="2"/>
            <w:vAlign w:val="center"/>
          </w:tcPr>
          <w:p w14:paraId="4B1D3033">
            <w:pPr>
              <w:tabs>
                <w:tab w:val="left" w:pos="4320"/>
              </w:tabs>
              <w:rPr>
                <w:rFonts w:ascii="宋体" w:hAnsi="宋体" w:cs="宋体"/>
                <w:color w:val="auto"/>
                <w:sz w:val="28"/>
                <w:szCs w:val="28"/>
                <w:highlight w:val="none"/>
              </w:rPr>
            </w:pPr>
          </w:p>
        </w:tc>
        <w:tc>
          <w:tcPr>
            <w:tcW w:w="1606" w:type="dxa"/>
            <w:gridSpan w:val="2"/>
            <w:tcBorders>
              <w:right w:val="double" w:color="auto" w:sz="4" w:space="0"/>
            </w:tcBorders>
            <w:vAlign w:val="center"/>
          </w:tcPr>
          <w:p w14:paraId="20410A93">
            <w:pPr>
              <w:tabs>
                <w:tab w:val="left" w:pos="4320"/>
              </w:tabs>
              <w:rPr>
                <w:rFonts w:ascii="宋体" w:hAnsi="宋体" w:cs="宋体"/>
                <w:color w:val="auto"/>
                <w:sz w:val="28"/>
                <w:szCs w:val="28"/>
                <w:highlight w:val="none"/>
              </w:rPr>
            </w:pPr>
          </w:p>
        </w:tc>
      </w:tr>
      <w:tr w14:paraId="1253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tcBorders>
              <w:left w:val="double" w:color="auto" w:sz="4" w:space="0"/>
            </w:tcBorders>
            <w:vAlign w:val="center"/>
          </w:tcPr>
          <w:p w14:paraId="2620806A">
            <w:pPr>
              <w:tabs>
                <w:tab w:val="left" w:pos="4320"/>
              </w:tabs>
              <w:rPr>
                <w:rFonts w:ascii="宋体" w:hAnsi="宋体" w:cs="宋体"/>
                <w:color w:val="auto"/>
                <w:sz w:val="28"/>
                <w:szCs w:val="28"/>
                <w:highlight w:val="none"/>
              </w:rPr>
            </w:pPr>
            <w:r>
              <w:rPr>
                <w:rFonts w:hint="eastAsia" w:ascii="宋体" w:hAnsi="宋体" w:cs="宋体"/>
                <w:color w:val="auto"/>
                <w:sz w:val="28"/>
                <w:szCs w:val="28"/>
                <w:highlight w:val="none"/>
              </w:rPr>
              <w:t>其它</w:t>
            </w:r>
          </w:p>
        </w:tc>
        <w:tc>
          <w:tcPr>
            <w:tcW w:w="4206" w:type="dxa"/>
            <w:gridSpan w:val="6"/>
            <w:vAlign w:val="center"/>
          </w:tcPr>
          <w:p w14:paraId="339B2EFE">
            <w:pPr>
              <w:tabs>
                <w:tab w:val="left" w:pos="4320"/>
              </w:tabs>
              <w:spacing w:before="60" w:after="60"/>
              <w:rPr>
                <w:rFonts w:ascii="宋体" w:hAnsi="宋体" w:cs="宋体"/>
                <w:color w:val="auto"/>
                <w:sz w:val="28"/>
                <w:szCs w:val="28"/>
                <w:highlight w:val="none"/>
              </w:rPr>
            </w:pPr>
            <w:r>
              <w:rPr>
                <w:rFonts w:hint="eastAsia" w:ascii="宋体" w:hAnsi="宋体" w:cs="宋体"/>
                <w:color w:val="auto"/>
                <w:sz w:val="28"/>
                <w:szCs w:val="28"/>
                <w:highlight w:val="none"/>
              </w:rPr>
              <w:t>近3年完成及正在执行的合同中发生的由于投标人违约或部分违约而引起诉讼和受到索赔的案件具体情况及结果（须如实填写，若对此进行隐瞒，尔后又被采购人或采购代理机构发现，或被</w:t>
            </w:r>
            <w:r>
              <w:rPr>
                <w:rFonts w:hint="eastAsia" w:ascii="宋体" w:hAnsi="宋体" w:cs="宋体"/>
                <w:color w:val="auto"/>
                <w:sz w:val="28"/>
                <w:szCs w:val="28"/>
                <w:highlight w:val="none"/>
                <w:lang w:eastAsia="zh-CN"/>
              </w:rPr>
              <w:t>他人</w:t>
            </w:r>
            <w:r>
              <w:rPr>
                <w:rFonts w:hint="eastAsia" w:ascii="宋体" w:hAnsi="宋体" w:cs="宋体"/>
                <w:color w:val="auto"/>
                <w:sz w:val="28"/>
                <w:szCs w:val="28"/>
                <w:highlight w:val="none"/>
              </w:rPr>
              <w:t>举证成立，其投标资格将被取消）。</w:t>
            </w:r>
          </w:p>
        </w:tc>
        <w:tc>
          <w:tcPr>
            <w:tcW w:w="4142" w:type="dxa"/>
            <w:gridSpan w:val="5"/>
            <w:tcBorders>
              <w:right w:val="double" w:color="auto" w:sz="4" w:space="0"/>
            </w:tcBorders>
            <w:vAlign w:val="center"/>
          </w:tcPr>
          <w:p w14:paraId="67B7AF66">
            <w:pPr>
              <w:tabs>
                <w:tab w:val="left" w:pos="4320"/>
              </w:tabs>
              <w:spacing w:before="60" w:after="60"/>
              <w:rPr>
                <w:rFonts w:ascii="宋体" w:hAnsi="宋体" w:cs="宋体"/>
                <w:color w:val="auto"/>
                <w:sz w:val="28"/>
                <w:szCs w:val="28"/>
                <w:highlight w:val="none"/>
              </w:rPr>
            </w:pPr>
            <w:r>
              <w:rPr>
                <w:rFonts w:hint="eastAsia" w:ascii="宋体" w:hAnsi="宋体" w:cs="宋体"/>
                <w:color w:val="auto"/>
                <w:sz w:val="28"/>
                <w:szCs w:val="28"/>
                <w:highlight w:val="none"/>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14:paraId="0A79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5" w:hRule="atLeast"/>
        </w:trPr>
        <w:tc>
          <w:tcPr>
            <w:tcW w:w="817" w:type="dxa"/>
            <w:vMerge w:val="continue"/>
            <w:tcBorders>
              <w:left w:val="double" w:color="auto" w:sz="4" w:space="0"/>
              <w:bottom w:val="double" w:color="auto" w:sz="4" w:space="0"/>
            </w:tcBorders>
            <w:vAlign w:val="center"/>
          </w:tcPr>
          <w:p w14:paraId="43B1DF93">
            <w:pPr>
              <w:tabs>
                <w:tab w:val="left" w:pos="4320"/>
              </w:tabs>
              <w:rPr>
                <w:rFonts w:ascii="宋体" w:hAnsi="宋体" w:cs="宋体"/>
                <w:color w:val="auto"/>
                <w:sz w:val="28"/>
                <w:szCs w:val="28"/>
                <w:highlight w:val="none"/>
              </w:rPr>
            </w:pPr>
          </w:p>
        </w:tc>
        <w:tc>
          <w:tcPr>
            <w:tcW w:w="4206" w:type="dxa"/>
            <w:gridSpan w:val="6"/>
            <w:tcBorders>
              <w:bottom w:val="double" w:color="auto" w:sz="4" w:space="0"/>
            </w:tcBorders>
            <w:vAlign w:val="center"/>
          </w:tcPr>
          <w:p w14:paraId="58FDA59A">
            <w:pPr>
              <w:tabs>
                <w:tab w:val="left" w:pos="4320"/>
              </w:tabs>
              <w:rPr>
                <w:rFonts w:ascii="宋体" w:hAnsi="宋体" w:cs="宋体"/>
                <w:color w:val="auto"/>
                <w:sz w:val="28"/>
                <w:szCs w:val="28"/>
                <w:highlight w:val="none"/>
              </w:rPr>
            </w:pPr>
          </w:p>
        </w:tc>
        <w:tc>
          <w:tcPr>
            <w:tcW w:w="4142" w:type="dxa"/>
            <w:gridSpan w:val="5"/>
            <w:tcBorders>
              <w:bottom w:val="double" w:color="auto" w:sz="4" w:space="0"/>
              <w:right w:val="double" w:color="auto" w:sz="4" w:space="0"/>
            </w:tcBorders>
            <w:vAlign w:val="center"/>
          </w:tcPr>
          <w:p w14:paraId="16AE3BCF">
            <w:pPr>
              <w:tabs>
                <w:tab w:val="left" w:pos="4320"/>
              </w:tabs>
              <w:rPr>
                <w:rFonts w:ascii="宋体" w:hAnsi="宋体" w:cs="宋体"/>
                <w:color w:val="auto"/>
                <w:sz w:val="28"/>
                <w:szCs w:val="28"/>
                <w:highlight w:val="none"/>
              </w:rPr>
            </w:pPr>
          </w:p>
        </w:tc>
      </w:tr>
    </w:tbl>
    <w:p w14:paraId="6735D1EF">
      <w:pPr>
        <w:spacing w:line="480" w:lineRule="exact"/>
        <w:rPr>
          <w:rFonts w:ascii="宋体" w:hAnsi="宋体" w:cs="宋体"/>
          <w:b/>
          <w:color w:val="auto"/>
          <w:sz w:val="28"/>
          <w:szCs w:val="28"/>
          <w:highlight w:val="none"/>
        </w:rPr>
      </w:pPr>
    </w:p>
    <w:p w14:paraId="001233EB">
      <w:pP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附件4</w:t>
      </w:r>
    </w:p>
    <w:p w14:paraId="400D984B">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3B18D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52EBAE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6C40B5C6">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999" w:type="dxa"/>
            <w:vAlign w:val="center"/>
          </w:tcPr>
          <w:p w14:paraId="7FF69FE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2423D991">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714A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96CF8B5">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27F58114">
            <w:pPr>
              <w:spacing w:line="480" w:lineRule="exact"/>
              <w:jc w:val="center"/>
              <w:rPr>
                <w:rFonts w:ascii="宋体" w:hAnsi="宋体" w:cs="宋体"/>
                <w:color w:val="auto"/>
                <w:sz w:val="28"/>
                <w:szCs w:val="28"/>
                <w:highlight w:val="none"/>
              </w:rPr>
            </w:pPr>
          </w:p>
        </w:tc>
        <w:tc>
          <w:tcPr>
            <w:tcW w:w="2999" w:type="dxa"/>
          </w:tcPr>
          <w:p w14:paraId="295251DA">
            <w:pPr>
              <w:spacing w:line="480" w:lineRule="exact"/>
              <w:jc w:val="center"/>
              <w:rPr>
                <w:rFonts w:ascii="宋体" w:hAnsi="宋体" w:cs="宋体"/>
                <w:color w:val="auto"/>
                <w:sz w:val="28"/>
                <w:szCs w:val="28"/>
                <w:highlight w:val="none"/>
              </w:rPr>
            </w:pPr>
          </w:p>
        </w:tc>
        <w:tc>
          <w:tcPr>
            <w:tcW w:w="2320" w:type="dxa"/>
          </w:tcPr>
          <w:p w14:paraId="2D2FB13B">
            <w:pPr>
              <w:spacing w:line="480" w:lineRule="exact"/>
              <w:jc w:val="center"/>
              <w:rPr>
                <w:rFonts w:ascii="宋体" w:hAnsi="宋体" w:cs="宋体"/>
                <w:color w:val="auto"/>
                <w:sz w:val="28"/>
                <w:szCs w:val="28"/>
                <w:highlight w:val="none"/>
              </w:rPr>
            </w:pPr>
          </w:p>
        </w:tc>
      </w:tr>
      <w:tr w14:paraId="1B41F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B00D20D">
            <w:pPr>
              <w:spacing w:line="480" w:lineRule="exact"/>
              <w:jc w:val="center"/>
              <w:rPr>
                <w:rFonts w:ascii="宋体" w:hAnsi="宋体" w:cs="宋体"/>
                <w:color w:val="auto"/>
                <w:sz w:val="28"/>
                <w:szCs w:val="28"/>
                <w:highlight w:val="none"/>
              </w:rPr>
            </w:pPr>
          </w:p>
        </w:tc>
        <w:tc>
          <w:tcPr>
            <w:tcW w:w="3063" w:type="dxa"/>
          </w:tcPr>
          <w:p w14:paraId="75EB0E3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372C1D2F">
            <w:pPr>
              <w:spacing w:line="480" w:lineRule="exact"/>
              <w:jc w:val="center"/>
              <w:rPr>
                <w:rFonts w:ascii="宋体" w:hAnsi="宋体" w:cs="宋体"/>
                <w:color w:val="auto"/>
                <w:sz w:val="28"/>
                <w:szCs w:val="28"/>
                <w:highlight w:val="none"/>
              </w:rPr>
            </w:pPr>
          </w:p>
        </w:tc>
        <w:tc>
          <w:tcPr>
            <w:tcW w:w="2320" w:type="dxa"/>
          </w:tcPr>
          <w:p w14:paraId="56598C92">
            <w:pPr>
              <w:spacing w:line="480" w:lineRule="exact"/>
              <w:jc w:val="center"/>
              <w:rPr>
                <w:rFonts w:ascii="宋体" w:hAnsi="宋体" w:cs="宋体"/>
                <w:color w:val="auto"/>
                <w:sz w:val="28"/>
                <w:szCs w:val="28"/>
                <w:highlight w:val="none"/>
              </w:rPr>
            </w:pPr>
          </w:p>
        </w:tc>
      </w:tr>
    </w:tbl>
    <w:p w14:paraId="49892702">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附件4-1  证明材料1，证明材料2，……</w:t>
      </w:r>
    </w:p>
    <w:p w14:paraId="578F33BC">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51DFE2D7">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1.投标人需对除“★”项以外的技术要求逐条做出明确响应。</w:t>
      </w:r>
    </w:p>
    <w:p w14:paraId="402515B2">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59B7ADC6">
      <w:pPr>
        <w:spacing w:line="480" w:lineRule="exact"/>
        <w:outlineLvl w:val="3"/>
        <w:rPr>
          <w:rFonts w:ascii="宋体" w:hAnsi="宋体" w:cs="宋体"/>
          <w:b/>
          <w:color w:val="auto"/>
          <w:sz w:val="28"/>
          <w:szCs w:val="28"/>
          <w:highlight w:val="none"/>
        </w:rPr>
        <w:sectPr>
          <w:pgSz w:w="11907" w:h="16839"/>
          <w:pgMar w:top="1440" w:right="1800" w:bottom="1440" w:left="1800" w:header="720" w:footer="720" w:gutter="0"/>
          <w:cols w:space="720" w:num="1"/>
          <w:docGrid w:linePitch="286" w:charSpace="0"/>
        </w:sectPr>
      </w:pPr>
    </w:p>
    <w:p w14:paraId="0292283D">
      <w:pPr>
        <w:spacing w:line="480" w:lineRule="exact"/>
        <w:outlineLvl w:val="3"/>
        <w:rPr>
          <w:rFonts w:ascii="宋体" w:hAnsi="宋体" w:cs="宋体"/>
          <w:b/>
          <w:color w:val="auto"/>
          <w:sz w:val="28"/>
          <w:szCs w:val="28"/>
          <w:highlight w:val="none"/>
        </w:rPr>
      </w:pPr>
      <w:r>
        <w:rPr>
          <w:rFonts w:hint="eastAsia" w:ascii="宋体" w:hAnsi="宋体" w:cs="宋体"/>
          <w:b/>
          <w:color w:val="auto"/>
          <w:sz w:val="28"/>
          <w:szCs w:val="28"/>
          <w:highlight w:val="none"/>
        </w:rPr>
        <w:t>附件5</w:t>
      </w:r>
    </w:p>
    <w:p w14:paraId="7253915E">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2DC6A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8858A9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3AB1176B">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1A47162D">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195FE40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40ADF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1E684CD">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0E96CE0A">
            <w:pPr>
              <w:spacing w:line="480" w:lineRule="exact"/>
              <w:jc w:val="center"/>
              <w:rPr>
                <w:rFonts w:ascii="宋体" w:hAnsi="宋体" w:cs="宋体"/>
                <w:color w:val="auto"/>
                <w:sz w:val="28"/>
                <w:szCs w:val="28"/>
                <w:highlight w:val="none"/>
              </w:rPr>
            </w:pPr>
          </w:p>
        </w:tc>
        <w:tc>
          <w:tcPr>
            <w:tcW w:w="2999" w:type="dxa"/>
          </w:tcPr>
          <w:p w14:paraId="71DD8CF1">
            <w:pPr>
              <w:spacing w:line="480" w:lineRule="exact"/>
              <w:jc w:val="center"/>
              <w:rPr>
                <w:rFonts w:ascii="宋体" w:hAnsi="宋体" w:cs="宋体"/>
                <w:color w:val="auto"/>
                <w:sz w:val="28"/>
                <w:szCs w:val="28"/>
                <w:highlight w:val="none"/>
              </w:rPr>
            </w:pPr>
          </w:p>
        </w:tc>
        <w:tc>
          <w:tcPr>
            <w:tcW w:w="2320" w:type="dxa"/>
          </w:tcPr>
          <w:p w14:paraId="4F5BFB57">
            <w:pPr>
              <w:spacing w:line="480" w:lineRule="exact"/>
              <w:jc w:val="center"/>
              <w:rPr>
                <w:rFonts w:ascii="宋体" w:hAnsi="宋体" w:cs="宋体"/>
                <w:color w:val="auto"/>
                <w:sz w:val="28"/>
                <w:szCs w:val="28"/>
                <w:highlight w:val="none"/>
              </w:rPr>
            </w:pPr>
          </w:p>
        </w:tc>
      </w:tr>
      <w:tr w14:paraId="61010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4B1A9BB">
            <w:pPr>
              <w:spacing w:line="480" w:lineRule="exact"/>
              <w:jc w:val="center"/>
              <w:rPr>
                <w:rFonts w:ascii="宋体" w:hAnsi="宋体" w:cs="宋体"/>
                <w:color w:val="auto"/>
                <w:sz w:val="28"/>
                <w:szCs w:val="28"/>
                <w:highlight w:val="none"/>
              </w:rPr>
            </w:pPr>
          </w:p>
        </w:tc>
        <w:tc>
          <w:tcPr>
            <w:tcW w:w="3063" w:type="dxa"/>
          </w:tcPr>
          <w:p w14:paraId="70E356A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5161C836">
            <w:pPr>
              <w:spacing w:line="480" w:lineRule="exact"/>
              <w:jc w:val="center"/>
              <w:rPr>
                <w:rFonts w:ascii="宋体" w:hAnsi="宋体" w:cs="宋体"/>
                <w:color w:val="auto"/>
                <w:sz w:val="28"/>
                <w:szCs w:val="28"/>
                <w:highlight w:val="none"/>
              </w:rPr>
            </w:pPr>
          </w:p>
        </w:tc>
        <w:tc>
          <w:tcPr>
            <w:tcW w:w="2320" w:type="dxa"/>
          </w:tcPr>
          <w:p w14:paraId="72952964">
            <w:pPr>
              <w:spacing w:line="480" w:lineRule="exact"/>
              <w:jc w:val="center"/>
              <w:rPr>
                <w:rFonts w:ascii="宋体" w:hAnsi="宋体" w:cs="宋体"/>
                <w:color w:val="auto"/>
                <w:sz w:val="28"/>
                <w:szCs w:val="28"/>
                <w:highlight w:val="none"/>
              </w:rPr>
            </w:pPr>
          </w:p>
        </w:tc>
      </w:tr>
    </w:tbl>
    <w:p w14:paraId="39B99FCC">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附件5-1  证明材料1，证明材料2，……</w:t>
      </w:r>
    </w:p>
    <w:p w14:paraId="7A190DC7">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5AE20E47">
      <w:pPr>
        <w:spacing w:line="480" w:lineRule="exact"/>
        <w:outlineLvl w:val="2"/>
        <w:rPr>
          <w:rFonts w:ascii="宋体" w:hAnsi="宋体" w:cs="宋体"/>
          <w:color w:val="auto"/>
          <w:sz w:val="28"/>
          <w:szCs w:val="28"/>
          <w:highlight w:val="none"/>
        </w:rPr>
      </w:pPr>
      <w:bookmarkStart w:id="290" w:name="_Toc12886"/>
      <w:r>
        <w:rPr>
          <w:rFonts w:hint="eastAsia" w:ascii="宋体" w:hAnsi="宋体" w:cs="宋体"/>
          <w:color w:val="auto"/>
          <w:sz w:val="28"/>
          <w:szCs w:val="28"/>
          <w:highlight w:val="none"/>
        </w:rPr>
        <w:t>1.投标人需对商务要求逐条做出明确响应。</w:t>
      </w:r>
      <w:bookmarkEnd w:id="290"/>
    </w:p>
    <w:p w14:paraId="1FB977CA">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2.如果招标文件要求提供证明材料，投标人需将证明材料列于该表之下。</w:t>
      </w:r>
    </w:p>
    <w:p w14:paraId="6C941A09">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3.本项目商务按要求不接受负偏离，有负偏离的按无效标处理。</w:t>
      </w:r>
    </w:p>
    <w:p w14:paraId="200B0163">
      <w:pPr>
        <w:spacing w:line="480" w:lineRule="exact"/>
        <w:rPr>
          <w:rFonts w:ascii="宋体" w:hAnsi="宋体" w:cs="宋体"/>
          <w:b/>
          <w:color w:val="auto"/>
          <w:sz w:val="28"/>
          <w:szCs w:val="28"/>
          <w:highlight w:val="none"/>
        </w:rPr>
      </w:pPr>
    </w:p>
    <w:p w14:paraId="1342654F">
      <w:pPr>
        <w:snapToGrid w:val="0"/>
        <w:spacing w:line="300" w:lineRule="auto"/>
        <w:contextualSpacing/>
        <w:rPr>
          <w:rFonts w:ascii="宋体" w:hAnsi="宋体" w:cs="宋体"/>
          <w:color w:val="auto"/>
          <w:sz w:val="28"/>
          <w:szCs w:val="28"/>
          <w:highlight w:val="none"/>
        </w:rPr>
      </w:pPr>
    </w:p>
    <w:p w14:paraId="3504A7B0">
      <w:pPr>
        <w:pStyle w:val="35"/>
        <w:ind w:firstLine="240"/>
        <w:rPr>
          <w:rFonts w:ascii="宋体" w:hAnsi="宋体" w:cs="宋体"/>
          <w:color w:val="auto"/>
          <w:highlight w:val="none"/>
        </w:rPr>
      </w:pPr>
    </w:p>
    <w:p w14:paraId="75A573F2">
      <w:pPr>
        <w:tabs>
          <w:tab w:val="left" w:pos="1260"/>
        </w:tabs>
        <w:snapToGrid w:val="0"/>
        <w:spacing w:line="460" w:lineRule="exact"/>
        <w:ind w:firstLine="560" w:firstLineChars="200"/>
        <w:contextualSpacing/>
        <w:rPr>
          <w:rFonts w:ascii="宋体" w:hAnsi="宋体" w:cs="宋体"/>
          <w:bCs/>
          <w:color w:val="auto"/>
          <w:sz w:val="28"/>
          <w:szCs w:val="28"/>
          <w:highlight w:val="none"/>
        </w:rPr>
      </w:pPr>
      <w:r>
        <w:rPr>
          <w:rFonts w:hint="eastAsia" w:ascii="宋体" w:hAnsi="宋体" w:cs="宋体"/>
          <w:bCs/>
          <w:color w:val="auto"/>
          <w:sz w:val="28"/>
          <w:szCs w:val="28"/>
          <w:highlight w:val="none"/>
        </w:rPr>
        <w:br w:type="page"/>
      </w:r>
      <w:r>
        <w:rPr>
          <w:rFonts w:hint="eastAsia" w:ascii="宋体" w:hAnsi="宋体" w:cs="宋体"/>
          <w:bCs/>
          <w:color w:val="auto"/>
          <w:sz w:val="28"/>
          <w:szCs w:val="28"/>
          <w:highlight w:val="none"/>
        </w:rPr>
        <w:t>附件6</w:t>
      </w:r>
    </w:p>
    <w:p w14:paraId="1A67B70B">
      <w:pPr>
        <w:spacing w:before="240" w:line="46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投标人信用承诺书</w:t>
      </w:r>
    </w:p>
    <w:p w14:paraId="1C8B4528">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为营造公开、公平、公正的公共资源交易环境，树立诚信守法的投标人形象，本人代表本单位作出以下承诺：</w:t>
      </w:r>
    </w:p>
    <w:p w14:paraId="1D3559A0">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一、本单位对所提交的单位基本信息、单位负责人、项目负责人、技术负责人、从业资质和资格、业绩、财务状况、信誉等所有资料，均合法、真实、准确、有效，无任何伪造、修改、虚假成分；</w:t>
      </w:r>
    </w:p>
    <w:p w14:paraId="7127A839">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二、严格依照国家和省、市、县关于政府采购等方面的法律、法规、规章、规范性文件，参加公共资源交易招标投标活动；积极履行社会责任，促进廉政建设；</w:t>
      </w:r>
    </w:p>
    <w:p w14:paraId="3EDE01DC">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三、严格遵守即时信息公示规定，及时更新公共资源交易中心主体信息库中信息；</w:t>
      </w:r>
    </w:p>
    <w:p w14:paraId="75FA014B">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四、自我约束、自我管理，守合同、重信用，不参与围标串标、弄虚作假、骗取中标、干扰评标、违约毁约、恶意投诉等行为，主动维护公共资源交易招标投标的良好秩序；</w:t>
      </w:r>
    </w:p>
    <w:p w14:paraId="34FBA6A3">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004A8E11">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六、自觉接受政府部门、行业组织、社会公众、新闻舆论等监督；</w:t>
      </w:r>
    </w:p>
    <w:p w14:paraId="25C9A09E">
      <w:pPr>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七、上述承诺已向本单位员工作了宣传教育；</w:t>
      </w:r>
    </w:p>
    <w:p w14:paraId="1087C9F7">
      <w:pPr>
        <w:tabs>
          <w:tab w:val="left" w:pos="4860"/>
        </w:tabs>
        <w:spacing w:line="460" w:lineRule="exact"/>
        <w:ind w:right="1560"/>
        <w:jc w:val="left"/>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lang w:val="zh-CN"/>
        </w:rPr>
        <w:t>如有违反上述承诺的不良行为，本单位同意将其予以上网公示。</w:t>
      </w:r>
    </w:p>
    <w:p w14:paraId="3FB6201F">
      <w:pPr>
        <w:spacing w:line="460" w:lineRule="exact"/>
        <w:ind w:firstLine="3080" w:firstLineChars="1100"/>
        <w:rPr>
          <w:rFonts w:ascii="宋体" w:hAnsi="宋体" w:cs="宋体"/>
          <w:color w:val="auto"/>
          <w:sz w:val="28"/>
          <w:szCs w:val="28"/>
          <w:highlight w:val="none"/>
        </w:rPr>
      </w:pPr>
    </w:p>
    <w:p w14:paraId="7B0F22EA">
      <w:pPr>
        <w:spacing w:line="460" w:lineRule="exact"/>
        <w:ind w:firstLine="3080" w:firstLineChars="1100"/>
        <w:rPr>
          <w:rFonts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rPr>
        <w:t>投标</w:t>
      </w:r>
      <w:r>
        <w:rPr>
          <w:rFonts w:hint="eastAsia" w:ascii="宋体" w:hAnsi="宋体" w:cs="宋体"/>
          <w:color w:val="auto"/>
          <w:kern w:val="0"/>
          <w:sz w:val="28"/>
          <w:szCs w:val="28"/>
          <w:highlight w:val="none"/>
        </w:rPr>
        <w:t>人</w:t>
      </w:r>
      <w:r>
        <w:rPr>
          <w:rFonts w:hint="eastAsia" w:ascii="宋体" w:hAnsi="宋体" w:cs="宋体"/>
          <w:color w:val="auto"/>
          <w:kern w:val="0"/>
          <w:sz w:val="28"/>
          <w:szCs w:val="28"/>
          <w:highlight w:val="none"/>
          <w:lang w:val="zh-CN"/>
        </w:rPr>
        <w:t>全称(</w:t>
      </w:r>
      <w:r>
        <w:rPr>
          <w:rFonts w:hint="eastAsia" w:ascii="宋体" w:hAnsi="宋体" w:cs="宋体"/>
          <w:color w:val="auto"/>
          <w:sz w:val="28"/>
          <w:szCs w:val="28"/>
          <w:highlight w:val="none"/>
        </w:rPr>
        <w:t>加盖CA电子签章</w:t>
      </w:r>
      <w:r>
        <w:rPr>
          <w:rFonts w:hint="eastAsia" w:ascii="宋体" w:hAnsi="宋体" w:cs="宋体"/>
          <w:color w:val="auto"/>
          <w:kern w:val="0"/>
          <w:sz w:val="28"/>
          <w:szCs w:val="28"/>
          <w:highlight w:val="none"/>
          <w:lang w:val="zh-CN"/>
        </w:rPr>
        <w:t>)：</w:t>
      </w:r>
    </w:p>
    <w:p w14:paraId="69A93CD7">
      <w:pPr>
        <w:spacing w:line="460" w:lineRule="exact"/>
        <w:ind w:firstLine="3080" w:firstLineChars="1100"/>
        <w:rPr>
          <w:rFonts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rPr>
        <w:t>法定代表人（签字或</w:t>
      </w:r>
      <w:r>
        <w:rPr>
          <w:rFonts w:hint="eastAsia" w:ascii="宋体" w:hAnsi="宋体" w:cs="宋体"/>
          <w:color w:val="auto"/>
          <w:sz w:val="28"/>
          <w:szCs w:val="28"/>
          <w:highlight w:val="none"/>
        </w:rPr>
        <w:t>加盖CA电子签章）</w:t>
      </w:r>
      <w:r>
        <w:rPr>
          <w:rFonts w:hint="eastAsia" w:ascii="宋体" w:hAnsi="宋体" w:cs="宋体"/>
          <w:color w:val="auto"/>
          <w:kern w:val="0"/>
          <w:sz w:val="28"/>
          <w:szCs w:val="28"/>
          <w:highlight w:val="none"/>
          <w:lang w:val="zh-CN"/>
        </w:rPr>
        <w:t>：</w:t>
      </w:r>
    </w:p>
    <w:p w14:paraId="2BD012A2">
      <w:pPr>
        <w:spacing w:line="460" w:lineRule="exact"/>
        <w:ind w:firstLine="3080" w:firstLineChars="11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时间：  年  月   日</w:t>
      </w:r>
    </w:p>
    <w:p w14:paraId="23A5A5F8">
      <w:pPr>
        <w:snapToGrid w:val="0"/>
        <w:spacing w:line="460" w:lineRule="exact"/>
        <w:rPr>
          <w:rFonts w:ascii="宋体" w:hAnsi="宋体" w:cs="宋体"/>
          <w:color w:val="auto"/>
          <w:sz w:val="28"/>
          <w:szCs w:val="28"/>
          <w:highlight w:val="none"/>
        </w:rPr>
        <w:sectPr>
          <w:pgSz w:w="11907" w:h="16839"/>
          <w:pgMar w:top="1440" w:right="1800" w:bottom="1440" w:left="1800" w:header="720" w:footer="720" w:gutter="0"/>
          <w:cols w:space="720" w:num="1"/>
          <w:docGrid w:linePitch="286" w:charSpace="0"/>
        </w:sectPr>
      </w:pPr>
    </w:p>
    <w:p w14:paraId="5BF80A69">
      <w:pPr>
        <w:snapToGrid w:val="0"/>
        <w:spacing w:line="400" w:lineRule="exact"/>
        <w:ind w:firstLine="640" w:firstLineChars="200"/>
        <w:contextualSpacing/>
        <w:outlineLvl w:val="3"/>
        <w:rPr>
          <w:rFonts w:ascii="宋体" w:hAnsi="宋体" w:cs="宋体"/>
          <w:color w:val="auto"/>
          <w:kern w:val="0"/>
          <w:sz w:val="32"/>
          <w:szCs w:val="32"/>
          <w:highlight w:val="none"/>
        </w:rPr>
      </w:pPr>
      <w:r>
        <w:rPr>
          <w:rFonts w:hint="eastAsia" w:ascii="宋体" w:hAnsi="宋体" w:cs="宋体"/>
          <w:color w:val="auto"/>
          <w:kern w:val="0"/>
          <w:sz w:val="32"/>
          <w:szCs w:val="32"/>
          <w:highlight w:val="none"/>
          <w:lang w:val="zh-CN"/>
        </w:rPr>
        <w:t>附件</w:t>
      </w:r>
      <w:r>
        <w:rPr>
          <w:rFonts w:hint="eastAsia" w:ascii="宋体" w:hAnsi="宋体" w:cs="宋体"/>
          <w:color w:val="auto"/>
          <w:kern w:val="0"/>
          <w:sz w:val="32"/>
          <w:szCs w:val="32"/>
          <w:highlight w:val="none"/>
        </w:rPr>
        <w:t>7</w:t>
      </w:r>
    </w:p>
    <w:p w14:paraId="7FF22BC4">
      <w:pPr>
        <w:rPr>
          <w:rFonts w:ascii="宋体" w:hAnsi="宋体" w:cs="宋体"/>
          <w:b/>
          <w:color w:val="auto"/>
          <w:sz w:val="28"/>
          <w:szCs w:val="28"/>
          <w:highlight w:val="none"/>
        </w:rPr>
      </w:pPr>
    </w:p>
    <w:p w14:paraId="15827F0A">
      <w:pPr>
        <w:spacing w:line="40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投标人符合《中华人民共和国政府采购法》第二十二条规定条件的声明函</w:t>
      </w:r>
    </w:p>
    <w:p w14:paraId="2F96788D">
      <w:pPr>
        <w:spacing w:line="400" w:lineRule="exact"/>
        <w:rPr>
          <w:rFonts w:ascii="宋体" w:hAnsi="宋体" w:cs="宋体"/>
          <w:b/>
          <w:bCs/>
          <w:color w:val="auto"/>
          <w:sz w:val="28"/>
          <w:szCs w:val="28"/>
          <w:highlight w:val="none"/>
        </w:rPr>
      </w:pPr>
    </w:p>
    <w:p w14:paraId="4A4EEB03">
      <w:pPr>
        <w:spacing w:line="400" w:lineRule="exact"/>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（项目编号）投标活动。针对《中华人民共和国政府采购法》第二十二条规定做出如下声明：</w:t>
      </w:r>
    </w:p>
    <w:p w14:paraId="28BF84F7">
      <w:pPr>
        <w:spacing w:line="40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2A7FB430">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60DA3376">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2CDE17EA">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58C7401A">
      <w:pPr>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901BAD9">
      <w:pPr>
        <w:spacing w:line="400" w:lineRule="exact"/>
        <w:ind w:firstLine="560" w:firstLineChars="200"/>
        <w:outlineLvl w:val="2"/>
        <w:rPr>
          <w:rFonts w:ascii="宋体" w:hAnsi="宋体" w:cs="宋体"/>
          <w:color w:val="auto"/>
          <w:sz w:val="28"/>
          <w:szCs w:val="28"/>
          <w:highlight w:val="none"/>
        </w:rPr>
      </w:pPr>
      <w:bookmarkStart w:id="291" w:name="_Toc9266"/>
      <w:r>
        <w:rPr>
          <w:rFonts w:hint="eastAsia" w:ascii="宋体" w:hAnsi="宋体" w:cs="宋体"/>
          <w:color w:val="auto"/>
          <w:sz w:val="28"/>
          <w:szCs w:val="28"/>
          <w:highlight w:val="none"/>
        </w:rPr>
        <w:t>6.我单位满足法律、行政法规规定的其他条件。</w:t>
      </w:r>
      <w:bookmarkEnd w:id="291"/>
    </w:p>
    <w:p w14:paraId="5CB6C31E">
      <w:pPr>
        <w:spacing w:line="400" w:lineRule="exact"/>
        <w:ind w:firstLine="560" w:firstLineChars="200"/>
        <w:rPr>
          <w:rFonts w:ascii="宋体" w:hAnsi="宋体" w:cs="宋体"/>
          <w:color w:val="auto"/>
          <w:sz w:val="28"/>
          <w:szCs w:val="28"/>
          <w:highlight w:val="none"/>
        </w:rPr>
      </w:pPr>
    </w:p>
    <w:p w14:paraId="762FAF52">
      <w:pPr>
        <w:spacing w:line="400" w:lineRule="exact"/>
        <w:ind w:firstLine="560" w:firstLineChars="200"/>
        <w:rPr>
          <w:rFonts w:ascii="宋体" w:hAnsi="宋体" w:cs="宋体"/>
          <w:color w:val="auto"/>
          <w:sz w:val="28"/>
          <w:szCs w:val="28"/>
          <w:highlight w:val="none"/>
        </w:rPr>
      </w:pPr>
    </w:p>
    <w:p w14:paraId="6388A95D">
      <w:pPr>
        <w:spacing w:line="400" w:lineRule="exact"/>
        <w:ind w:firstLine="560" w:firstLineChars="200"/>
        <w:rPr>
          <w:rFonts w:ascii="宋体" w:hAnsi="宋体" w:cs="宋体"/>
          <w:bCs/>
          <w:color w:val="auto"/>
          <w:sz w:val="28"/>
          <w:szCs w:val="28"/>
          <w:highlight w:val="none"/>
        </w:rPr>
      </w:pPr>
    </w:p>
    <w:p w14:paraId="1AE6CFE5">
      <w:pPr>
        <w:spacing w:line="400" w:lineRule="exact"/>
        <w:ind w:firstLine="560" w:firstLineChars="200"/>
        <w:rPr>
          <w:rFonts w:ascii="宋体" w:hAnsi="宋体" w:cs="宋体"/>
          <w:bCs/>
          <w:color w:val="auto"/>
          <w:sz w:val="28"/>
          <w:szCs w:val="28"/>
          <w:highlight w:val="none"/>
        </w:rPr>
      </w:pPr>
    </w:p>
    <w:p w14:paraId="3D9FABC6">
      <w:pPr>
        <w:spacing w:line="400" w:lineRule="exact"/>
        <w:ind w:firstLine="560" w:firstLineChars="200"/>
        <w:rPr>
          <w:rFonts w:ascii="宋体" w:hAnsi="宋体" w:cs="宋体"/>
          <w:bCs/>
          <w:color w:val="auto"/>
          <w:sz w:val="28"/>
          <w:szCs w:val="28"/>
          <w:highlight w:val="none"/>
        </w:rPr>
      </w:pPr>
    </w:p>
    <w:p w14:paraId="3B96B308">
      <w:pPr>
        <w:spacing w:line="400" w:lineRule="exact"/>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加盖CA电子签章</w:t>
      </w:r>
      <w:r>
        <w:rPr>
          <w:rFonts w:hint="eastAsia" w:ascii="宋体" w:hAnsi="宋体" w:cs="宋体"/>
          <w:bCs/>
          <w:color w:val="auto"/>
          <w:sz w:val="28"/>
          <w:szCs w:val="28"/>
          <w:highlight w:val="none"/>
        </w:rPr>
        <w:t>）：</w:t>
      </w:r>
    </w:p>
    <w:p w14:paraId="0588D2D7">
      <w:pPr>
        <w:spacing w:line="400" w:lineRule="exact"/>
        <w:ind w:firstLine="560" w:firstLineChars="200"/>
        <w:jc w:val="right"/>
        <w:rPr>
          <w:rFonts w:ascii="宋体" w:hAnsi="宋体" w:cs="宋体"/>
          <w:bCs/>
          <w:color w:val="auto"/>
          <w:sz w:val="28"/>
          <w:szCs w:val="28"/>
          <w:highlight w:val="none"/>
        </w:rPr>
      </w:pPr>
    </w:p>
    <w:p w14:paraId="4B56AC2C">
      <w:pPr>
        <w:spacing w:line="400" w:lineRule="exact"/>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年月日</w:t>
      </w:r>
    </w:p>
    <w:p w14:paraId="6193404E">
      <w:pPr>
        <w:snapToGrid w:val="0"/>
        <w:spacing w:line="400" w:lineRule="exact"/>
        <w:ind w:firstLine="540" w:firstLineChars="192"/>
        <w:contextualSpacing/>
        <w:rPr>
          <w:rFonts w:ascii="宋体" w:hAnsi="宋体" w:cs="宋体"/>
          <w:b/>
          <w:color w:val="auto"/>
          <w:kern w:val="0"/>
          <w:sz w:val="28"/>
          <w:szCs w:val="28"/>
          <w:highlight w:val="none"/>
        </w:rPr>
      </w:pPr>
    </w:p>
    <w:p w14:paraId="41D83530">
      <w:pPr>
        <w:snapToGrid w:val="0"/>
        <w:spacing w:line="400" w:lineRule="exact"/>
        <w:ind w:firstLine="540" w:firstLineChars="192"/>
        <w:contextualSpacing/>
        <w:rPr>
          <w:rFonts w:ascii="宋体" w:hAnsi="宋体" w:cs="宋体"/>
          <w:b/>
          <w:color w:val="auto"/>
          <w:kern w:val="0"/>
          <w:sz w:val="28"/>
          <w:szCs w:val="28"/>
          <w:highlight w:val="none"/>
          <w:lang w:val="zh-CN"/>
        </w:rPr>
      </w:pPr>
    </w:p>
    <w:p w14:paraId="4564403E">
      <w:pPr>
        <w:snapToGrid w:val="0"/>
        <w:spacing w:line="400" w:lineRule="exact"/>
        <w:ind w:firstLine="540" w:firstLineChars="192"/>
        <w:contextualSpacing/>
        <w:rPr>
          <w:rFonts w:ascii="宋体" w:hAnsi="宋体" w:cs="宋体"/>
          <w:b/>
          <w:color w:val="auto"/>
          <w:kern w:val="0"/>
          <w:sz w:val="28"/>
          <w:szCs w:val="28"/>
          <w:highlight w:val="none"/>
          <w:lang w:val="zh-CN"/>
        </w:rPr>
      </w:pPr>
    </w:p>
    <w:p w14:paraId="60965C1A">
      <w:pPr>
        <w:snapToGrid w:val="0"/>
        <w:spacing w:line="400" w:lineRule="exact"/>
        <w:contextualSpacing/>
        <w:rPr>
          <w:rFonts w:ascii="宋体" w:hAnsi="宋体" w:cs="宋体"/>
          <w:color w:val="auto"/>
          <w:kern w:val="0"/>
          <w:sz w:val="32"/>
          <w:szCs w:val="32"/>
          <w:highlight w:val="none"/>
          <w:lang w:val="zh-CN"/>
        </w:rPr>
      </w:pPr>
    </w:p>
    <w:p w14:paraId="2010B94F">
      <w:pPr>
        <w:snapToGrid w:val="0"/>
        <w:spacing w:line="460" w:lineRule="exact"/>
        <w:contextualSpacing/>
        <w:outlineLvl w:val="3"/>
        <w:rPr>
          <w:rFonts w:ascii="宋体" w:hAnsi="宋体" w:cs="宋体"/>
          <w:color w:val="auto"/>
          <w:kern w:val="0"/>
          <w:sz w:val="28"/>
          <w:szCs w:val="28"/>
          <w:highlight w:val="none"/>
          <w:lang w:val="zh-CN"/>
        </w:rPr>
      </w:pPr>
    </w:p>
    <w:p w14:paraId="38B44012">
      <w:pPr>
        <w:snapToGrid w:val="0"/>
        <w:spacing w:line="460" w:lineRule="exact"/>
        <w:contextualSpacing/>
        <w:outlineLvl w:val="3"/>
        <w:rPr>
          <w:rFonts w:ascii="宋体" w:hAnsi="宋体" w:cs="宋体"/>
          <w:color w:val="auto"/>
          <w:kern w:val="0"/>
          <w:sz w:val="28"/>
          <w:szCs w:val="28"/>
          <w:highlight w:val="none"/>
          <w:lang w:val="zh-CN"/>
        </w:rPr>
      </w:pPr>
    </w:p>
    <w:p w14:paraId="4C6A28E2">
      <w:pPr>
        <w:snapToGrid w:val="0"/>
        <w:spacing w:line="460" w:lineRule="exact"/>
        <w:contextualSpacing/>
        <w:outlineLvl w:val="3"/>
        <w:rPr>
          <w:rFonts w:ascii="宋体" w:hAnsi="宋体" w:cs="宋体"/>
          <w:b/>
          <w:bCs/>
          <w:color w:val="auto"/>
          <w:sz w:val="28"/>
          <w:szCs w:val="28"/>
          <w:highlight w:val="none"/>
        </w:rPr>
      </w:pPr>
      <w:r>
        <w:rPr>
          <w:rFonts w:hint="eastAsia" w:ascii="宋体" w:hAnsi="宋体" w:cs="宋体"/>
          <w:color w:val="auto"/>
          <w:kern w:val="0"/>
          <w:sz w:val="28"/>
          <w:szCs w:val="28"/>
          <w:highlight w:val="none"/>
          <w:lang w:val="zh-CN"/>
        </w:rPr>
        <w:t>附件</w:t>
      </w:r>
      <w:r>
        <w:rPr>
          <w:rFonts w:hint="eastAsia" w:ascii="宋体" w:hAnsi="宋体" w:cs="宋体"/>
          <w:color w:val="auto"/>
          <w:kern w:val="0"/>
          <w:sz w:val="28"/>
          <w:szCs w:val="28"/>
          <w:highlight w:val="none"/>
        </w:rPr>
        <w:t>8</w:t>
      </w:r>
    </w:p>
    <w:p w14:paraId="70129A2E">
      <w:pPr>
        <w:spacing w:line="460" w:lineRule="exact"/>
        <w:jc w:val="center"/>
        <w:rPr>
          <w:rFonts w:ascii="宋体" w:hAnsi="宋体" w:cs="宋体"/>
          <w:b/>
          <w:bCs/>
          <w:color w:val="auto"/>
          <w:sz w:val="28"/>
          <w:szCs w:val="28"/>
          <w:highlight w:val="none"/>
        </w:rPr>
      </w:pPr>
    </w:p>
    <w:p w14:paraId="6CCB1483">
      <w:pPr>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2A8EACFD">
      <w:pPr>
        <w:spacing w:line="460" w:lineRule="exact"/>
        <w:rPr>
          <w:rFonts w:ascii="宋体" w:hAnsi="宋体" w:cs="宋体"/>
          <w:color w:val="auto"/>
          <w:sz w:val="28"/>
          <w:szCs w:val="28"/>
          <w:highlight w:val="none"/>
        </w:rPr>
      </w:pPr>
    </w:p>
    <w:p w14:paraId="5C29FF6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      先生/女士： 现任我单位职务，为法定代表人，特此证明。</w:t>
      </w:r>
    </w:p>
    <w:p w14:paraId="518B5C70">
      <w:pPr>
        <w:spacing w:line="460" w:lineRule="exact"/>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D220A6B">
      <w:pPr>
        <w:spacing w:line="460" w:lineRule="exact"/>
        <w:ind w:firstLine="480"/>
        <w:rPr>
          <w:rFonts w:ascii="宋体" w:hAnsi="宋体" w:cs="宋体"/>
          <w:color w:val="auto"/>
          <w:sz w:val="28"/>
          <w:szCs w:val="28"/>
          <w:highlight w:val="none"/>
        </w:rPr>
      </w:pPr>
    </w:p>
    <w:p w14:paraId="3E0D844D">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注：提供法定代表人的身份证复印件</w:t>
      </w:r>
    </w:p>
    <w:p w14:paraId="56D59E7E">
      <w:pPr>
        <w:spacing w:line="460" w:lineRule="exact"/>
        <w:ind w:firstLine="560" w:firstLineChars="200"/>
        <w:rPr>
          <w:rFonts w:ascii="宋体" w:hAnsi="宋体" w:cs="宋体"/>
          <w:color w:val="auto"/>
          <w:sz w:val="28"/>
          <w:szCs w:val="28"/>
          <w:highlight w:val="none"/>
        </w:rPr>
      </w:pPr>
    </w:p>
    <w:p w14:paraId="03D27AAD">
      <w:pPr>
        <w:rPr>
          <w:rFonts w:ascii="宋体" w:hAnsi="宋体" w:cs="宋体"/>
          <w:color w:val="auto"/>
          <w:highlight w:val="none"/>
        </w:rPr>
      </w:pPr>
    </w:p>
    <w:p w14:paraId="3B2FA400">
      <w:pPr>
        <w:snapToGrid w:val="0"/>
        <w:spacing w:line="400" w:lineRule="exact"/>
        <w:ind w:firstLine="540" w:firstLineChars="192"/>
        <w:contextualSpacing/>
        <w:rPr>
          <w:rFonts w:ascii="宋体" w:hAnsi="宋体" w:cs="宋体"/>
          <w:b/>
          <w:color w:val="auto"/>
          <w:kern w:val="0"/>
          <w:sz w:val="28"/>
          <w:szCs w:val="28"/>
          <w:highlight w:val="none"/>
        </w:rPr>
      </w:pPr>
    </w:p>
    <w:p w14:paraId="1BCAE435">
      <w:pPr>
        <w:snapToGrid w:val="0"/>
        <w:spacing w:line="400" w:lineRule="exact"/>
        <w:ind w:firstLine="540" w:firstLineChars="192"/>
        <w:contextualSpacing/>
        <w:rPr>
          <w:rFonts w:ascii="宋体" w:hAnsi="宋体" w:cs="宋体"/>
          <w:b/>
          <w:color w:val="auto"/>
          <w:kern w:val="0"/>
          <w:sz w:val="28"/>
          <w:szCs w:val="28"/>
          <w:highlight w:val="none"/>
          <w:lang w:val="zh-CN"/>
        </w:rPr>
      </w:pPr>
    </w:p>
    <w:p w14:paraId="1A6FCFC4">
      <w:pPr>
        <w:snapToGrid w:val="0"/>
        <w:spacing w:line="400" w:lineRule="exact"/>
        <w:ind w:firstLine="540" w:firstLineChars="192"/>
        <w:contextualSpacing/>
        <w:rPr>
          <w:rFonts w:ascii="宋体" w:hAnsi="宋体" w:cs="宋体"/>
          <w:b/>
          <w:color w:val="auto"/>
          <w:kern w:val="0"/>
          <w:sz w:val="28"/>
          <w:szCs w:val="28"/>
          <w:highlight w:val="none"/>
          <w:lang w:val="zh-CN"/>
        </w:rPr>
      </w:pPr>
    </w:p>
    <w:p w14:paraId="7FE7C37F">
      <w:pPr>
        <w:snapToGrid w:val="0"/>
        <w:spacing w:line="400" w:lineRule="exact"/>
        <w:ind w:firstLine="540" w:firstLineChars="192"/>
        <w:contextualSpacing/>
        <w:rPr>
          <w:rFonts w:ascii="宋体" w:hAnsi="宋体" w:cs="宋体"/>
          <w:b/>
          <w:color w:val="auto"/>
          <w:kern w:val="0"/>
          <w:sz w:val="28"/>
          <w:szCs w:val="28"/>
          <w:highlight w:val="none"/>
          <w:lang w:val="zh-CN"/>
        </w:rPr>
      </w:pPr>
    </w:p>
    <w:p w14:paraId="3DE66988">
      <w:pPr>
        <w:snapToGrid w:val="0"/>
        <w:spacing w:line="400" w:lineRule="exact"/>
        <w:ind w:firstLine="540" w:firstLineChars="192"/>
        <w:contextualSpacing/>
        <w:rPr>
          <w:rFonts w:ascii="宋体" w:hAnsi="宋体" w:cs="宋体"/>
          <w:b/>
          <w:color w:val="auto"/>
          <w:kern w:val="0"/>
          <w:sz w:val="28"/>
          <w:szCs w:val="28"/>
          <w:highlight w:val="none"/>
          <w:lang w:val="zh-CN"/>
        </w:rPr>
      </w:pPr>
    </w:p>
    <w:p w14:paraId="49B5318F">
      <w:pPr>
        <w:snapToGrid w:val="0"/>
        <w:spacing w:line="400" w:lineRule="exact"/>
        <w:ind w:firstLine="540" w:firstLineChars="192"/>
        <w:contextualSpacing/>
        <w:rPr>
          <w:rFonts w:ascii="宋体" w:hAnsi="宋体" w:cs="宋体"/>
          <w:b/>
          <w:color w:val="auto"/>
          <w:kern w:val="0"/>
          <w:sz w:val="28"/>
          <w:szCs w:val="28"/>
          <w:highlight w:val="none"/>
          <w:lang w:val="zh-CN"/>
        </w:rPr>
      </w:pPr>
    </w:p>
    <w:p w14:paraId="04BB850F">
      <w:pPr>
        <w:snapToGrid w:val="0"/>
        <w:spacing w:line="400" w:lineRule="exact"/>
        <w:ind w:firstLine="540" w:firstLineChars="192"/>
        <w:contextualSpacing/>
        <w:rPr>
          <w:rFonts w:ascii="宋体" w:hAnsi="宋体" w:cs="宋体"/>
          <w:b/>
          <w:color w:val="auto"/>
          <w:kern w:val="0"/>
          <w:sz w:val="28"/>
          <w:szCs w:val="28"/>
          <w:highlight w:val="none"/>
          <w:lang w:val="zh-CN"/>
        </w:rPr>
      </w:pPr>
    </w:p>
    <w:p w14:paraId="61BD8DC4">
      <w:pPr>
        <w:snapToGrid w:val="0"/>
        <w:spacing w:line="400" w:lineRule="exact"/>
        <w:ind w:firstLine="540" w:firstLineChars="192"/>
        <w:contextualSpacing/>
        <w:rPr>
          <w:rFonts w:ascii="宋体" w:hAnsi="宋体" w:cs="宋体"/>
          <w:b/>
          <w:color w:val="auto"/>
          <w:kern w:val="0"/>
          <w:sz w:val="28"/>
          <w:szCs w:val="28"/>
          <w:highlight w:val="none"/>
          <w:lang w:val="zh-CN"/>
        </w:rPr>
      </w:pPr>
    </w:p>
    <w:p w14:paraId="05DF218C">
      <w:pPr>
        <w:snapToGrid w:val="0"/>
        <w:spacing w:line="400" w:lineRule="exact"/>
        <w:ind w:firstLine="540" w:firstLineChars="192"/>
        <w:contextualSpacing/>
        <w:rPr>
          <w:rFonts w:ascii="宋体" w:hAnsi="宋体" w:cs="宋体"/>
          <w:b/>
          <w:color w:val="auto"/>
          <w:kern w:val="0"/>
          <w:sz w:val="28"/>
          <w:szCs w:val="28"/>
          <w:highlight w:val="none"/>
          <w:lang w:val="zh-CN"/>
        </w:rPr>
      </w:pPr>
    </w:p>
    <w:p w14:paraId="142C9145">
      <w:pPr>
        <w:snapToGrid w:val="0"/>
        <w:spacing w:line="400" w:lineRule="exact"/>
        <w:ind w:firstLine="540" w:firstLineChars="192"/>
        <w:contextualSpacing/>
        <w:rPr>
          <w:rFonts w:ascii="宋体" w:hAnsi="宋体" w:cs="宋体"/>
          <w:b/>
          <w:color w:val="auto"/>
          <w:kern w:val="0"/>
          <w:sz w:val="28"/>
          <w:szCs w:val="28"/>
          <w:highlight w:val="none"/>
          <w:lang w:val="zh-CN"/>
        </w:rPr>
      </w:pPr>
    </w:p>
    <w:p w14:paraId="4CEFCA06">
      <w:pPr>
        <w:snapToGrid w:val="0"/>
        <w:spacing w:line="400" w:lineRule="exact"/>
        <w:ind w:firstLine="540" w:firstLineChars="192"/>
        <w:contextualSpacing/>
        <w:rPr>
          <w:rFonts w:ascii="宋体" w:hAnsi="宋体" w:cs="宋体"/>
          <w:b/>
          <w:color w:val="auto"/>
          <w:kern w:val="0"/>
          <w:sz w:val="28"/>
          <w:szCs w:val="28"/>
          <w:highlight w:val="none"/>
          <w:lang w:val="zh-CN"/>
        </w:rPr>
      </w:pPr>
    </w:p>
    <w:p w14:paraId="46CCC5AF">
      <w:pPr>
        <w:snapToGrid w:val="0"/>
        <w:spacing w:line="400" w:lineRule="exact"/>
        <w:ind w:firstLine="540" w:firstLineChars="192"/>
        <w:contextualSpacing/>
        <w:rPr>
          <w:rFonts w:ascii="宋体" w:hAnsi="宋体" w:cs="宋体"/>
          <w:b/>
          <w:color w:val="auto"/>
          <w:kern w:val="0"/>
          <w:sz w:val="28"/>
          <w:szCs w:val="28"/>
          <w:highlight w:val="none"/>
          <w:lang w:val="zh-CN"/>
        </w:rPr>
      </w:pPr>
    </w:p>
    <w:p w14:paraId="52E22701">
      <w:pPr>
        <w:snapToGrid w:val="0"/>
        <w:spacing w:line="400" w:lineRule="exact"/>
        <w:ind w:firstLine="540" w:firstLineChars="192"/>
        <w:contextualSpacing/>
        <w:rPr>
          <w:rFonts w:ascii="宋体" w:hAnsi="宋体" w:cs="宋体"/>
          <w:b/>
          <w:color w:val="auto"/>
          <w:kern w:val="0"/>
          <w:sz w:val="28"/>
          <w:szCs w:val="28"/>
          <w:highlight w:val="none"/>
          <w:lang w:val="zh-CN"/>
        </w:rPr>
      </w:pPr>
    </w:p>
    <w:p w14:paraId="012F1363">
      <w:pPr>
        <w:snapToGrid w:val="0"/>
        <w:spacing w:line="400" w:lineRule="exact"/>
        <w:ind w:firstLine="540" w:firstLineChars="192"/>
        <w:contextualSpacing/>
        <w:rPr>
          <w:rFonts w:ascii="宋体" w:hAnsi="宋体" w:cs="宋体"/>
          <w:b/>
          <w:color w:val="auto"/>
          <w:kern w:val="0"/>
          <w:sz w:val="28"/>
          <w:szCs w:val="28"/>
          <w:highlight w:val="none"/>
          <w:lang w:val="zh-CN"/>
        </w:rPr>
      </w:pPr>
    </w:p>
    <w:p w14:paraId="62362DD9">
      <w:pPr>
        <w:snapToGrid w:val="0"/>
        <w:spacing w:line="400" w:lineRule="exact"/>
        <w:ind w:firstLine="540" w:firstLineChars="192"/>
        <w:contextualSpacing/>
        <w:rPr>
          <w:rFonts w:ascii="宋体" w:hAnsi="宋体" w:cs="宋体"/>
          <w:b/>
          <w:color w:val="auto"/>
          <w:kern w:val="0"/>
          <w:sz w:val="28"/>
          <w:szCs w:val="28"/>
          <w:highlight w:val="none"/>
          <w:lang w:val="zh-CN"/>
        </w:rPr>
      </w:pPr>
    </w:p>
    <w:p w14:paraId="1BA533F1">
      <w:pPr>
        <w:snapToGrid w:val="0"/>
        <w:spacing w:line="400" w:lineRule="exact"/>
        <w:ind w:firstLine="540" w:firstLineChars="192"/>
        <w:contextualSpacing/>
        <w:rPr>
          <w:rFonts w:ascii="宋体" w:hAnsi="宋体" w:cs="宋体"/>
          <w:b/>
          <w:color w:val="auto"/>
          <w:kern w:val="0"/>
          <w:sz w:val="28"/>
          <w:szCs w:val="28"/>
          <w:highlight w:val="none"/>
          <w:lang w:val="zh-CN"/>
        </w:rPr>
      </w:pPr>
    </w:p>
    <w:p w14:paraId="2BEDD354">
      <w:pPr>
        <w:snapToGrid w:val="0"/>
        <w:spacing w:line="400" w:lineRule="exact"/>
        <w:ind w:firstLine="540" w:firstLineChars="192"/>
        <w:contextualSpacing/>
        <w:rPr>
          <w:rFonts w:ascii="宋体" w:hAnsi="宋体" w:cs="宋体"/>
          <w:b/>
          <w:color w:val="auto"/>
          <w:kern w:val="0"/>
          <w:sz w:val="28"/>
          <w:szCs w:val="28"/>
          <w:highlight w:val="none"/>
          <w:lang w:val="zh-CN"/>
        </w:rPr>
      </w:pPr>
    </w:p>
    <w:p w14:paraId="3A2FAF2C">
      <w:pPr>
        <w:snapToGrid w:val="0"/>
        <w:spacing w:line="400" w:lineRule="exact"/>
        <w:ind w:firstLine="540" w:firstLineChars="192"/>
        <w:contextualSpacing/>
        <w:rPr>
          <w:rFonts w:ascii="宋体" w:hAnsi="宋体" w:cs="宋体"/>
          <w:b/>
          <w:color w:val="auto"/>
          <w:kern w:val="0"/>
          <w:sz w:val="28"/>
          <w:szCs w:val="28"/>
          <w:highlight w:val="none"/>
          <w:lang w:val="zh-CN"/>
        </w:rPr>
      </w:pPr>
    </w:p>
    <w:p w14:paraId="67D2AE1B">
      <w:pPr>
        <w:snapToGrid w:val="0"/>
        <w:spacing w:line="400" w:lineRule="exact"/>
        <w:ind w:firstLine="540" w:firstLineChars="192"/>
        <w:contextualSpacing/>
        <w:rPr>
          <w:rFonts w:ascii="宋体" w:hAnsi="宋体" w:cs="宋体"/>
          <w:b/>
          <w:color w:val="auto"/>
          <w:kern w:val="0"/>
          <w:sz w:val="28"/>
          <w:szCs w:val="28"/>
          <w:highlight w:val="none"/>
          <w:lang w:val="zh-CN"/>
        </w:rPr>
      </w:pPr>
    </w:p>
    <w:p w14:paraId="18BC68D8">
      <w:pPr>
        <w:snapToGrid w:val="0"/>
        <w:spacing w:line="400" w:lineRule="exact"/>
        <w:ind w:firstLine="540" w:firstLineChars="192"/>
        <w:contextualSpacing/>
        <w:rPr>
          <w:rFonts w:ascii="宋体" w:hAnsi="宋体" w:cs="宋体"/>
          <w:b/>
          <w:color w:val="auto"/>
          <w:kern w:val="0"/>
          <w:sz w:val="28"/>
          <w:szCs w:val="28"/>
          <w:highlight w:val="none"/>
          <w:lang w:val="zh-CN"/>
        </w:rPr>
      </w:pPr>
    </w:p>
    <w:p w14:paraId="68FB4D3C">
      <w:pPr>
        <w:snapToGrid w:val="0"/>
        <w:spacing w:line="400" w:lineRule="exact"/>
        <w:contextualSpacing/>
        <w:rPr>
          <w:rFonts w:ascii="宋体" w:hAnsi="宋体" w:cs="宋体"/>
          <w:color w:val="auto"/>
          <w:kern w:val="0"/>
          <w:sz w:val="32"/>
          <w:szCs w:val="32"/>
          <w:highlight w:val="none"/>
          <w:lang w:val="zh-CN"/>
        </w:rPr>
      </w:pPr>
    </w:p>
    <w:p w14:paraId="59BCF301">
      <w:pPr>
        <w:snapToGrid w:val="0"/>
        <w:spacing w:line="400" w:lineRule="exact"/>
        <w:contextualSpacing/>
        <w:rPr>
          <w:rFonts w:ascii="宋体" w:hAnsi="宋体" w:cs="宋体"/>
          <w:color w:val="auto"/>
          <w:kern w:val="0"/>
          <w:sz w:val="32"/>
          <w:szCs w:val="32"/>
          <w:highlight w:val="none"/>
          <w:lang w:val="zh-CN"/>
        </w:rPr>
      </w:pPr>
    </w:p>
    <w:p w14:paraId="1F128A71">
      <w:pPr>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br w:type="page"/>
      </w:r>
    </w:p>
    <w:p w14:paraId="61FB0A9E">
      <w:pPr>
        <w:snapToGrid w:val="0"/>
        <w:spacing w:line="460" w:lineRule="exact"/>
        <w:contextualSpacing/>
        <w:rPr>
          <w:rFonts w:ascii="宋体" w:hAnsi="宋体" w:cs="宋体"/>
          <w:color w:val="auto"/>
          <w:kern w:val="0"/>
          <w:sz w:val="28"/>
          <w:szCs w:val="28"/>
          <w:highlight w:val="none"/>
        </w:rPr>
      </w:pPr>
      <w:r>
        <w:rPr>
          <w:rFonts w:hint="eastAsia" w:ascii="宋体" w:hAnsi="宋体" w:cs="宋体"/>
          <w:color w:val="auto"/>
          <w:kern w:val="0"/>
          <w:sz w:val="28"/>
          <w:szCs w:val="28"/>
          <w:highlight w:val="none"/>
          <w:lang w:val="zh-CN"/>
        </w:rPr>
        <w:t>附件</w:t>
      </w:r>
      <w:r>
        <w:rPr>
          <w:rFonts w:hint="eastAsia" w:ascii="宋体" w:hAnsi="宋体" w:cs="宋体"/>
          <w:color w:val="auto"/>
          <w:kern w:val="0"/>
          <w:sz w:val="28"/>
          <w:szCs w:val="28"/>
          <w:highlight w:val="none"/>
        </w:rPr>
        <w:t>9</w:t>
      </w:r>
    </w:p>
    <w:p w14:paraId="0A10F3C8">
      <w:pPr>
        <w:spacing w:line="460" w:lineRule="exact"/>
        <w:jc w:val="center"/>
        <w:rPr>
          <w:rFonts w:ascii="宋体" w:hAnsi="宋体" w:cs="宋体"/>
          <w:color w:val="auto"/>
          <w:sz w:val="28"/>
          <w:szCs w:val="28"/>
          <w:highlight w:val="none"/>
        </w:rPr>
      </w:pPr>
    </w:p>
    <w:p w14:paraId="467BEEA5">
      <w:pPr>
        <w:spacing w:line="460" w:lineRule="exact"/>
        <w:ind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00C0A006">
      <w:pPr>
        <w:spacing w:line="460" w:lineRule="exact"/>
        <w:ind w:firstLine="560" w:firstLineChars="200"/>
        <w:rPr>
          <w:rFonts w:ascii="宋体" w:hAnsi="宋体" w:cs="宋体"/>
          <w:color w:val="auto"/>
          <w:sz w:val="28"/>
          <w:szCs w:val="28"/>
          <w:highlight w:val="none"/>
        </w:rPr>
      </w:pPr>
    </w:p>
    <w:p w14:paraId="3D631714">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（授权单位名称）的法定代表人，现委托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（姓名）（身份证号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）为我方代理人，以我方名义全权处理与本次采购项目（编号：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）有关的一切事务，其法律后果由我方承担。</w:t>
      </w:r>
    </w:p>
    <w:p w14:paraId="2A804C52">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日起生效，</w:t>
      </w:r>
      <w:r>
        <w:rPr>
          <w:rFonts w:ascii="宋体" w:hAnsi="宋体" w:cs="宋体"/>
          <w:color w:val="auto"/>
          <w:sz w:val="28"/>
          <w:szCs w:val="28"/>
          <w:highlight w:val="none"/>
        </w:rPr>
        <w:t>有效期至本项目招投标及后续履约结束为止</w:t>
      </w:r>
      <w:r>
        <w:rPr>
          <w:rFonts w:hint="eastAsia" w:ascii="宋体" w:hAnsi="宋体" w:cs="宋体"/>
          <w:color w:val="auto"/>
          <w:sz w:val="28"/>
          <w:szCs w:val="28"/>
          <w:highlight w:val="none"/>
        </w:rPr>
        <w:t>。代理人无转委托权。</w:t>
      </w:r>
    </w:p>
    <w:p w14:paraId="7F3CF1CF">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代理人(被授权人姓名):</w:t>
      </w:r>
      <w:r>
        <w:rPr>
          <w:rFonts w:hint="eastAsia" w:ascii="宋体" w:hAnsi="宋体" w:cs="宋体"/>
          <w:color w:val="auto"/>
          <w:sz w:val="28"/>
          <w:szCs w:val="28"/>
          <w:highlight w:val="none"/>
          <w:u w:val="single"/>
        </w:rPr>
        <w:t xml:space="preserve">        </w:t>
      </w:r>
    </w:p>
    <w:p w14:paraId="5C09FEDD">
      <w:pPr>
        <w:spacing w:line="460" w:lineRule="exact"/>
        <w:ind w:firstLine="560" w:firstLineChars="200"/>
        <w:rPr>
          <w:rFonts w:ascii="宋体" w:hAnsi="宋体" w:cs="宋体"/>
          <w:color w:val="auto"/>
          <w:sz w:val="28"/>
          <w:szCs w:val="28"/>
          <w:highlight w:val="none"/>
          <w:u w:val="single"/>
        </w:rPr>
      </w:pPr>
      <w:r>
        <w:rPr>
          <w:rFonts w:hint="eastAsia" w:ascii="宋体" w:hAnsi="宋体" w:cs="宋体"/>
          <w:color w:val="auto"/>
          <w:sz w:val="28"/>
          <w:szCs w:val="28"/>
          <w:highlight w:val="none"/>
        </w:rPr>
        <w:t>代理人联系方式：</w:t>
      </w:r>
      <w:r>
        <w:rPr>
          <w:rFonts w:hint="eastAsia" w:ascii="宋体" w:hAnsi="宋体" w:cs="宋体"/>
          <w:color w:val="auto"/>
          <w:sz w:val="28"/>
          <w:szCs w:val="28"/>
          <w:highlight w:val="none"/>
          <w:u w:val="single"/>
        </w:rPr>
        <w:t xml:space="preserve">          </w:t>
      </w:r>
    </w:p>
    <w:p w14:paraId="3CA50ACA">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r>
        <w:rPr>
          <w:rFonts w:hint="eastAsia" w:ascii="宋体" w:hAnsi="宋体" w:cs="宋体"/>
          <w:color w:val="auto"/>
          <w:sz w:val="28"/>
          <w:szCs w:val="28"/>
          <w:highlight w:val="none"/>
          <w:u w:val="single"/>
        </w:rPr>
        <w:t xml:space="preserve">        </w:t>
      </w:r>
    </w:p>
    <w:p w14:paraId="5E037911">
      <w:pPr>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r>
        <w:rPr>
          <w:rFonts w:hint="eastAsia" w:ascii="宋体" w:hAnsi="宋体" w:cs="宋体"/>
          <w:color w:val="auto"/>
          <w:sz w:val="28"/>
          <w:szCs w:val="28"/>
          <w:highlight w:val="none"/>
          <w:u w:val="single"/>
        </w:rPr>
        <w:t xml:space="preserve">         </w:t>
      </w:r>
    </w:p>
    <w:p w14:paraId="72CFB3ED">
      <w:pPr>
        <w:spacing w:line="460" w:lineRule="exact"/>
        <w:ind w:firstLine="560" w:firstLineChars="200"/>
        <w:jc w:val="right"/>
        <w:rPr>
          <w:rFonts w:ascii="宋体" w:hAnsi="宋体" w:cs="宋体"/>
          <w:color w:val="auto"/>
          <w:sz w:val="28"/>
          <w:szCs w:val="28"/>
          <w:highlight w:val="none"/>
        </w:rPr>
      </w:pPr>
    </w:p>
    <w:p w14:paraId="4F05DB6D">
      <w:pPr>
        <w:spacing w:line="460" w:lineRule="exact"/>
        <w:ind w:firstLine="560" w:firstLineChars="200"/>
        <w:jc w:val="right"/>
        <w:rPr>
          <w:rFonts w:ascii="宋体" w:hAnsi="宋体" w:cs="宋体"/>
          <w:color w:val="auto"/>
          <w:sz w:val="28"/>
          <w:szCs w:val="28"/>
          <w:highlight w:val="none"/>
        </w:rPr>
      </w:pPr>
    </w:p>
    <w:p w14:paraId="354EA3AE">
      <w:pPr>
        <w:spacing w:line="460" w:lineRule="exact"/>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59F20584">
      <w:pPr>
        <w:snapToGrid w:val="0"/>
        <w:spacing w:line="460" w:lineRule="exact"/>
        <w:ind w:firstLine="562" w:firstLineChars="200"/>
        <w:contextualSpacing/>
        <w:rPr>
          <w:rFonts w:ascii="宋体" w:hAnsi="宋体" w:cs="宋体"/>
          <w:b/>
          <w:color w:val="auto"/>
          <w:kern w:val="0"/>
          <w:sz w:val="28"/>
          <w:szCs w:val="28"/>
          <w:highlight w:val="none"/>
        </w:rPr>
      </w:pPr>
    </w:p>
    <w:p w14:paraId="3AF54F18">
      <w:pPr>
        <w:snapToGrid w:val="0"/>
        <w:spacing w:line="460" w:lineRule="exact"/>
        <w:ind w:firstLine="562" w:firstLineChars="200"/>
        <w:contextualSpacing/>
        <w:rPr>
          <w:rFonts w:ascii="宋体" w:hAnsi="宋体" w:cs="宋体"/>
          <w:b/>
          <w:color w:val="auto"/>
          <w:kern w:val="0"/>
          <w:sz w:val="28"/>
          <w:szCs w:val="28"/>
          <w:highlight w:val="none"/>
        </w:rPr>
      </w:pPr>
    </w:p>
    <w:p w14:paraId="6F5F9406">
      <w:pPr>
        <w:snapToGrid w:val="0"/>
        <w:spacing w:line="460" w:lineRule="exact"/>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注：提供投标代表本人身份证复印件</w:t>
      </w:r>
    </w:p>
    <w:p w14:paraId="29991F05">
      <w:pPr>
        <w:snapToGrid w:val="0"/>
        <w:spacing w:line="460" w:lineRule="exact"/>
        <w:ind w:firstLine="562" w:firstLineChars="200"/>
        <w:contextualSpacing/>
        <w:rPr>
          <w:rFonts w:ascii="宋体" w:hAnsi="宋体" w:cs="宋体"/>
          <w:b/>
          <w:color w:val="auto"/>
          <w:kern w:val="0"/>
          <w:sz w:val="28"/>
          <w:szCs w:val="28"/>
          <w:highlight w:val="none"/>
        </w:rPr>
      </w:pPr>
    </w:p>
    <w:p w14:paraId="3A990A33">
      <w:pPr>
        <w:snapToGrid w:val="0"/>
        <w:spacing w:line="400" w:lineRule="exact"/>
        <w:ind w:firstLine="540" w:firstLineChars="192"/>
        <w:contextualSpacing/>
        <w:rPr>
          <w:rFonts w:ascii="宋体" w:hAnsi="宋体" w:cs="宋体"/>
          <w:b/>
          <w:color w:val="auto"/>
          <w:kern w:val="0"/>
          <w:sz w:val="28"/>
          <w:szCs w:val="28"/>
          <w:highlight w:val="none"/>
        </w:rPr>
      </w:pPr>
    </w:p>
    <w:p w14:paraId="1FA07463">
      <w:pPr>
        <w:snapToGrid w:val="0"/>
        <w:spacing w:line="400" w:lineRule="exact"/>
        <w:ind w:firstLine="540" w:firstLineChars="192"/>
        <w:contextualSpacing/>
        <w:rPr>
          <w:rFonts w:ascii="宋体" w:hAnsi="宋体" w:cs="宋体"/>
          <w:b/>
          <w:color w:val="auto"/>
          <w:kern w:val="0"/>
          <w:sz w:val="28"/>
          <w:szCs w:val="28"/>
          <w:highlight w:val="none"/>
        </w:rPr>
      </w:pPr>
    </w:p>
    <w:p w14:paraId="02F97B9D">
      <w:pPr>
        <w:snapToGrid w:val="0"/>
        <w:spacing w:line="400" w:lineRule="exact"/>
        <w:ind w:firstLine="540" w:firstLineChars="192"/>
        <w:contextualSpacing/>
        <w:rPr>
          <w:rFonts w:ascii="宋体" w:hAnsi="宋体" w:cs="宋体"/>
          <w:b/>
          <w:color w:val="auto"/>
          <w:kern w:val="0"/>
          <w:sz w:val="28"/>
          <w:szCs w:val="28"/>
          <w:highlight w:val="none"/>
        </w:rPr>
      </w:pPr>
    </w:p>
    <w:p w14:paraId="2BEC4FDF">
      <w:pPr>
        <w:snapToGrid w:val="0"/>
        <w:spacing w:line="400" w:lineRule="exact"/>
        <w:ind w:firstLine="540" w:firstLineChars="192"/>
        <w:contextualSpacing/>
        <w:rPr>
          <w:rFonts w:ascii="宋体" w:hAnsi="宋体" w:cs="宋体"/>
          <w:b/>
          <w:color w:val="auto"/>
          <w:kern w:val="0"/>
          <w:sz w:val="28"/>
          <w:szCs w:val="28"/>
          <w:highlight w:val="none"/>
        </w:rPr>
      </w:pPr>
    </w:p>
    <w:p w14:paraId="48D637E4">
      <w:pPr>
        <w:snapToGrid w:val="0"/>
        <w:spacing w:line="400" w:lineRule="exact"/>
        <w:ind w:firstLine="540" w:firstLineChars="192"/>
        <w:contextualSpacing/>
        <w:rPr>
          <w:rFonts w:ascii="宋体" w:hAnsi="宋体" w:cs="宋体"/>
          <w:b/>
          <w:color w:val="auto"/>
          <w:kern w:val="0"/>
          <w:sz w:val="28"/>
          <w:szCs w:val="28"/>
          <w:highlight w:val="none"/>
        </w:rPr>
      </w:pPr>
    </w:p>
    <w:p w14:paraId="3C1CB469">
      <w:pPr>
        <w:snapToGrid w:val="0"/>
        <w:spacing w:line="400" w:lineRule="exact"/>
        <w:ind w:firstLine="540" w:firstLineChars="192"/>
        <w:contextualSpacing/>
        <w:rPr>
          <w:rFonts w:ascii="宋体" w:hAnsi="宋体" w:cs="宋体"/>
          <w:b/>
          <w:color w:val="auto"/>
          <w:kern w:val="0"/>
          <w:sz w:val="28"/>
          <w:szCs w:val="28"/>
          <w:highlight w:val="none"/>
        </w:rPr>
      </w:pPr>
    </w:p>
    <w:p w14:paraId="302E26AC">
      <w:pPr>
        <w:snapToGrid w:val="0"/>
        <w:spacing w:line="400" w:lineRule="exact"/>
        <w:ind w:firstLine="537" w:firstLineChars="192"/>
        <w:contextualSpacing/>
        <w:rPr>
          <w:rFonts w:ascii="宋体" w:hAnsi="宋体" w:cs="宋体"/>
          <w:color w:val="auto"/>
          <w:sz w:val="28"/>
          <w:szCs w:val="28"/>
          <w:highlight w:val="none"/>
        </w:rPr>
      </w:pPr>
    </w:p>
    <w:p w14:paraId="70BF25B0">
      <w:pPr>
        <w:snapToGrid w:val="0"/>
        <w:spacing w:line="400" w:lineRule="exact"/>
        <w:ind w:firstLine="537" w:firstLineChars="192"/>
        <w:contextualSpacing/>
        <w:rPr>
          <w:rFonts w:ascii="宋体" w:hAnsi="宋体" w:cs="宋体"/>
          <w:color w:val="auto"/>
          <w:sz w:val="28"/>
          <w:szCs w:val="28"/>
          <w:highlight w:val="none"/>
        </w:rPr>
      </w:pPr>
    </w:p>
    <w:p w14:paraId="06143DB0">
      <w:pPr>
        <w:snapToGrid w:val="0"/>
        <w:spacing w:line="400" w:lineRule="exact"/>
        <w:ind w:firstLine="540" w:firstLineChars="192"/>
        <w:contextualSpacing/>
        <w:rPr>
          <w:rFonts w:ascii="宋体" w:hAnsi="宋体" w:cs="宋体"/>
          <w:b/>
          <w:color w:val="auto"/>
          <w:kern w:val="0"/>
          <w:sz w:val="28"/>
          <w:szCs w:val="28"/>
          <w:highlight w:val="none"/>
        </w:rPr>
      </w:pPr>
    </w:p>
    <w:p w14:paraId="1D3CF90E">
      <w:pPr>
        <w:rPr>
          <w:rFonts w:ascii="宋体" w:hAnsi="宋体" w:cs="宋体"/>
          <w:color w:val="auto"/>
          <w:kern w:val="0"/>
          <w:sz w:val="28"/>
          <w:szCs w:val="28"/>
          <w:highlight w:val="none"/>
        </w:rPr>
      </w:pPr>
      <w:r>
        <w:rPr>
          <w:rFonts w:hint="eastAsia" w:ascii="宋体" w:hAnsi="宋体" w:cs="宋体"/>
          <w:color w:val="auto"/>
          <w:kern w:val="0"/>
          <w:sz w:val="28"/>
          <w:szCs w:val="28"/>
          <w:highlight w:val="none"/>
        </w:rPr>
        <w:br w:type="page"/>
      </w:r>
    </w:p>
    <w:p w14:paraId="5180CADC">
      <w:pPr>
        <w:snapToGrid w:val="0"/>
        <w:spacing w:line="400" w:lineRule="exact"/>
        <w:contextualSpacing/>
        <w:rPr>
          <w:rFonts w:ascii="宋体" w:hAnsi="宋体" w:cs="宋体"/>
          <w:b/>
          <w:color w:val="auto"/>
          <w:sz w:val="28"/>
          <w:szCs w:val="28"/>
          <w:highlight w:val="none"/>
        </w:rPr>
      </w:pPr>
      <w:r>
        <w:rPr>
          <w:rFonts w:hint="eastAsia" w:ascii="宋体" w:hAnsi="宋体" w:cs="宋体"/>
          <w:color w:val="auto"/>
          <w:kern w:val="0"/>
          <w:sz w:val="28"/>
          <w:szCs w:val="28"/>
          <w:highlight w:val="none"/>
        </w:rPr>
        <w:t>附件10</w:t>
      </w:r>
    </w:p>
    <w:p w14:paraId="19163ABD">
      <w:pPr>
        <w:spacing w:line="460" w:lineRule="exact"/>
        <w:ind w:firstLine="281"/>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中小微企业声明函（货物类项目）</w:t>
      </w:r>
    </w:p>
    <w:p w14:paraId="4F787877">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本公司（联合体）郑重声明，根据《政府采购促进中小企业发展管理办法》(财库〔2020〕46号)的规定，本公司（联合体）参加</w:t>
      </w:r>
      <w:r>
        <w:rPr>
          <w:rFonts w:hint="eastAsia" w:ascii="宋体" w:hAnsi="宋体" w:cs="宋体"/>
          <w:color w:val="auto"/>
          <w:sz w:val="28"/>
          <w:szCs w:val="28"/>
          <w:highlight w:val="none"/>
          <w:u w:val="single"/>
        </w:rPr>
        <w:t>（采购单位名称）</w:t>
      </w:r>
      <w:r>
        <w:rPr>
          <w:rFonts w:hint="eastAsia" w:ascii="宋体" w:hAnsi="宋体" w:cs="宋体"/>
          <w:color w:val="auto"/>
          <w:sz w:val="28"/>
          <w:szCs w:val="28"/>
          <w:highlight w:val="none"/>
        </w:rPr>
        <w:t>采购编号为，</w:t>
      </w:r>
      <w:r>
        <w:rPr>
          <w:rFonts w:hint="eastAsia" w:ascii="宋体" w:hAnsi="宋体" w:cs="宋体"/>
          <w:color w:val="auto"/>
          <w:sz w:val="28"/>
          <w:szCs w:val="28"/>
          <w:highlight w:val="none"/>
          <w:u w:val="single"/>
        </w:rPr>
        <w:t>（项目名称）</w:t>
      </w:r>
      <w:r>
        <w:rPr>
          <w:rFonts w:hint="eastAsia" w:ascii="宋体" w:hAnsi="宋体" w:cs="宋体"/>
          <w:color w:val="auto"/>
          <w:sz w:val="28"/>
          <w:szCs w:val="28"/>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EFFDECD">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（气相色谱仪（顶空-气相色谱仪-氢火焰离子化检测器+电子捕获检测器））</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68E4CD00">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（气相色谱仪（气相色谱仪-氢火焰离子化检测器+电子捕获检测器））</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1210004F">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（气相色谱质谱联用仪）</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22987354">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4.</w:t>
      </w:r>
      <w:r>
        <w:rPr>
          <w:rFonts w:hint="eastAsia" w:ascii="宋体" w:hAnsi="宋体" w:cs="宋体"/>
          <w:color w:val="auto"/>
          <w:sz w:val="28"/>
          <w:szCs w:val="28"/>
          <w:highlight w:val="none"/>
          <w:u w:val="single"/>
        </w:rPr>
        <w:t>（液相色谱仪（高效液相色谱仪-二极管阵列/荧光检测器+柱后衍生））</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46C58609">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5.</w:t>
      </w:r>
      <w:r>
        <w:rPr>
          <w:rFonts w:hint="eastAsia" w:ascii="宋体" w:hAnsi="宋体" w:cs="宋体"/>
          <w:color w:val="auto"/>
          <w:sz w:val="28"/>
          <w:szCs w:val="28"/>
          <w:highlight w:val="none"/>
          <w:u w:val="single"/>
        </w:rPr>
        <w:t>（液相色谱仪(高效液相色谱仪-二极管阵列/蒸发光散射检测器)）</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76ADF18D">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6.</w:t>
      </w:r>
      <w:r>
        <w:rPr>
          <w:rFonts w:hint="eastAsia" w:ascii="宋体" w:hAnsi="宋体" w:cs="宋体"/>
          <w:color w:val="auto"/>
          <w:sz w:val="28"/>
          <w:szCs w:val="28"/>
          <w:highlight w:val="none"/>
          <w:u w:val="single"/>
        </w:rPr>
        <w:t>（液相色谱串联质谱仪）</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20A9BF8B">
      <w:pPr>
        <w:spacing w:line="460" w:lineRule="exact"/>
        <w:ind w:firstLine="420"/>
        <w:rPr>
          <w:rFonts w:ascii="宋体" w:hAnsi="宋体" w:cs="宋体"/>
          <w:i/>
          <w:color w:val="auto"/>
          <w:sz w:val="28"/>
          <w:szCs w:val="28"/>
          <w:highlight w:val="none"/>
          <w:u w:val="single"/>
        </w:rPr>
      </w:pPr>
      <w:r>
        <w:rPr>
          <w:rFonts w:hint="eastAsia" w:ascii="宋体" w:hAnsi="宋体" w:cs="宋体"/>
          <w:color w:val="auto"/>
          <w:sz w:val="28"/>
          <w:szCs w:val="28"/>
          <w:highlight w:val="none"/>
        </w:rPr>
        <w:t>7.</w:t>
      </w:r>
      <w:r>
        <w:rPr>
          <w:rFonts w:hint="eastAsia" w:ascii="宋体" w:hAnsi="宋体" w:cs="宋体"/>
          <w:color w:val="auto"/>
          <w:sz w:val="28"/>
          <w:szCs w:val="28"/>
          <w:highlight w:val="none"/>
          <w:u w:val="single"/>
        </w:rPr>
        <w:t>（离子色谱仪（离子色谱-电导检测器+安培检测器））</w:t>
      </w:r>
      <w:r>
        <w:rPr>
          <w:rFonts w:hint="eastAsia" w:ascii="宋体" w:hAnsi="宋体" w:cs="宋体"/>
          <w:i/>
          <w:color w:val="auto"/>
          <w:sz w:val="28"/>
          <w:szCs w:val="28"/>
          <w:highlight w:val="none"/>
        </w:rPr>
        <w:t>，</w:t>
      </w:r>
      <w:r>
        <w:rPr>
          <w:rFonts w:hint="eastAsia" w:ascii="宋体" w:hAnsi="宋体" w:cs="宋体"/>
          <w:color w:val="auto"/>
          <w:sz w:val="28"/>
          <w:szCs w:val="28"/>
          <w:highlight w:val="none"/>
        </w:rPr>
        <w:t>属于</w:t>
      </w:r>
      <w:r>
        <w:rPr>
          <w:rFonts w:hint="eastAsia" w:ascii="宋体" w:hAnsi="宋体" w:cs="宋体"/>
          <w:color w:val="auto"/>
          <w:sz w:val="28"/>
          <w:szCs w:val="28"/>
          <w:highlight w:val="none"/>
          <w:u w:val="single"/>
        </w:rPr>
        <w:t>工业</w:t>
      </w:r>
      <w:r>
        <w:rPr>
          <w:rFonts w:hint="eastAsia" w:ascii="宋体" w:hAnsi="宋体" w:cs="宋体"/>
          <w:color w:val="auto"/>
          <w:sz w:val="28"/>
          <w:szCs w:val="28"/>
          <w:highlight w:val="none"/>
        </w:rPr>
        <w:t>行业；制造商为</w:t>
      </w:r>
      <w:r>
        <w:rPr>
          <w:rFonts w:hint="eastAsia" w:ascii="宋体" w:hAnsi="宋体" w:cs="宋体"/>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color w:val="auto"/>
          <w:sz w:val="28"/>
          <w:szCs w:val="28"/>
          <w:highlight w:val="none"/>
          <w:u w:val="single"/>
        </w:rPr>
        <w:t>（□中型企业 □小型企业 □微型企业）；</w:t>
      </w:r>
    </w:p>
    <w:p w14:paraId="3CF45109">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以上企业，不属于大企业的分支机构，不存在控股股东为大企业的情形，也不存在与大企业的负责人为同一人的情形。</w:t>
      </w:r>
    </w:p>
    <w:p w14:paraId="54621E28">
      <w:pPr>
        <w:spacing w:line="460" w:lineRule="exact"/>
        <w:ind w:firstLine="420"/>
        <w:rPr>
          <w:rFonts w:ascii="宋体" w:hAnsi="宋体" w:cs="宋体"/>
          <w:color w:val="auto"/>
          <w:sz w:val="28"/>
          <w:szCs w:val="28"/>
          <w:highlight w:val="none"/>
        </w:rPr>
      </w:pPr>
      <w:r>
        <w:rPr>
          <w:rFonts w:hint="eastAsia" w:ascii="宋体" w:hAnsi="宋体" w:cs="宋体"/>
          <w:color w:val="auto"/>
          <w:sz w:val="28"/>
          <w:szCs w:val="28"/>
          <w:highlight w:val="none"/>
        </w:rPr>
        <w:t>本企业对上述声明内容的真实性负责。如有虚假，将依法承担相应责任</w:t>
      </w:r>
    </w:p>
    <w:p w14:paraId="03180BD1">
      <w:pPr>
        <w:spacing w:line="460" w:lineRule="exact"/>
        <w:ind w:right="180" w:firstLine="420"/>
        <w:jc w:val="right"/>
        <w:rPr>
          <w:rFonts w:ascii="宋体" w:hAnsi="宋体" w:cs="宋体"/>
          <w:color w:val="auto"/>
          <w:sz w:val="28"/>
          <w:szCs w:val="28"/>
          <w:highlight w:val="none"/>
        </w:rPr>
      </w:pPr>
      <w:r>
        <w:rPr>
          <w:rFonts w:hint="eastAsia" w:ascii="宋体" w:hAnsi="宋体" w:cs="宋体"/>
          <w:color w:val="auto"/>
          <w:sz w:val="28"/>
          <w:szCs w:val="28"/>
          <w:highlight w:val="none"/>
        </w:rPr>
        <w:t>企业名称（加盖CA电子公章）：</w:t>
      </w:r>
    </w:p>
    <w:p w14:paraId="116C495C">
      <w:pPr>
        <w:spacing w:line="460" w:lineRule="exact"/>
        <w:ind w:right="480" w:firstLine="6300"/>
        <w:rPr>
          <w:rFonts w:ascii="宋体" w:hAnsi="宋体" w:cs="宋体"/>
          <w:color w:val="auto"/>
          <w:sz w:val="28"/>
          <w:szCs w:val="28"/>
          <w:highlight w:val="none"/>
        </w:rPr>
      </w:pPr>
      <w:r>
        <w:rPr>
          <w:rFonts w:hint="eastAsia" w:ascii="宋体" w:hAnsi="宋体" w:cs="宋体"/>
          <w:color w:val="auto"/>
          <w:sz w:val="28"/>
          <w:szCs w:val="28"/>
          <w:highlight w:val="none"/>
        </w:rPr>
        <w:t>日  期：</w:t>
      </w:r>
    </w:p>
    <w:p w14:paraId="40EE75B1">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0B5102CE">
      <w:pPr>
        <w:spacing w:line="46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1.从业人员、营业收入、资产总额填报上一年度数据，无上一年度数据的新成立企业可不填报。</w:t>
      </w:r>
    </w:p>
    <w:p w14:paraId="1B5DA6E9">
      <w:pPr>
        <w:spacing w:line="460" w:lineRule="exact"/>
        <w:ind w:firstLine="562"/>
        <w:rPr>
          <w:rFonts w:ascii="宋体" w:hAnsi="宋体" w:cs="宋体"/>
          <w:b/>
          <w:color w:val="auto"/>
          <w:sz w:val="28"/>
          <w:szCs w:val="28"/>
          <w:highlight w:val="none"/>
        </w:rPr>
      </w:pPr>
      <w:r>
        <w:rPr>
          <w:rFonts w:hint="eastAsia" w:ascii="宋体" w:hAnsi="宋体" w:cs="宋体"/>
          <w:color w:val="auto"/>
          <w:sz w:val="28"/>
          <w:szCs w:val="28"/>
          <w:highlight w:val="none"/>
        </w:rPr>
        <w:t>2.本项目所属行业为</w:t>
      </w:r>
      <w:r>
        <w:rPr>
          <w:rFonts w:hint="eastAsia" w:ascii="宋体" w:hAnsi="宋体" w:cs="宋体"/>
          <w:b/>
          <w:bCs/>
          <w:color w:val="auto"/>
          <w:sz w:val="28"/>
          <w:szCs w:val="28"/>
          <w:highlight w:val="none"/>
          <w:u w:val="single"/>
        </w:rPr>
        <w:t>工业</w:t>
      </w:r>
      <w:r>
        <w:rPr>
          <w:rFonts w:hint="eastAsia" w:ascii="宋体" w:hAnsi="宋体" w:cs="宋体"/>
          <w:color w:val="auto"/>
          <w:sz w:val="28"/>
          <w:szCs w:val="28"/>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FE2A734">
      <w:pPr>
        <w:spacing w:line="46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rPr>
        <w:t>3.专门面向中小微型企业采购的项目，投标人如不提供此声明函，则不能通过资格审查；非专门面向中小微型企业采购的项目，投标人如不提供此声明函，价格将不做相应扣除。</w:t>
      </w:r>
    </w:p>
    <w:p w14:paraId="27582613">
      <w:pPr>
        <w:spacing w:line="460" w:lineRule="exact"/>
        <w:ind w:left="560" w:hanging="140"/>
        <w:outlineLvl w:val="2"/>
        <w:rPr>
          <w:rFonts w:ascii="宋体" w:hAnsi="宋体" w:cs="宋体"/>
          <w:color w:val="auto"/>
          <w:sz w:val="28"/>
          <w:szCs w:val="28"/>
          <w:highlight w:val="none"/>
        </w:rPr>
      </w:pPr>
      <w:bookmarkStart w:id="292" w:name="_Toc28642"/>
      <w:r>
        <w:rPr>
          <w:rFonts w:hint="eastAsia" w:ascii="宋体" w:hAnsi="宋体" w:cs="宋体"/>
          <w:color w:val="auto"/>
          <w:sz w:val="28"/>
          <w:szCs w:val="28"/>
          <w:highlight w:val="none"/>
        </w:rPr>
        <w:t>4.投标人自行勾选制造商的企业规模类型。</w:t>
      </w:r>
      <w:bookmarkEnd w:id="292"/>
    </w:p>
    <w:p w14:paraId="5C355BDD">
      <w:pP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附件11</w:t>
      </w:r>
    </w:p>
    <w:p w14:paraId="74EA3C77">
      <w:pPr>
        <w:spacing w:line="480" w:lineRule="exact"/>
        <w:ind w:left="561" w:hanging="141"/>
        <w:jc w:val="center"/>
        <w:outlineLvl w:val="1"/>
        <w:rPr>
          <w:rFonts w:ascii="宋体" w:hAnsi="宋体" w:cs="宋体"/>
          <w:color w:val="auto"/>
          <w:sz w:val="28"/>
          <w:szCs w:val="28"/>
          <w:highlight w:val="none"/>
        </w:rPr>
      </w:pPr>
      <w:bookmarkStart w:id="293" w:name="_Toc5882"/>
      <w:r>
        <w:rPr>
          <w:rFonts w:hint="eastAsia" w:ascii="宋体" w:hAnsi="宋体" w:cs="宋体"/>
          <w:b/>
          <w:color w:val="auto"/>
          <w:sz w:val="28"/>
          <w:szCs w:val="28"/>
          <w:highlight w:val="none"/>
        </w:rPr>
        <w:t>残疾人福利性单位声明函（货物类项目）（分包号：**）</w:t>
      </w:r>
      <w:bookmarkEnd w:id="293"/>
    </w:p>
    <w:p w14:paraId="325ECF3D">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的项目（分包号：**）采购活动提供本单位制造的货物，或者提供其他残疾人福利性单位制造的货物（不包括使用非残疾人福利性单位注册商标的货物）。</w:t>
      </w:r>
    </w:p>
    <w:p w14:paraId="18AC55CB">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6A7D0359">
      <w:pPr>
        <w:spacing w:line="480" w:lineRule="exact"/>
        <w:ind w:firstLine="560"/>
        <w:rPr>
          <w:rFonts w:ascii="宋体" w:hAnsi="宋体" w:cs="宋体"/>
          <w:color w:val="auto"/>
          <w:sz w:val="28"/>
          <w:szCs w:val="28"/>
          <w:highlight w:val="none"/>
        </w:rPr>
      </w:pPr>
    </w:p>
    <w:p w14:paraId="45ABD64B">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538AF4F3">
      <w:pPr>
        <w:spacing w:line="480" w:lineRule="exact"/>
        <w:ind w:firstLine="562"/>
        <w:rPr>
          <w:rFonts w:ascii="宋体" w:hAnsi="宋体" w:cs="宋体"/>
          <w:b/>
          <w:color w:val="auto"/>
          <w:sz w:val="28"/>
          <w:szCs w:val="28"/>
          <w:highlight w:val="none"/>
        </w:rPr>
      </w:pPr>
      <w:r>
        <w:rPr>
          <w:rFonts w:hint="eastAsia" w:ascii="宋体" w:hAnsi="宋体" w:cs="宋体"/>
          <w:b/>
          <w:color w:val="auto"/>
          <w:sz w:val="28"/>
          <w:szCs w:val="28"/>
          <w:highlight w:val="none"/>
        </w:rPr>
        <w:t>1.专门面向中小微型企业采购的项目，投标人为残疾人福利性单位并提供本单位制造的货物，或者提供其他残疾人福利性单位制造的货物，必须提供此声明函，否则将不能通过资格审查。</w:t>
      </w:r>
    </w:p>
    <w:p w14:paraId="3C897ACB">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2. 非专门面向中小微型企业采购的项目，投标人如不提供此声明函，价格将不做相应扣除。</w:t>
      </w:r>
    </w:p>
    <w:p w14:paraId="132B30B7">
      <w:pPr>
        <w:spacing w:line="48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3.中标/中标人为残疾人福利性单位的，此声明函将随中标/成交结果同时公告，接受社会监督。</w:t>
      </w:r>
    </w:p>
    <w:p w14:paraId="56A5A99D">
      <w:pPr>
        <w:spacing w:line="480" w:lineRule="exact"/>
        <w:ind w:firstLine="584"/>
        <w:rPr>
          <w:rFonts w:ascii="宋体" w:hAnsi="宋体" w:cs="宋体"/>
          <w:color w:val="auto"/>
          <w:spacing w:val="6"/>
          <w:sz w:val="28"/>
          <w:szCs w:val="28"/>
          <w:highlight w:val="none"/>
        </w:rPr>
      </w:pPr>
    </w:p>
    <w:p w14:paraId="0E6BAC47">
      <w:pPr>
        <w:tabs>
          <w:tab w:val="left" w:pos="4860"/>
        </w:tabs>
        <w:spacing w:line="480" w:lineRule="exact"/>
        <w:ind w:right="1559" w:firstLine="584"/>
        <w:jc w:val="right"/>
        <w:rPr>
          <w:rFonts w:ascii="宋体" w:hAnsi="宋体" w:cs="宋体"/>
          <w:color w:val="auto"/>
          <w:sz w:val="28"/>
          <w:szCs w:val="28"/>
          <w:highlight w:val="none"/>
        </w:rPr>
      </w:pPr>
      <w:r>
        <w:rPr>
          <w:rFonts w:hint="eastAsia" w:ascii="宋体" w:hAnsi="宋体" w:cs="宋体"/>
          <w:color w:val="auto"/>
          <w:sz w:val="28"/>
          <w:szCs w:val="28"/>
          <w:highlight w:val="none"/>
        </w:rPr>
        <w:t>投标人全称（加盖CA电子公章）：</w:t>
      </w:r>
    </w:p>
    <w:p w14:paraId="10A57D77">
      <w:pPr>
        <w:tabs>
          <w:tab w:val="left" w:pos="4860"/>
        </w:tabs>
        <w:spacing w:line="480" w:lineRule="exact"/>
        <w:ind w:right="1559" w:firstLine="560"/>
        <w:jc w:val="right"/>
        <w:rPr>
          <w:rFonts w:ascii="宋体" w:hAnsi="宋体" w:cs="宋体"/>
          <w:color w:val="auto"/>
          <w:sz w:val="28"/>
          <w:szCs w:val="28"/>
          <w:highlight w:val="none"/>
        </w:rPr>
      </w:pPr>
      <w:r>
        <w:rPr>
          <w:rFonts w:hint="eastAsia" w:ascii="宋体" w:hAnsi="宋体" w:cs="宋体"/>
          <w:color w:val="auto"/>
          <w:sz w:val="28"/>
          <w:szCs w:val="28"/>
          <w:highlight w:val="none"/>
        </w:rPr>
        <w:t>日  期：</w:t>
      </w:r>
    </w:p>
    <w:p w14:paraId="7CA5E01F">
      <w:pPr>
        <w:spacing w:line="480" w:lineRule="exact"/>
        <w:jc w:val="center"/>
        <w:rPr>
          <w:rFonts w:ascii="宋体" w:hAnsi="宋体" w:cs="宋体"/>
          <w:b/>
          <w:color w:val="auto"/>
          <w:sz w:val="28"/>
          <w:szCs w:val="28"/>
          <w:highlight w:val="none"/>
        </w:rPr>
      </w:pPr>
    </w:p>
    <w:p w14:paraId="0828782B">
      <w:pPr>
        <w:ind w:firstLine="420"/>
        <w:rPr>
          <w:rFonts w:ascii="宋体" w:hAnsi="宋体" w:cs="宋体"/>
          <w:color w:val="auto"/>
          <w:sz w:val="28"/>
          <w:szCs w:val="28"/>
          <w:highlight w:val="none"/>
        </w:rPr>
      </w:pPr>
    </w:p>
    <w:p w14:paraId="485FBCC3">
      <w:pPr>
        <w:snapToGrid w:val="0"/>
        <w:spacing w:line="300" w:lineRule="auto"/>
        <w:rPr>
          <w:rFonts w:ascii="宋体" w:hAnsi="宋体" w:cs="宋体"/>
          <w:color w:val="auto"/>
          <w:sz w:val="28"/>
          <w:szCs w:val="28"/>
          <w:highlight w:val="none"/>
        </w:rPr>
      </w:pPr>
    </w:p>
    <w:p w14:paraId="6746BC06">
      <w:pPr>
        <w:snapToGrid w:val="0"/>
        <w:spacing w:line="300" w:lineRule="auto"/>
        <w:rPr>
          <w:rFonts w:ascii="宋体" w:hAnsi="宋体" w:cs="宋体"/>
          <w:color w:val="auto"/>
          <w:sz w:val="28"/>
          <w:szCs w:val="28"/>
          <w:highlight w:val="none"/>
        </w:rPr>
      </w:pPr>
    </w:p>
    <w:p w14:paraId="722794F7">
      <w:pPr>
        <w:snapToGrid w:val="0"/>
        <w:spacing w:line="300" w:lineRule="auto"/>
        <w:rPr>
          <w:rFonts w:ascii="宋体" w:hAnsi="宋体" w:cs="宋体"/>
          <w:color w:val="auto"/>
          <w:sz w:val="28"/>
          <w:szCs w:val="28"/>
          <w:highlight w:val="none"/>
        </w:rPr>
      </w:pPr>
    </w:p>
    <w:p w14:paraId="1B5BAB2A">
      <w:pPr>
        <w:snapToGrid w:val="0"/>
        <w:spacing w:line="300" w:lineRule="auto"/>
        <w:rPr>
          <w:rFonts w:ascii="宋体" w:hAnsi="宋体" w:cs="宋体"/>
          <w:color w:val="auto"/>
          <w:sz w:val="28"/>
          <w:szCs w:val="28"/>
          <w:highlight w:val="none"/>
        </w:rPr>
      </w:pPr>
    </w:p>
    <w:p w14:paraId="0E8F6A4A">
      <w:pPr>
        <w:snapToGrid w:val="0"/>
        <w:spacing w:line="300" w:lineRule="auto"/>
        <w:rPr>
          <w:rFonts w:ascii="宋体" w:hAnsi="宋体" w:cs="宋体"/>
          <w:color w:val="auto"/>
          <w:sz w:val="32"/>
          <w:szCs w:val="32"/>
          <w:highlight w:val="none"/>
        </w:rPr>
      </w:pPr>
    </w:p>
    <w:p w14:paraId="73A0B4FC">
      <w:pPr>
        <w:snapToGrid w:val="0"/>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附件12</w:t>
      </w:r>
    </w:p>
    <w:p w14:paraId="3AC21427">
      <w:pPr>
        <w:snapToGrid w:val="0"/>
        <w:spacing w:line="42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监狱和戒毒企业证明材料</w:t>
      </w:r>
    </w:p>
    <w:p w14:paraId="0B68BB49">
      <w:pPr>
        <w:snapToGrid w:val="0"/>
        <w:spacing w:line="420" w:lineRule="exact"/>
        <w:ind w:firstLine="495" w:firstLineChars="177"/>
        <w:rPr>
          <w:rFonts w:ascii="宋体" w:hAnsi="宋体" w:cs="宋体"/>
          <w:color w:val="auto"/>
          <w:sz w:val="28"/>
          <w:szCs w:val="28"/>
          <w:highlight w:val="none"/>
        </w:rPr>
      </w:pPr>
    </w:p>
    <w:p w14:paraId="5B3FBCE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rPr>
        <w:t>（格式自拟）</w:t>
      </w:r>
    </w:p>
    <w:p w14:paraId="0451E72F">
      <w:pPr>
        <w:tabs>
          <w:tab w:val="left" w:pos="1260"/>
        </w:tabs>
        <w:snapToGrid w:val="0"/>
        <w:spacing w:line="300" w:lineRule="auto"/>
        <w:contextualSpacing/>
        <w:rPr>
          <w:rFonts w:ascii="宋体" w:hAnsi="宋体" w:cs="宋体"/>
          <w:color w:val="auto"/>
          <w:sz w:val="28"/>
          <w:szCs w:val="28"/>
          <w:highlight w:val="none"/>
        </w:rPr>
      </w:pPr>
    </w:p>
    <w:p w14:paraId="2C1F5399">
      <w:pPr>
        <w:tabs>
          <w:tab w:val="left" w:pos="1260"/>
        </w:tabs>
        <w:snapToGrid w:val="0"/>
        <w:spacing w:line="300" w:lineRule="auto"/>
        <w:contextualSpacing/>
        <w:rPr>
          <w:rFonts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69186C14">
      <w:pPr>
        <w:snapToGrid w:val="0"/>
        <w:spacing w:line="300" w:lineRule="auto"/>
        <w:rPr>
          <w:rFonts w:ascii="宋体" w:hAnsi="宋体" w:cs="宋体"/>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cols w:space="720" w:num="1"/>
          <w:docGrid w:type="lines" w:linePitch="312" w:charSpace="0"/>
        </w:sectPr>
      </w:pPr>
    </w:p>
    <w:p w14:paraId="67BEDF4E">
      <w:pPr>
        <w:snapToGrid w:val="0"/>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附件13</w:t>
      </w:r>
    </w:p>
    <w:p w14:paraId="385CA2DA">
      <w:pPr>
        <w:snapToGrid w:val="0"/>
        <w:spacing w:line="300" w:lineRule="auto"/>
        <w:rPr>
          <w:rFonts w:ascii="宋体" w:hAnsi="宋体" w:cs="宋体"/>
          <w:color w:val="auto"/>
          <w:sz w:val="32"/>
          <w:szCs w:val="32"/>
          <w:highlight w:val="none"/>
        </w:rPr>
      </w:pPr>
    </w:p>
    <w:p w14:paraId="184FD3A1">
      <w:pPr>
        <w:jc w:val="center"/>
        <w:rPr>
          <w:rFonts w:ascii="宋体" w:hAnsi="宋体" w:cs="宋体"/>
          <w:b/>
          <w:color w:val="auto"/>
          <w:sz w:val="28"/>
          <w:szCs w:val="28"/>
          <w:highlight w:val="none"/>
        </w:rPr>
      </w:pPr>
      <w:r>
        <w:rPr>
          <w:rFonts w:hint="eastAsia" w:ascii="宋体" w:hAnsi="宋体" w:cs="宋体"/>
          <w:b/>
          <w:color w:val="auto"/>
          <w:sz w:val="28"/>
          <w:szCs w:val="28"/>
          <w:highlight w:val="none"/>
        </w:rPr>
        <w:t>实质性要求响应及偏离表</w:t>
      </w:r>
    </w:p>
    <w:tbl>
      <w:tblPr>
        <w:tblStyle w:val="37"/>
        <w:tblW w:w="99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2518"/>
      </w:tblGrid>
      <w:tr w14:paraId="57F4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FB40EBC">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609" w:type="dxa"/>
            <w:vAlign w:val="center"/>
          </w:tcPr>
          <w:p w14:paraId="62A63F4A">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项目需求中的技术实质性要求</w:t>
            </w:r>
          </w:p>
        </w:tc>
        <w:tc>
          <w:tcPr>
            <w:tcW w:w="3317" w:type="dxa"/>
            <w:vAlign w:val="center"/>
          </w:tcPr>
          <w:p w14:paraId="4F83EB90">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518" w:type="dxa"/>
            <w:vAlign w:val="center"/>
          </w:tcPr>
          <w:p w14:paraId="4730E4C3">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79234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09CE227">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609" w:type="dxa"/>
          </w:tcPr>
          <w:p w14:paraId="7B7AA324">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1.1.1配置要求为顶空-气相色谱仪-氢火焰离子化检测器+电子捕获检测器，包含气相色谱主机、液体自动进样器、顶空自动进样器、氢火焰离子化检测器、电子捕获检测器、仪器控制及数据处理系统。</w:t>
            </w:r>
          </w:p>
        </w:tc>
        <w:tc>
          <w:tcPr>
            <w:tcW w:w="3317" w:type="dxa"/>
          </w:tcPr>
          <w:p w14:paraId="0BF465B1">
            <w:pPr>
              <w:spacing w:line="400" w:lineRule="exact"/>
              <w:jc w:val="center"/>
              <w:rPr>
                <w:rFonts w:ascii="宋体" w:hAnsi="宋体" w:cs="宋体"/>
                <w:color w:val="auto"/>
                <w:sz w:val="28"/>
                <w:szCs w:val="28"/>
                <w:highlight w:val="none"/>
              </w:rPr>
            </w:pPr>
          </w:p>
        </w:tc>
        <w:tc>
          <w:tcPr>
            <w:tcW w:w="2518" w:type="dxa"/>
          </w:tcPr>
          <w:p w14:paraId="316FDEDF">
            <w:pPr>
              <w:spacing w:line="400" w:lineRule="exact"/>
              <w:jc w:val="center"/>
              <w:rPr>
                <w:rFonts w:ascii="宋体" w:hAnsi="宋体" w:cs="宋体"/>
                <w:color w:val="auto"/>
                <w:sz w:val="28"/>
                <w:szCs w:val="28"/>
                <w:highlight w:val="none"/>
              </w:rPr>
            </w:pPr>
          </w:p>
        </w:tc>
      </w:tr>
      <w:tr w14:paraId="3BF49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C57A3EE">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3609" w:type="dxa"/>
          </w:tcPr>
          <w:p w14:paraId="552CBD9D">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2.1.1</w:t>
            </w:r>
            <w:r>
              <w:rPr>
                <w:rFonts w:hint="eastAsia" w:ascii="宋体" w:hAnsi="宋体" w:cs="宋体"/>
                <w:color w:val="auto"/>
                <w:sz w:val="28"/>
                <w:szCs w:val="28"/>
                <w:highlight w:val="none"/>
              </w:rPr>
              <w:t>配置要求为气相色谱仪-氢火焰离子化检测器+电子捕获检测器，包含气相色谱主机、液体自动进样器、氢火焰离子化检测器、电子捕获检测器、仪器控制及数据处理系统。</w:t>
            </w:r>
          </w:p>
        </w:tc>
        <w:tc>
          <w:tcPr>
            <w:tcW w:w="3317" w:type="dxa"/>
          </w:tcPr>
          <w:p w14:paraId="73D27643">
            <w:pPr>
              <w:spacing w:line="400" w:lineRule="exact"/>
              <w:jc w:val="center"/>
              <w:rPr>
                <w:rFonts w:ascii="宋体" w:hAnsi="宋体" w:cs="宋体"/>
                <w:color w:val="auto"/>
                <w:sz w:val="28"/>
                <w:szCs w:val="28"/>
                <w:highlight w:val="none"/>
              </w:rPr>
            </w:pPr>
          </w:p>
        </w:tc>
        <w:tc>
          <w:tcPr>
            <w:tcW w:w="2518" w:type="dxa"/>
          </w:tcPr>
          <w:p w14:paraId="46720170">
            <w:pPr>
              <w:spacing w:line="400" w:lineRule="exact"/>
              <w:jc w:val="center"/>
              <w:rPr>
                <w:rFonts w:ascii="宋体" w:hAnsi="宋体" w:cs="宋体"/>
                <w:color w:val="auto"/>
                <w:sz w:val="28"/>
                <w:szCs w:val="28"/>
                <w:highlight w:val="none"/>
              </w:rPr>
            </w:pPr>
          </w:p>
        </w:tc>
      </w:tr>
      <w:tr w14:paraId="26F62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638A36B">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3609" w:type="dxa"/>
          </w:tcPr>
          <w:p w14:paraId="3DABE397">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3.1.1</w:t>
            </w:r>
            <w:r>
              <w:rPr>
                <w:rFonts w:hint="eastAsia" w:ascii="宋体" w:hAnsi="宋体" w:cs="宋体"/>
                <w:color w:val="auto"/>
                <w:sz w:val="28"/>
                <w:szCs w:val="28"/>
                <w:highlight w:val="none"/>
              </w:rPr>
              <w:t>包含色谱主机、自动进样器、EI离子源、CI离子源、单四极杆质谱、仪器控制及数据处理系统。</w:t>
            </w:r>
          </w:p>
        </w:tc>
        <w:tc>
          <w:tcPr>
            <w:tcW w:w="3317" w:type="dxa"/>
          </w:tcPr>
          <w:p w14:paraId="75B9EBE1">
            <w:pPr>
              <w:spacing w:line="400" w:lineRule="exact"/>
              <w:jc w:val="center"/>
              <w:rPr>
                <w:rFonts w:ascii="宋体" w:hAnsi="宋体" w:cs="宋体"/>
                <w:color w:val="auto"/>
                <w:sz w:val="28"/>
                <w:szCs w:val="28"/>
                <w:highlight w:val="none"/>
              </w:rPr>
            </w:pPr>
          </w:p>
        </w:tc>
        <w:tc>
          <w:tcPr>
            <w:tcW w:w="2518" w:type="dxa"/>
          </w:tcPr>
          <w:p w14:paraId="10D7DB2F">
            <w:pPr>
              <w:spacing w:line="400" w:lineRule="exact"/>
              <w:jc w:val="center"/>
              <w:rPr>
                <w:rFonts w:ascii="宋体" w:hAnsi="宋体" w:cs="宋体"/>
                <w:color w:val="auto"/>
                <w:sz w:val="28"/>
                <w:szCs w:val="28"/>
                <w:highlight w:val="none"/>
              </w:rPr>
            </w:pPr>
          </w:p>
        </w:tc>
      </w:tr>
      <w:tr w14:paraId="28F32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E385BE0">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3609" w:type="dxa"/>
          </w:tcPr>
          <w:p w14:paraId="3D87257F">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4.1.1配置要求为高效液相色谱仪-二极管阵列/荧光检测器+柱后衍生，包含四元高压梯度泵、自动进样器、柱温箱、柱后衍生系统、二极管阵列检测器、荧光检测器、仪器控制及数据处理系统。</w:t>
            </w:r>
          </w:p>
        </w:tc>
        <w:tc>
          <w:tcPr>
            <w:tcW w:w="3317" w:type="dxa"/>
          </w:tcPr>
          <w:p w14:paraId="66A3B432">
            <w:pPr>
              <w:spacing w:line="400" w:lineRule="exact"/>
              <w:jc w:val="center"/>
              <w:rPr>
                <w:rFonts w:ascii="宋体" w:hAnsi="宋体" w:cs="宋体"/>
                <w:color w:val="auto"/>
                <w:sz w:val="28"/>
                <w:szCs w:val="28"/>
                <w:highlight w:val="none"/>
              </w:rPr>
            </w:pPr>
          </w:p>
        </w:tc>
        <w:tc>
          <w:tcPr>
            <w:tcW w:w="2518" w:type="dxa"/>
          </w:tcPr>
          <w:p w14:paraId="1E94291D">
            <w:pPr>
              <w:spacing w:line="400" w:lineRule="exact"/>
              <w:jc w:val="center"/>
              <w:rPr>
                <w:rFonts w:ascii="宋体" w:hAnsi="宋体" w:cs="宋体"/>
                <w:color w:val="auto"/>
                <w:sz w:val="28"/>
                <w:szCs w:val="28"/>
                <w:highlight w:val="none"/>
              </w:rPr>
            </w:pPr>
          </w:p>
        </w:tc>
      </w:tr>
      <w:tr w14:paraId="2C2C8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FFB3F50">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3609" w:type="dxa"/>
          </w:tcPr>
          <w:p w14:paraId="471CD8B1">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5.1.1</w:t>
            </w:r>
            <w:r>
              <w:rPr>
                <w:rFonts w:hint="eastAsia" w:ascii="宋体" w:hAnsi="宋体" w:cs="宋体"/>
                <w:color w:val="auto"/>
                <w:sz w:val="28"/>
                <w:szCs w:val="28"/>
                <w:highlight w:val="none"/>
              </w:rPr>
              <w:t>配置要求为高效液相色谱仪-二极管阵列/蒸发光散射检测器，包含四元高压梯度泵、自动进样器、柱温箱、柱后衍生系统、二极管阵列检测器、蒸发光散射检测器、仪器控制及数据处理系统。</w:t>
            </w:r>
          </w:p>
        </w:tc>
        <w:tc>
          <w:tcPr>
            <w:tcW w:w="3317" w:type="dxa"/>
          </w:tcPr>
          <w:p w14:paraId="7C04DB22">
            <w:pPr>
              <w:spacing w:line="400" w:lineRule="exact"/>
              <w:jc w:val="center"/>
              <w:rPr>
                <w:rFonts w:ascii="宋体" w:hAnsi="宋体" w:cs="宋体"/>
                <w:color w:val="auto"/>
                <w:sz w:val="28"/>
                <w:szCs w:val="28"/>
                <w:highlight w:val="none"/>
              </w:rPr>
            </w:pPr>
          </w:p>
        </w:tc>
        <w:tc>
          <w:tcPr>
            <w:tcW w:w="2518" w:type="dxa"/>
          </w:tcPr>
          <w:p w14:paraId="3F1375EA">
            <w:pPr>
              <w:spacing w:line="400" w:lineRule="exact"/>
              <w:jc w:val="center"/>
              <w:rPr>
                <w:rFonts w:ascii="宋体" w:hAnsi="宋体" w:cs="宋体"/>
                <w:color w:val="auto"/>
                <w:sz w:val="28"/>
                <w:szCs w:val="28"/>
                <w:highlight w:val="none"/>
              </w:rPr>
            </w:pPr>
          </w:p>
        </w:tc>
      </w:tr>
      <w:tr w14:paraId="48B34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BA7010B">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3609" w:type="dxa"/>
          </w:tcPr>
          <w:p w14:paraId="13C022AB">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6.1.1包含二元高压泵、自动进样器、柱温箱、ESI和APCI离子源、三重四极杆质谱主机、工作站及软件系统。</w:t>
            </w:r>
          </w:p>
        </w:tc>
        <w:tc>
          <w:tcPr>
            <w:tcW w:w="3317" w:type="dxa"/>
          </w:tcPr>
          <w:p w14:paraId="32C238DD">
            <w:pPr>
              <w:spacing w:line="400" w:lineRule="exact"/>
              <w:jc w:val="center"/>
              <w:rPr>
                <w:rFonts w:ascii="宋体" w:hAnsi="宋体" w:cs="宋体"/>
                <w:color w:val="auto"/>
                <w:sz w:val="28"/>
                <w:szCs w:val="28"/>
                <w:highlight w:val="none"/>
              </w:rPr>
            </w:pPr>
          </w:p>
        </w:tc>
        <w:tc>
          <w:tcPr>
            <w:tcW w:w="2518" w:type="dxa"/>
          </w:tcPr>
          <w:p w14:paraId="1BFF8B6E">
            <w:pPr>
              <w:spacing w:line="400" w:lineRule="exact"/>
              <w:jc w:val="center"/>
              <w:rPr>
                <w:rFonts w:ascii="宋体" w:hAnsi="宋体" w:cs="宋体"/>
                <w:color w:val="auto"/>
                <w:sz w:val="28"/>
                <w:szCs w:val="28"/>
                <w:highlight w:val="none"/>
              </w:rPr>
            </w:pPr>
          </w:p>
        </w:tc>
      </w:tr>
      <w:tr w14:paraId="0B241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766CA54">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3609" w:type="dxa"/>
          </w:tcPr>
          <w:p w14:paraId="716B7C26">
            <w:pPr>
              <w:spacing w:line="40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7.1.1配置要求包括六通阀、高压泵、电导检测系统、安培检测系统、柱温箱、双色谱系统、自动进样器、梯度系统、自动淋洗液发生器、专业版软件工作站； </w:t>
            </w:r>
          </w:p>
        </w:tc>
        <w:tc>
          <w:tcPr>
            <w:tcW w:w="3317" w:type="dxa"/>
          </w:tcPr>
          <w:p w14:paraId="41042838">
            <w:pPr>
              <w:spacing w:line="400" w:lineRule="exact"/>
              <w:jc w:val="center"/>
              <w:rPr>
                <w:rFonts w:ascii="宋体" w:hAnsi="宋体" w:cs="宋体"/>
                <w:color w:val="auto"/>
                <w:sz w:val="28"/>
                <w:szCs w:val="28"/>
                <w:highlight w:val="none"/>
              </w:rPr>
            </w:pPr>
          </w:p>
        </w:tc>
        <w:tc>
          <w:tcPr>
            <w:tcW w:w="2518" w:type="dxa"/>
          </w:tcPr>
          <w:p w14:paraId="5154A8E7">
            <w:pPr>
              <w:spacing w:line="400" w:lineRule="exact"/>
              <w:jc w:val="center"/>
              <w:rPr>
                <w:rFonts w:ascii="宋体" w:hAnsi="宋体" w:cs="宋体"/>
                <w:color w:val="auto"/>
                <w:sz w:val="28"/>
                <w:szCs w:val="28"/>
                <w:highlight w:val="none"/>
              </w:rPr>
            </w:pPr>
          </w:p>
        </w:tc>
      </w:tr>
    </w:tbl>
    <w:p w14:paraId="056A9A11">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附件13-1证明材料1，证明材料2，……</w:t>
      </w:r>
    </w:p>
    <w:p w14:paraId="739E6602">
      <w:pPr>
        <w:spacing w:line="400" w:lineRule="exact"/>
        <w:rPr>
          <w:rFonts w:ascii="宋体" w:hAnsi="宋体" w:cs="宋体"/>
          <w:color w:val="auto"/>
          <w:sz w:val="28"/>
          <w:szCs w:val="28"/>
          <w:highlight w:val="none"/>
        </w:rPr>
      </w:pPr>
    </w:p>
    <w:p w14:paraId="43BA18D4">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485595DD">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1.如果招标文件要求提供证明材料，投标人必须将证明材料列于该表之下。</w:t>
      </w:r>
    </w:p>
    <w:p w14:paraId="2D59014D">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2.投标人未对实质性要求逐条作出明确响应的，或未按招标文件要求提供证明材料的，作无效投标处理。</w:t>
      </w:r>
    </w:p>
    <w:p w14:paraId="7DD3CBFB">
      <w:pPr>
        <w:rPr>
          <w:rFonts w:ascii="宋体" w:hAnsi="宋体" w:cs="宋体"/>
          <w:b/>
          <w:color w:val="auto"/>
          <w:sz w:val="32"/>
          <w:szCs w:val="32"/>
          <w:highlight w:val="none"/>
        </w:rPr>
        <w:sectPr>
          <w:headerReference r:id="rId13" w:type="first"/>
          <w:headerReference r:id="rId11" w:type="default"/>
          <w:footerReference r:id="rId14" w:type="default"/>
          <w:headerReference r:id="rId12" w:type="even"/>
          <w:pgSz w:w="11906" w:h="16838"/>
          <w:pgMar w:top="1440" w:right="1740" w:bottom="1440" w:left="1740" w:header="851" w:footer="992" w:gutter="0"/>
          <w:cols w:space="720" w:num="1"/>
          <w:docGrid w:type="lines" w:linePitch="312" w:charSpace="0"/>
        </w:sectPr>
      </w:pPr>
    </w:p>
    <w:p w14:paraId="6ECCBC32">
      <w:pPr>
        <w:snapToGrid w:val="0"/>
        <w:spacing w:line="300" w:lineRule="auto"/>
        <w:rPr>
          <w:rFonts w:ascii="宋体" w:hAnsi="宋体" w:cs="宋体"/>
          <w:color w:val="auto"/>
          <w:sz w:val="32"/>
          <w:szCs w:val="32"/>
          <w:highlight w:val="none"/>
        </w:rPr>
      </w:pPr>
      <w:r>
        <w:rPr>
          <w:rFonts w:hint="eastAsia" w:ascii="宋体" w:hAnsi="宋体" w:cs="宋体"/>
          <w:color w:val="auto"/>
          <w:sz w:val="32"/>
          <w:szCs w:val="32"/>
          <w:highlight w:val="none"/>
        </w:rPr>
        <w:t>附件14</w:t>
      </w:r>
    </w:p>
    <w:p w14:paraId="2A9E0C4D">
      <w:pPr>
        <w:spacing w:line="460" w:lineRule="exact"/>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72463F93">
      <w:pPr>
        <w:adjustRightInd w:val="0"/>
        <w:snapToGrid w:val="0"/>
        <w:spacing w:beforeLines="100" w:line="460" w:lineRule="exact"/>
        <w:outlineLvl w:val="1"/>
        <w:rPr>
          <w:rFonts w:ascii="宋体" w:hAnsi="宋体" w:cs="宋体"/>
          <w:bCs/>
          <w:color w:val="auto"/>
          <w:sz w:val="28"/>
          <w:szCs w:val="28"/>
          <w:highlight w:val="none"/>
        </w:rPr>
      </w:pPr>
      <w:bookmarkStart w:id="294" w:name="_Toc31083"/>
      <w:r>
        <w:rPr>
          <w:rFonts w:hint="eastAsia" w:ascii="宋体" w:hAnsi="宋体" w:cs="宋体"/>
          <w:bCs/>
          <w:color w:val="auto"/>
          <w:sz w:val="28"/>
          <w:szCs w:val="28"/>
          <w:highlight w:val="none"/>
        </w:rPr>
        <w:t>一、质疑投标人基本信息</w:t>
      </w:r>
      <w:bookmarkEnd w:id="294"/>
    </w:p>
    <w:p w14:paraId="2EA94FE4">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质疑投标人：</w:t>
      </w:r>
    </w:p>
    <w:p w14:paraId="4822C0D7">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2CD4DCC4">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CF40E2D">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0C062D10">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312E39F6">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2FECBC5D">
      <w:pPr>
        <w:adjustRightInd w:val="0"/>
        <w:snapToGrid w:val="0"/>
        <w:spacing w:line="460" w:lineRule="exact"/>
        <w:outlineLvl w:val="1"/>
        <w:rPr>
          <w:rFonts w:ascii="宋体" w:hAnsi="宋体" w:cs="宋体"/>
          <w:bCs/>
          <w:color w:val="auto"/>
          <w:sz w:val="28"/>
          <w:szCs w:val="28"/>
          <w:highlight w:val="none"/>
        </w:rPr>
      </w:pPr>
      <w:bookmarkStart w:id="295" w:name="_Toc10335"/>
      <w:r>
        <w:rPr>
          <w:rFonts w:hint="eastAsia" w:ascii="宋体" w:hAnsi="宋体" w:cs="宋体"/>
          <w:bCs/>
          <w:color w:val="auto"/>
          <w:sz w:val="28"/>
          <w:szCs w:val="28"/>
          <w:highlight w:val="none"/>
        </w:rPr>
        <w:t>二、质疑项目基本情况</w:t>
      </w:r>
      <w:bookmarkEnd w:id="295"/>
    </w:p>
    <w:p w14:paraId="06421EA9">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16B0E957">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23B87D77">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62C98E35">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招标文件获取日期：</w:t>
      </w:r>
    </w:p>
    <w:p w14:paraId="37DFDB3E">
      <w:pPr>
        <w:adjustRightInd w:val="0"/>
        <w:snapToGrid w:val="0"/>
        <w:spacing w:line="460" w:lineRule="exact"/>
        <w:outlineLvl w:val="1"/>
        <w:rPr>
          <w:rFonts w:ascii="宋体" w:hAnsi="宋体" w:cs="宋体"/>
          <w:bCs/>
          <w:color w:val="auto"/>
          <w:sz w:val="28"/>
          <w:szCs w:val="28"/>
          <w:highlight w:val="none"/>
        </w:rPr>
      </w:pPr>
      <w:bookmarkStart w:id="296" w:name="_Toc16480"/>
      <w:r>
        <w:rPr>
          <w:rFonts w:hint="eastAsia" w:ascii="宋体" w:hAnsi="宋体" w:cs="宋体"/>
          <w:bCs/>
          <w:color w:val="auto"/>
          <w:sz w:val="28"/>
          <w:szCs w:val="28"/>
          <w:highlight w:val="none"/>
        </w:rPr>
        <w:t>三、质疑事项具体内容</w:t>
      </w:r>
      <w:bookmarkEnd w:id="296"/>
    </w:p>
    <w:p w14:paraId="4371D9E8">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028B13D1">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321F0623">
      <w:pPr>
        <w:adjustRightInd w:val="0"/>
        <w:snapToGrid w:val="0"/>
        <w:spacing w:line="460" w:lineRule="exact"/>
        <w:rPr>
          <w:rFonts w:ascii="宋体" w:hAnsi="宋体" w:cs="宋体"/>
          <w:color w:val="auto"/>
          <w:sz w:val="28"/>
          <w:szCs w:val="28"/>
          <w:highlight w:val="none"/>
        </w:rPr>
      </w:pPr>
    </w:p>
    <w:p w14:paraId="7D294F8B">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24C4B31F">
      <w:pPr>
        <w:adjustRightInd w:val="0"/>
        <w:snapToGrid w:val="0"/>
        <w:spacing w:line="460" w:lineRule="exact"/>
        <w:rPr>
          <w:rFonts w:ascii="宋体" w:hAnsi="宋体" w:cs="宋体"/>
          <w:color w:val="auto"/>
          <w:sz w:val="28"/>
          <w:szCs w:val="28"/>
          <w:highlight w:val="none"/>
          <w:u w:val="dotted"/>
        </w:rPr>
      </w:pPr>
    </w:p>
    <w:p w14:paraId="7A2EBAC9">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39BC9A13">
      <w:pP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w:t>
      </w:r>
    </w:p>
    <w:p w14:paraId="3BE12E4E">
      <w:pPr>
        <w:adjustRightInd w:val="0"/>
        <w:snapToGrid w:val="0"/>
        <w:spacing w:line="460" w:lineRule="exact"/>
        <w:outlineLvl w:val="1"/>
        <w:rPr>
          <w:rFonts w:ascii="宋体" w:hAnsi="宋体" w:cs="宋体"/>
          <w:bCs/>
          <w:color w:val="auto"/>
          <w:sz w:val="28"/>
          <w:szCs w:val="28"/>
          <w:highlight w:val="none"/>
        </w:rPr>
      </w:pPr>
      <w:bookmarkStart w:id="297" w:name="_Toc21173"/>
      <w:r>
        <w:rPr>
          <w:rFonts w:hint="eastAsia" w:ascii="宋体" w:hAnsi="宋体" w:cs="宋体"/>
          <w:bCs/>
          <w:color w:val="auto"/>
          <w:sz w:val="28"/>
          <w:szCs w:val="28"/>
          <w:highlight w:val="none"/>
        </w:rPr>
        <w:t>四、与质疑事项相关的质疑请求</w:t>
      </w:r>
      <w:bookmarkEnd w:id="297"/>
    </w:p>
    <w:p w14:paraId="62077C51">
      <w:pPr>
        <w:adjustRightInd w:val="0"/>
        <w:snapToGrid w:val="0"/>
        <w:spacing w:line="460" w:lineRule="exact"/>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49DFD54A">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95EA006">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A59FE00">
      <w:pPr>
        <w:adjustRightInd w:val="0"/>
        <w:snapToGrid w:val="0"/>
        <w:spacing w:line="460" w:lineRule="exact"/>
        <w:rPr>
          <w:rFonts w:ascii="宋体" w:hAnsi="宋体" w:cs="宋体"/>
          <w:color w:val="auto"/>
          <w:sz w:val="28"/>
          <w:szCs w:val="28"/>
          <w:highlight w:val="none"/>
        </w:rPr>
      </w:pPr>
    </w:p>
    <w:p w14:paraId="6FE64423">
      <w:pPr>
        <w:spacing w:line="460" w:lineRule="exact"/>
        <w:rPr>
          <w:rFonts w:ascii="宋体" w:hAnsi="宋体" w:cs="宋体"/>
          <w:b/>
          <w:color w:val="auto"/>
          <w:sz w:val="28"/>
          <w:szCs w:val="28"/>
          <w:highlight w:val="none"/>
        </w:rPr>
      </w:pPr>
    </w:p>
    <w:p w14:paraId="3905C25B">
      <w:pPr>
        <w:spacing w:line="460" w:lineRule="exact"/>
        <w:rPr>
          <w:rFonts w:ascii="宋体" w:hAnsi="宋体" w:cs="宋体"/>
          <w:b/>
          <w:color w:val="auto"/>
          <w:sz w:val="28"/>
          <w:szCs w:val="28"/>
          <w:highlight w:val="none"/>
        </w:rPr>
      </w:pPr>
    </w:p>
    <w:p w14:paraId="526722B2">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7999A2C2">
      <w:pPr>
        <w:widowControl/>
        <w:spacing w:line="460" w:lineRule="exact"/>
        <w:ind w:firstLine="560" w:firstLineChars="200"/>
        <w:jc w:val="left"/>
        <w:outlineLvl w:val="2"/>
        <w:rPr>
          <w:rFonts w:ascii="宋体" w:hAnsi="宋体" w:cs="宋体"/>
          <w:color w:val="auto"/>
          <w:sz w:val="28"/>
          <w:szCs w:val="28"/>
          <w:highlight w:val="none"/>
        </w:rPr>
      </w:pPr>
      <w:bookmarkStart w:id="298" w:name="_Toc29150"/>
      <w:r>
        <w:rPr>
          <w:rFonts w:hint="eastAsia" w:ascii="宋体" w:hAnsi="宋体" w:cs="宋体"/>
          <w:color w:val="auto"/>
          <w:sz w:val="28"/>
          <w:szCs w:val="28"/>
          <w:highlight w:val="none"/>
        </w:rPr>
        <w:t>1.投标人提出质疑时，应提交质疑函和必要的证明材料。</w:t>
      </w:r>
      <w:bookmarkEnd w:id="298"/>
    </w:p>
    <w:p w14:paraId="18B34EFA">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2.质疑投标人若委托代理人进行质疑的，质疑函应按要求列明“授权代表”的有关内容，并在附件中提交由质疑</w:t>
      </w:r>
      <w:r>
        <w:rPr>
          <w:rFonts w:hint="eastAsia" w:ascii="宋体" w:hAnsi="宋体" w:cs="宋体"/>
          <w:color w:val="auto"/>
          <w:kern w:val="0"/>
          <w:sz w:val="28"/>
          <w:szCs w:val="28"/>
          <w:highlight w:val="none"/>
        </w:rPr>
        <w:t>投标人签署的授权委托书。授权委托书应载明代理人的姓名或者名称、代理事项、具体权限、期限和相关事项。</w:t>
      </w:r>
    </w:p>
    <w:p w14:paraId="5C03276D">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3.质疑投标人若对项目的某一分包进行质疑，质疑函中应列明具体分包号。</w:t>
      </w:r>
    </w:p>
    <w:p w14:paraId="250A5614">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21E18C80">
      <w:pPr>
        <w:widowControl/>
        <w:spacing w:line="460" w:lineRule="exact"/>
        <w:ind w:firstLine="560" w:firstLineChars="200"/>
        <w:jc w:val="left"/>
        <w:outlineLvl w:val="2"/>
        <w:rPr>
          <w:rFonts w:ascii="宋体" w:hAnsi="宋体" w:cs="宋体"/>
          <w:color w:val="auto"/>
          <w:sz w:val="28"/>
          <w:szCs w:val="28"/>
          <w:highlight w:val="none"/>
        </w:rPr>
      </w:pPr>
      <w:bookmarkStart w:id="299" w:name="_Toc8790"/>
      <w:r>
        <w:rPr>
          <w:rFonts w:hint="eastAsia" w:ascii="宋体" w:hAnsi="宋体" w:cs="宋体"/>
          <w:color w:val="auto"/>
          <w:sz w:val="28"/>
          <w:szCs w:val="28"/>
          <w:highlight w:val="none"/>
        </w:rPr>
        <w:t>5.质疑函的质疑请求应与质疑事项相关。</w:t>
      </w:r>
      <w:bookmarkEnd w:id="299"/>
    </w:p>
    <w:p w14:paraId="64AB381A">
      <w:pPr>
        <w:widowControl/>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6.质疑投标人为自然人的，质疑函应由本人签字；质疑投标人为法人或者其他组织的，质疑函应由法定代表人、主要负责人，或者其授权代表签字或者盖章，并加盖公章。</w:t>
      </w:r>
    </w:p>
    <w:p w14:paraId="46972D3E">
      <w:pPr>
        <w:snapToGrid w:val="0"/>
        <w:spacing w:line="300" w:lineRule="auto"/>
        <w:rPr>
          <w:rFonts w:ascii="宋体" w:hAnsi="宋体" w:cs="宋体"/>
          <w:color w:val="auto"/>
          <w:sz w:val="28"/>
          <w:szCs w:val="28"/>
          <w:highlight w:val="none"/>
        </w:rPr>
      </w:pPr>
    </w:p>
    <w:p w14:paraId="64F136A0">
      <w:pPr>
        <w:widowControl/>
        <w:ind w:firstLine="560" w:firstLineChars="200"/>
        <w:jc w:val="left"/>
        <w:rPr>
          <w:rFonts w:ascii="宋体" w:hAnsi="宋体" w:cs="宋体"/>
          <w:color w:val="auto"/>
          <w:sz w:val="28"/>
          <w:szCs w:val="28"/>
          <w:highlight w:val="none"/>
        </w:rPr>
      </w:pPr>
    </w:p>
    <w:p w14:paraId="03741A25">
      <w:pPr>
        <w:widowControl/>
        <w:ind w:firstLine="560" w:firstLineChars="200"/>
        <w:jc w:val="left"/>
        <w:rPr>
          <w:rFonts w:ascii="宋体" w:hAnsi="宋体" w:cs="宋体"/>
          <w:color w:val="auto"/>
          <w:sz w:val="28"/>
          <w:szCs w:val="28"/>
          <w:highlight w:val="none"/>
        </w:rPr>
      </w:pPr>
    </w:p>
    <w:p w14:paraId="21386B6F">
      <w:pPr>
        <w:widowControl/>
        <w:ind w:firstLine="560" w:firstLineChars="200"/>
        <w:jc w:val="left"/>
        <w:rPr>
          <w:rFonts w:ascii="宋体" w:hAnsi="宋体" w:cs="宋体"/>
          <w:color w:val="auto"/>
          <w:sz w:val="28"/>
          <w:szCs w:val="28"/>
          <w:highlight w:val="none"/>
        </w:rPr>
      </w:pPr>
    </w:p>
    <w:p w14:paraId="15A254A8">
      <w:pPr>
        <w:widowControl/>
        <w:ind w:firstLine="560" w:firstLineChars="200"/>
        <w:jc w:val="left"/>
        <w:rPr>
          <w:rFonts w:ascii="宋体" w:hAnsi="宋体" w:cs="宋体"/>
          <w:color w:val="auto"/>
          <w:sz w:val="28"/>
          <w:szCs w:val="28"/>
          <w:highlight w:val="none"/>
        </w:rPr>
      </w:pPr>
    </w:p>
    <w:p w14:paraId="3F913BBD">
      <w:pPr>
        <w:widowControl/>
        <w:ind w:firstLine="560" w:firstLineChars="200"/>
        <w:jc w:val="left"/>
        <w:rPr>
          <w:rFonts w:ascii="宋体" w:hAnsi="宋体" w:cs="宋体"/>
          <w:color w:val="auto"/>
          <w:sz w:val="28"/>
          <w:szCs w:val="28"/>
          <w:highlight w:val="none"/>
        </w:rPr>
      </w:pPr>
    </w:p>
    <w:p w14:paraId="4A4B20D9">
      <w:pPr>
        <w:widowControl/>
        <w:ind w:firstLine="560" w:firstLineChars="200"/>
        <w:jc w:val="left"/>
        <w:rPr>
          <w:rFonts w:ascii="宋体" w:hAnsi="宋体" w:cs="宋体"/>
          <w:color w:val="auto"/>
          <w:sz w:val="28"/>
          <w:szCs w:val="28"/>
          <w:highlight w:val="none"/>
        </w:rPr>
      </w:pPr>
    </w:p>
    <w:p w14:paraId="022BF209">
      <w:pPr>
        <w:widowControl/>
        <w:ind w:firstLine="560" w:firstLineChars="200"/>
        <w:jc w:val="left"/>
        <w:rPr>
          <w:rFonts w:ascii="宋体" w:hAnsi="宋体" w:cs="宋体"/>
          <w:color w:val="auto"/>
          <w:sz w:val="28"/>
          <w:szCs w:val="28"/>
          <w:highlight w:val="none"/>
        </w:rPr>
      </w:pPr>
    </w:p>
    <w:p w14:paraId="2676B210">
      <w:pPr>
        <w:widowControl/>
        <w:ind w:firstLine="560" w:firstLineChars="200"/>
        <w:jc w:val="left"/>
        <w:rPr>
          <w:rFonts w:ascii="宋体" w:hAnsi="宋体" w:cs="宋体"/>
          <w:color w:val="auto"/>
          <w:sz w:val="28"/>
          <w:szCs w:val="28"/>
          <w:highlight w:val="none"/>
        </w:rPr>
      </w:pPr>
    </w:p>
    <w:p w14:paraId="2FE619F9">
      <w:pPr>
        <w:widowControl/>
        <w:ind w:firstLine="560" w:firstLineChars="200"/>
        <w:jc w:val="left"/>
        <w:rPr>
          <w:rFonts w:ascii="宋体" w:hAnsi="宋体" w:cs="宋体"/>
          <w:color w:val="auto"/>
          <w:sz w:val="28"/>
          <w:szCs w:val="28"/>
          <w:highlight w:val="none"/>
        </w:rPr>
      </w:pPr>
    </w:p>
    <w:p w14:paraId="51FBDE3F">
      <w:pPr>
        <w:widowControl/>
        <w:ind w:firstLine="560" w:firstLineChars="200"/>
        <w:jc w:val="left"/>
        <w:rPr>
          <w:rFonts w:ascii="宋体" w:hAnsi="宋体" w:cs="宋体"/>
          <w:color w:val="auto"/>
          <w:sz w:val="28"/>
          <w:szCs w:val="28"/>
          <w:highlight w:val="none"/>
        </w:rPr>
      </w:pPr>
    </w:p>
    <w:p w14:paraId="34D7C4A1">
      <w:pPr>
        <w:widowControl/>
        <w:ind w:firstLine="560" w:firstLineChars="200"/>
        <w:jc w:val="left"/>
        <w:rPr>
          <w:rFonts w:ascii="宋体" w:hAnsi="宋体" w:cs="宋体"/>
          <w:color w:val="auto"/>
          <w:sz w:val="28"/>
          <w:szCs w:val="28"/>
          <w:highlight w:val="none"/>
        </w:rPr>
      </w:pPr>
    </w:p>
    <w:p w14:paraId="7482AA2A">
      <w:pPr>
        <w:spacing w:line="120" w:lineRule="auto"/>
        <w:jc w:val="center"/>
        <w:rPr>
          <w:rFonts w:eastAsia="方正小标宋_GBK"/>
          <w:color w:val="auto"/>
          <w:sz w:val="44"/>
          <w:szCs w:val="44"/>
          <w:highlight w:val="none"/>
        </w:rPr>
      </w:pPr>
      <w:r>
        <w:rPr>
          <w:rFonts w:hint="eastAsia" w:eastAsia="方正小标宋_GBK"/>
          <w:color w:val="auto"/>
          <w:sz w:val="44"/>
          <w:szCs w:val="44"/>
          <w:highlight w:val="none"/>
        </w:rPr>
        <w:t>南通苏采招投标咨询服务有限公司</w:t>
      </w:r>
    </w:p>
    <w:p w14:paraId="1A7E46B0">
      <w:pPr>
        <w:spacing w:line="120" w:lineRule="auto"/>
        <w:jc w:val="center"/>
        <w:rPr>
          <w:rFonts w:eastAsia="方正仿宋_GBK"/>
          <w:color w:val="auto"/>
          <w:sz w:val="30"/>
          <w:szCs w:val="30"/>
          <w:highlight w:val="none"/>
        </w:rPr>
      </w:pPr>
      <w:r>
        <w:rPr>
          <w:rFonts w:eastAsia="方正小标宋_GBK"/>
          <w:color w:val="auto"/>
          <w:sz w:val="44"/>
          <w:szCs w:val="44"/>
          <w:highlight w:val="none"/>
        </w:rPr>
        <w:t>政府采购供应商友情提醒</w:t>
      </w:r>
    </w:p>
    <w:p w14:paraId="31A55B55">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供应商在参与政府采购项目中的常见问题，现将有关常见问题提醒如下：</w:t>
      </w:r>
    </w:p>
    <w:p w14:paraId="712CA63D">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一、如何参与政府采购项目？</w:t>
      </w:r>
    </w:p>
    <w:p w14:paraId="09FDC4EC">
      <w:pPr>
        <w:spacing w:line="500" w:lineRule="exact"/>
        <w:ind w:firstLine="600"/>
        <w:rPr>
          <w:rFonts w:eastAsia="方正仿宋_GBK"/>
          <w:color w:val="auto"/>
          <w:sz w:val="30"/>
          <w:szCs w:val="30"/>
          <w:highlight w:val="none"/>
        </w:rPr>
      </w:pPr>
      <w:r>
        <w:rPr>
          <w:rFonts w:eastAsia="方正仿宋_GBK"/>
          <w:color w:val="auto"/>
          <w:sz w:val="30"/>
          <w:szCs w:val="30"/>
          <w:highlight w:val="none"/>
        </w:rPr>
        <w:t>答：（1）潜在供应商如有意向参与</w:t>
      </w:r>
      <w:r>
        <w:rPr>
          <w:rFonts w:hint="eastAsia" w:eastAsia="方正仿宋_GBK"/>
          <w:color w:val="auto"/>
          <w:sz w:val="30"/>
          <w:szCs w:val="30"/>
          <w:highlight w:val="none"/>
        </w:rPr>
        <w:t>本公司</w:t>
      </w:r>
      <w:r>
        <w:rPr>
          <w:rFonts w:eastAsia="方正仿宋_GBK"/>
          <w:color w:val="auto"/>
          <w:sz w:val="30"/>
          <w:szCs w:val="30"/>
          <w:highlight w:val="none"/>
        </w:rPr>
        <w:t>政府采购项目，必须按照以下方法进行操作，方可视为参与成功。</w:t>
      </w:r>
    </w:p>
    <w:p w14:paraId="378024CC">
      <w:pPr>
        <w:spacing w:line="500" w:lineRule="exact"/>
        <w:ind w:firstLine="600"/>
        <w:rPr>
          <w:rFonts w:eastAsia="方正仿宋_GBK"/>
          <w:color w:val="auto"/>
          <w:sz w:val="30"/>
          <w:szCs w:val="30"/>
          <w:highlight w:val="none"/>
        </w:rPr>
      </w:pPr>
      <w:r>
        <w:rPr>
          <w:rFonts w:eastAsia="方正仿宋_GBK"/>
          <w:color w:val="auto"/>
          <w:sz w:val="30"/>
          <w:szCs w:val="30"/>
          <w:highlight w:val="none"/>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5E4EC8A">
      <w:pPr>
        <w:spacing w:line="500" w:lineRule="exact"/>
        <w:ind w:firstLine="600"/>
        <w:rPr>
          <w:rFonts w:eastAsia="方正仿宋_GBK"/>
          <w:color w:val="auto"/>
          <w:sz w:val="30"/>
          <w:szCs w:val="30"/>
          <w:highlight w:val="none"/>
        </w:rPr>
      </w:pPr>
      <w:r>
        <w:rPr>
          <w:rFonts w:eastAsia="方正仿宋_GBK"/>
          <w:color w:val="auto"/>
          <w:sz w:val="30"/>
          <w:szCs w:val="30"/>
          <w:highlight w:val="none"/>
        </w:rPr>
        <w:t>采购文件及其附件（如有）会在江苏省政府采购网进行公示，供应商可前往江苏省政府采购网查看下载，请注意，</w:t>
      </w:r>
      <w:r>
        <w:rPr>
          <w:rFonts w:hint="eastAsia" w:eastAsia="方正仿宋_GBK"/>
          <w:color w:val="auto"/>
          <w:sz w:val="30"/>
          <w:szCs w:val="30"/>
          <w:highlight w:val="none"/>
        </w:rPr>
        <w:t>采购文件获取时限</w:t>
      </w:r>
      <w:r>
        <w:rPr>
          <w:rFonts w:eastAsia="方正仿宋_GBK"/>
          <w:color w:val="auto"/>
          <w:sz w:val="30"/>
          <w:szCs w:val="30"/>
          <w:highlight w:val="none"/>
        </w:rPr>
        <w:t>为</w:t>
      </w:r>
      <w:r>
        <w:rPr>
          <w:rFonts w:hint="eastAsia" w:eastAsia="方正仿宋_GBK"/>
          <w:color w:val="auto"/>
          <w:sz w:val="30"/>
          <w:szCs w:val="30"/>
          <w:highlight w:val="none"/>
        </w:rPr>
        <w:t>自</w:t>
      </w:r>
      <w:r>
        <w:rPr>
          <w:rFonts w:eastAsia="方正仿宋_GBK"/>
          <w:color w:val="auto"/>
          <w:sz w:val="30"/>
          <w:szCs w:val="30"/>
          <w:highlight w:val="none"/>
        </w:rPr>
        <w:t>采购公告发布之日起5个工作日内，仅在江苏省政府采购网下载</w:t>
      </w:r>
      <w:r>
        <w:rPr>
          <w:rFonts w:hint="eastAsia" w:eastAsia="方正仿宋_GBK"/>
          <w:color w:val="auto"/>
          <w:sz w:val="30"/>
          <w:szCs w:val="30"/>
          <w:highlight w:val="none"/>
        </w:rPr>
        <w:t>采购</w:t>
      </w:r>
      <w:r>
        <w:rPr>
          <w:rFonts w:eastAsia="方正仿宋_GBK"/>
          <w:color w:val="auto"/>
          <w:sz w:val="30"/>
          <w:szCs w:val="30"/>
          <w:highlight w:val="none"/>
        </w:rPr>
        <w:t>文件无法参与后续项目投标。</w:t>
      </w:r>
    </w:p>
    <w:p w14:paraId="1BA83C1E">
      <w:pPr>
        <w:spacing w:line="500" w:lineRule="exact"/>
        <w:ind w:firstLine="600"/>
        <w:rPr>
          <w:rFonts w:eastAsia="方正仿宋_GBK"/>
          <w:color w:val="auto"/>
          <w:sz w:val="30"/>
          <w:szCs w:val="30"/>
          <w:highlight w:val="none"/>
        </w:rPr>
      </w:pPr>
      <w:r>
        <w:rPr>
          <w:rFonts w:eastAsia="方正仿宋_GBK"/>
          <w:color w:val="auto"/>
          <w:sz w:val="30"/>
          <w:szCs w:val="30"/>
          <w:highlight w:val="none"/>
        </w:rPr>
        <w:t>（2）“CA数字证书”的办理材料以及供应商操作手册详见：</w:t>
      </w:r>
    </w:p>
    <w:p w14:paraId="70F090CD">
      <w:pPr>
        <w:spacing w:line="500" w:lineRule="exact"/>
        <w:ind w:firstLine="600"/>
        <w:rPr>
          <w:rFonts w:eastAsia="方正仿宋_GBK"/>
          <w:color w:val="auto"/>
          <w:sz w:val="30"/>
          <w:szCs w:val="30"/>
          <w:highlight w:val="none"/>
        </w:rPr>
      </w:pPr>
      <w:r>
        <w:rPr>
          <w:rFonts w:eastAsia="方正仿宋_GBK"/>
          <w:color w:val="auto"/>
          <w:sz w:val="30"/>
          <w:szCs w:val="30"/>
          <w:highlight w:val="none"/>
        </w:rPr>
        <w:t>http://www.ccgp-jiangsu.gov.cn/jiangsu/zlxz/ee/ee3a4bc5a3454aa2b0d9312230633ce9.html</w:t>
      </w:r>
    </w:p>
    <w:p w14:paraId="44FDF119">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二、如何正确填写《中小企业声明函》？</w:t>
      </w:r>
    </w:p>
    <w:p w14:paraId="2AD5E35E">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答：受中小企业扶持政策的供应商应当满足下列条件：在货物采购项目中，货物应当由中小企业</w:t>
      </w:r>
      <w:r>
        <w:rPr>
          <w:rFonts w:eastAsia="方正仿宋_GBK"/>
          <w:b/>
          <w:bCs/>
          <w:color w:val="auto"/>
          <w:sz w:val="30"/>
          <w:szCs w:val="30"/>
          <w:highlight w:val="none"/>
        </w:rPr>
        <w:t>制造</w:t>
      </w:r>
      <w:r>
        <w:rPr>
          <w:rFonts w:eastAsia="方正仿宋_GBK"/>
          <w:color w:val="auto"/>
          <w:sz w:val="30"/>
          <w:szCs w:val="30"/>
          <w:highlight w:val="none"/>
        </w:rPr>
        <w:t>，不对其中涉及的服务的承接商作出要求。货物类项目制造商在填写中小企业声明函时，需按照采购标的中的标的清单</w:t>
      </w:r>
      <w:r>
        <w:rPr>
          <w:rFonts w:eastAsia="方正仿宋_GBK"/>
          <w:b/>
          <w:bCs/>
          <w:color w:val="auto"/>
          <w:sz w:val="30"/>
          <w:szCs w:val="30"/>
          <w:highlight w:val="none"/>
        </w:rPr>
        <w:t>逐项进行响应</w:t>
      </w:r>
      <w:r>
        <w:rPr>
          <w:rFonts w:eastAsia="方正仿宋_GBK"/>
          <w:color w:val="auto"/>
          <w:sz w:val="30"/>
          <w:szCs w:val="30"/>
          <w:highlight w:val="none"/>
        </w:rPr>
        <w:t>；在工程采购项目中，工程应当由中小企业承建，不对其中涉及的货物的制造商和服务的承接商作出要求；在服务采购项目中，服务的承接商应当为中小企业，不对其中涉及的货物的制造商作出要求。</w:t>
      </w:r>
    </w:p>
    <w:p w14:paraId="42DA11C2">
      <w:pPr>
        <w:spacing w:line="500" w:lineRule="exact"/>
        <w:ind w:firstLine="600"/>
        <w:rPr>
          <w:rFonts w:eastAsia="方正仿宋_GBK"/>
          <w:color w:val="auto"/>
          <w:sz w:val="30"/>
          <w:szCs w:val="30"/>
          <w:highlight w:val="none"/>
        </w:rPr>
      </w:pPr>
      <w:r>
        <w:rPr>
          <w:rFonts w:eastAsia="方正仿宋_GBK"/>
          <w:color w:val="auto"/>
          <w:sz w:val="30"/>
          <w:szCs w:val="30"/>
          <w:highlight w:val="none"/>
        </w:rPr>
        <w:t>如采购项目允许分包，所有分包供应商也需按照采购项目的属性提供《中小企业声明函》，否则视为不享受中小企业扶持政策。</w:t>
      </w:r>
    </w:p>
    <w:p w14:paraId="4BCB5463">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三、填写附件的时候有哪些需要注意的？</w:t>
      </w:r>
    </w:p>
    <w:p w14:paraId="004BC8BD">
      <w:pPr>
        <w:spacing w:line="500" w:lineRule="exact"/>
        <w:ind w:firstLine="600"/>
        <w:rPr>
          <w:rFonts w:eastAsia="方正仿宋_GBK"/>
          <w:color w:val="auto"/>
          <w:sz w:val="30"/>
          <w:szCs w:val="30"/>
          <w:highlight w:val="none"/>
        </w:rPr>
      </w:pPr>
      <w:r>
        <w:rPr>
          <w:rFonts w:eastAsia="方正仿宋_GBK"/>
          <w:color w:val="auto"/>
          <w:sz w:val="30"/>
          <w:szCs w:val="30"/>
          <w:highlight w:val="none"/>
        </w:rPr>
        <w:t>答：供应商需严格按照采购文件要求填写相关附件，如</w:t>
      </w:r>
      <w:r>
        <w:rPr>
          <w:rFonts w:hint="eastAsia" w:eastAsia="方正仿宋_GBK"/>
          <w:color w:val="auto"/>
          <w:sz w:val="30"/>
          <w:szCs w:val="30"/>
          <w:highlight w:val="none"/>
        </w:rPr>
        <w:t>投标文件</w:t>
      </w:r>
      <w:r>
        <w:rPr>
          <w:rFonts w:eastAsia="方正仿宋_GBK"/>
          <w:color w:val="auto"/>
          <w:sz w:val="30"/>
          <w:szCs w:val="30"/>
          <w:highlight w:val="none"/>
        </w:rPr>
        <w:t>有要求提供承诺函且需供应商自拟格式的，请务必按照文件要求对所有需承诺内容进行逐项、完整响应，不得缺项漏项。</w:t>
      </w:r>
    </w:p>
    <w:p w14:paraId="112C4EF7">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四、报价时有哪些注意事项？</w:t>
      </w:r>
    </w:p>
    <w:p w14:paraId="2A56E66E">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答：各供应商报价时应注意总报价不得高于最高限价。涉及分项报价有最高限价要求的，应当逐项审查；分项报价与总价存在换算关系的，应核对换算是否准确。</w:t>
      </w:r>
    </w:p>
    <w:p w14:paraId="4E247656">
      <w:pPr>
        <w:spacing w:line="500" w:lineRule="exact"/>
        <w:ind w:firstLine="600"/>
        <w:rPr>
          <w:rFonts w:eastAsia="方正仿宋_GBK"/>
          <w:color w:val="auto"/>
          <w:sz w:val="30"/>
          <w:szCs w:val="30"/>
          <w:highlight w:val="none"/>
        </w:rPr>
      </w:pPr>
      <w:r>
        <w:rPr>
          <w:rFonts w:eastAsia="方正仿宋_GBK"/>
          <w:color w:val="auto"/>
          <w:sz w:val="30"/>
          <w:szCs w:val="30"/>
          <w:highlight w:val="none"/>
        </w:rPr>
        <w:t>此外，供应商最终报价</w:t>
      </w:r>
      <w:r>
        <w:rPr>
          <w:rFonts w:hint="eastAsia" w:eastAsia="方正仿宋_GBK"/>
          <w:color w:val="auto"/>
          <w:sz w:val="30"/>
          <w:szCs w:val="30"/>
          <w:highlight w:val="none"/>
        </w:rPr>
        <w:t>出现下列情形之一的，评审委员会将启动异常低价投标（响应）审查程序：</w:t>
      </w:r>
    </w:p>
    <w:p w14:paraId="227AB804">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p>
    <w:p w14:paraId="04D90243">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p>
    <w:p w14:paraId="0A364DFA">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rPr>
        <w:t>3.投标（响应）报价低于采购项目最高限价45%的，即投标（响应）报价&lt;采购项目最高限价×45%；</w:t>
      </w:r>
    </w:p>
    <w:p w14:paraId="6548275B">
      <w:pPr>
        <w:spacing w:line="500" w:lineRule="exact"/>
        <w:ind w:firstLine="600"/>
        <w:rPr>
          <w:rFonts w:eastAsia="方正仿宋_GBK"/>
          <w:color w:val="auto"/>
          <w:sz w:val="30"/>
          <w:szCs w:val="30"/>
          <w:highlight w:val="none"/>
        </w:rPr>
      </w:pPr>
      <w:r>
        <w:rPr>
          <w:rFonts w:hint="eastAsia" w:eastAsia="方正仿宋_GBK"/>
          <w:color w:val="auto"/>
          <w:sz w:val="30"/>
          <w:szCs w:val="30"/>
          <w:highlight w:val="none"/>
        </w:rPr>
        <w:t>4.评审委员会认定的供应商报价过低、有可能影响产品质量或者不能诚信履约的其他情形。</w:t>
      </w:r>
    </w:p>
    <w:p w14:paraId="54A48D24">
      <w:pPr>
        <w:spacing w:line="500" w:lineRule="exact"/>
        <w:ind w:firstLine="600"/>
        <w:rPr>
          <w:rFonts w:eastAsia="方正仿宋_GBK"/>
          <w:color w:val="auto"/>
          <w:sz w:val="30"/>
          <w:szCs w:val="30"/>
          <w:highlight w:val="none"/>
        </w:rPr>
      </w:pPr>
      <w:r>
        <w:rPr>
          <w:rFonts w:eastAsia="方正仿宋_GBK"/>
          <w:color w:val="auto"/>
          <w:sz w:val="30"/>
          <w:szCs w:val="30"/>
          <w:highlight w:val="none"/>
        </w:rPr>
        <w:t>启动异常低价投标（响应）审查后，评审委员会</w:t>
      </w:r>
      <w:r>
        <w:rPr>
          <w:rFonts w:hint="eastAsia" w:eastAsia="方正仿宋_GBK"/>
          <w:color w:val="auto"/>
          <w:sz w:val="30"/>
          <w:szCs w:val="30"/>
          <w:highlight w:val="none"/>
        </w:rPr>
        <w:t>将</w:t>
      </w:r>
      <w:r>
        <w:rPr>
          <w:rFonts w:eastAsia="方正仿宋_GBK"/>
          <w:color w:val="auto"/>
          <w:sz w:val="30"/>
          <w:szCs w:val="30"/>
          <w:highlight w:val="none"/>
        </w:rPr>
        <w:t>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214CA391">
      <w:pPr>
        <w:spacing w:line="500" w:lineRule="exact"/>
        <w:ind w:firstLine="600"/>
        <w:rPr>
          <w:rFonts w:eastAsia="方正仿宋_GBK"/>
          <w:color w:val="auto"/>
          <w:sz w:val="30"/>
          <w:szCs w:val="30"/>
          <w:highlight w:val="none"/>
        </w:rPr>
      </w:pPr>
      <w:r>
        <w:rPr>
          <w:rFonts w:eastAsia="方正仿宋_GBK"/>
          <w:color w:val="auto"/>
          <w:sz w:val="30"/>
          <w:szCs w:val="30"/>
          <w:highlight w:val="none"/>
        </w:rPr>
        <w:t>各</w:t>
      </w:r>
      <w:r>
        <w:rPr>
          <w:rFonts w:hint="eastAsia" w:eastAsia="方正仿宋_GBK"/>
          <w:color w:val="auto"/>
          <w:sz w:val="30"/>
          <w:szCs w:val="30"/>
          <w:highlight w:val="none"/>
        </w:rPr>
        <w:t>投标（响应）</w:t>
      </w:r>
      <w:r>
        <w:rPr>
          <w:rFonts w:eastAsia="方正仿宋_GBK"/>
          <w:color w:val="auto"/>
          <w:sz w:val="30"/>
          <w:szCs w:val="30"/>
          <w:highlight w:val="none"/>
        </w:rPr>
        <w:t>供应商应当</w:t>
      </w:r>
      <w:r>
        <w:rPr>
          <w:rFonts w:hint="eastAsia" w:eastAsia="方正仿宋_GBK"/>
          <w:color w:val="auto"/>
          <w:sz w:val="30"/>
          <w:szCs w:val="30"/>
          <w:highlight w:val="none"/>
        </w:rPr>
        <w:t>始终</w:t>
      </w:r>
      <w:r>
        <w:rPr>
          <w:rFonts w:eastAsia="方正仿宋_GBK"/>
          <w:color w:val="auto"/>
          <w:sz w:val="30"/>
          <w:szCs w:val="30"/>
          <w:highlight w:val="none"/>
        </w:rPr>
        <w:t>关注开标大厅</w:t>
      </w:r>
      <w:r>
        <w:rPr>
          <w:rFonts w:hint="eastAsia" w:eastAsia="方正仿宋_GBK"/>
          <w:color w:val="auto"/>
          <w:sz w:val="30"/>
          <w:szCs w:val="30"/>
          <w:highlight w:val="none"/>
        </w:rPr>
        <w:t>，</w:t>
      </w:r>
      <w:r>
        <w:rPr>
          <w:rFonts w:eastAsia="方正仿宋_GBK"/>
          <w:color w:val="auto"/>
          <w:sz w:val="30"/>
          <w:szCs w:val="30"/>
          <w:highlight w:val="none"/>
        </w:rPr>
        <w:t>并</w:t>
      </w:r>
      <w:r>
        <w:rPr>
          <w:rFonts w:hint="eastAsia" w:eastAsia="方正仿宋_GBK"/>
          <w:color w:val="auto"/>
          <w:sz w:val="30"/>
          <w:szCs w:val="30"/>
          <w:highlight w:val="none"/>
        </w:rPr>
        <w:t>及时</w:t>
      </w:r>
      <w:r>
        <w:rPr>
          <w:rFonts w:eastAsia="方正仿宋_GBK"/>
          <w:color w:val="auto"/>
          <w:sz w:val="30"/>
          <w:szCs w:val="30"/>
          <w:highlight w:val="none"/>
        </w:rPr>
        <w:t>进行响应。</w:t>
      </w:r>
      <w:r>
        <w:rPr>
          <w:rFonts w:hint="eastAsia" w:eastAsia="方正仿宋_GBK"/>
          <w:color w:val="auto"/>
          <w:sz w:val="30"/>
          <w:szCs w:val="30"/>
          <w:highlight w:val="none"/>
        </w:rPr>
        <w:t>如</w:t>
      </w:r>
      <w:r>
        <w:rPr>
          <w:rFonts w:eastAsia="方正仿宋_GBK"/>
          <w:color w:val="auto"/>
          <w:sz w:val="30"/>
          <w:szCs w:val="30"/>
          <w:highlight w:val="none"/>
        </w:rPr>
        <w:t>投标（响应）供应商不提供书面说明、证明材料，或者提供的书面说明、证明材料不能证明其报价合理性的，评审委员会</w:t>
      </w:r>
      <w:r>
        <w:rPr>
          <w:rFonts w:hint="eastAsia" w:eastAsia="方正仿宋_GBK"/>
          <w:color w:val="auto"/>
          <w:sz w:val="30"/>
          <w:szCs w:val="30"/>
          <w:highlight w:val="none"/>
        </w:rPr>
        <w:t>有权</w:t>
      </w:r>
      <w:r>
        <w:rPr>
          <w:rFonts w:eastAsia="方正仿宋_GBK"/>
          <w:color w:val="auto"/>
          <w:sz w:val="30"/>
          <w:szCs w:val="30"/>
          <w:highlight w:val="none"/>
        </w:rPr>
        <w:t>将其作为无效投标（响应）处理。</w:t>
      </w:r>
    </w:p>
    <w:p w14:paraId="738AEC8E">
      <w:pPr>
        <w:spacing w:line="500" w:lineRule="exact"/>
        <w:ind w:firstLine="600"/>
        <w:rPr>
          <w:rFonts w:eastAsia="方正仿宋_GBK"/>
          <w:color w:val="auto"/>
          <w:sz w:val="30"/>
          <w:szCs w:val="30"/>
          <w:highlight w:val="none"/>
        </w:rPr>
      </w:pPr>
      <w:r>
        <w:rPr>
          <w:rFonts w:eastAsia="方正仿宋_GBK"/>
          <w:color w:val="auto"/>
          <w:sz w:val="30"/>
          <w:szCs w:val="30"/>
          <w:highlight w:val="none"/>
        </w:rPr>
        <w:t>对报价异常低且经评审委员会启动相关审查机制后仍中标或成交的供应商，</w:t>
      </w:r>
      <w:r>
        <w:rPr>
          <w:rFonts w:hint="eastAsia" w:eastAsia="方正仿宋_GBK"/>
          <w:color w:val="auto"/>
          <w:sz w:val="30"/>
          <w:szCs w:val="30"/>
          <w:highlight w:val="none"/>
        </w:rPr>
        <w:t>采购人将</w:t>
      </w:r>
      <w:r>
        <w:rPr>
          <w:rFonts w:eastAsia="方正仿宋_GBK"/>
          <w:color w:val="auto"/>
          <w:sz w:val="30"/>
          <w:szCs w:val="30"/>
          <w:highlight w:val="none"/>
        </w:rPr>
        <w:t>重点关注其履约能力、履约承诺、实际履约情况等。</w:t>
      </w:r>
    </w:p>
    <w:p w14:paraId="7D7E569A">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五、开评标过程中供应商的注意事项有哪些？</w:t>
      </w:r>
    </w:p>
    <w:p w14:paraId="0FA85905">
      <w:pPr>
        <w:spacing w:line="500" w:lineRule="exact"/>
        <w:ind w:firstLine="600"/>
        <w:rPr>
          <w:rFonts w:eastAsia="方正仿宋_GBK"/>
          <w:color w:val="auto"/>
          <w:sz w:val="30"/>
          <w:szCs w:val="30"/>
          <w:highlight w:val="none"/>
        </w:rPr>
      </w:pPr>
      <w:r>
        <w:rPr>
          <w:rFonts w:eastAsia="方正仿宋_GBK"/>
          <w:color w:val="auto"/>
          <w:sz w:val="30"/>
          <w:szCs w:val="30"/>
          <w:highlight w:val="none"/>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35B1BDC9">
      <w:pPr>
        <w:spacing w:line="500" w:lineRule="exact"/>
        <w:ind w:firstLine="602"/>
        <w:rPr>
          <w:rFonts w:eastAsia="方正仿宋_GBK"/>
          <w:b/>
          <w:bCs/>
          <w:color w:val="auto"/>
          <w:sz w:val="30"/>
          <w:szCs w:val="30"/>
          <w:highlight w:val="none"/>
        </w:rPr>
      </w:pPr>
      <w:r>
        <w:rPr>
          <w:rFonts w:eastAsia="方正仿宋_GBK"/>
          <w:b/>
          <w:bCs/>
          <w:color w:val="auto"/>
          <w:sz w:val="30"/>
          <w:szCs w:val="30"/>
          <w:highlight w:val="none"/>
        </w:rPr>
        <w:t>六、评标结束后什么时候能查询结果？如何查询？</w:t>
      </w:r>
    </w:p>
    <w:p w14:paraId="4290F25D">
      <w:pPr>
        <w:spacing w:line="500" w:lineRule="exact"/>
        <w:ind w:firstLine="600"/>
        <w:rPr>
          <w:rFonts w:eastAsia="方正仿宋_GBK"/>
          <w:color w:val="auto"/>
          <w:sz w:val="30"/>
          <w:szCs w:val="30"/>
          <w:highlight w:val="none"/>
        </w:rPr>
      </w:pPr>
      <w:r>
        <w:rPr>
          <w:rFonts w:eastAsia="方正仿宋_GBK"/>
          <w:color w:val="auto"/>
          <w:sz w:val="30"/>
          <w:szCs w:val="30"/>
          <w:highlight w:val="none"/>
        </w:rPr>
        <w:t>答：</w:t>
      </w:r>
      <w:r>
        <w:rPr>
          <w:rFonts w:hint="eastAsia" w:eastAsia="方正仿宋_GBK"/>
          <w:color w:val="auto"/>
          <w:sz w:val="30"/>
          <w:szCs w:val="30"/>
          <w:highlight w:val="none"/>
        </w:rPr>
        <w:t>对于采用公开招标或封闭式框架协议方式采购的项目，</w:t>
      </w:r>
      <w:r>
        <w:rPr>
          <w:rFonts w:eastAsia="方正仿宋_GBK"/>
          <w:color w:val="auto"/>
          <w:sz w:val="30"/>
          <w:szCs w:val="30"/>
          <w:highlight w:val="none"/>
        </w:rPr>
        <w:t>项目中标</w:t>
      </w:r>
      <w:r>
        <w:rPr>
          <w:rFonts w:hint="eastAsia" w:eastAsia="方正仿宋_GBK"/>
          <w:color w:val="auto"/>
          <w:sz w:val="30"/>
          <w:szCs w:val="30"/>
          <w:highlight w:val="none"/>
        </w:rPr>
        <w:t>（入围）</w:t>
      </w:r>
      <w:r>
        <w:rPr>
          <w:rFonts w:eastAsia="方正仿宋_GBK"/>
          <w:color w:val="auto"/>
          <w:sz w:val="30"/>
          <w:szCs w:val="30"/>
          <w:highlight w:val="none"/>
        </w:rPr>
        <w:t>公告</w:t>
      </w:r>
      <w:r>
        <w:rPr>
          <w:rFonts w:hint="eastAsia" w:eastAsia="方正仿宋_GBK"/>
          <w:color w:val="auto"/>
          <w:sz w:val="30"/>
          <w:szCs w:val="30"/>
          <w:highlight w:val="none"/>
        </w:rPr>
        <w:t>发布</w:t>
      </w:r>
      <w:r>
        <w:rPr>
          <w:rFonts w:eastAsia="方正仿宋_GBK"/>
          <w:color w:val="auto"/>
          <w:sz w:val="30"/>
          <w:szCs w:val="30"/>
          <w:highlight w:val="none"/>
        </w:rPr>
        <w:t>，参与供应商即可在</w:t>
      </w:r>
      <w:r>
        <w:rPr>
          <w:rFonts w:hint="eastAsia" w:eastAsia="方正仿宋_GBK"/>
          <w:color w:val="auto"/>
          <w:sz w:val="30"/>
          <w:szCs w:val="30"/>
          <w:highlight w:val="none"/>
        </w:rPr>
        <w:t>“</w:t>
      </w:r>
      <w:r>
        <w:rPr>
          <w:rFonts w:eastAsia="方正仿宋_GBK"/>
          <w:color w:val="auto"/>
          <w:sz w:val="30"/>
          <w:szCs w:val="30"/>
          <w:highlight w:val="none"/>
        </w:rPr>
        <w:t>苏采云</w:t>
      </w:r>
      <w:r>
        <w:rPr>
          <w:rFonts w:hint="eastAsia" w:eastAsia="方正仿宋_GBK"/>
          <w:color w:val="auto"/>
          <w:sz w:val="30"/>
          <w:szCs w:val="30"/>
          <w:highlight w:val="none"/>
        </w:rPr>
        <w:t>”</w:t>
      </w:r>
      <w:r>
        <w:rPr>
          <w:rFonts w:eastAsia="方正仿宋_GBK"/>
          <w:color w:val="auto"/>
          <w:sz w:val="30"/>
          <w:szCs w:val="30"/>
          <w:highlight w:val="none"/>
        </w:rPr>
        <w:t>系统中查看</w:t>
      </w:r>
      <w:r>
        <w:rPr>
          <w:rFonts w:hint="eastAsia" w:eastAsia="方正仿宋_GBK"/>
          <w:color w:val="auto"/>
          <w:sz w:val="30"/>
          <w:szCs w:val="30"/>
          <w:highlight w:val="none"/>
        </w:rPr>
        <w:t>评审</w:t>
      </w:r>
      <w:r>
        <w:rPr>
          <w:rFonts w:eastAsia="方正仿宋_GBK"/>
          <w:color w:val="auto"/>
          <w:sz w:val="30"/>
          <w:szCs w:val="30"/>
          <w:highlight w:val="none"/>
        </w:rPr>
        <w:t>结果。</w:t>
      </w:r>
    </w:p>
    <w:p w14:paraId="5D59A294">
      <w:pPr>
        <w:spacing w:line="500" w:lineRule="exact"/>
        <w:ind w:firstLine="600"/>
        <w:rPr>
          <w:rFonts w:eastAsia="方正仿宋_GBK"/>
          <w:color w:val="auto"/>
          <w:sz w:val="30"/>
          <w:szCs w:val="30"/>
          <w:highlight w:val="none"/>
        </w:rPr>
      </w:pPr>
      <w:r>
        <w:rPr>
          <w:rFonts w:eastAsia="方正仿宋_GBK"/>
          <w:color w:val="auto"/>
          <w:sz w:val="30"/>
          <w:szCs w:val="30"/>
          <w:highlight w:val="none"/>
        </w:rPr>
        <w:t>供应商查询</w:t>
      </w:r>
      <w:r>
        <w:rPr>
          <w:rFonts w:hint="eastAsia" w:eastAsia="方正仿宋_GBK"/>
          <w:color w:val="auto"/>
          <w:sz w:val="30"/>
          <w:szCs w:val="30"/>
          <w:highlight w:val="none"/>
        </w:rPr>
        <w:t>评审</w:t>
      </w:r>
      <w:r>
        <w:rPr>
          <w:rFonts w:eastAsia="方正仿宋_GBK"/>
          <w:color w:val="auto"/>
          <w:sz w:val="30"/>
          <w:szCs w:val="30"/>
          <w:highlight w:val="none"/>
        </w:rPr>
        <w:t>结果的</w:t>
      </w:r>
      <w:r>
        <w:rPr>
          <w:rFonts w:hint="eastAsia" w:eastAsia="方正仿宋_GBK"/>
          <w:color w:val="auto"/>
          <w:sz w:val="30"/>
          <w:szCs w:val="30"/>
          <w:highlight w:val="none"/>
        </w:rPr>
        <w:t>路径</w:t>
      </w:r>
      <w:r>
        <w:rPr>
          <w:rFonts w:eastAsia="方正仿宋_GBK"/>
          <w:color w:val="auto"/>
          <w:sz w:val="30"/>
          <w:szCs w:val="30"/>
          <w:highlight w:val="none"/>
        </w:rPr>
        <w:t>为：</w:t>
      </w:r>
      <w:r>
        <w:rPr>
          <w:rFonts w:hint="eastAsia" w:eastAsia="方正仿宋_GBK"/>
          <w:color w:val="auto"/>
          <w:sz w:val="30"/>
          <w:szCs w:val="30"/>
          <w:highlight w:val="none"/>
        </w:rPr>
        <w:t>登录“苏采云”系统-</w:t>
      </w:r>
      <w:r>
        <w:rPr>
          <w:rFonts w:eastAsia="方正仿宋_GBK"/>
          <w:color w:val="auto"/>
          <w:sz w:val="30"/>
          <w:szCs w:val="30"/>
          <w:highlight w:val="none"/>
        </w:rPr>
        <w:t>点击【采购项目参与】-【评审结果查询】-点击【查看】按钮，进入评审结果详情页面。供应商可以查看到资格符合评审是否通过、评审总得分、排名和是否中标/成交。</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1" w:fontKey="{9E6885E9-61B6-410F-BEAC-4B4513B5EC4E}"/>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9E97D84A-00E7-4906-9289-887DA8A32055}"/>
  </w:font>
  <w:font w:name="Courier New">
    <w:panose1 w:val="02070309020205020404"/>
    <w:charset w:val="00"/>
    <w:family w:val="modern"/>
    <w:pitch w:val="default"/>
    <w:sig w:usb0="E0002EFF" w:usb1="C0007843" w:usb2="00000009" w:usb3="00000000" w:csb0="400001FF" w:csb1="FFFF0000"/>
  </w:font>
  <w:font w:name="PMingLiU">
    <w:altName w:val="PMingLiU-ExtB"/>
    <w:panose1 w:val="02020500000000000000"/>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方正小标宋_GBK">
    <w:panose1 w:val="02000000000000000000"/>
    <w:charset w:val="86"/>
    <w:family w:val="script"/>
    <w:pitch w:val="default"/>
    <w:sig w:usb0="A00002BF" w:usb1="38CF7CFA" w:usb2="00082016" w:usb3="00000000" w:csb0="00040001" w:csb1="00000000"/>
    <w:embedRegular r:id="rId3" w:fontKey="{EE4AFE1A-8CCE-41C6-98EE-26353AA6D617}"/>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panose1 w:val="02010600010101010101"/>
    <w:charset w:val="86"/>
    <w:family w:val="script"/>
    <w:pitch w:val="default"/>
    <w:sig w:usb0="00000001" w:usb1="080E0000" w:usb2="00000000" w:usb3="00000000" w:csb0="00040000" w:csb1="00000000"/>
    <w:embedRegular r:id="rId4" w:fontKey="{B4400622-CD8B-434E-A773-C6398211B0C5}"/>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embedRegular r:id="rId5" w:fontKey="{06C58A6D-9747-4EC7-8676-16E77B40514F}"/>
  </w:font>
  <w:font w:name="方正魏碑_GBK">
    <w:altName w:val="宋体"/>
    <w:panose1 w:val="00000000000000000000"/>
    <w:charset w:val="86"/>
    <w:family w:val="auto"/>
    <w:pitch w:val="default"/>
    <w:sig w:usb0="00000000" w:usb1="00000000" w:usb2="00000000" w:usb3="00000000" w:csb0="00040000" w:csb1="00000000"/>
    <w:embedRegular r:id="rId6" w:fontKey="{17819B8E-F600-449F-8AE9-58EB33337F94}"/>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31BF">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5660B163">
                          <w:pPr>
                            <w:pStyle w:val="26"/>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59264;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LSKq9xACAAAQBAAADgAAAGRycy9lMm9Eb2MueG1srVPNjtMwEL4j&#10;8Q6W7zRtRelu1HS1bFWEtPxICw/gOE5jkXissdukPAC8Aae9cOe5+hyMnaQsy2UPXKKJPfPNfN98&#10;Xl11Tc0OCp0Gk/HZZMqZMhIKbXYZ//xp++KCM+eFKUQNRmX8qBy/Wj9/tmptquZQQV0oZARiXNra&#10;jFfe2zRJnKxUI9wErDJ0WQI2wtMv7pICRUvoTZ3Mp9NXSQtYWASpnKPTTX/JB0R8CiCUpZZqA3Lf&#10;KON7VFS18ETJVdo6vo7TlqWS/kNZOuVZnXFi6uOXmlCch2+yXol0h8JWWg4jiKeM8IhTI7Shpmeo&#10;jfCC7VH/A9VoieCg9BMJTdITiYoQi9n0kTZ3lbAqciGpnT2L7v4frHx/+IhMFxlfcmZEQws//fh+&#10;uv91+vmNzYM8rXUpZd1ZyvPda+jINJGqs7cgvzhm4KYSZqeuEaGtlChovFmoTB6U9jgugOTtOyio&#10;j9h7iEBdiU3QjtRghE6rOZ5XozrPJB1eLueziwVnkq5mL5eXi0XsINKx2KLzbxQ0LAQZR9p8BBeH&#10;W+fDMCIdU0IvA1td13H7tfnrgBL7ExXtM1QHKmH6nofv8m6QJofiSKQQemvRw6KgAvzKWUu2yrih&#10;V8RZ/daQLMGBY4BjkI+BMJIKM+4568Mb3zt1b1HvKsIdhb8m6bY60gqD9TMMgpNRItvB1MGJD/9j&#10;1p+HvP4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C0iqvcQAgAAEAQAAA4AAAAAAAAAAQAg&#10;AAAAIQEAAGRycy9lMm9Eb2MueG1sUEsFBgAAAAAGAAYAWQEAAKMFAAAAAA==&#10;">
              <v:fill on="f" focussize="0,0"/>
              <v:stroke on="f"/>
              <v:imagedata o:title=""/>
              <o:lock v:ext="edit" aspectratio="f"/>
              <v:textbox inset="0mm,0mm,0mm,0mm" style="mso-fit-shape-to-text:t;">
                <w:txbxContent>
                  <w:p w14:paraId="5660B163">
                    <w:pPr>
                      <w:pStyle w:val="26"/>
                    </w:pPr>
                    <w:r>
                      <w:t xml:space="preserve">第 </w:t>
                    </w:r>
                    <w:r>
                      <w:fldChar w:fldCharType="begin"/>
                    </w:r>
                    <w:r>
                      <w:instrText xml:space="preserve"> PAGE  \* MERGEFORMAT </w:instrText>
                    </w:r>
                    <w:r>
                      <w:fldChar w:fldCharType="separate"/>
                    </w:r>
                    <w:r>
                      <w:t>77</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A6E3B">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9" name="文本框 2"/>
              <wp:cNvGraphicFramePr/>
              <a:graphic xmlns:a="http://schemas.openxmlformats.org/drawingml/2006/main">
                <a:graphicData uri="http://schemas.microsoft.com/office/word/2010/wordprocessingShape">
                  <wps:wsp>
                    <wps:cNvSpPr txBox="1"/>
                    <wps:spPr>
                      <a:xfrm>
                        <a:off x="0" y="0"/>
                        <a:ext cx="972185" cy="147955"/>
                      </a:xfrm>
                      <a:prstGeom prst="rect">
                        <a:avLst/>
                      </a:prstGeom>
                      <a:noFill/>
                      <a:ln>
                        <a:noFill/>
                      </a:ln>
                      <a:effectLst/>
                    </wps:spPr>
                    <wps:txbx>
                      <w:txbxContent>
                        <w:p w14:paraId="53859EDE">
                          <w:pPr>
                            <w:pStyle w:val="26"/>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wps:txbx>
                    <wps:bodyPr wrap="none" lIns="0" tIns="0" rIns="0" bIns="0">
                      <a:spAutoFit/>
                    </wps:bodyPr>
                  </wps:wsp>
                </a:graphicData>
              </a:graphic>
            </wp:anchor>
          </w:drawing>
        </mc:Choice>
        <mc:Fallback>
          <w:pict>
            <v:shape id="文本框 2" o:spid="_x0000_s1026" o:spt="202" type="#_x0000_t202" style="position:absolute;left:0pt;margin-top:0pt;height:11.65pt;width:76.55pt;mso-position-horizontal:center;mso-position-horizontal-relative:margin;mso-wrap-style:none;z-index:251661312;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pimAXc0BAACZAwAADgAAAGRycy9lMm9Eb2MueG1srVPNjtMwEL4j&#10;8Q6W7zRtRdlt1HQFqhYhIUBaeADXmTSW/CeP26QvAG/AiQt3nqvPwdhJu+zuZQ9cnPHM+Jv5vpms&#10;bnqj2QECKmcrPptMOQMrXa3sruLfvt6+uuYMo7C10M5CxY+A/Gb98sWq8yXMXet0DYERiMWy8xVv&#10;Y/RlUaBswQicOA+Wgo0LRkS6hl1RB9ERutHFfDp9U3Qu1D44CYjk3QxBPiKG5wC6plESNk7uDdg4&#10;oAbQIhIlbJVHvs7dNg3I+LlpECLTFSemMZ9UhOxtOov1SpS7IHyr5NiCeE4LjzgZoSwVvUBtRBRs&#10;H9QTKKNkcOiaOJHOFAORrAixmE0faXPXCg+ZC0mN/iI6/j9Y+enwJTBVV3zJmRWGBn76+eP068/p&#10;93c2T/J0HkvKuvOUF/t3rqelOfuRnIl13wSTvsSHUZzEPV7EhT4ySc7l1Xx2veBMUmj2+mq5WCSU&#10;4v6xDxjfgzMsGRUPNLssqTh8xDiknlNSLetuldZ5fto+cBDm4IG8AOPrxGPoN1mx3/Yjua2rj8St&#10;oyWouKWd50x/sKRx2pezEc7GdjRSRfRv95HayN0l1AGKWKULTSzzG7crrcS/95x1/0et/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0naTQ0gAAAAQBAAAPAAAAAAAAAAEAIAAAACIAAABkcnMvZG93&#10;bnJldi54bWxQSwECFAAUAAAACACHTuJApimAXc0BAACZAwAADgAAAAAAAAABACAAAAAhAQAAZHJz&#10;L2Uyb0RvYy54bWxQSwUGAAAAAAYABgBZAQAAYAUAAAAA&#10;">
              <v:fill on="f" focussize="0,0"/>
              <v:stroke on="f"/>
              <v:imagedata o:title=""/>
              <o:lock v:ext="edit" aspectratio="f"/>
              <v:textbox inset="0mm,0mm,0mm,0mm" style="mso-fit-shape-to-text:t;">
                <w:txbxContent>
                  <w:p w14:paraId="53859EDE">
                    <w:pPr>
                      <w:pStyle w:val="26"/>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91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15C15">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26F1B">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994A8">
    <w:pPr>
      <w:pStyle w:val="26"/>
      <w:jc w:val="center"/>
    </w:pPr>
    <w:r>
      <w:fldChar w:fldCharType="begin"/>
    </w:r>
    <w:r>
      <w:instrText xml:space="preserve">PAGE   \* MERGEFORMAT</w:instrText>
    </w:r>
    <w:r>
      <w:fldChar w:fldCharType="separate"/>
    </w:r>
    <w:r>
      <w:rPr>
        <w:lang w:val="zh-CN"/>
      </w:rPr>
      <w:t>86</w:t>
    </w:r>
    <w:r>
      <w:rPr>
        <w:lang w:val="zh-CN"/>
      </w:rPr>
      <w:fldChar w:fldCharType="end"/>
    </w:r>
  </w:p>
  <w:p w14:paraId="06F48250">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7DF1C">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D0AE">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C628B">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AB7D0">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2F61A">
    <w:pPr>
      <w:pStyle w:val="27"/>
      <w:pBdr>
        <w:bottom w:val="none" w:color="auto" w:sz="0" w:space="0"/>
      </w:pBdr>
    </w:pPr>
    <w:r>
      <mc:AlternateContent>
        <mc:Choice Requires="wps">
          <w:drawing>
            <wp:anchor distT="0" distB="0" distL="114300" distR="114300" simplePos="0" relativeHeight="251662336" behindDoc="0" locked="0" layoutInCell="1" allowOverlap="1">
              <wp:simplePos x="0" y="0"/>
              <wp:positionH relativeFrom="page">
                <wp:align>right</wp:align>
              </wp:positionH>
              <wp:positionV relativeFrom="page">
                <wp:align>top</wp:align>
              </wp:positionV>
              <wp:extent cx="443865" cy="443865"/>
              <wp:effectExtent l="0" t="0" r="0" b="0"/>
              <wp:wrapNone/>
              <wp:docPr id="11"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a:effectLst/>
                    </wps:spPr>
                    <wps:txbx>
                      <w:txbxContent>
                        <w:p w14:paraId="0931929D">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文本框 5" o:spid="_x0000_s1026" o:spt="202" alt="KONE Internal" type="#_x0000_t202" style="position:absolute;left:0pt;height:34.95pt;width:34.95pt;mso-position-horizontal:right;mso-position-horizontal-relative:page;mso-position-vertical:top;mso-position-vertical-relative:page;mso-wrap-style:none;z-index:251662336;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DMy8aNRAIAAHkEAAAOAAAAZHJzL2Uyb0RvYy54bWytVM1uEzEQ&#10;viPxDpbvZDclrUqUTRVagiqqtlJAnB2vN7uS/2Q72Q0PAG/QExfuPFefg8/eTQuFQw9cNvPnb2a+&#10;mcnsrFOS7ITzjdEFHY9ySoTmpmz0pqCfPi5fnVLiA9Mlk0aLgu6Fp2fzly9mrZ2KI1MbWQpHAKL9&#10;tLUFrUOw0yzzvBaK+ZGxQsNZGadYgOo2WelYC3Qls6M8P8la40rrDBfew3rRO+mA6J4DaKqq4eLC&#10;8K0SOvSoTkgW0JKvG+vpPFVbVYKHm6ryIhBZUHQa0hdJIK/jN5vP2HTjmK0bPpTAnlPCk54UazSS&#10;PkBdsMDI1jV/QamGO+NNFUbcqKxvJDGCLsb5E25WNbMi9QKqvX0g3f8/WH69u3WkKbEJY0o0U5j4&#10;/d23++8/7398JceUlMJz8PXh5vodudRBOM1kZK21forHK4vnoXtrOiAc7B7GSEZXORV/0SaBH5zv&#10;HzgXXSAcxsnk9ekJ8nC4Bhno2eNj63x4L4wiUSiow0gT02x35UMfegiJubRZNlKmsUr9hwGYvUWk&#10;vRhexz76eqMUunU3NLc25R69OdPvjLd82aCCK+bDLXNYErSDMwo3+FTStAU1g0RJbdyXf9ljPGYH&#10;LyUtlq6gGjdGibzUmGnczySM3+THOTSXtKPjSR619SFIb9W5wT5jYKgqiTE4yINYOaM+48oWMRtc&#10;THPkLGg4iOehPwFcKReLRQrCPloWrvTK8ggdqfN2sQ3gM9Ec6ek5wXiigo1MgxquJ67873qKevzH&#10;mP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PDv7GtQAAAADAQAADwAAAAAAAAABACAAAAAiAAAA&#10;ZHJzL2Rvd25yZXYueG1sUEsBAhQAFAAAAAgAh07iQMzLxo1EAgAAeQQAAA4AAAAAAAAAAQAgAAAA&#10;IwEAAGRycy9lMm9Eb2MueG1sUEsFBgAAAAAGAAYAWQEAANkFAAAAAA==&#10;">
              <v:fill on="f" focussize="0,0"/>
              <v:stroke on="f"/>
              <v:imagedata o:title=""/>
              <o:lock v:ext="edit" aspectratio="f"/>
              <v:textbox inset="0mm,15pt,20pt,0mm" style="mso-fit-shape-to-text:t;">
                <w:txbxContent>
                  <w:p w14:paraId="0931929D">
                    <w:pPr>
                      <w:rPr>
                        <w:rFonts w:ascii="Arial" w:hAnsi="Arial" w:eastAsia="Arial" w:cs="Arial"/>
                        <w:color w:val="000000"/>
                        <w:sz w:val="16"/>
                        <w:szCs w:val="16"/>
                      </w:rPr>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D828A">
    <w:pPr>
      <w:pStyle w:val="27"/>
    </w:pPr>
    <w:r>
      <mc:AlternateContent>
        <mc:Choice Requires="wps">
          <w:drawing>
            <wp:anchor distT="0" distB="0" distL="114300" distR="114300" simplePos="0" relativeHeight="251661312" behindDoc="0" locked="0" layoutInCell="1" allowOverlap="1">
              <wp:simplePos x="0" y="0"/>
              <wp:positionH relativeFrom="page">
                <wp:align>right</wp:align>
              </wp:positionH>
              <wp:positionV relativeFrom="page">
                <wp:align>top</wp:align>
              </wp:positionV>
              <wp:extent cx="443865" cy="443865"/>
              <wp:effectExtent l="0" t="0" r="0" b="0"/>
              <wp:wrapNone/>
              <wp:docPr id="10"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a:effectLst/>
                    </wps:spPr>
                    <wps:txbx>
                      <w:txbxContent>
                        <w:p w14:paraId="44D3D9E1">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文本框 4"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hMbxvQwIAAHkEAAAOAAAAZHJzL2Uyb0RvYy54bWytVM1u1DAQ&#10;viPxDpbvNNmyrWDVbLW0FFVUbaWCOHsdp4nkP9mzTcoDwBtw4sKd5+pz8NnJtlA49MDFmT9/4/lm&#10;JgeHg9HsRoXYOVvx2U7JmbLS1Z29rvjHDycvXnEWSdhaaGdVxW9V5IfL588Oer9Qu651ulaBAcTG&#10;Re8r3hL5RVFE2Soj4o7zysLZuGAEQQ3XRR1ED3Sji92y3C96F2ofnFQxwno8OvmEGJ4C6Jqmk+rY&#10;yY1RlkbUoLQglBTbzke+zK9tGiXpommiIqYrjkopn0gCeZ3OYnkgFtdB+LaT0xPEU57wqCYjOouk&#10;91DHggTbhO4vKNPJ4KJraEc6U4yFZEZQxax8xM1VK7zKtYDq6O9Jj/8PVp7fXAbW1ZgEUGKFQcfv&#10;vn29+/7z7scXNuesVlGCr/cX52/ZqSUVrNCJtd7HBS5feVyn4Y0bgLC1RxgTGUMTTPqiTAY/Etze&#10;c64GYhLG+fzlq/09ziRckwz04uGyD5HeKWdYEioe0NLMtLg5izSGbkNSLutOOq1zW7X9wwDM0aLy&#10;XEy3Ux3je5NEw3qYilu7+ha1BTfOTPTypMMLzkSkSxEwJCgHa0QXOBrt+oq7SeKsdeHzv+wpHr2D&#10;l7MeQ1dxix3jTJ9a9BSAlIXZ63KvhBaytrs3L5O23gbZjTlymOcZFtXLLKZg0luxCc58wpatUja4&#10;hJXIWXHaikc0rgC2VKrVKgdhHr2gM3vlZYJO1EW/2hD4zDQnekZO0J6kYCJzo6btSSP/u56jHv4Y&#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8O/sa1AAAAAMBAAAPAAAAAAAAAAEAIAAAACIAAABk&#10;cnMvZG93bnJldi54bWxQSwECFAAUAAAACACHTuJAITG8b0MCAAB5BAAADgAAAAAAAAABACAAAAAj&#10;AQAAZHJzL2Uyb0RvYy54bWxQSwUGAAAAAAYABgBZAQAA2AUAAAAA&#10;">
              <v:fill on="f" focussize="0,0"/>
              <v:stroke on="f"/>
              <v:imagedata o:title=""/>
              <o:lock v:ext="edit" aspectratio="f"/>
              <v:textbox inset="0mm,15pt,20pt,0mm" style="mso-fit-shape-to-text:t;">
                <w:txbxContent>
                  <w:p w14:paraId="44D3D9E1">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C217D">
    <w:pPr>
      <w:pStyle w:val="27"/>
    </w:pPr>
    <w:r>
      <mc:AlternateContent>
        <mc:Choice Requires="wps">
          <w:drawing>
            <wp:anchor distT="0" distB="0" distL="114300" distR="114300" simplePos="0" relativeHeight="251660288" behindDoc="0" locked="0" layoutInCell="1" allowOverlap="1">
              <wp:simplePos x="0" y="0"/>
              <wp:positionH relativeFrom="page">
                <wp:align>right</wp:align>
              </wp:positionH>
              <wp:positionV relativeFrom="page">
                <wp:align>top</wp:align>
              </wp:positionV>
              <wp:extent cx="443865" cy="443865"/>
              <wp:effectExtent l="0" t="0" r="0" b="0"/>
              <wp:wrapNone/>
              <wp:docPr id="8"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a:effectLst/>
                    </wps:spPr>
                    <wps:txbx>
                      <w:txbxContent>
                        <w:p w14:paraId="001F51BD">
                          <w:pPr>
                            <w:rPr>
                              <w:rFonts w:ascii="Arial" w:hAnsi="Arial" w:eastAsia="Arial" w:cs="Arial"/>
                              <w:color w:val="000000"/>
                              <w:sz w:val="16"/>
                              <w:szCs w:val="16"/>
                            </w:rPr>
                          </w:pPr>
                          <w:r>
                            <w:rPr>
                              <w:rFonts w:ascii="Arial" w:hAnsi="Arial" w:eastAsia="Arial" w:cs="Arial"/>
                              <w:color w:val="000000"/>
                              <w:sz w:val="16"/>
                              <w:szCs w:val="16"/>
                            </w:rPr>
                            <w:t>KONEInternal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文本框 3"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Pa8KURAIAAHgEAAAOAAAAZHJzL2Uyb0RvYy54bWytVMtuEzEU&#10;3SPxD5b3ZCZtU5Uokyo0BFVUbaWAWDseT2ckv2Q7mQkfAH/Aig17vqvfwbFn0kJh0QWbyX352Ofc&#10;ezM775QkO+F8Y3RBx6OcEqG5KRt9V9CPH1avzijxgemSSaNFQffC0/P5yxez1k7FkamNLIUjANF+&#10;2tqC1iHYaZZ5XgvF/MhYoZGsjFMswHV3WelYC3Qls6M8P81a40rrDBfeI7rsk3RAdM8BNFXVcLE0&#10;fKuEDj2qE5IFUPJ1Yz2dp9dWleDhpqq8CEQWFExD+uIS2Jv4zeYzNr1zzNYNH57AnvOEJ5wUazQu&#10;fYBassDI1jV/QamGO+NNFUbcqKwnkhQBi3H+RJt1zaxIXCC1tw+i+/8Hy693t440ZUHRds0UGn7/&#10;7ev995/3P76QY0pK4Tnken9z/ZZc6iCcZjKK1lo/xdm1xenQvTEdRukQ9whGLbrKqfgLlgR5SL5/&#10;kFx0gXAET06Oz04nlHCkBhvo2eNh63x4J4wi0SioQ0eT0Gx35UNfeiiJd2mzaqRMXZX6jwAw+4hI&#10;YzGcjjz690YrdJtuILcx5R7cnOlHxlu+avCCK+bDLXOYEdDBFoUbfCpp2oKawaKkNu7zv+KxHq1D&#10;lpIWM1dQjRWjRF5qtDSOZzLGr/NJDs8l72hykkdvcyjSW3VhMM5j7KnlyYzFQR7Myhn1CUu2iLch&#10;xTTHnQUNB/Mi9BuAJeVisUhFGEfLwpVeWx6ho3TeLrYBeiaZozy9JmhPdDCQqVHD8sSJ/91PVY9/&#10;GPN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PDv7GtQAAAADAQAADwAAAAAAAAABACAAAAAiAAAA&#10;ZHJzL2Rvd25yZXYueG1sUEsBAhQAFAAAAAgAh07iQE9rwpREAgAAeAQAAA4AAAAAAAAAAQAgAAAA&#10;IwEAAGRycy9lMm9Eb2MueG1sUEsFBgAAAAAGAAYAWQEAANkFAAAAAA==&#10;">
              <v:fill on="f" focussize="0,0"/>
              <v:stroke on="f"/>
              <v:imagedata o:title=""/>
              <o:lock v:ext="edit" aspectratio="f"/>
              <v:textbox inset="0mm,15pt,20pt,0mm" style="mso-fit-shape-to-text:t;">
                <w:txbxContent>
                  <w:p w14:paraId="001F51BD">
                    <w:pPr>
                      <w:rPr>
                        <w:rFonts w:ascii="Arial" w:hAnsi="Arial" w:eastAsia="Arial" w:cs="Arial"/>
                        <w:color w:val="000000"/>
                        <w:sz w:val="16"/>
                        <w:szCs w:val="16"/>
                      </w:rPr>
                    </w:pPr>
                    <w:r>
                      <w:rPr>
                        <w:rFonts w:ascii="Arial" w:hAnsi="Arial" w:eastAsia="Arial" w:cs="Arial"/>
                        <w:color w:val="000000"/>
                        <w:sz w:val="16"/>
                        <w:szCs w:val="16"/>
                      </w:rPr>
                      <w:t>KONEInternal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2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NTBlZTJkMzNmMTJlYTRlNDRkMzg2YjliNjZmZjgifQ=="/>
    <w:docVar w:name="KGWebUrl" w:val="http://jszfcg.jscz.gov.cn/jszc/gateWay/joffice/office?access_token=b7c972ee-84cf-4a71-947c-3fbb566d966a"/>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19B"/>
    <w:rsid w:val="00023545"/>
    <w:rsid w:val="00023C3F"/>
    <w:rsid w:val="0002458D"/>
    <w:rsid w:val="0002533A"/>
    <w:rsid w:val="0002708D"/>
    <w:rsid w:val="000274F9"/>
    <w:rsid w:val="000277CD"/>
    <w:rsid w:val="0003085E"/>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E7A"/>
    <w:rsid w:val="00057FCA"/>
    <w:rsid w:val="0006048F"/>
    <w:rsid w:val="000623F5"/>
    <w:rsid w:val="00062FB2"/>
    <w:rsid w:val="00063271"/>
    <w:rsid w:val="0006339F"/>
    <w:rsid w:val="000634B6"/>
    <w:rsid w:val="00065F50"/>
    <w:rsid w:val="000667DA"/>
    <w:rsid w:val="000668A4"/>
    <w:rsid w:val="0006738D"/>
    <w:rsid w:val="00067715"/>
    <w:rsid w:val="00067F36"/>
    <w:rsid w:val="00070372"/>
    <w:rsid w:val="00071E47"/>
    <w:rsid w:val="00071F57"/>
    <w:rsid w:val="0007260D"/>
    <w:rsid w:val="00073424"/>
    <w:rsid w:val="00073BED"/>
    <w:rsid w:val="00074988"/>
    <w:rsid w:val="0007540B"/>
    <w:rsid w:val="00076AE9"/>
    <w:rsid w:val="00076F71"/>
    <w:rsid w:val="00077012"/>
    <w:rsid w:val="0007742F"/>
    <w:rsid w:val="00077662"/>
    <w:rsid w:val="0008009E"/>
    <w:rsid w:val="0008018D"/>
    <w:rsid w:val="00080CAF"/>
    <w:rsid w:val="00081396"/>
    <w:rsid w:val="00082843"/>
    <w:rsid w:val="00082CBF"/>
    <w:rsid w:val="000839F1"/>
    <w:rsid w:val="00084436"/>
    <w:rsid w:val="000849CD"/>
    <w:rsid w:val="00084DE0"/>
    <w:rsid w:val="00085157"/>
    <w:rsid w:val="00085D79"/>
    <w:rsid w:val="00085EFE"/>
    <w:rsid w:val="00085F63"/>
    <w:rsid w:val="000860FE"/>
    <w:rsid w:val="0008766A"/>
    <w:rsid w:val="00090915"/>
    <w:rsid w:val="00090BE7"/>
    <w:rsid w:val="00091B5C"/>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6661"/>
    <w:rsid w:val="000A7BC8"/>
    <w:rsid w:val="000A7EB6"/>
    <w:rsid w:val="000A7F6B"/>
    <w:rsid w:val="000B003D"/>
    <w:rsid w:val="000B07BD"/>
    <w:rsid w:val="000B0A49"/>
    <w:rsid w:val="000B15CC"/>
    <w:rsid w:val="000B1722"/>
    <w:rsid w:val="000B3041"/>
    <w:rsid w:val="000B46BC"/>
    <w:rsid w:val="000B5449"/>
    <w:rsid w:val="000B5677"/>
    <w:rsid w:val="000B58E2"/>
    <w:rsid w:val="000B6AFD"/>
    <w:rsid w:val="000B78B3"/>
    <w:rsid w:val="000B7BED"/>
    <w:rsid w:val="000B7CF5"/>
    <w:rsid w:val="000C0636"/>
    <w:rsid w:val="000C0D0D"/>
    <w:rsid w:val="000C25FD"/>
    <w:rsid w:val="000C335C"/>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DF"/>
    <w:rsid w:val="000E13C5"/>
    <w:rsid w:val="000E190A"/>
    <w:rsid w:val="000E29B5"/>
    <w:rsid w:val="000E2B9A"/>
    <w:rsid w:val="000E3129"/>
    <w:rsid w:val="000E3178"/>
    <w:rsid w:val="000E386B"/>
    <w:rsid w:val="000E3BA3"/>
    <w:rsid w:val="000E66B5"/>
    <w:rsid w:val="000E6876"/>
    <w:rsid w:val="000E69A2"/>
    <w:rsid w:val="000E6D6C"/>
    <w:rsid w:val="000E6E2A"/>
    <w:rsid w:val="000E76D0"/>
    <w:rsid w:val="000E7DCC"/>
    <w:rsid w:val="000F07A2"/>
    <w:rsid w:val="000F1FA3"/>
    <w:rsid w:val="000F3E9B"/>
    <w:rsid w:val="000F4096"/>
    <w:rsid w:val="000F4358"/>
    <w:rsid w:val="000F553D"/>
    <w:rsid w:val="000F5999"/>
    <w:rsid w:val="000F5CF5"/>
    <w:rsid w:val="000F63C9"/>
    <w:rsid w:val="000F7710"/>
    <w:rsid w:val="000F7B55"/>
    <w:rsid w:val="000F7E6C"/>
    <w:rsid w:val="00100340"/>
    <w:rsid w:val="001009A1"/>
    <w:rsid w:val="001019ED"/>
    <w:rsid w:val="00102701"/>
    <w:rsid w:val="00102AE0"/>
    <w:rsid w:val="00103948"/>
    <w:rsid w:val="00104837"/>
    <w:rsid w:val="00104A5C"/>
    <w:rsid w:val="00104B62"/>
    <w:rsid w:val="00104F7C"/>
    <w:rsid w:val="001053C5"/>
    <w:rsid w:val="001072DB"/>
    <w:rsid w:val="00107435"/>
    <w:rsid w:val="001106D9"/>
    <w:rsid w:val="00110773"/>
    <w:rsid w:val="0011159C"/>
    <w:rsid w:val="00113481"/>
    <w:rsid w:val="00113BB9"/>
    <w:rsid w:val="00114978"/>
    <w:rsid w:val="00114C84"/>
    <w:rsid w:val="00114F16"/>
    <w:rsid w:val="001153F6"/>
    <w:rsid w:val="001178DB"/>
    <w:rsid w:val="00117E6F"/>
    <w:rsid w:val="00122C11"/>
    <w:rsid w:val="00123015"/>
    <w:rsid w:val="001231D6"/>
    <w:rsid w:val="0012521A"/>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F1A"/>
    <w:rsid w:val="00145A1C"/>
    <w:rsid w:val="001462E0"/>
    <w:rsid w:val="00146479"/>
    <w:rsid w:val="00146643"/>
    <w:rsid w:val="00147766"/>
    <w:rsid w:val="00147A4A"/>
    <w:rsid w:val="00152826"/>
    <w:rsid w:val="00153710"/>
    <w:rsid w:val="001546EC"/>
    <w:rsid w:val="0015474F"/>
    <w:rsid w:val="00154AF5"/>
    <w:rsid w:val="00154C9F"/>
    <w:rsid w:val="00155E5A"/>
    <w:rsid w:val="00155ECE"/>
    <w:rsid w:val="0015612C"/>
    <w:rsid w:val="001569BD"/>
    <w:rsid w:val="00156E3A"/>
    <w:rsid w:val="00157D64"/>
    <w:rsid w:val="001608D5"/>
    <w:rsid w:val="00161A82"/>
    <w:rsid w:val="0016272D"/>
    <w:rsid w:val="001629F2"/>
    <w:rsid w:val="00162CB8"/>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5860"/>
    <w:rsid w:val="001765AB"/>
    <w:rsid w:val="00177023"/>
    <w:rsid w:val="001770E3"/>
    <w:rsid w:val="00177438"/>
    <w:rsid w:val="00181911"/>
    <w:rsid w:val="001820D2"/>
    <w:rsid w:val="00182509"/>
    <w:rsid w:val="001838FE"/>
    <w:rsid w:val="00183A3A"/>
    <w:rsid w:val="00184AD9"/>
    <w:rsid w:val="00184AF5"/>
    <w:rsid w:val="00185828"/>
    <w:rsid w:val="00185A94"/>
    <w:rsid w:val="00186126"/>
    <w:rsid w:val="0018665E"/>
    <w:rsid w:val="00186DF5"/>
    <w:rsid w:val="001875B3"/>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2FF7"/>
    <w:rsid w:val="001A4012"/>
    <w:rsid w:val="001A4BF6"/>
    <w:rsid w:val="001A4C69"/>
    <w:rsid w:val="001A4E8F"/>
    <w:rsid w:val="001A51B7"/>
    <w:rsid w:val="001A7795"/>
    <w:rsid w:val="001A7B4C"/>
    <w:rsid w:val="001A7BFE"/>
    <w:rsid w:val="001B01C6"/>
    <w:rsid w:val="001B14E0"/>
    <w:rsid w:val="001B1E96"/>
    <w:rsid w:val="001B3348"/>
    <w:rsid w:val="001B4291"/>
    <w:rsid w:val="001B5076"/>
    <w:rsid w:val="001B5244"/>
    <w:rsid w:val="001B56B0"/>
    <w:rsid w:val="001B6558"/>
    <w:rsid w:val="001B6C7A"/>
    <w:rsid w:val="001B7843"/>
    <w:rsid w:val="001B7A08"/>
    <w:rsid w:val="001B7BF3"/>
    <w:rsid w:val="001B7F42"/>
    <w:rsid w:val="001C0AC4"/>
    <w:rsid w:val="001C13E1"/>
    <w:rsid w:val="001C170B"/>
    <w:rsid w:val="001C20B6"/>
    <w:rsid w:val="001C3F12"/>
    <w:rsid w:val="001C3F14"/>
    <w:rsid w:val="001C3F6B"/>
    <w:rsid w:val="001C507C"/>
    <w:rsid w:val="001C5166"/>
    <w:rsid w:val="001C6BE8"/>
    <w:rsid w:val="001C7569"/>
    <w:rsid w:val="001C7754"/>
    <w:rsid w:val="001C78FA"/>
    <w:rsid w:val="001D07F0"/>
    <w:rsid w:val="001D0D3C"/>
    <w:rsid w:val="001D186B"/>
    <w:rsid w:val="001D1EB2"/>
    <w:rsid w:val="001D2A96"/>
    <w:rsid w:val="001D3142"/>
    <w:rsid w:val="001D46CF"/>
    <w:rsid w:val="001D4B9A"/>
    <w:rsid w:val="001D5309"/>
    <w:rsid w:val="001D5530"/>
    <w:rsid w:val="001D5795"/>
    <w:rsid w:val="001D5FB4"/>
    <w:rsid w:val="001D61A5"/>
    <w:rsid w:val="001D6222"/>
    <w:rsid w:val="001D638F"/>
    <w:rsid w:val="001D6765"/>
    <w:rsid w:val="001D6DE3"/>
    <w:rsid w:val="001D6E04"/>
    <w:rsid w:val="001E13F5"/>
    <w:rsid w:val="001E1D55"/>
    <w:rsid w:val="001E220C"/>
    <w:rsid w:val="001E25E8"/>
    <w:rsid w:val="001E3D01"/>
    <w:rsid w:val="001E5F42"/>
    <w:rsid w:val="001E64A5"/>
    <w:rsid w:val="001E6B99"/>
    <w:rsid w:val="001F1467"/>
    <w:rsid w:val="001F1694"/>
    <w:rsid w:val="001F16AE"/>
    <w:rsid w:val="001F1D23"/>
    <w:rsid w:val="001F1D43"/>
    <w:rsid w:val="001F2610"/>
    <w:rsid w:val="001F34D5"/>
    <w:rsid w:val="001F358D"/>
    <w:rsid w:val="001F466D"/>
    <w:rsid w:val="001F4DEE"/>
    <w:rsid w:val="001F517D"/>
    <w:rsid w:val="001F6156"/>
    <w:rsid w:val="001F622B"/>
    <w:rsid w:val="001F635C"/>
    <w:rsid w:val="001F72C3"/>
    <w:rsid w:val="001F72DB"/>
    <w:rsid w:val="00201A73"/>
    <w:rsid w:val="00201F4E"/>
    <w:rsid w:val="00202420"/>
    <w:rsid w:val="0020303D"/>
    <w:rsid w:val="0020349E"/>
    <w:rsid w:val="002034E3"/>
    <w:rsid w:val="00203EB0"/>
    <w:rsid w:val="00204064"/>
    <w:rsid w:val="002044CF"/>
    <w:rsid w:val="0020473B"/>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5AD4"/>
    <w:rsid w:val="00225ED7"/>
    <w:rsid w:val="00226F12"/>
    <w:rsid w:val="00227B1A"/>
    <w:rsid w:val="0023036A"/>
    <w:rsid w:val="002304ED"/>
    <w:rsid w:val="00230F76"/>
    <w:rsid w:val="00231953"/>
    <w:rsid w:val="002323C9"/>
    <w:rsid w:val="00232418"/>
    <w:rsid w:val="0023372A"/>
    <w:rsid w:val="002340EC"/>
    <w:rsid w:val="00234BC9"/>
    <w:rsid w:val="00237012"/>
    <w:rsid w:val="002371FF"/>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6D65"/>
    <w:rsid w:val="002674FC"/>
    <w:rsid w:val="00267C26"/>
    <w:rsid w:val="00267CE1"/>
    <w:rsid w:val="00271209"/>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E4"/>
    <w:rsid w:val="0029448F"/>
    <w:rsid w:val="002953BA"/>
    <w:rsid w:val="00297900"/>
    <w:rsid w:val="002A11B9"/>
    <w:rsid w:val="002A1226"/>
    <w:rsid w:val="002A156B"/>
    <w:rsid w:val="002A2121"/>
    <w:rsid w:val="002A221F"/>
    <w:rsid w:val="002A27C2"/>
    <w:rsid w:val="002A28DD"/>
    <w:rsid w:val="002A31EB"/>
    <w:rsid w:val="002A432D"/>
    <w:rsid w:val="002A46DC"/>
    <w:rsid w:val="002A537C"/>
    <w:rsid w:val="002A5646"/>
    <w:rsid w:val="002A5B21"/>
    <w:rsid w:val="002A6112"/>
    <w:rsid w:val="002A73E5"/>
    <w:rsid w:val="002A775D"/>
    <w:rsid w:val="002B0137"/>
    <w:rsid w:val="002B2759"/>
    <w:rsid w:val="002B2F87"/>
    <w:rsid w:val="002B3238"/>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6DDA"/>
    <w:rsid w:val="002C7464"/>
    <w:rsid w:val="002C7D4D"/>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6F7"/>
    <w:rsid w:val="002E0917"/>
    <w:rsid w:val="002E0BAC"/>
    <w:rsid w:val="002E0D30"/>
    <w:rsid w:val="002E11B4"/>
    <w:rsid w:val="002E1B34"/>
    <w:rsid w:val="002E2BB0"/>
    <w:rsid w:val="002E396A"/>
    <w:rsid w:val="002E4D12"/>
    <w:rsid w:val="002E5DDE"/>
    <w:rsid w:val="002E6446"/>
    <w:rsid w:val="002E6A31"/>
    <w:rsid w:val="002E6B1F"/>
    <w:rsid w:val="002E6E72"/>
    <w:rsid w:val="002E6FBA"/>
    <w:rsid w:val="002E72F4"/>
    <w:rsid w:val="002E76B3"/>
    <w:rsid w:val="002E7808"/>
    <w:rsid w:val="002E7FB0"/>
    <w:rsid w:val="002F0578"/>
    <w:rsid w:val="002F0D77"/>
    <w:rsid w:val="002F1659"/>
    <w:rsid w:val="002F354E"/>
    <w:rsid w:val="002F3654"/>
    <w:rsid w:val="002F3A00"/>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5D2E"/>
    <w:rsid w:val="003068A0"/>
    <w:rsid w:val="00310D2C"/>
    <w:rsid w:val="00313C9F"/>
    <w:rsid w:val="00314A90"/>
    <w:rsid w:val="00314C91"/>
    <w:rsid w:val="003172E7"/>
    <w:rsid w:val="00317F41"/>
    <w:rsid w:val="0032188C"/>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346D"/>
    <w:rsid w:val="00333549"/>
    <w:rsid w:val="00333606"/>
    <w:rsid w:val="00333C74"/>
    <w:rsid w:val="00333F3D"/>
    <w:rsid w:val="00333F95"/>
    <w:rsid w:val="003366DA"/>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3BA4"/>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2311"/>
    <w:rsid w:val="00373C45"/>
    <w:rsid w:val="003741A5"/>
    <w:rsid w:val="003745DF"/>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A8C"/>
    <w:rsid w:val="00387E64"/>
    <w:rsid w:val="00390CF5"/>
    <w:rsid w:val="0039254C"/>
    <w:rsid w:val="003926C1"/>
    <w:rsid w:val="003926C9"/>
    <w:rsid w:val="00393134"/>
    <w:rsid w:val="00393422"/>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769"/>
    <w:rsid w:val="003C0ADC"/>
    <w:rsid w:val="003C290B"/>
    <w:rsid w:val="003C69F6"/>
    <w:rsid w:val="003C6BEE"/>
    <w:rsid w:val="003C7549"/>
    <w:rsid w:val="003C75E1"/>
    <w:rsid w:val="003D0866"/>
    <w:rsid w:val="003D0B09"/>
    <w:rsid w:val="003D1841"/>
    <w:rsid w:val="003D1E69"/>
    <w:rsid w:val="003D1F9B"/>
    <w:rsid w:val="003D201B"/>
    <w:rsid w:val="003D3555"/>
    <w:rsid w:val="003D3C66"/>
    <w:rsid w:val="003D3C71"/>
    <w:rsid w:val="003D419D"/>
    <w:rsid w:val="003D4480"/>
    <w:rsid w:val="003D63FE"/>
    <w:rsid w:val="003E017B"/>
    <w:rsid w:val="003E154C"/>
    <w:rsid w:val="003E3316"/>
    <w:rsid w:val="003E36FF"/>
    <w:rsid w:val="003E3FE6"/>
    <w:rsid w:val="003E4653"/>
    <w:rsid w:val="003E4C9C"/>
    <w:rsid w:val="003E5334"/>
    <w:rsid w:val="003E5F84"/>
    <w:rsid w:val="003E6058"/>
    <w:rsid w:val="003E6B15"/>
    <w:rsid w:val="003E6C59"/>
    <w:rsid w:val="003E6E66"/>
    <w:rsid w:val="003E71C6"/>
    <w:rsid w:val="003E75C3"/>
    <w:rsid w:val="003E7911"/>
    <w:rsid w:val="003E7EB7"/>
    <w:rsid w:val="003F1302"/>
    <w:rsid w:val="003F1DF8"/>
    <w:rsid w:val="003F25D6"/>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2924"/>
    <w:rsid w:val="0040431B"/>
    <w:rsid w:val="004044FA"/>
    <w:rsid w:val="00404D80"/>
    <w:rsid w:val="00405393"/>
    <w:rsid w:val="00406A9D"/>
    <w:rsid w:val="00406CB3"/>
    <w:rsid w:val="00407107"/>
    <w:rsid w:val="00410143"/>
    <w:rsid w:val="004105DE"/>
    <w:rsid w:val="00410F2E"/>
    <w:rsid w:val="0041144F"/>
    <w:rsid w:val="00412477"/>
    <w:rsid w:val="004148B8"/>
    <w:rsid w:val="00416497"/>
    <w:rsid w:val="0041654F"/>
    <w:rsid w:val="0041717C"/>
    <w:rsid w:val="004214C7"/>
    <w:rsid w:val="00421885"/>
    <w:rsid w:val="004220FE"/>
    <w:rsid w:val="0042410A"/>
    <w:rsid w:val="004260D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17F"/>
    <w:rsid w:val="00445426"/>
    <w:rsid w:val="0044560A"/>
    <w:rsid w:val="00446D75"/>
    <w:rsid w:val="00446DB2"/>
    <w:rsid w:val="00447864"/>
    <w:rsid w:val="00451F81"/>
    <w:rsid w:val="004520AF"/>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66978"/>
    <w:rsid w:val="004707AA"/>
    <w:rsid w:val="00470E6C"/>
    <w:rsid w:val="004717E4"/>
    <w:rsid w:val="00471BE5"/>
    <w:rsid w:val="00472F1D"/>
    <w:rsid w:val="00473F45"/>
    <w:rsid w:val="00475BAC"/>
    <w:rsid w:val="00477808"/>
    <w:rsid w:val="00477C17"/>
    <w:rsid w:val="00480125"/>
    <w:rsid w:val="0048064D"/>
    <w:rsid w:val="00481CF4"/>
    <w:rsid w:val="00482AC2"/>
    <w:rsid w:val="00484BE4"/>
    <w:rsid w:val="00485409"/>
    <w:rsid w:val="004855F7"/>
    <w:rsid w:val="004859EA"/>
    <w:rsid w:val="00485ECB"/>
    <w:rsid w:val="00485EE2"/>
    <w:rsid w:val="00486224"/>
    <w:rsid w:val="004864BE"/>
    <w:rsid w:val="004869F6"/>
    <w:rsid w:val="00486B1D"/>
    <w:rsid w:val="00487133"/>
    <w:rsid w:val="00487660"/>
    <w:rsid w:val="00487D91"/>
    <w:rsid w:val="00487EF2"/>
    <w:rsid w:val="00490621"/>
    <w:rsid w:val="00490BE1"/>
    <w:rsid w:val="00490C75"/>
    <w:rsid w:val="004940E5"/>
    <w:rsid w:val="00494E7D"/>
    <w:rsid w:val="00495CB3"/>
    <w:rsid w:val="00496580"/>
    <w:rsid w:val="0049714F"/>
    <w:rsid w:val="00497832"/>
    <w:rsid w:val="00497906"/>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1DEF"/>
    <w:rsid w:val="004C332F"/>
    <w:rsid w:val="004C37CF"/>
    <w:rsid w:val="004C3EEB"/>
    <w:rsid w:val="004C4941"/>
    <w:rsid w:val="004C5199"/>
    <w:rsid w:val="004C5A46"/>
    <w:rsid w:val="004C6290"/>
    <w:rsid w:val="004C6799"/>
    <w:rsid w:val="004C6D77"/>
    <w:rsid w:val="004D0458"/>
    <w:rsid w:val="004D0ADB"/>
    <w:rsid w:val="004D0BAA"/>
    <w:rsid w:val="004D0F76"/>
    <w:rsid w:val="004D1B87"/>
    <w:rsid w:val="004D3D50"/>
    <w:rsid w:val="004D3F25"/>
    <w:rsid w:val="004D4CF5"/>
    <w:rsid w:val="004E09A2"/>
    <w:rsid w:val="004E0ADF"/>
    <w:rsid w:val="004E0EC2"/>
    <w:rsid w:val="004E185D"/>
    <w:rsid w:val="004E198B"/>
    <w:rsid w:val="004E1A9A"/>
    <w:rsid w:val="004E2F92"/>
    <w:rsid w:val="004E363C"/>
    <w:rsid w:val="004E4671"/>
    <w:rsid w:val="004E511E"/>
    <w:rsid w:val="004E5615"/>
    <w:rsid w:val="004E594D"/>
    <w:rsid w:val="004E5C26"/>
    <w:rsid w:val="004E5C64"/>
    <w:rsid w:val="004E7CDB"/>
    <w:rsid w:val="004F0376"/>
    <w:rsid w:val="004F0CDF"/>
    <w:rsid w:val="004F0FE2"/>
    <w:rsid w:val="004F2F22"/>
    <w:rsid w:val="004F3153"/>
    <w:rsid w:val="004F3C8A"/>
    <w:rsid w:val="004F420A"/>
    <w:rsid w:val="004F46A5"/>
    <w:rsid w:val="004F5294"/>
    <w:rsid w:val="004F5E50"/>
    <w:rsid w:val="005001F5"/>
    <w:rsid w:val="0050111B"/>
    <w:rsid w:val="005015D9"/>
    <w:rsid w:val="00502C8A"/>
    <w:rsid w:val="00503728"/>
    <w:rsid w:val="005047CE"/>
    <w:rsid w:val="00505500"/>
    <w:rsid w:val="00505AC7"/>
    <w:rsid w:val="005061DE"/>
    <w:rsid w:val="0050782F"/>
    <w:rsid w:val="00510353"/>
    <w:rsid w:val="005109F7"/>
    <w:rsid w:val="00510A09"/>
    <w:rsid w:val="00511165"/>
    <w:rsid w:val="005116BA"/>
    <w:rsid w:val="00513A5B"/>
    <w:rsid w:val="00513B6A"/>
    <w:rsid w:val="0051446B"/>
    <w:rsid w:val="0051524C"/>
    <w:rsid w:val="00515399"/>
    <w:rsid w:val="00515B9C"/>
    <w:rsid w:val="00516114"/>
    <w:rsid w:val="00516A92"/>
    <w:rsid w:val="005175F9"/>
    <w:rsid w:val="0052011E"/>
    <w:rsid w:val="00521296"/>
    <w:rsid w:val="0052232A"/>
    <w:rsid w:val="00522541"/>
    <w:rsid w:val="00523930"/>
    <w:rsid w:val="00524276"/>
    <w:rsid w:val="005250D8"/>
    <w:rsid w:val="00525373"/>
    <w:rsid w:val="005263BF"/>
    <w:rsid w:val="005279E2"/>
    <w:rsid w:val="00527BEC"/>
    <w:rsid w:val="00530D01"/>
    <w:rsid w:val="00533196"/>
    <w:rsid w:val="005365CA"/>
    <w:rsid w:val="00536991"/>
    <w:rsid w:val="00537500"/>
    <w:rsid w:val="00540316"/>
    <w:rsid w:val="0054065A"/>
    <w:rsid w:val="00540EB0"/>
    <w:rsid w:val="00541004"/>
    <w:rsid w:val="00541053"/>
    <w:rsid w:val="00542949"/>
    <w:rsid w:val="00542CF0"/>
    <w:rsid w:val="005467BF"/>
    <w:rsid w:val="00546EEA"/>
    <w:rsid w:val="00547737"/>
    <w:rsid w:val="005501FD"/>
    <w:rsid w:val="005505B1"/>
    <w:rsid w:val="00552312"/>
    <w:rsid w:val="00556151"/>
    <w:rsid w:val="005562CB"/>
    <w:rsid w:val="005563D1"/>
    <w:rsid w:val="00556B11"/>
    <w:rsid w:val="00556D35"/>
    <w:rsid w:val="00560142"/>
    <w:rsid w:val="00560B23"/>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098B"/>
    <w:rsid w:val="00571C4D"/>
    <w:rsid w:val="00573046"/>
    <w:rsid w:val="005731C1"/>
    <w:rsid w:val="005757D6"/>
    <w:rsid w:val="00575EC7"/>
    <w:rsid w:val="00576784"/>
    <w:rsid w:val="00576F0D"/>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97868"/>
    <w:rsid w:val="005A0E0A"/>
    <w:rsid w:val="005A2016"/>
    <w:rsid w:val="005A2EA2"/>
    <w:rsid w:val="005A3504"/>
    <w:rsid w:val="005A559E"/>
    <w:rsid w:val="005A60E5"/>
    <w:rsid w:val="005A6C6C"/>
    <w:rsid w:val="005A74D4"/>
    <w:rsid w:val="005A78C1"/>
    <w:rsid w:val="005A7F48"/>
    <w:rsid w:val="005B0883"/>
    <w:rsid w:val="005B09CF"/>
    <w:rsid w:val="005B1402"/>
    <w:rsid w:val="005B1C57"/>
    <w:rsid w:val="005B3D9B"/>
    <w:rsid w:val="005B55B2"/>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56FA"/>
    <w:rsid w:val="005D6053"/>
    <w:rsid w:val="005D7816"/>
    <w:rsid w:val="005D798C"/>
    <w:rsid w:val="005E2119"/>
    <w:rsid w:val="005E38BB"/>
    <w:rsid w:val="005E49A3"/>
    <w:rsid w:val="005E560B"/>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57D9"/>
    <w:rsid w:val="00606382"/>
    <w:rsid w:val="00607679"/>
    <w:rsid w:val="00612F49"/>
    <w:rsid w:val="0061417D"/>
    <w:rsid w:val="006143A3"/>
    <w:rsid w:val="0061547A"/>
    <w:rsid w:val="00616D1C"/>
    <w:rsid w:val="00616FD4"/>
    <w:rsid w:val="00621416"/>
    <w:rsid w:val="0062198B"/>
    <w:rsid w:val="0062417D"/>
    <w:rsid w:val="00625AFB"/>
    <w:rsid w:val="00626796"/>
    <w:rsid w:val="0062722E"/>
    <w:rsid w:val="006276BC"/>
    <w:rsid w:val="00633086"/>
    <w:rsid w:val="00635E25"/>
    <w:rsid w:val="00635FBA"/>
    <w:rsid w:val="0063671A"/>
    <w:rsid w:val="00640FDD"/>
    <w:rsid w:val="006416E6"/>
    <w:rsid w:val="00641F10"/>
    <w:rsid w:val="006426A8"/>
    <w:rsid w:val="00643D3F"/>
    <w:rsid w:val="00643F93"/>
    <w:rsid w:val="0064478C"/>
    <w:rsid w:val="00645ED8"/>
    <w:rsid w:val="00646AAA"/>
    <w:rsid w:val="00647082"/>
    <w:rsid w:val="00650160"/>
    <w:rsid w:val="0065076A"/>
    <w:rsid w:val="00652D87"/>
    <w:rsid w:val="00653456"/>
    <w:rsid w:val="00653742"/>
    <w:rsid w:val="00653774"/>
    <w:rsid w:val="00653AD8"/>
    <w:rsid w:val="0065575F"/>
    <w:rsid w:val="006568A2"/>
    <w:rsid w:val="006568D7"/>
    <w:rsid w:val="00656CAE"/>
    <w:rsid w:val="00657F6A"/>
    <w:rsid w:val="00660F80"/>
    <w:rsid w:val="00663999"/>
    <w:rsid w:val="00663BF8"/>
    <w:rsid w:val="00666A34"/>
    <w:rsid w:val="00666A7B"/>
    <w:rsid w:val="00666B4C"/>
    <w:rsid w:val="0066708D"/>
    <w:rsid w:val="0066722F"/>
    <w:rsid w:val="00667558"/>
    <w:rsid w:val="0066792B"/>
    <w:rsid w:val="0066798C"/>
    <w:rsid w:val="00667B2A"/>
    <w:rsid w:val="0067036A"/>
    <w:rsid w:val="00670779"/>
    <w:rsid w:val="006709C6"/>
    <w:rsid w:val="00670F9B"/>
    <w:rsid w:val="00671B3A"/>
    <w:rsid w:val="00671C19"/>
    <w:rsid w:val="00672FE7"/>
    <w:rsid w:val="00673107"/>
    <w:rsid w:val="0068012A"/>
    <w:rsid w:val="00680D84"/>
    <w:rsid w:val="00680E1B"/>
    <w:rsid w:val="00681790"/>
    <w:rsid w:val="0068304D"/>
    <w:rsid w:val="00683C15"/>
    <w:rsid w:val="00683E0C"/>
    <w:rsid w:val="00685117"/>
    <w:rsid w:val="00685CB8"/>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4F1B"/>
    <w:rsid w:val="00695B21"/>
    <w:rsid w:val="00696431"/>
    <w:rsid w:val="00696F86"/>
    <w:rsid w:val="006A2D92"/>
    <w:rsid w:val="006A4770"/>
    <w:rsid w:val="006A4FB4"/>
    <w:rsid w:val="006A534B"/>
    <w:rsid w:val="006A68F1"/>
    <w:rsid w:val="006A7302"/>
    <w:rsid w:val="006B00DC"/>
    <w:rsid w:val="006B098C"/>
    <w:rsid w:val="006B0FFF"/>
    <w:rsid w:val="006B16FF"/>
    <w:rsid w:val="006B1854"/>
    <w:rsid w:val="006B1B1D"/>
    <w:rsid w:val="006B285C"/>
    <w:rsid w:val="006B2902"/>
    <w:rsid w:val="006B2E88"/>
    <w:rsid w:val="006B2F70"/>
    <w:rsid w:val="006B4295"/>
    <w:rsid w:val="006B45EE"/>
    <w:rsid w:val="006B4814"/>
    <w:rsid w:val="006B66CC"/>
    <w:rsid w:val="006B7B03"/>
    <w:rsid w:val="006B7D34"/>
    <w:rsid w:val="006C032C"/>
    <w:rsid w:val="006C1F55"/>
    <w:rsid w:val="006C2854"/>
    <w:rsid w:val="006C2923"/>
    <w:rsid w:val="006C3311"/>
    <w:rsid w:val="006C3F4E"/>
    <w:rsid w:val="006C46C9"/>
    <w:rsid w:val="006C4D46"/>
    <w:rsid w:val="006C5FB9"/>
    <w:rsid w:val="006C6CDD"/>
    <w:rsid w:val="006C6F6B"/>
    <w:rsid w:val="006C793F"/>
    <w:rsid w:val="006D0A6E"/>
    <w:rsid w:val="006D0B97"/>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370"/>
    <w:rsid w:val="00706C55"/>
    <w:rsid w:val="00707165"/>
    <w:rsid w:val="00707232"/>
    <w:rsid w:val="0071105F"/>
    <w:rsid w:val="00711215"/>
    <w:rsid w:val="0071139A"/>
    <w:rsid w:val="0071149B"/>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C02"/>
    <w:rsid w:val="00730D50"/>
    <w:rsid w:val="007311C8"/>
    <w:rsid w:val="00731352"/>
    <w:rsid w:val="007314A8"/>
    <w:rsid w:val="00732C6E"/>
    <w:rsid w:val="00733387"/>
    <w:rsid w:val="00734E48"/>
    <w:rsid w:val="0073573A"/>
    <w:rsid w:val="00735C9B"/>
    <w:rsid w:val="00737311"/>
    <w:rsid w:val="00737FFC"/>
    <w:rsid w:val="00740E4C"/>
    <w:rsid w:val="00741048"/>
    <w:rsid w:val="007410B2"/>
    <w:rsid w:val="00741D87"/>
    <w:rsid w:val="00742DD5"/>
    <w:rsid w:val="00743236"/>
    <w:rsid w:val="00744BAA"/>
    <w:rsid w:val="00745800"/>
    <w:rsid w:val="00745C5D"/>
    <w:rsid w:val="00746365"/>
    <w:rsid w:val="0074797A"/>
    <w:rsid w:val="00751CB3"/>
    <w:rsid w:val="00751F41"/>
    <w:rsid w:val="007520D1"/>
    <w:rsid w:val="00752E8D"/>
    <w:rsid w:val="00754487"/>
    <w:rsid w:val="0075467C"/>
    <w:rsid w:val="007565ED"/>
    <w:rsid w:val="007566B9"/>
    <w:rsid w:val="007576AE"/>
    <w:rsid w:val="00757B96"/>
    <w:rsid w:val="00760359"/>
    <w:rsid w:val="0076249B"/>
    <w:rsid w:val="00762780"/>
    <w:rsid w:val="00762E44"/>
    <w:rsid w:val="00763193"/>
    <w:rsid w:val="00763252"/>
    <w:rsid w:val="0076338C"/>
    <w:rsid w:val="00763910"/>
    <w:rsid w:val="00764E9B"/>
    <w:rsid w:val="00765611"/>
    <w:rsid w:val="00771A5E"/>
    <w:rsid w:val="00771A8A"/>
    <w:rsid w:val="00771BB5"/>
    <w:rsid w:val="00771E3B"/>
    <w:rsid w:val="00773465"/>
    <w:rsid w:val="00773862"/>
    <w:rsid w:val="0077434F"/>
    <w:rsid w:val="007759C2"/>
    <w:rsid w:val="00776194"/>
    <w:rsid w:val="007762E8"/>
    <w:rsid w:val="0077685B"/>
    <w:rsid w:val="00777477"/>
    <w:rsid w:val="00777947"/>
    <w:rsid w:val="00777B07"/>
    <w:rsid w:val="00777B1C"/>
    <w:rsid w:val="007806BC"/>
    <w:rsid w:val="007809CB"/>
    <w:rsid w:val="00781491"/>
    <w:rsid w:val="00782FF0"/>
    <w:rsid w:val="00783D95"/>
    <w:rsid w:val="00783F1A"/>
    <w:rsid w:val="0078439F"/>
    <w:rsid w:val="0078524A"/>
    <w:rsid w:val="00785605"/>
    <w:rsid w:val="00787799"/>
    <w:rsid w:val="00787EB1"/>
    <w:rsid w:val="007906DC"/>
    <w:rsid w:val="00790D0F"/>
    <w:rsid w:val="0079107F"/>
    <w:rsid w:val="00793373"/>
    <w:rsid w:val="0079637D"/>
    <w:rsid w:val="007963DB"/>
    <w:rsid w:val="00796F1B"/>
    <w:rsid w:val="00797A4E"/>
    <w:rsid w:val="00797C4E"/>
    <w:rsid w:val="007A0307"/>
    <w:rsid w:val="007A043A"/>
    <w:rsid w:val="007A142B"/>
    <w:rsid w:val="007A1CBE"/>
    <w:rsid w:val="007A4620"/>
    <w:rsid w:val="007A50C4"/>
    <w:rsid w:val="007A5430"/>
    <w:rsid w:val="007A6E0B"/>
    <w:rsid w:val="007A70B4"/>
    <w:rsid w:val="007B048E"/>
    <w:rsid w:val="007B077E"/>
    <w:rsid w:val="007B1A3D"/>
    <w:rsid w:val="007B20B8"/>
    <w:rsid w:val="007B2345"/>
    <w:rsid w:val="007B240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9A3"/>
    <w:rsid w:val="007C2CA3"/>
    <w:rsid w:val="007C3230"/>
    <w:rsid w:val="007C3527"/>
    <w:rsid w:val="007C35D6"/>
    <w:rsid w:val="007C3D82"/>
    <w:rsid w:val="007C3E3A"/>
    <w:rsid w:val="007C57CB"/>
    <w:rsid w:val="007C5BAD"/>
    <w:rsid w:val="007C5DDE"/>
    <w:rsid w:val="007C60DB"/>
    <w:rsid w:val="007C6147"/>
    <w:rsid w:val="007C6C85"/>
    <w:rsid w:val="007C72FF"/>
    <w:rsid w:val="007C7827"/>
    <w:rsid w:val="007C78F5"/>
    <w:rsid w:val="007C795E"/>
    <w:rsid w:val="007C7DAB"/>
    <w:rsid w:val="007D1685"/>
    <w:rsid w:val="007D28A8"/>
    <w:rsid w:val="007D34F2"/>
    <w:rsid w:val="007D3E13"/>
    <w:rsid w:val="007D42C2"/>
    <w:rsid w:val="007D4A85"/>
    <w:rsid w:val="007D4C90"/>
    <w:rsid w:val="007D602B"/>
    <w:rsid w:val="007D64DA"/>
    <w:rsid w:val="007D6B19"/>
    <w:rsid w:val="007D6D9A"/>
    <w:rsid w:val="007D7074"/>
    <w:rsid w:val="007D7FCB"/>
    <w:rsid w:val="007E0F13"/>
    <w:rsid w:val="007E1294"/>
    <w:rsid w:val="007E19D6"/>
    <w:rsid w:val="007E1A41"/>
    <w:rsid w:val="007E3986"/>
    <w:rsid w:val="007E4615"/>
    <w:rsid w:val="007E5A5F"/>
    <w:rsid w:val="007E66A2"/>
    <w:rsid w:val="007E6B04"/>
    <w:rsid w:val="007E6F3C"/>
    <w:rsid w:val="007E7FE8"/>
    <w:rsid w:val="007F08EE"/>
    <w:rsid w:val="007F190C"/>
    <w:rsid w:val="007F1947"/>
    <w:rsid w:val="007F19E9"/>
    <w:rsid w:val="007F1A39"/>
    <w:rsid w:val="007F32E7"/>
    <w:rsid w:val="007F33D5"/>
    <w:rsid w:val="007F4046"/>
    <w:rsid w:val="007F5CE3"/>
    <w:rsid w:val="007F7FE6"/>
    <w:rsid w:val="00801100"/>
    <w:rsid w:val="00801E49"/>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389D"/>
    <w:rsid w:val="0081484F"/>
    <w:rsid w:val="008148FE"/>
    <w:rsid w:val="00814D78"/>
    <w:rsid w:val="00816A3D"/>
    <w:rsid w:val="0081734C"/>
    <w:rsid w:val="00817506"/>
    <w:rsid w:val="0082029A"/>
    <w:rsid w:val="00820BB0"/>
    <w:rsid w:val="008212A9"/>
    <w:rsid w:val="00821573"/>
    <w:rsid w:val="00821FB3"/>
    <w:rsid w:val="0082317E"/>
    <w:rsid w:val="00823C06"/>
    <w:rsid w:val="008252BC"/>
    <w:rsid w:val="0082546F"/>
    <w:rsid w:val="00825AB3"/>
    <w:rsid w:val="00827110"/>
    <w:rsid w:val="008275B9"/>
    <w:rsid w:val="00831B6F"/>
    <w:rsid w:val="00831D42"/>
    <w:rsid w:val="00832700"/>
    <w:rsid w:val="00832C60"/>
    <w:rsid w:val="008343B3"/>
    <w:rsid w:val="00834B17"/>
    <w:rsid w:val="00837CF4"/>
    <w:rsid w:val="00840D37"/>
    <w:rsid w:val="00843A65"/>
    <w:rsid w:val="00843C5A"/>
    <w:rsid w:val="00844799"/>
    <w:rsid w:val="00844C84"/>
    <w:rsid w:val="00845A20"/>
    <w:rsid w:val="008463D7"/>
    <w:rsid w:val="0084685A"/>
    <w:rsid w:val="00846F6D"/>
    <w:rsid w:val="00847A4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3197"/>
    <w:rsid w:val="00863727"/>
    <w:rsid w:val="00863737"/>
    <w:rsid w:val="00863975"/>
    <w:rsid w:val="00863B00"/>
    <w:rsid w:val="0086478D"/>
    <w:rsid w:val="00865553"/>
    <w:rsid w:val="00866C24"/>
    <w:rsid w:val="008670C9"/>
    <w:rsid w:val="0087085F"/>
    <w:rsid w:val="00870AC5"/>
    <w:rsid w:val="00870CAD"/>
    <w:rsid w:val="00871811"/>
    <w:rsid w:val="00871AE9"/>
    <w:rsid w:val="00871B60"/>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3DDD"/>
    <w:rsid w:val="008843AA"/>
    <w:rsid w:val="00884572"/>
    <w:rsid w:val="00885621"/>
    <w:rsid w:val="0088605B"/>
    <w:rsid w:val="00886375"/>
    <w:rsid w:val="00886651"/>
    <w:rsid w:val="008869EE"/>
    <w:rsid w:val="00887A69"/>
    <w:rsid w:val="008904E6"/>
    <w:rsid w:val="00890C41"/>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982"/>
    <w:rsid w:val="008A1082"/>
    <w:rsid w:val="008A13B2"/>
    <w:rsid w:val="008A15B7"/>
    <w:rsid w:val="008A4388"/>
    <w:rsid w:val="008A56CA"/>
    <w:rsid w:val="008A58B2"/>
    <w:rsid w:val="008A619E"/>
    <w:rsid w:val="008A629E"/>
    <w:rsid w:val="008A6B15"/>
    <w:rsid w:val="008A75AE"/>
    <w:rsid w:val="008B08A9"/>
    <w:rsid w:val="008B0C26"/>
    <w:rsid w:val="008B103A"/>
    <w:rsid w:val="008B2510"/>
    <w:rsid w:val="008B2773"/>
    <w:rsid w:val="008B4F47"/>
    <w:rsid w:val="008B5247"/>
    <w:rsid w:val="008B585F"/>
    <w:rsid w:val="008B5BDB"/>
    <w:rsid w:val="008C1A60"/>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EA"/>
    <w:rsid w:val="008D3BAE"/>
    <w:rsid w:val="008D4926"/>
    <w:rsid w:val="008D4F88"/>
    <w:rsid w:val="008D58AF"/>
    <w:rsid w:val="008D6405"/>
    <w:rsid w:val="008D7EA4"/>
    <w:rsid w:val="008E1A76"/>
    <w:rsid w:val="008E1CE1"/>
    <w:rsid w:val="008E1F48"/>
    <w:rsid w:val="008E21D8"/>
    <w:rsid w:val="008E4294"/>
    <w:rsid w:val="008E51AC"/>
    <w:rsid w:val="008E523B"/>
    <w:rsid w:val="008E5CB4"/>
    <w:rsid w:val="008E6320"/>
    <w:rsid w:val="008E6406"/>
    <w:rsid w:val="008E6BD2"/>
    <w:rsid w:val="008E6F4A"/>
    <w:rsid w:val="008F025F"/>
    <w:rsid w:val="008F124F"/>
    <w:rsid w:val="008F20DC"/>
    <w:rsid w:val="008F3403"/>
    <w:rsid w:val="008F3ACA"/>
    <w:rsid w:val="008F429C"/>
    <w:rsid w:val="008F54EC"/>
    <w:rsid w:val="008F56F3"/>
    <w:rsid w:val="008F68B6"/>
    <w:rsid w:val="008F7694"/>
    <w:rsid w:val="008F7D19"/>
    <w:rsid w:val="008F7D27"/>
    <w:rsid w:val="00900480"/>
    <w:rsid w:val="009018BE"/>
    <w:rsid w:val="00901E54"/>
    <w:rsid w:val="009025B0"/>
    <w:rsid w:val="00902A8A"/>
    <w:rsid w:val="009033F8"/>
    <w:rsid w:val="0090411C"/>
    <w:rsid w:val="00904657"/>
    <w:rsid w:val="00904A92"/>
    <w:rsid w:val="00905376"/>
    <w:rsid w:val="0090583F"/>
    <w:rsid w:val="0090706F"/>
    <w:rsid w:val="009072BA"/>
    <w:rsid w:val="00911813"/>
    <w:rsid w:val="00911B84"/>
    <w:rsid w:val="0091329F"/>
    <w:rsid w:val="009138C5"/>
    <w:rsid w:val="00913AA5"/>
    <w:rsid w:val="00913E45"/>
    <w:rsid w:val="009140DB"/>
    <w:rsid w:val="0091425C"/>
    <w:rsid w:val="00914A92"/>
    <w:rsid w:val="009174E4"/>
    <w:rsid w:val="009201F1"/>
    <w:rsid w:val="00922B69"/>
    <w:rsid w:val="00923276"/>
    <w:rsid w:val="009232C7"/>
    <w:rsid w:val="0092361F"/>
    <w:rsid w:val="00925885"/>
    <w:rsid w:val="00926755"/>
    <w:rsid w:val="0092759A"/>
    <w:rsid w:val="00927D34"/>
    <w:rsid w:val="0093181C"/>
    <w:rsid w:val="009344CE"/>
    <w:rsid w:val="009349DC"/>
    <w:rsid w:val="009353BF"/>
    <w:rsid w:val="00936884"/>
    <w:rsid w:val="00937DDD"/>
    <w:rsid w:val="00937E5B"/>
    <w:rsid w:val="00937EA6"/>
    <w:rsid w:val="009401ED"/>
    <w:rsid w:val="00941A22"/>
    <w:rsid w:val="00941ED8"/>
    <w:rsid w:val="00942681"/>
    <w:rsid w:val="0094303A"/>
    <w:rsid w:val="00944367"/>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6059"/>
    <w:rsid w:val="009604C8"/>
    <w:rsid w:val="00960687"/>
    <w:rsid w:val="009618A3"/>
    <w:rsid w:val="00961A4D"/>
    <w:rsid w:val="00961AA4"/>
    <w:rsid w:val="009635A9"/>
    <w:rsid w:val="00964C1E"/>
    <w:rsid w:val="00964C92"/>
    <w:rsid w:val="00965284"/>
    <w:rsid w:val="00965650"/>
    <w:rsid w:val="00966498"/>
    <w:rsid w:val="00966D34"/>
    <w:rsid w:val="00966FB5"/>
    <w:rsid w:val="00971344"/>
    <w:rsid w:val="009723AB"/>
    <w:rsid w:val="0097243A"/>
    <w:rsid w:val="00972C5F"/>
    <w:rsid w:val="00973470"/>
    <w:rsid w:val="0097401E"/>
    <w:rsid w:val="00974F0A"/>
    <w:rsid w:val="00974F8E"/>
    <w:rsid w:val="00974FC1"/>
    <w:rsid w:val="00975079"/>
    <w:rsid w:val="009755B9"/>
    <w:rsid w:val="009766C0"/>
    <w:rsid w:val="00976B00"/>
    <w:rsid w:val="00976B73"/>
    <w:rsid w:val="00976FA2"/>
    <w:rsid w:val="00977346"/>
    <w:rsid w:val="00983456"/>
    <w:rsid w:val="0098378B"/>
    <w:rsid w:val="00983CD0"/>
    <w:rsid w:val="009858BF"/>
    <w:rsid w:val="009858FC"/>
    <w:rsid w:val="009867F7"/>
    <w:rsid w:val="0099093C"/>
    <w:rsid w:val="0099219C"/>
    <w:rsid w:val="00992576"/>
    <w:rsid w:val="00992A92"/>
    <w:rsid w:val="0099343E"/>
    <w:rsid w:val="009939ED"/>
    <w:rsid w:val="009947C7"/>
    <w:rsid w:val="0099510D"/>
    <w:rsid w:val="0099532B"/>
    <w:rsid w:val="00995E70"/>
    <w:rsid w:val="00996823"/>
    <w:rsid w:val="00996855"/>
    <w:rsid w:val="00997EC4"/>
    <w:rsid w:val="009A29DE"/>
    <w:rsid w:val="009A2F0F"/>
    <w:rsid w:val="009A308C"/>
    <w:rsid w:val="009A633D"/>
    <w:rsid w:val="009A6849"/>
    <w:rsid w:val="009B0FBC"/>
    <w:rsid w:val="009B1B8F"/>
    <w:rsid w:val="009B1DB4"/>
    <w:rsid w:val="009B23D9"/>
    <w:rsid w:val="009B3738"/>
    <w:rsid w:val="009B5005"/>
    <w:rsid w:val="009B5F3E"/>
    <w:rsid w:val="009B69AC"/>
    <w:rsid w:val="009B7903"/>
    <w:rsid w:val="009B79FA"/>
    <w:rsid w:val="009C0895"/>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1E8"/>
    <w:rsid w:val="009D251F"/>
    <w:rsid w:val="009D292A"/>
    <w:rsid w:val="009D58B3"/>
    <w:rsid w:val="009D77B2"/>
    <w:rsid w:val="009E1108"/>
    <w:rsid w:val="009E1849"/>
    <w:rsid w:val="009E2909"/>
    <w:rsid w:val="009E3218"/>
    <w:rsid w:val="009E3533"/>
    <w:rsid w:val="009E36C4"/>
    <w:rsid w:val="009E5668"/>
    <w:rsid w:val="009E64E7"/>
    <w:rsid w:val="009E68DC"/>
    <w:rsid w:val="009E6DB0"/>
    <w:rsid w:val="009E70A8"/>
    <w:rsid w:val="009F01E7"/>
    <w:rsid w:val="009F18DE"/>
    <w:rsid w:val="009F22B0"/>
    <w:rsid w:val="009F359D"/>
    <w:rsid w:val="009F36B1"/>
    <w:rsid w:val="009F44F2"/>
    <w:rsid w:val="009F45E4"/>
    <w:rsid w:val="009F4CB0"/>
    <w:rsid w:val="009F5299"/>
    <w:rsid w:val="009F5ADC"/>
    <w:rsid w:val="009F63A1"/>
    <w:rsid w:val="009F6AFE"/>
    <w:rsid w:val="009F73E3"/>
    <w:rsid w:val="009F7C80"/>
    <w:rsid w:val="009F7D6E"/>
    <w:rsid w:val="00A006FB"/>
    <w:rsid w:val="00A021C1"/>
    <w:rsid w:val="00A03C39"/>
    <w:rsid w:val="00A03DA7"/>
    <w:rsid w:val="00A04812"/>
    <w:rsid w:val="00A04C36"/>
    <w:rsid w:val="00A05A21"/>
    <w:rsid w:val="00A05BE1"/>
    <w:rsid w:val="00A0643B"/>
    <w:rsid w:val="00A12625"/>
    <w:rsid w:val="00A12B69"/>
    <w:rsid w:val="00A12DF9"/>
    <w:rsid w:val="00A13788"/>
    <w:rsid w:val="00A13EF4"/>
    <w:rsid w:val="00A14091"/>
    <w:rsid w:val="00A15B53"/>
    <w:rsid w:val="00A15D9F"/>
    <w:rsid w:val="00A16210"/>
    <w:rsid w:val="00A16DBD"/>
    <w:rsid w:val="00A17185"/>
    <w:rsid w:val="00A17B0F"/>
    <w:rsid w:val="00A20460"/>
    <w:rsid w:val="00A21661"/>
    <w:rsid w:val="00A2179F"/>
    <w:rsid w:val="00A21C08"/>
    <w:rsid w:val="00A21EBB"/>
    <w:rsid w:val="00A22633"/>
    <w:rsid w:val="00A2308E"/>
    <w:rsid w:val="00A23F2B"/>
    <w:rsid w:val="00A2417F"/>
    <w:rsid w:val="00A249D0"/>
    <w:rsid w:val="00A27A82"/>
    <w:rsid w:val="00A30F43"/>
    <w:rsid w:val="00A312BC"/>
    <w:rsid w:val="00A31B58"/>
    <w:rsid w:val="00A32448"/>
    <w:rsid w:val="00A32923"/>
    <w:rsid w:val="00A33196"/>
    <w:rsid w:val="00A3378B"/>
    <w:rsid w:val="00A34621"/>
    <w:rsid w:val="00A348D6"/>
    <w:rsid w:val="00A34E4D"/>
    <w:rsid w:val="00A3640B"/>
    <w:rsid w:val="00A36D10"/>
    <w:rsid w:val="00A36D2E"/>
    <w:rsid w:val="00A37797"/>
    <w:rsid w:val="00A40CCA"/>
    <w:rsid w:val="00A4107C"/>
    <w:rsid w:val="00A41472"/>
    <w:rsid w:val="00A414D0"/>
    <w:rsid w:val="00A416DA"/>
    <w:rsid w:val="00A41B90"/>
    <w:rsid w:val="00A42683"/>
    <w:rsid w:val="00A43A10"/>
    <w:rsid w:val="00A44493"/>
    <w:rsid w:val="00A452D9"/>
    <w:rsid w:val="00A4551C"/>
    <w:rsid w:val="00A45AA2"/>
    <w:rsid w:val="00A4605F"/>
    <w:rsid w:val="00A461C2"/>
    <w:rsid w:val="00A47903"/>
    <w:rsid w:val="00A47C9F"/>
    <w:rsid w:val="00A5015B"/>
    <w:rsid w:val="00A509E5"/>
    <w:rsid w:val="00A537CD"/>
    <w:rsid w:val="00A54ACC"/>
    <w:rsid w:val="00A55AA8"/>
    <w:rsid w:val="00A55BED"/>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3"/>
    <w:rsid w:val="00A708B7"/>
    <w:rsid w:val="00A7164F"/>
    <w:rsid w:val="00A71B7F"/>
    <w:rsid w:val="00A726A3"/>
    <w:rsid w:val="00A72EC4"/>
    <w:rsid w:val="00A72F6D"/>
    <w:rsid w:val="00A72F90"/>
    <w:rsid w:val="00A7322C"/>
    <w:rsid w:val="00A7518F"/>
    <w:rsid w:val="00A7537A"/>
    <w:rsid w:val="00A7546F"/>
    <w:rsid w:val="00A756DC"/>
    <w:rsid w:val="00A75879"/>
    <w:rsid w:val="00A76DDB"/>
    <w:rsid w:val="00A772AC"/>
    <w:rsid w:val="00A801AA"/>
    <w:rsid w:val="00A80A29"/>
    <w:rsid w:val="00A80E15"/>
    <w:rsid w:val="00A82237"/>
    <w:rsid w:val="00A82282"/>
    <w:rsid w:val="00A8275E"/>
    <w:rsid w:val="00A82B82"/>
    <w:rsid w:val="00A84BB9"/>
    <w:rsid w:val="00A85EDB"/>
    <w:rsid w:val="00A86E22"/>
    <w:rsid w:val="00A87CC8"/>
    <w:rsid w:val="00A903CB"/>
    <w:rsid w:val="00A9055B"/>
    <w:rsid w:val="00A90989"/>
    <w:rsid w:val="00A90B2C"/>
    <w:rsid w:val="00A92282"/>
    <w:rsid w:val="00A934C0"/>
    <w:rsid w:val="00A936D4"/>
    <w:rsid w:val="00A94498"/>
    <w:rsid w:val="00A94DC0"/>
    <w:rsid w:val="00A97341"/>
    <w:rsid w:val="00A97424"/>
    <w:rsid w:val="00A97C4D"/>
    <w:rsid w:val="00AA023C"/>
    <w:rsid w:val="00AA0333"/>
    <w:rsid w:val="00AA0899"/>
    <w:rsid w:val="00AA3276"/>
    <w:rsid w:val="00AA3570"/>
    <w:rsid w:val="00AA35C9"/>
    <w:rsid w:val="00AA3A91"/>
    <w:rsid w:val="00AA3E88"/>
    <w:rsid w:val="00AA460B"/>
    <w:rsid w:val="00AA46C1"/>
    <w:rsid w:val="00AA490E"/>
    <w:rsid w:val="00AA530A"/>
    <w:rsid w:val="00AA6A52"/>
    <w:rsid w:val="00AA6E1C"/>
    <w:rsid w:val="00AB18D4"/>
    <w:rsid w:val="00AB2360"/>
    <w:rsid w:val="00AB3627"/>
    <w:rsid w:val="00AB4205"/>
    <w:rsid w:val="00AB4672"/>
    <w:rsid w:val="00AB4688"/>
    <w:rsid w:val="00AB55FF"/>
    <w:rsid w:val="00AB5B24"/>
    <w:rsid w:val="00AB5DE8"/>
    <w:rsid w:val="00AB5FEB"/>
    <w:rsid w:val="00AB60C8"/>
    <w:rsid w:val="00AB7629"/>
    <w:rsid w:val="00AC0F28"/>
    <w:rsid w:val="00AC1037"/>
    <w:rsid w:val="00AC148D"/>
    <w:rsid w:val="00AC1934"/>
    <w:rsid w:val="00AC3712"/>
    <w:rsid w:val="00AC37B1"/>
    <w:rsid w:val="00AC3869"/>
    <w:rsid w:val="00AC4098"/>
    <w:rsid w:val="00AC43D6"/>
    <w:rsid w:val="00AC4ABE"/>
    <w:rsid w:val="00AC4C5C"/>
    <w:rsid w:val="00AC5DDA"/>
    <w:rsid w:val="00AC6031"/>
    <w:rsid w:val="00AC61AA"/>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1C4B"/>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5718"/>
    <w:rsid w:val="00AF5A3C"/>
    <w:rsid w:val="00AF5A62"/>
    <w:rsid w:val="00AF5A7C"/>
    <w:rsid w:val="00AF5AD5"/>
    <w:rsid w:val="00AF6025"/>
    <w:rsid w:val="00AF6740"/>
    <w:rsid w:val="00AF6B30"/>
    <w:rsid w:val="00AF6BB8"/>
    <w:rsid w:val="00AF701D"/>
    <w:rsid w:val="00B002E2"/>
    <w:rsid w:val="00B0083C"/>
    <w:rsid w:val="00B01111"/>
    <w:rsid w:val="00B01167"/>
    <w:rsid w:val="00B011E4"/>
    <w:rsid w:val="00B01BDC"/>
    <w:rsid w:val="00B02035"/>
    <w:rsid w:val="00B02A2B"/>
    <w:rsid w:val="00B02A5F"/>
    <w:rsid w:val="00B03248"/>
    <w:rsid w:val="00B06601"/>
    <w:rsid w:val="00B07F6F"/>
    <w:rsid w:val="00B1092E"/>
    <w:rsid w:val="00B110A7"/>
    <w:rsid w:val="00B1163B"/>
    <w:rsid w:val="00B130E2"/>
    <w:rsid w:val="00B14D41"/>
    <w:rsid w:val="00B151DF"/>
    <w:rsid w:val="00B1644E"/>
    <w:rsid w:val="00B20113"/>
    <w:rsid w:val="00B2065B"/>
    <w:rsid w:val="00B207AD"/>
    <w:rsid w:val="00B2098B"/>
    <w:rsid w:val="00B21D79"/>
    <w:rsid w:val="00B21DEA"/>
    <w:rsid w:val="00B21F74"/>
    <w:rsid w:val="00B23107"/>
    <w:rsid w:val="00B23359"/>
    <w:rsid w:val="00B2421B"/>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2D2D"/>
    <w:rsid w:val="00B433F4"/>
    <w:rsid w:val="00B43AB6"/>
    <w:rsid w:val="00B43D31"/>
    <w:rsid w:val="00B43F38"/>
    <w:rsid w:val="00B441B2"/>
    <w:rsid w:val="00B443C5"/>
    <w:rsid w:val="00B4513B"/>
    <w:rsid w:val="00B451BC"/>
    <w:rsid w:val="00B463FE"/>
    <w:rsid w:val="00B4754B"/>
    <w:rsid w:val="00B476AA"/>
    <w:rsid w:val="00B50265"/>
    <w:rsid w:val="00B50BAC"/>
    <w:rsid w:val="00B50E41"/>
    <w:rsid w:val="00B5107D"/>
    <w:rsid w:val="00B51284"/>
    <w:rsid w:val="00B519C5"/>
    <w:rsid w:val="00B531C3"/>
    <w:rsid w:val="00B53A07"/>
    <w:rsid w:val="00B5466F"/>
    <w:rsid w:val="00B55126"/>
    <w:rsid w:val="00B5533E"/>
    <w:rsid w:val="00B555CA"/>
    <w:rsid w:val="00B55B05"/>
    <w:rsid w:val="00B573C7"/>
    <w:rsid w:val="00B577C5"/>
    <w:rsid w:val="00B60A6F"/>
    <w:rsid w:val="00B60E4F"/>
    <w:rsid w:val="00B61197"/>
    <w:rsid w:val="00B62C0C"/>
    <w:rsid w:val="00B62C59"/>
    <w:rsid w:val="00B62CFD"/>
    <w:rsid w:val="00B64334"/>
    <w:rsid w:val="00B6584F"/>
    <w:rsid w:val="00B65F94"/>
    <w:rsid w:val="00B66498"/>
    <w:rsid w:val="00B67D26"/>
    <w:rsid w:val="00B708E3"/>
    <w:rsid w:val="00B71734"/>
    <w:rsid w:val="00B71859"/>
    <w:rsid w:val="00B733AC"/>
    <w:rsid w:val="00B742A1"/>
    <w:rsid w:val="00B754DE"/>
    <w:rsid w:val="00B76806"/>
    <w:rsid w:val="00B7731E"/>
    <w:rsid w:val="00B84014"/>
    <w:rsid w:val="00B84A70"/>
    <w:rsid w:val="00B84DE6"/>
    <w:rsid w:val="00B864F5"/>
    <w:rsid w:val="00B86DE2"/>
    <w:rsid w:val="00B87D27"/>
    <w:rsid w:val="00B87EC7"/>
    <w:rsid w:val="00B9038A"/>
    <w:rsid w:val="00B90B19"/>
    <w:rsid w:val="00B91592"/>
    <w:rsid w:val="00B91EC8"/>
    <w:rsid w:val="00B93A32"/>
    <w:rsid w:val="00B94686"/>
    <w:rsid w:val="00B96A91"/>
    <w:rsid w:val="00B9786C"/>
    <w:rsid w:val="00B97E68"/>
    <w:rsid w:val="00B97FA5"/>
    <w:rsid w:val="00BA11CB"/>
    <w:rsid w:val="00BA17C8"/>
    <w:rsid w:val="00BA201F"/>
    <w:rsid w:val="00BA2547"/>
    <w:rsid w:val="00BA382F"/>
    <w:rsid w:val="00BA52B9"/>
    <w:rsid w:val="00BA7B15"/>
    <w:rsid w:val="00BA7B9E"/>
    <w:rsid w:val="00BA7F48"/>
    <w:rsid w:val="00BB0494"/>
    <w:rsid w:val="00BB0AEF"/>
    <w:rsid w:val="00BB26FB"/>
    <w:rsid w:val="00BB26FE"/>
    <w:rsid w:val="00BB286A"/>
    <w:rsid w:val="00BB298A"/>
    <w:rsid w:val="00BB339A"/>
    <w:rsid w:val="00BB3736"/>
    <w:rsid w:val="00BB3DFB"/>
    <w:rsid w:val="00BB41C2"/>
    <w:rsid w:val="00BB4630"/>
    <w:rsid w:val="00BB6D60"/>
    <w:rsid w:val="00BB7976"/>
    <w:rsid w:val="00BC1E0E"/>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695"/>
    <w:rsid w:val="00BE2231"/>
    <w:rsid w:val="00BE27F0"/>
    <w:rsid w:val="00BE2929"/>
    <w:rsid w:val="00BE302C"/>
    <w:rsid w:val="00BE346E"/>
    <w:rsid w:val="00BE38CE"/>
    <w:rsid w:val="00BE51C8"/>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34B6"/>
    <w:rsid w:val="00C04988"/>
    <w:rsid w:val="00C04A9A"/>
    <w:rsid w:val="00C056A2"/>
    <w:rsid w:val="00C05CAA"/>
    <w:rsid w:val="00C0627A"/>
    <w:rsid w:val="00C0766D"/>
    <w:rsid w:val="00C07826"/>
    <w:rsid w:val="00C07BAF"/>
    <w:rsid w:val="00C1000A"/>
    <w:rsid w:val="00C1026D"/>
    <w:rsid w:val="00C10AAA"/>
    <w:rsid w:val="00C10F8B"/>
    <w:rsid w:val="00C114FD"/>
    <w:rsid w:val="00C13112"/>
    <w:rsid w:val="00C14941"/>
    <w:rsid w:val="00C16042"/>
    <w:rsid w:val="00C16692"/>
    <w:rsid w:val="00C16DDF"/>
    <w:rsid w:val="00C17EA6"/>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C8E"/>
    <w:rsid w:val="00C41AE3"/>
    <w:rsid w:val="00C421F0"/>
    <w:rsid w:val="00C42FBF"/>
    <w:rsid w:val="00C43F02"/>
    <w:rsid w:val="00C43F07"/>
    <w:rsid w:val="00C4554E"/>
    <w:rsid w:val="00C45B3B"/>
    <w:rsid w:val="00C46599"/>
    <w:rsid w:val="00C4702B"/>
    <w:rsid w:val="00C5061B"/>
    <w:rsid w:val="00C50C09"/>
    <w:rsid w:val="00C50F73"/>
    <w:rsid w:val="00C52820"/>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1B"/>
    <w:rsid w:val="00C739EC"/>
    <w:rsid w:val="00C73EF9"/>
    <w:rsid w:val="00C741B9"/>
    <w:rsid w:val="00C749B2"/>
    <w:rsid w:val="00C75613"/>
    <w:rsid w:val="00C7570F"/>
    <w:rsid w:val="00C7573E"/>
    <w:rsid w:val="00C764E1"/>
    <w:rsid w:val="00C76D5C"/>
    <w:rsid w:val="00C76FCC"/>
    <w:rsid w:val="00C77098"/>
    <w:rsid w:val="00C8261B"/>
    <w:rsid w:val="00C82BB7"/>
    <w:rsid w:val="00C83CCB"/>
    <w:rsid w:val="00C840EB"/>
    <w:rsid w:val="00C84110"/>
    <w:rsid w:val="00C8425A"/>
    <w:rsid w:val="00C84F8C"/>
    <w:rsid w:val="00C85BF7"/>
    <w:rsid w:val="00C86D29"/>
    <w:rsid w:val="00C90BA8"/>
    <w:rsid w:val="00C92344"/>
    <w:rsid w:val="00C92431"/>
    <w:rsid w:val="00C92453"/>
    <w:rsid w:val="00C9248C"/>
    <w:rsid w:val="00C92A3A"/>
    <w:rsid w:val="00C93BAD"/>
    <w:rsid w:val="00C94B6B"/>
    <w:rsid w:val="00C94C32"/>
    <w:rsid w:val="00C9621C"/>
    <w:rsid w:val="00C962B0"/>
    <w:rsid w:val="00C97182"/>
    <w:rsid w:val="00C978C3"/>
    <w:rsid w:val="00CA0739"/>
    <w:rsid w:val="00CA23C3"/>
    <w:rsid w:val="00CA295E"/>
    <w:rsid w:val="00CA296D"/>
    <w:rsid w:val="00CA2E38"/>
    <w:rsid w:val="00CA3044"/>
    <w:rsid w:val="00CA4392"/>
    <w:rsid w:val="00CB0F48"/>
    <w:rsid w:val="00CB1419"/>
    <w:rsid w:val="00CB14EF"/>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5191"/>
    <w:rsid w:val="00CC61D1"/>
    <w:rsid w:val="00CC6E65"/>
    <w:rsid w:val="00CC7E3E"/>
    <w:rsid w:val="00CC7F53"/>
    <w:rsid w:val="00CD01B5"/>
    <w:rsid w:val="00CD0372"/>
    <w:rsid w:val="00CD0F30"/>
    <w:rsid w:val="00CD125A"/>
    <w:rsid w:val="00CD148C"/>
    <w:rsid w:val="00CD2F6F"/>
    <w:rsid w:val="00CD4359"/>
    <w:rsid w:val="00CD4609"/>
    <w:rsid w:val="00CD5B2D"/>
    <w:rsid w:val="00CD67CA"/>
    <w:rsid w:val="00CE001B"/>
    <w:rsid w:val="00CE0D03"/>
    <w:rsid w:val="00CE1617"/>
    <w:rsid w:val="00CE1C00"/>
    <w:rsid w:val="00CE1F3D"/>
    <w:rsid w:val="00CE2A36"/>
    <w:rsid w:val="00CE3914"/>
    <w:rsid w:val="00CE4680"/>
    <w:rsid w:val="00CE591C"/>
    <w:rsid w:val="00CE6ABD"/>
    <w:rsid w:val="00CE6D76"/>
    <w:rsid w:val="00CF03C9"/>
    <w:rsid w:val="00CF0990"/>
    <w:rsid w:val="00CF14E4"/>
    <w:rsid w:val="00CF1AD6"/>
    <w:rsid w:val="00CF1BB0"/>
    <w:rsid w:val="00CF2681"/>
    <w:rsid w:val="00CF280E"/>
    <w:rsid w:val="00CF28FD"/>
    <w:rsid w:val="00CF2D43"/>
    <w:rsid w:val="00CF321F"/>
    <w:rsid w:val="00CF35E0"/>
    <w:rsid w:val="00CF3873"/>
    <w:rsid w:val="00CF505D"/>
    <w:rsid w:val="00CF5194"/>
    <w:rsid w:val="00CF585C"/>
    <w:rsid w:val="00CF5D1A"/>
    <w:rsid w:val="00CF5DBF"/>
    <w:rsid w:val="00CF7670"/>
    <w:rsid w:val="00CF7B18"/>
    <w:rsid w:val="00D0049D"/>
    <w:rsid w:val="00D02061"/>
    <w:rsid w:val="00D022E5"/>
    <w:rsid w:val="00D02BFB"/>
    <w:rsid w:val="00D03AA1"/>
    <w:rsid w:val="00D04FAB"/>
    <w:rsid w:val="00D053A6"/>
    <w:rsid w:val="00D05E72"/>
    <w:rsid w:val="00D05F1C"/>
    <w:rsid w:val="00D06F34"/>
    <w:rsid w:val="00D07270"/>
    <w:rsid w:val="00D073F4"/>
    <w:rsid w:val="00D10B75"/>
    <w:rsid w:val="00D10D13"/>
    <w:rsid w:val="00D10E13"/>
    <w:rsid w:val="00D11366"/>
    <w:rsid w:val="00D11FBB"/>
    <w:rsid w:val="00D12672"/>
    <w:rsid w:val="00D15AD6"/>
    <w:rsid w:val="00D160F3"/>
    <w:rsid w:val="00D165B6"/>
    <w:rsid w:val="00D2069E"/>
    <w:rsid w:val="00D2265D"/>
    <w:rsid w:val="00D23B49"/>
    <w:rsid w:val="00D24AAC"/>
    <w:rsid w:val="00D24F02"/>
    <w:rsid w:val="00D25D78"/>
    <w:rsid w:val="00D27410"/>
    <w:rsid w:val="00D27676"/>
    <w:rsid w:val="00D27924"/>
    <w:rsid w:val="00D27B9D"/>
    <w:rsid w:val="00D27ED5"/>
    <w:rsid w:val="00D30131"/>
    <w:rsid w:val="00D3163D"/>
    <w:rsid w:val="00D317B7"/>
    <w:rsid w:val="00D32446"/>
    <w:rsid w:val="00D3274F"/>
    <w:rsid w:val="00D33076"/>
    <w:rsid w:val="00D340A1"/>
    <w:rsid w:val="00D35B14"/>
    <w:rsid w:val="00D3777A"/>
    <w:rsid w:val="00D4072A"/>
    <w:rsid w:val="00D40786"/>
    <w:rsid w:val="00D40DE8"/>
    <w:rsid w:val="00D432DC"/>
    <w:rsid w:val="00D4332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147"/>
    <w:rsid w:val="00D677F0"/>
    <w:rsid w:val="00D67D53"/>
    <w:rsid w:val="00D67DC1"/>
    <w:rsid w:val="00D7115B"/>
    <w:rsid w:val="00D7167F"/>
    <w:rsid w:val="00D72B03"/>
    <w:rsid w:val="00D75751"/>
    <w:rsid w:val="00D75CB1"/>
    <w:rsid w:val="00D768BD"/>
    <w:rsid w:val="00D7744C"/>
    <w:rsid w:val="00D77687"/>
    <w:rsid w:val="00D811BE"/>
    <w:rsid w:val="00D845A3"/>
    <w:rsid w:val="00D84A29"/>
    <w:rsid w:val="00D85504"/>
    <w:rsid w:val="00D86CD9"/>
    <w:rsid w:val="00D8717F"/>
    <w:rsid w:val="00D87299"/>
    <w:rsid w:val="00D87E23"/>
    <w:rsid w:val="00D902DE"/>
    <w:rsid w:val="00D90B24"/>
    <w:rsid w:val="00D90D38"/>
    <w:rsid w:val="00D912C1"/>
    <w:rsid w:val="00D91581"/>
    <w:rsid w:val="00D91855"/>
    <w:rsid w:val="00D91D5D"/>
    <w:rsid w:val="00D9221B"/>
    <w:rsid w:val="00D922A8"/>
    <w:rsid w:val="00D927DB"/>
    <w:rsid w:val="00D93A35"/>
    <w:rsid w:val="00D93A59"/>
    <w:rsid w:val="00D949D1"/>
    <w:rsid w:val="00D94F23"/>
    <w:rsid w:val="00D95D93"/>
    <w:rsid w:val="00D95EE4"/>
    <w:rsid w:val="00D962B6"/>
    <w:rsid w:val="00D96BD3"/>
    <w:rsid w:val="00D96D1B"/>
    <w:rsid w:val="00D9714A"/>
    <w:rsid w:val="00D97CBE"/>
    <w:rsid w:val="00DA0D61"/>
    <w:rsid w:val="00DA0F80"/>
    <w:rsid w:val="00DA0FB7"/>
    <w:rsid w:val="00DA2D5C"/>
    <w:rsid w:val="00DA4756"/>
    <w:rsid w:val="00DA4992"/>
    <w:rsid w:val="00DA4B81"/>
    <w:rsid w:val="00DA54FA"/>
    <w:rsid w:val="00DA59A3"/>
    <w:rsid w:val="00DA6027"/>
    <w:rsid w:val="00DA735D"/>
    <w:rsid w:val="00DB06C6"/>
    <w:rsid w:val="00DB188B"/>
    <w:rsid w:val="00DB1BFE"/>
    <w:rsid w:val="00DB23EC"/>
    <w:rsid w:val="00DB2934"/>
    <w:rsid w:val="00DB31A2"/>
    <w:rsid w:val="00DB360F"/>
    <w:rsid w:val="00DB3B9E"/>
    <w:rsid w:val="00DB3E9A"/>
    <w:rsid w:val="00DB4882"/>
    <w:rsid w:val="00DB4899"/>
    <w:rsid w:val="00DB4DCF"/>
    <w:rsid w:val="00DB54BF"/>
    <w:rsid w:val="00DB5FCE"/>
    <w:rsid w:val="00DB69C5"/>
    <w:rsid w:val="00DB71A5"/>
    <w:rsid w:val="00DB7E26"/>
    <w:rsid w:val="00DB7F31"/>
    <w:rsid w:val="00DC048D"/>
    <w:rsid w:val="00DC04F6"/>
    <w:rsid w:val="00DC085F"/>
    <w:rsid w:val="00DC0B68"/>
    <w:rsid w:val="00DC0C23"/>
    <w:rsid w:val="00DC1792"/>
    <w:rsid w:val="00DC193A"/>
    <w:rsid w:val="00DC1A5A"/>
    <w:rsid w:val="00DC1CCB"/>
    <w:rsid w:val="00DC2E68"/>
    <w:rsid w:val="00DC3A2C"/>
    <w:rsid w:val="00DC3CF6"/>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07C"/>
    <w:rsid w:val="00DE710B"/>
    <w:rsid w:val="00DE731A"/>
    <w:rsid w:val="00DF059A"/>
    <w:rsid w:val="00DF07A3"/>
    <w:rsid w:val="00DF0A7C"/>
    <w:rsid w:val="00DF2E94"/>
    <w:rsid w:val="00DF30F2"/>
    <w:rsid w:val="00DF3C53"/>
    <w:rsid w:val="00DF3E95"/>
    <w:rsid w:val="00DF48CF"/>
    <w:rsid w:val="00DF4990"/>
    <w:rsid w:val="00DF5516"/>
    <w:rsid w:val="00DF5D18"/>
    <w:rsid w:val="00DF63AF"/>
    <w:rsid w:val="00DF6A9E"/>
    <w:rsid w:val="00DF7060"/>
    <w:rsid w:val="00E00099"/>
    <w:rsid w:val="00E00163"/>
    <w:rsid w:val="00E0064A"/>
    <w:rsid w:val="00E006A1"/>
    <w:rsid w:val="00E01682"/>
    <w:rsid w:val="00E01DFD"/>
    <w:rsid w:val="00E0328E"/>
    <w:rsid w:val="00E05938"/>
    <w:rsid w:val="00E05ACE"/>
    <w:rsid w:val="00E05D2E"/>
    <w:rsid w:val="00E060E4"/>
    <w:rsid w:val="00E06804"/>
    <w:rsid w:val="00E07D90"/>
    <w:rsid w:val="00E07D9B"/>
    <w:rsid w:val="00E11186"/>
    <w:rsid w:val="00E11DCC"/>
    <w:rsid w:val="00E14144"/>
    <w:rsid w:val="00E14F07"/>
    <w:rsid w:val="00E15584"/>
    <w:rsid w:val="00E15682"/>
    <w:rsid w:val="00E15A37"/>
    <w:rsid w:val="00E1668F"/>
    <w:rsid w:val="00E1710A"/>
    <w:rsid w:val="00E171F4"/>
    <w:rsid w:val="00E17989"/>
    <w:rsid w:val="00E17A2A"/>
    <w:rsid w:val="00E17D34"/>
    <w:rsid w:val="00E201E8"/>
    <w:rsid w:val="00E20C51"/>
    <w:rsid w:val="00E222E9"/>
    <w:rsid w:val="00E22AAB"/>
    <w:rsid w:val="00E2415E"/>
    <w:rsid w:val="00E247BE"/>
    <w:rsid w:val="00E2481B"/>
    <w:rsid w:val="00E27978"/>
    <w:rsid w:val="00E27B5A"/>
    <w:rsid w:val="00E30039"/>
    <w:rsid w:val="00E30425"/>
    <w:rsid w:val="00E307D1"/>
    <w:rsid w:val="00E31335"/>
    <w:rsid w:val="00E32621"/>
    <w:rsid w:val="00E352E5"/>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2A9"/>
    <w:rsid w:val="00E61AA5"/>
    <w:rsid w:val="00E6215E"/>
    <w:rsid w:val="00E63785"/>
    <w:rsid w:val="00E64291"/>
    <w:rsid w:val="00E64E50"/>
    <w:rsid w:val="00E65177"/>
    <w:rsid w:val="00E660D8"/>
    <w:rsid w:val="00E66C85"/>
    <w:rsid w:val="00E66EFC"/>
    <w:rsid w:val="00E71EF5"/>
    <w:rsid w:val="00E721DF"/>
    <w:rsid w:val="00E72C1D"/>
    <w:rsid w:val="00E735B7"/>
    <w:rsid w:val="00E7415A"/>
    <w:rsid w:val="00E74241"/>
    <w:rsid w:val="00E75092"/>
    <w:rsid w:val="00E75B35"/>
    <w:rsid w:val="00E768A0"/>
    <w:rsid w:val="00E76E60"/>
    <w:rsid w:val="00E77E5A"/>
    <w:rsid w:val="00E80233"/>
    <w:rsid w:val="00E80318"/>
    <w:rsid w:val="00E81F75"/>
    <w:rsid w:val="00E82338"/>
    <w:rsid w:val="00E82415"/>
    <w:rsid w:val="00E82DCB"/>
    <w:rsid w:val="00E836CE"/>
    <w:rsid w:val="00E8542E"/>
    <w:rsid w:val="00E874A7"/>
    <w:rsid w:val="00E87BB5"/>
    <w:rsid w:val="00E91B87"/>
    <w:rsid w:val="00E92763"/>
    <w:rsid w:val="00E93B6F"/>
    <w:rsid w:val="00E93BCF"/>
    <w:rsid w:val="00E9417F"/>
    <w:rsid w:val="00E954CC"/>
    <w:rsid w:val="00E956B1"/>
    <w:rsid w:val="00E95B48"/>
    <w:rsid w:val="00E960E0"/>
    <w:rsid w:val="00E97124"/>
    <w:rsid w:val="00EA0A21"/>
    <w:rsid w:val="00EA158B"/>
    <w:rsid w:val="00EA1A4B"/>
    <w:rsid w:val="00EA1AA1"/>
    <w:rsid w:val="00EA1E87"/>
    <w:rsid w:val="00EA2172"/>
    <w:rsid w:val="00EA24CD"/>
    <w:rsid w:val="00EA328D"/>
    <w:rsid w:val="00EA364E"/>
    <w:rsid w:val="00EA44E9"/>
    <w:rsid w:val="00EA6022"/>
    <w:rsid w:val="00EA6C85"/>
    <w:rsid w:val="00EA7E39"/>
    <w:rsid w:val="00EB009E"/>
    <w:rsid w:val="00EB0997"/>
    <w:rsid w:val="00EB3D4F"/>
    <w:rsid w:val="00EB43FE"/>
    <w:rsid w:val="00EB6380"/>
    <w:rsid w:val="00EB6B36"/>
    <w:rsid w:val="00EB7409"/>
    <w:rsid w:val="00EB78AC"/>
    <w:rsid w:val="00EB7950"/>
    <w:rsid w:val="00EB7D0B"/>
    <w:rsid w:val="00EC121A"/>
    <w:rsid w:val="00EC1279"/>
    <w:rsid w:val="00EC12F0"/>
    <w:rsid w:val="00EC1DB9"/>
    <w:rsid w:val="00EC2674"/>
    <w:rsid w:val="00EC2698"/>
    <w:rsid w:val="00EC2CFD"/>
    <w:rsid w:val="00EC3015"/>
    <w:rsid w:val="00EC3E88"/>
    <w:rsid w:val="00EC45BC"/>
    <w:rsid w:val="00EC4774"/>
    <w:rsid w:val="00EC5EF6"/>
    <w:rsid w:val="00EC6042"/>
    <w:rsid w:val="00EC669F"/>
    <w:rsid w:val="00EC7751"/>
    <w:rsid w:val="00ED05F6"/>
    <w:rsid w:val="00ED2410"/>
    <w:rsid w:val="00ED3ADF"/>
    <w:rsid w:val="00ED553C"/>
    <w:rsid w:val="00ED555E"/>
    <w:rsid w:val="00ED633A"/>
    <w:rsid w:val="00ED7610"/>
    <w:rsid w:val="00ED7877"/>
    <w:rsid w:val="00EE0DBB"/>
    <w:rsid w:val="00EE10F4"/>
    <w:rsid w:val="00EE1D10"/>
    <w:rsid w:val="00EE2FBF"/>
    <w:rsid w:val="00EE36DC"/>
    <w:rsid w:val="00EE3CB9"/>
    <w:rsid w:val="00EE5E45"/>
    <w:rsid w:val="00EE6A7B"/>
    <w:rsid w:val="00EF03F6"/>
    <w:rsid w:val="00EF084A"/>
    <w:rsid w:val="00EF1052"/>
    <w:rsid w:val="00EF16D5"/>
    <w:rsid w:val="00EF1703"/>
    <w:rsid w:val="00EF3975"/>
    <w:rsid w:val="00EF3A0C"/>
    <w:rsid w:val="00EF3DB0"/>
    <w:rsid w:val="00EF472E"/>
    <w:rsid w:val="00EF4910"/>
    <w:rsid w:val="00EF4E11"/>
    <w:rsid w:val="00EF5178"/>
    <w:rsid w:val="00F012D6"/>
    <w:rsid w:val="00F013FE"/>
    <w:rsid w:val="00F01C6E"/>
    <w:rsid w:val="00F01F8E"/>
    <w:rsid w:val="00F0346B"/>
    <w:rsid w:val="00F03A97"/>
    <w:rsid w:val="00F03C65"/>
    <w:rsid w:val="00F045C2"/>
    <w:rsid w:val="00F0479D"/>
    <w:rsid w:val="00F05AAC"/>
    <w:rsid w:val="00F064B3"/>
    <w:rsid w:val="00F07525"/>
    <w:rsid w:val="00F07F9E"/>
    <w:rsid w:val="00F10142"/>
    <w:rsid w:val="00F12D02"/>
    <w:rsid w:val="00F130E3"/>
    <w:rsid w:val="00F13EEE"/>
    <w:rsid w:val="00F14C02"/>
    <w:rsid w:val="00F15233"/>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5FD0"/>
    <w:rsid w:val="00F37699"/>
    <w:rsid w:val="00F37928"/>
    <w:rsid w:val="00F40C3A"/>
    <w:rsid w:val="00F422F4"/>
    <w:rsid w:val="00F425E0"/>
    <w:rsid w:val="00F4380F"/>
    <w:rsid w:val="00F43B51"/>
    <w:rsid w:val="00F43E18"/>
    <w:rsid w:val="00F47751"/>
    <w:rsid w:val="00F5077B"/>
    <w:rsid w:val="00F52EAE"/>
    <w:rsid w:val="00F53648"/>
    <w:rsid w:val="00F5567F"/>
    <w:rsid w:val="00F56142"/>
    <w:rsid w:val="00F57412"/>
    <w:rsid w:val="00F60E85"/>
    <w:rsid w:val="00F6142D"/>
    <w:rsid w:val="00F6226B"/>
    <w:rsid w:val="00F62354"/>
    <w:rsid w:val="00F62963"/>
    <w:rsid w:val="00F62C06"/>
    <w:rsid w:val="00F63779"/>
    <w:rsid w:val="00F63BDE"/>
    <w:rsid w:val="00F64546"/>
    <w:rsid w:val="00F64573"/>
    <w:rsid w:val="00F64F15"/>
    <w:rsid w:val="00F663EF"/>
    <w:rsid w:val="00F70857"/>
    <w:rsid w:val="00F70B70"/>
    <w:rsid w:val="00F71010"/>
    <w:rsid w:val="00F71986"/>
    <w:rsid w:val="00F720F6"/>
    <w:rsid w:val="00F731E1"/>
    <w:rsid w:val="00F732FE"/>
    <w:rsid w:val="00F73E54"/>
    <w:rsid w:val="00F76AC1"/>
    <w:rsid w:val="00F76E00"/>
    <w:rsid w:val="00F76FD2"/>
    <w:rsid w:val="00F77010"/>
    <w:rsid w:val="00F817DE"/>
    <w:rsid w:val="00F8194E"/>
    <w:rsid w:val="00F820AB"/>
    <w:rsid w:val="00F8304F"/>
    <w:rsid w:val="00F830FE"/>
    <w:rsid w:val="00F8352A"/>
    <w:rsid w:val="00F83D70"/>
    <w:rsid w:val="00F85653"/>
    <w:rsid w:val="00F8577A"/>
    <w:rsid w:val="00F85AB4"/>
    <w:rsid w:val="00F86FA1"/>
    <w:rsid w:val="00F874DC"/>
    <w:rsid w:val="00F879FB"/>
    <w:rsid w:val="00F904B0"/>
    <w:rsid w:val="00F90577"/>
    <w:rsid w:val="00F91079"/>
    <w:rsid w:val="00F91775"/>
    <w:rsid w:val="00F917C9"/>
    <w:rsid w:val="00F91AA2"/>
    <w:rsid w:val="00F92C78"/>
    <w:rsid w:val="00F934C1"/>
    <w:rsid w:val="00F93F80"/>
    <w:rsid w:val="00F94694"/>
    <w:rsid w:val="00F94A6F"/>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1776"/>
    <w:rsid w:val="00FB1943"/>
    <w:rsid w:val="00FB1D43"/>
    <w:rsid w:val="00FB1E60"/>
    <w:rsid w:val="00FB2C5C"/>
    <w:rsid w:val="00FB3741"/>
    <w:rsid w:val="00FB5B35"/>
    <w:rsid w:val="00FB737F"/>
    <w:rsid w:val="00FC2A7D"/>
    <w:rsid w:val="00FC3E51"/>
    <w:rsid w:val="00FC48BB"/>
    <w:rsid w:val="00FC6AB4"/>
    <w:rsid w:val="00FC6B87"/>
    <w:rsid w:val="00FC6EA5"/>
    <w:rsid w:val="00FC7269"/>
    <w:rsid w:val="00FD0451"/>
    <w:rsid w:val="00FD0D1E"/>
    <w:rsid w:val="00FD0DFF"/>
    <w:rsid w:val="00FD15BA"/>
    <w:rsid w:val="00FD3BF4"/>
    <w:rsid w:val="00FD42F8"/>
    <w:rsid w:val="00FD52EC"/>
    <w:rsid w:val="00FD53A0"/>
    <w:rsid w:val="00FD5A13"/>
    <w:rsid w:val="00FD782E"/>
    <w:rsid w:val="00FD7867"/>
    <w:rsid w:val="00FD7C91"/>
    <w:rsid w:val="00FE1756"/>
    <w:rsid w:val="00FE1BC4"/>
    <w:rsid w:val="00FE1E3F"/>
    <w:rsid w:val="00FE208A"/>
    <w:rsid w:val="00FE2D20"/>
    <w:rsid w:val="00FE3914"/>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65774F"/>
    <w:rsid w:val="017C5A94"/>
    <w:rsid w:val="018B6157"/>
    <w:rsid w:val="0197155D"/>
    <w:rsid w:val="01B60F31"/>
    <w:rsid w:val="01C62B3E"/>
    <w:rsid w:val="01D47F88"/>
    <w:rsid w:val="027E6C90"/>
    <w:rsid w:val="028407B3"/>
    <w:rsid w:val="02D201E4"/>
    <w:rsid w:val="02F2197A"/>
    <w:rsid w:val="033836AB"/>
    <w:rsid w:val="035C14D1"/>
    <w:rsid w:val="03970ABF"/>
    <w:rsid w:val="03DE487A"/>
    <w:rsid w:val="03E628D2"/>
    <w:rsid w:val="03EC63C9"/>
    <w:rsid w:val="03F72CBF"/>
    <w:rsid w:val="03FF60FC"/>
    <w:rsid w:val="0413149A"/>
    <w:rsid w:val="04172B32"/>
    <w:rsid w:val="0422003D"/>
    <w:rsid w:val="042913CB"/>
    <w:rsid w:val="046F010F"/>
    <w:rsid w:val="04DA4402"/>
    <w:rsid w:val="04EC5FA1"/>
    <w:rsid w:val="054E19A4"/>
    <w:rsid w:val="056B4081"/>
    <w:rsid w:val="05771562"/>
    <w:rsid w:val="05852631"/>
    <w:rsid w:val="05852CF4"/>
    <w:rsid w:val="05927A85"/>
    <w:rsid w:val="06085010"/>
    <w:rsid w:val="060F639F"/>
    <w:rsid w:val="06137FED"/>
    <w:rsid w:val="063B7194"/>
    <w:rsid w:val="065D6F23"/>
    <w:rsid w:val="06B37672"/>
    <w:rsid w:val="06DD024B"/>
    <w:rsid w:val="06F859AA"/>
    <w:rsid w:val="0717375D"/>
    <w:rsid w:val="07331659"/>
    <w:rsid w:val="078F3BF1"/>
    <w:rsid w:val="07A47616"/>
    <w:rsid w:val="07C24F25"/>
    <w:rsid w:val="07F97BC5"/>
    <w:rsid w:val="08042664"/>
    <w:rsid w:val="086A71DD"/>
    <w:rsid w:val="089B39C4"/>
    <w:rsid w:val="08B538AF"/>
    <w:rsid w:val="08DC2512"/>
    <w:rsid w:val="08F8136C"/>
    <w:rsid w:val="09553EBD"/>
    <w:rsid w:val="097F1E8C"/>
    <w:rsid w:val="09BC05EC"/>
    <w:rsid w:val="09BF7EBE"/>
    <w:rsid w:val="09C1409A"/>
    <w:rsid w:val="09D45C6B"/>
    <w:rsid w:val="0A4B3E6F"/>
    <w:rsid w:val="0A743D85"/>
    <w:rsid w:val="0A952FEA"/>
    <w:rsid w:val="0AAE7D08"/>
    <w:rsid w:val="0B247F12"/>
    <w:rsid w:val="0B2C0E34"/>
    <w:rsid w:val="0B961C47"/>
    <w:rsid w:val="0BD55F69"/>
    <w:rsid w:val="0C120E07"/>
    <w:rsid w:val="0C152235"/>
    <w:rsid w:val="0C3B6140"/>
    <w:rsid w:val="0C595584"/>
    <w:rsid w:val="0C8A0D6C"/>
    <w:rsid w:val="0CD848B8"/>
    <w:rsid w:val="0D100A76"/>
    <w:rsid w:val="0D38442D"/>
    <w:rsid w:val="0D3B5CCB"/>
    <w:rsid w:val="0D4E683D"/>
    <w:rsid w:val="0D504342"/>
    <w:rsid w:val="0D670889"/>
    <w:rsid w:val="0D870F11"/>
    <w:rsid w:val="0DB02216"/>
    <w:rsid w:val="0DC5128C"/>
    <w:rsid w:val="0DD45517"/>
    <w:rsid w:val="0DD73C46"/>
    <w:rsid w:val="0DD9114E"/>
    <w:rsid w:val="0DDF12E3"/>
    <w:rsid w:val="0E260891"/>
    <w:rsid w:val="0E7C659C"/>
    <w:rsid w:val="0E937CC8"/>
    <w:rsid w:val="0EB95BCF"/>
    <w:rsid w:val="0EEA1757"/>
    <w:rsid w:val="0EF27294"/>
    <w:rsid w:val="0EF97BEC"/>
    <w:rsid w:val="0EFE4AC2"/>
    <w:rsid w:val="0FB9783F"/>
    <w:rsid w:val="0FE304F3"/>
    <w:rsid w:val="0FE405A4"/>
    <w:rsid w:val="101E5B5C"/>
    <w:rsid w:val="101F37A7"/>
    <w:rsid w:val="10233173"/>
    <w:rsid w:val="10560FF0"/>
    <w:rsid w:val="1059365E"/>
    <w:rsid w:val="10971D51"/>
    <w:rsid w:val="10D02C05"/>
    <w:rsid w:val="10D67777"/>
    <w:rsid w:val="10FB5E9E"/>
    <w:rsid w:val="113151B7"/>
    <w:rsid w:val="11326726"/>
    <w:rsid w:val="11802A9D"/>
    <w:rsid w:val="11877731"/>
    <w:rsid w:val="11A27ED6"/>
    <w:rsid w:val="11D14F29"/>
    <w:rsid w:val="11FC1ECD"/>
    <w:rsid w:val="122B2CA4"/>
    <w:rsid w:val="128C2B2A"/>
    <w:rsid w:val="12A065D5"/>
    <w:rsid w:val="12BB0D1C"/>
    <w:rsid w:val="12C66037"/>
    <w:rsid w:val="12CA56AC"/>
    <w:rsid w:val="13280AA0"/>
    <w:rsid w:val="13356565"/>
    <w:rsid w:val="13451652"/>
    <w:rsid w:val="13693592"/>
    <w:rsid w:val="137E6AE5"/>
    <w:rsid w:val="13A778D4"/>
    <w:rsid w:val="140943CC"/>
    <w:rsid w:val="143F0797"/>
    <w:rsid w:val="1451773B"/>
    <w:rsid w:val="145B5EE4"/>
    <w:rsid w:val="148A0F97"/>
    <w:rsid w:val="149418A3"/>
    <w:rsid w:val="14CB202B"/>
    <w:rsid w:val="14CD3A88"/>
    <w:rsid w:val="14D70ECC"/>
    <w:rsid w:val="14EB5FBC"/>
    <w:rsid w:val="153100AC"/>
    <w:rsid w:val="154F67B8"/>
    <w:rsid w:val="156F0C08"/>
    <w:rsid w:val="15702678"/>
    <w:rsid w:val="159113BF"/>
    <w:rsid w:val="15A87E7A"/>
    <w:rsid w:val="16110B3C"/>
    <w:rsid w:val="161A6DC6"/>
    <w:rsid w:val="167A0B7D"/>
    <w:rsid w:val="167A7865"/>
    <w:rsid w:val="16B42428"/>
    <w:rsid w:val="172A2E7A"/>
    <w:rsid w:val="172C1744"/>
    <w:rsid w:val="17372774"/>
    <w:rsid w:val="17476AD5"/>
    <w:rsid w:val="17484A39"/>
    <w:rsid w:val="176651A7"/>
    <w:rsid w:val="17A31431"/>
    <w:rsid w:val="17B2302E"/>
    <w:rsid w:val="17B23574"/>
    <w:rsid w:val="1803490E"/>
    <w:rsid w:val="183103F7"/>
    <w:rsid w:val="1851727E"/>
    <w:rsid w:val="185A2AFF"/>
    <w:rsid w:val="186A5405"/>
    <w:rsid w:val="18932E60"/>
    <w:rsid w:val="189645C0"/>
    <w:rsid w:val="18C82B09"/>
    <w:rsid w:val="18FB5139"/>
    <w:rsid w:val="191A43ED"/>
    <w:rsid w:val="19262E36"/>
    <w:rsid w:val="192F2B88"/>
    <w:rsid w:val="194B16A1"/>
    <w:rsid w:val="19545677"/>
    <w:rsid w:val="19702B57"/>
    <w:rsid w:val="19762565"/>
    <w:rsid w:val="197A3E4E"/>
    <w:rsid w:val="19AF5A77"/>
    <w:rsid w:val="19BC232B"/>
    <w:rsid w:val="19ED0F9F"/>
    <w:rsid w:val="19F714C8"/>
    <w:rsid w:val="1A02105A"/>
    <w:rsid w:val="1A4505F1"/>
    <w:rsid w:val="1A7E4FCF"/>
    <w:rsid w:val="1A8A42CA"/>
    <w:rsid w:val="1ABA2ED0"/>
    <w:rsid w:val="1AE07461"/>
    <w:rsid w:val="1AF170D8"/>
    <w:rsid w:val="1B0F2853"/>
    <w:rsid w:val="1B217338"/>
    <w:rsid w:val="1B3D037C"/>
    <w:rsid w:val="1B5A5C6B"/>
    <w:rsid w:val="1BA81E25"/>
    <w:rsid w:val="1BAB6C8D"/>
    <w:rsid w:val="1BEF74C1"/>
    <w:rsid w:val="1C2F7734"/>
    <w:rsid w:val="1C321957"/>
    <w:rsid w:val="1C591711"/>
    <w:rsid w:val="1C6F2165"/>
    <w:rsid w:val="1C7F0946"/>
    <w:rsid w:val="1CA92C52"/>
    <w:rsid w:val="1CBD1967"/>
    <w:rsid w:val="1D0936F0"/>
    <w:rsid w:val="1D126FDD"/>
    <w:rsid w:val="1D2F75FB"/>
    <w:rsid w:val="1D6C19D4"/>
    <w:rsid w:val="1D6F0E7A"/>
    <w:rsid w:val="1D7274E7"/>
    <w:rsid w:val="1D7F0C25"/>
    <w:rsid w:val="1D8B05A9"/>
    <w:rsid w:val="1DF12B02"/>
    <w:rsid w:val="1E312973"/>
    <w:rsid w:val="1E41488F"/>
    <w:rsid w:val="1E450182"/>
    <w:rsid w:val="1E5D0198"/>
    <w:rsid w:val="1EC75611"/>
    <w:rsid w:val="1EDA53E2"/>
    <w:rsid w:val="1EE07F7F"/>
    <w:rsid w:val="1F044F5E"/>
    <w:rsid w:val="1F4F72C9"/>
    <w:rsid w:val="1F505606"/>
    <w:rsid w:val="1F5327B5"/>
    <w:rsid w:val="1FA977BF"/>
    <w:rsid w:val="1FAD46ED"/>
    <w:rsid w:val="1FC3402A"/>
    <w:rsid w:val="1FCD22CD"/>
    <w:rsid w:val="1FE94A78"/>
    <w:rsid w:val="1FF42436"/>
    <w:rsid w:val="1FFC50A2"/>
    <w:rsid w:val="20124FB2"/>
    <w:rsid w:val="206E2E3C"/>
    <w:rsid w:val="207D242B"/>
    <w:rsid w:val="20913FC1"/>
    <w:rsid w:val="20C95670"/>
    <w:rsid w:val="20D06740"/>
    <w:rsid w:val="20EF0E4F"/>
    <w:rsid w:val="20F04B19"/>
    <w:rsid w:val="21050673"/>
    <w:rsid w:val="21132D8F"/>
    <w:rsid w:val="21222FD3"/>
    <w:rsid w:val="213F215E"/>
    <w:rsid w:val="21493877"/>
    <w:rsid w:val="214F7FD4"/>
    <w:rsid w:val="215B0293"/>
    <w:rsid w:val="216C7A31"/>
    <w:rsid w:val="216D6944"/>
    <w:rsid w:val="21EF2BF7"/>
    <w:rsid w:val="22386288"/>
    <w:rsid w:val="227B3D94"/>
    <w:rsid w:val="227C521C"/>
    <w:rsid w:val="22813210"/>
    <w:rsid w:val="229B4DEB"/>
    <w:rsid w:val="229E48DB"/>
    <w:rsid w:val="22A844F4"/>
    <w:rsid w:val="22C95DFC"/>
    <w:rsid w:val="22E65BE5"/>
    <w:rsid w:val="22ED3E85"/>
    <w:rsid w:val="230656FE"/>
    <w:rsid w:val="231E73D8"/>
    <w:rsid w:val="23227BE2"/>
    <w:rsid w:val="234731C4"/>
    <w:rsid w:val="23486ECB"/>
    <w:rsid w:val="23521F9C"/>
    <w:rsid w:val="238622A0"/>
    <w:rsid w:val="239E5129"/>
    <w:rsid w:val="239E64FA"/>
    <w:rsid w:val="23CE11F0"/>
    <w:rsid w:val="23DD1481"/>
    <w:rsid w:val="240B5FA0"/>
    <w:rsid w:val="24400E1F"/>
    <w:rsid w:val="247D51DF"/>
    <w:rsid w:val="248520D7"/>
    <w:rsid w:val="249D210C"/>
    <w:rsid w:val="25033A90"/>
    <w:rsid w:val="25185786"/>
    <w:rsid w:val="251C4F5D"/>
    <w:rsid w:val="25755DC7"/>
    <w:rsid w:val="257A1221"/>
    <w:rsid w:val="258F538D"/>
    <w:rsid w:val="259A3A7F"/>
    <w:rsid w:val="264E29E7"/>
    <w:rsid w:val="26E0484D"/>
    <w:rsid w:val="26F61CEE"/>
    <w:rsid w:val="270D202F"/>
    <w:rsid w:val="27264850"/>
    <w:rsid w:val="27443528"/>
    <w:rsid w:val="27482DA8"/>
    <w:rsid w:val="27595274"/>
    <w:rsid w:val="27B307C2"/>
    <w:rsid w:val="27E823ED"/>
    <w:rsid w:val="28174256"/>
    <w:rsid w:val="28186E67"/>
    <w:rsid w:val="28312E15"/>
    <w:rsid w:val="283C1DD8"/>
    <w:rsid w:val="28416434"/>
    <w:rsid w:val="284756D9"/>
    <w:rsid w:val="28477F25"/>
    <w:rsid w:val="287E36AC"/>
    <w:rsid w:val="28994B2A"/>
    <w:rsid w:val="28DB0637"/>
    <w:rsid w:val="28E757CB"/>
    <w:rsid w:val="28E87C1A"/>
    <w:rsid w:val="293E4722"/>
    <w:rsid w:val="298F31CF"/>
    <w:rsid w:val="299C4542"/>
    <w:rsid w:val="2A0C4820"/>
    <w:rsid w:val="2A0E0C56"/>
    <w:rsid w:val="2A2760F5"/>
    <w:rsid w:val="2A494F4A"/>
    <w:rsid w:val="2A510C9C"/>
    <w:rsid w:val="2A6B7798"/>
    <w:rsid w:val="2A805769"/>
    <w:rsid w:val="2A9909B4"/>
    <w:rsid w:val="2AD46C34"/>
    <w:rsid w:val="2B006133"/>
    <w:rsid w:val="2B02634F"/>
    <w:rsid w:val="2B4104F9"/>
    <w:rsid w:val="2BB03D3C"/>
    <w:rsid w:val="2C027C88"/>
    <w:rsid w:val="2C0734F1"/>
    <w:rsid w:val="2C4D66E7"/>
    <w:rsid w:val="2C546A99"/>
    <w:rsid w:val="2C7E7913"/>
    <w:rsid w:val="2CA23219"/>
    <w:rsid w:val="2CA44507"/>
    <w:rsid w:val="2CDC0F6F"/>
    <w:rsid w:val="2CE46631"/>
    <w:rsid w:val="2D3227EF"/>
    <w:rsid w:val="2D3A16A4"/>
    <w:rsid w:val="2D606C10"/>
    <w:rsid w:val="2D7A3971"/>
    <w:rsid w:val="2D943A11"/>
    <w:rsid w:val="2E3D31FA"/>
    <w:rsid w:val="2EE17F10"/>
    <w:rsid w:val="2F155F21"/>
    <w:rsid w:val="2F712E15"/>
    <w:rsid w:val="2F824174"/>
    <w:rsid w:val="2F9342A8"/>
    <w:rsid w:val="2FA87B82"/>
    <w:rsid w:val="2FEA5603"/>
    <w:rsid w:val="2FFA6856"/>
    <w:rsid w:val="30074335"/>
    <w:rsid w:val="30235B53"/>
    <w:rsid w:val="30446AC1"/>
    <w:rsid w:val="3050190A"/>
    <w:rsid w:val="30586CDF"/>
    <w:rsid w:val="3069477A"/>
    <w:rsid w:val="30C77AB2"/>
    <w:rsid w:val="30F85AFE"/>
    <w:rsid w:val="311A5A74"/>
    <w:rsid w:val="31307046"/>
    <w:rsid w:val="31652530"/>
    <w:rsid w:val="31996FDB"/>
    <w:rsid w:val="32120B22"/>
    <w:rsid w:val="321D7FAE"/>
    <w:rsid w:val="32383A46"/>
    <w:rsid w:val="32400015"/>
    <w:rsid w:val="326F5AE7"/>
    <w:rsid w:val="32935ADE"/>
    <w:rsid w:val="3296737C"/>
    <w:rsid w:val="32D84909"/>
    <w:rsid w:val="33223E4E"/>
    <w:rsid w:val="33305A23"/>
    <w:rsid w:val="33842D58"/>
    <w:rsid w:val="33C2377D"/>
    <w:rsid w:val="33E6570C"/>
    <w:rsid w:val="33F14B85"/>
    <w:rsid w:val="341D453C"/>
    <w:rsid w:val="348E47AF"/>
    <w:rsid w:val="34DF325D"/>
    <w:rsid w:val="34E82A50"/>
    <w:rsid w:val="35602AFD"/>
    <w:rsid w:val="356C3370"/>
    <w:rsid w:val="35BB5A78"/>
    <w:rsid w:val="35F06330"/>
    <w:rsid w:val="35FA5B3F"/>
    <w:rsid w:val="36132E0B"/>
    <w:rsid w:val="3616065B"/>
    <w:rsid w:val="36244316"/>
    <w:rsid w:val="364C66D0"/>
    <w:rsid w:val="36566100"/>
    <w:rsid w:val="365F17D9"/>
    <w:rsid w:val="36E763F9"/>
    <w:rsid w:val="36FA25D0"/>
    <w:rsid w:val="37162F59"/>
    <w:rsid w:val="372E2C48"/>
    <w:rsid w:val="372E4027"/>
    <w:rsid w:val="374A317E"/>
    <w:rsid w:val="3795459A"/>
    <w:rsid w:val="37C91FA2"/>
    <w:rsid w:val="384C2872"/>
    <w:rsid w:val="38F5127B"/>
    <w:rsid w:val="39200410"/>
    <w:rsid w:val="3947656F"/>
    <w:rsid w:val="3957347F"/>
    <w:rsid w:val="398840B5"/>
    <w:rsid w:val="39A8171C"/>
    <w:rsid w:val="39EA702F"/>
    <w:rsid w:val="39ED1F78"/>
    <w:rsid w:val="39FC21BB"/>
    <w:rsid w:val="3A58537C"/>
    <w:rsid w:val="3A8147E1"/>
    <w:rsid w:val="3A8221F6"/>
    <w:rsid w:val="3A972C13"/>
    <w:rsid w:val="3A975933"/>
    <w:rsid w:val="3AB234E7"/>
    <w:rsid w:val="3ABF56FA"/>
    <w:rsid w:val="3AD747D9"/>
    <w:rsid w:val="3B1855C6"/>
    <w:rsid w:val="3B337FD5"/>
    <w:rsid w:val="3B6D4F6B"/>
    <w:rsid w:val="3BC57B8F"/>
    <w:rsid w:val="3BCA5316"/>
    <w:rsid w:val="3BD333EF"/>
    <w:rsid w:val="3BE159ED"/>
    <w:rsid w:val="3C1F7ED7"/>
    <w:rsid w:val="3C2B4FD9"/>
    <w:rsid w:val="3C460065"/>
    <w:rsid w:val="3C666DE6"/>
    <w:rsid w:val="3C7A15FE"/>
    <w:rsid w:val="3C9C54B2"/>
    <w:rsid w:val="3CD842BA"/>
    <w:rsid w:val="3CED04E1"/>
    <w:rsid w:val="3D154364"/>
    <w:rsid w:val="3D31308F"/>
    <w:rsid w:val="3D3922A2"/>
    <w:rsid w:val="3D734A47"/>
    <w:rsid w:val="3D736C38"/>
    <w:rsid w:val="3D745710"/>
    <w:rsid w:val="3D92781D"/>
    <w:rsid w:val="3D9D6CD4"/>
    <w:rsid w:val="3DD14DA0"/>
    <w:rsid w:val="3DE459C0"/>
    <w:rsid w:val="3DE82198"/>
    <w:rsid w:val="3E0944AC"/>
    <w:rsid w:val="3E2D1234"/>
    <w:rsid w:val="3E5325C6"/>
    <w:rsid w:val="3E5361D5"/>
    <w:rsid w:val="3E7522F8"/>
    <w:rsid w:val="3E846C23"/>
    <w:rsid w:val="3E884A7C"/>
    <w:rsid w:val="3E8C2FC4"/>
    <w:rsid w:val="3EA07B02"/>
    <w:rsid w:val="3EAD0CC4"/>
    <w:rsid w:val="3EBC02B8"/>
    <w:rsid w:val="3EE649B0"/>
    <w:rsid w:val="3EFE4C27"/>
    <w:rsid w:val="3F2B2ECE"/>
    <w:rsid w:val="3F3B0C9D"/>
    <w:rsid w:val="3FB452E6"/>
    <w:rsid w:val="3FC410CC"/>
    <w:rsid w:val="3FC7326B"/>
    <w:rsid w:val="3FDD1D9F"/>
    <w:rsid w:val="3FDF4001"/>
    <w:rsid w:val="3FF20EF0"/>
    <w:rsid w:val="3FF81C6C"/>
    <w:rsid w:val="40536FAF"/>
    <w:rsid w:val="406A346B"/>
    <w:rsid w:val="407E463D"/>
    <w:rsid w:val="409273C5"/>
    <w:rsid w:val="40951B87"/>
    <w:rsid w:val="40AC57AD"/>
    <w:rsid w:val="40C95B0C"/>
    <w:rsid w:val="40DA0D7C"/>
    <w:rsid w:val="40E8520F"/>
    <w:rsid w:val="40FC5914"/>
    <w:rsid w:val="4116259D"/>
    <w:rsid w:val="414E282B"/>
    <w:rsid w:val="417116E0"/>
    <w:rsid w:val="41FA4DA0"/>
    <w:rsid w:val="42692286"/>
    <w:rsid w:val="4282777F"/>
    <w:rsid w:val="42C86C2C"/>
    <w:rsid w:val="42D9753D"/>
    <w:rsid w:val="43176064"/>
    <w:rsid w:val="43265662"/>
    <w:rsid w:val="43422FC4"/>
    <w:rsid w:val="434B5F61"/>
    <w:rsid w:val="436C51A0"/>
    <w:rsid w:val="43756C3A"/>
    <w:rsid w:val="448D5F45"/>
    <w:rsid w:val="44B921C2"/>
    <w:rsid w:val="44D944C0"/>
    <w:rsid w:val="45021E7A"/>
    <w:rsid w:val="45092B28"/>
    <w:rsid w:val="451166B5"/>
    <w:rsid w:val="451A46ED"/>
    <w:rsid w:val="454450E0"/>
    <w:rsid w:val="45450D0E"/>
    <w:rsid w:val="457C315A"/>
    <w:rsid w:val="458F0387"/>
    <w:rsid w:val="45BE0526"/>
    <w:rsid w:val="45CC091B"/>
    <w:rsid w:val="45D10704"/>
    <w:rsid w:val="45E54803"/>
    <w:rsid w:val="45E76415"/>
    <w:rsid w:val="461F3BB2"/>
    <w:rsid w:val="463D7DE3"/>
    <w:rsid w:val="464206A5"/>
    <w:rsid w:val="46521F1E"/>
    <w:rsid w:val="46E850EA"/>
    <w:rsid w:val="46F94504"/>
    <w:rsid w:val="471A6376"/>
    <w:rsid w:val="474F7627"/>
    <w:rsid w:val="476F2186"/>
    <w:rsid w:val="479A3013"/>
    <w:rsid w:val="479F390E"/>
    <w:rsid w:val="47C83729"/>
    <w:rsid w:val="47F807CD"/>
    <w:rsid w:val="48620222"/>
    <w:rsid w:val="488379D7"/>
    <w:rsid w:val="48952302"/>
    <w:rsid w:val="48AE1C98"/>
    <w:rsid w:val="48BD16AF"/>
    <w:rsid w:val="49090450"/>
    <w:rsid w:val="490C7D41"/>
    <w:rsid w:val="49212AD2"/>
    <w:rsid w:val="495649FA"/>
    <w:rsid w:val="498B5309"/>
    <w:rsid w:val="49B532E9"/>
    <w:rsid w:val="4A0F7CE8"/>
    <w:rsid w:val="4A204B14"/>
    <w:rsid w:val="4A69067C"/>
    <w:rsid w:val="4AB40015"/>
    <w:rsid w:val="4AC3191E"/>
    <w:rsid w:val="4ADC0EEA"/>
    <w:rsid w:val="4ADD1B95"/>
    <w:rsid w:val="4AE31F58"/>
    <w:rsid w:val="4B054C48"/>
    <w:rsid w:val="4B072BFF"/>
    <w:rsid w:val="4B0B109E"/>
    <w:rsid w:val="4B0D3348"/>
    <w:rsid w:val="4B26353C"/>
    <w:rsid w:val="4B2F3E4A"/>
    <w:rsid w:val="4B406CC7"/>
    <w:rsid w:val="4B494ABD"/>
    <w:rsid w:val="4B6F080A"/>
    <w:rsid w:val="4BA426B2"/>
    <w:rsid w:val="4BC753F4"/>
    <w:rsid w:val="4BCE7918"/>
    <w:rsid w:val="4BF508C0"/>
    <w:rsid w:val="4BFE0015"/>
    <w:rsid w:val="4BFF18CF"/>
    <w:rsid w:val="4C1830D1"/>
    <w:rsid w:val="4C1D37E6"/>
    <w:rsid w:val="4C2B1FE5"/>
    <w:rsid w:val="4C884100"/>
    <w:rsid w:val="4C890132"/>
    <w:rsid w:val="4D4C4DB0"/>
    <w:rsid w:val="4D651274"/>
    <w:rsid w:val="4DB43081"/>
    <w:rsid w:val="4DB52828"/>
    <w:rsid w:val="4DE02688"/>
    <w:rsid w:val="4DFB054F"/>
    <w:rsid w:val="4E147DBD"/>
    <w:rsid w:val="4E241889"/>
    <w:rsid w:val="4E641BE5"/>
    <w:rsid w:val="4E7727B9"/>
    <w:rsid w:val="4E7D2219"/>
    <w:rsid w:val="4EA40E15"/>
    <w:rsid w:val="4EC90CCF"/>
    <w:rsid w:val="4EE014EC"/>
    <w:rsid w:val="4F2B6026"/>
    <w:rsid w:val="4F4A7C2E"/>
    <w:rsid w:val="4F6C1739"/>
    <w:rsid w:val="4FAA3D56"/>
    <w:rsid w:val="4FB903C6"/>
    <w:rsid w:val="50010B90"/>
    <w:rsid w:val="50370D5B"/>
    <w:rsid w:val="508F1B83"/>
    <w:rsid w:val="509A7021"/>
    <w:rsid w:val="50A56CB1"/>
    <w:rsid w:val="50A63F9F"/>
    <w:rsid w:val="50E91001"/>
    <w:rsid w:val="50FF32D2"/>
    <w:rsid w:val="51044A52"/>
    <w:rsid w:val="510B175B"/>
    <w:rsid w:val="510B4369"/>
    <w:rsid w:val="51424ECF"/>
    <w:rsid w:val="515158B8"/>
    <w:rsid w:val="51550EA9"/>
    <w:rsid w:val="517E39D7"/>
    <w:rsid w:val="519A542A"/>
    <w:rsid w:val="51CB6BEB"/>
    <w:rsid w:val="51CD4715"/>
    <w:rsid w:val="51F076EF"/>
    <w:rsid w:val="52603BA0"/>
    <w:rsid w:val="52D47D21"/>
    <w:rsid w:val="52DA1182"/>
    <w:rsid w:val="52E76C2A"/>
    <w:rsid w:val="537230CA"/>
    <w:rsid w:val="538C1421"/>
    <w:rsid w:val="538F214D"/>
    <w:rsid w:val="53AF665D"/>
    <w:rsid w:val="545D78A2"/>
    <w:rsid w:val="54660E4D"/>
    <w:rsid w:val="5484665D"/>
    <w:rsid w:val="54BC76ED"/>
    <w:rsid w:val="54EA3E32"/>
    <w:rsid w:val="55811D33"/>
    <w:rsid w:val="558D5808"/>
    <w:rsid w:val="55961626"/>
    <w:rsid w:val="55BA7EA9"/>
    <w:rsid w:val="564D060A"/>
    <w:rsid w:val="566A6584"/>
    <w:rsid w:val="56BC5F12"/>
    <w:rsid w:val="56D95720"/>
    <w:rsid w:val="57226C8F"/>
    <w:rsid w:val="574315AE"/>
    <w:rsid w:val="575A2A2C"/>
    <w:rsid w:val="575C1CC8"/>
    <w:rsid w:val="5780763F"/>
    <w:rsid w:val="57B36157"/>
    <w:rsid w:val="580B70A5"/>
    <w:rsid w:val="583F6A83"/>
    <w:rsid w:val="583F79EB"/>
    <w:rsid w:val="586D2BCD"/>
    <w:rsid w:val="589612AE"/>
    <w:rsid w:val="58A957AC"/>
    <w:rsid w:val="593908DE"/>
    <w:rsid w:val="5947124D"/>
    <w:rsid w:val="595B4CF8"/>
    <w:rsid w:val="596811C3"/>
    <w:rsid w:val="59A2740C"/>
    <w:rsid w:val="59B75A38"/>
    <w:rsid w:val="59E80DCD"/>
    <w:rsid w:val="5A160809"/>
    <w:rsid w:val="5A7F2242"/>
    <w:rsid w:val="5A80293C"/>
    <w:rsid w:val="5A987886"/>
    <w:rsid w:val="5AC634B7"/>
    <w:rsid w:val="5B1765FF"/>
    <w:rsid w:val="5B345801"/>
    <w:rsid w:val="5B522F61"/>
    <w:rsid w:val="5B9B1834"/>
    <w:rsid w:val="5BE03293"/>
    <w:rsid w:val="5BFD47F6"/>
    <w:rsid w:val="5C1B251D"/>
    <w:rsid w:val="5C673325"/>
    <w:rsid w:val="5C757E7F"/>
    <w:rsid w:val="5C82259C"/>
    <w:rsid w:val="5C863A33"/>
    <w:rsid w:val="5C936557"/>
    <w:rsid w:val="5CB309A7"/>
    <w:rsid w:val="5CDA6415"/>
    <w:rsid w:val="5D4A130C"/>
    <w:rsid w:val="5D783CDA"/>
    <w:rsid w:val="5E0B4F4B"/>
    <w:rsid w:val="5E67546A"/>
    <w:rsid w:val="5ED6579D"/>
    <w:rsid w:val="5EE81843"/>
    <w:rsid w:val="5F0A6F31"/>
    <w:rsid w:val="5F2658AB"/>
    <w:rsid w:val="5F2C3DF7"/>
    <w:rsid w:val="5F441D8B"/>
    <w:rsid w:val="5F4715F4"/>
    <w:rsid w:val="5FC4513D"/>
    <w:rsid w:val="5FC51DA0"/>
    <w:rsid w:val="5FD22FD8"/>
    <w:rsid w:val="60116111"/>
    <w:rsid w:val="60D809DC"/>
    <w:rsid w:val="6131633F"/>
    <w:rsid w:val="61387712"/>
    <w:rsid w:val="613A51F3"/>
    <w:rsid w:val="61A30FEA"/>
    <w:rsid w:val="61D27C89"/>
    <w:rsid w:val="61EB175B"/>
    <w:rsid w:val="62982F8C"/>
    <w:rsid w:val="62E30E2D"/>
    <w:rsid w:val="62E418BB"/>
    <w:rsid w:val="62ED4C49"/>
    <w:rsid w:val="62F7618C"/>
    <w:rsid w:val="631101D6"/>
    <w:rsid w:val="633D7850"/>
    <w:rsid w:val="634E4F86"/>
    <w:rsid w:val="636C18B0"/>
    <w:rsid w:val="636F2B3E"/>
    <w:rsid w:val="637A0EC4"/>
    <w:rsid w:val="639A19A1"/>
    <w:rsid w:val="639E343B"/>
    <w:rsid w:val="63AD56B0"/>
    <w:rsid w:val="63D74F7B"/>
    <w:rsid w:val="63DF4596"/>
    <w:rsid w:val="63F14444"/>
    <w:rsid w:val="64272D6E"/>
    <w:rsid w:val="644B5969"/>
    <w:rsid w:val="64AA756E"/>
    <w:rsid w:val="64AC28AC"/>
    <w:rsid w:val="64D43BB1"/>
    <w:rsid w:val="650A1380"/>
    <w:rsid w:val="65181EA7"/>
    <w:rsid w:val="652572C8"/>
    <w:rsid w:val="654962BE"/>
    <w:rsid w:val="657F1021"/>
    <w:rsid w:val="658D1B78"/>
    <w:rsid w:val="65926EDA"/>
    <w:rsid w:val="65B9772A"/>
    <w:rsid w:val="65C77271"/>
    <w:rsid w:val="664A6DB3"/>
    <w:rsid w:val="66581B5A"/>
    <w:rsid w:val="665E1984"/>
    <w:rsid w:val="66C85F96"/>
    <w:rsid w:val="67891B2A"/>
    <w:rsid w:val="679E3518"/>
    <w:rsid w:val="67A7735B"/>
    <w:rsid w:val="67B4657A"/>
    <w:rsid w:val="67DC4633"/>
    <w:rsid w:val="67E86A01"/>
    <w:rsid w:val="68021003"/>
    <w:rsid w:val="68137D28"/>
    <w:rsid w:val="6861575B"/>
    <w:rsid w:val="687C3733"/>
    <w:rsid w:val="68E819D9"/>
    <w:rsid w:val="68E91920"/>
    <w:rsid w:val="69090BA0"/>
    <w:rsid w:val="692D1AE1"/>
    <w:rsid w:val="6982043D"/>
    <w:rsid w:val="698F4691"/>
    <w:rsid w:val="69903460"/>
    <w:rsid w:val="699851AD"/>
    <w:rsid w:val="69B67D29"/>
    <w:rsid w:val="6A03764C"/>
    <w:rsid w:val="6A162234"/>
    <w:rsid w:val="6A935267"/>
    <w:rsid w:val="6AAD7049"/>
    <w:rsid w:val="6B5012DC"/>
    <w:rsid w:val="6B740AF7"/>
    <w:rsid w:val="6B830630"/>
    <w:rsid w:val="6B8579B3"/>
    <w:rsid w:val="6B916358"/>
    <w:rsid w:val="6C1B20C5"/>
    <w:rsid w:val="6C2E37C4"/>
    <w:rsid w:val="6C3311BD"/>
    <w:rsid w:val="6C3E02FE"/>
    <w:rsid w:val="6C442190"/>
    <w:rsid w:val="6C6062DE"/>
    <w:rsid w:val="6C715F4B"/>
    <w:rsid w:val="6C717FC7"/>
    <w:rsid w:val="6CC11E29"/>
    <w:rsid w:val="6CC560F4"/>
    <w:rsid w:val="6CFA7F2C"/>
    <w:rsid w:val="6D0A10DE"/>
    <w:rsid w:val="6D242C65"/>
    <w:rsid w:val="6D4E6DD0"/>
    <w:rsid w:val="6D5451DF"/>
    <w:rsid w:val="6D672285"/>
    <w:rsid w:val="6DD100F1"/>
    <w:rsid w:val="6DDD4D4F"/>
    <w:rsid w:val="6E081A76"/>
    <w:rsid w:val="6E2A65EF"/>
    <w:rsid w:val="6E7354E8"/>
    <w:rsid w:val="6EA66D41"/>
    <w:rsid w:val="6EE836E4"/>
    <w:rsid w:val="6F3A26E8"/>
    <w:rsid w:val="6FDE05A1"/>
    <w:rsid w:val="702E686B"/>
    <w:rsid w:val="70603828"/>
    <w:rsid w:val="706F0D4A"/>
    <w:rsid w:val="70716758"/>
    <w:rsid w:val="708917D9"/>
    <w:rsid w:val="70981225"/>
    <w:rsid w:val="70B8527B"/>
    <w:rsid w:val="70BE7462"/>
    <w:rsid w:val="71937888"/>
    <w:rsid w:val="719E4CA8"/>
    <w:rsid w:val="72371FC5"/>
    <w:rsid w:val="725B4129"/>
    <w:rsid w:val="725D0B4F"/>
    <w:rsid w:val="726A7224"/>
    <w:rsid w:val="72B7421D"/>
    <w:rsid w:val="733221CE"/>
    <w:rsid w:val="7342564E"/>
    <w:rsid w:val="736F6A2F"/>
    <w:rsid w:val="7373224B"/>
    <w:rsid w:val="737B235D"/>
    <w:rsid w:val="73FC473A"/>
    <w:rsid w:val="74445654"/>
    <w:rsid w:val="747A3709"/>
    <w:rsid w:val="74BF306B"/>
    <w:rsid w:val="74CD523F"/>
    <w:rsid w:val="74FB2A94"/>
    <w:rsid w:val="75457105"/>
    <w:rsid w:val="75846F2D"/>
    <w:rsid w:val="75C60B79"/>
    <w:rsid w:val="75C736ED"/>
    <w:rsid w:val="75CF60A7"/>
    <w:rsid w:val="76235BD0"/>
    <w:rsid w:val="768540AA"/>
    <w:rsid w:val="76A35191"/>
    <w:rsid w:val="76D226D8"/>
    <w:rsid w:val="76D252C8"/>
    <w:rsid w:val="76E66696"/>
    <w:rsid w:val="76FA2A99"/>
    <w:rsid w:val="77096C7F"/>
    <w:rsid w:val="77160F3E"/>
    <w:rsid w:val="7771546F"/>
    <w:rsid w:val="777D4BE9"/>
    <w:rsid w:val="779A3579"/>
    <w:rsid w:val="779F3BAA"/>
    <w:rsid w:val="77D10621"/>
    <w:rsid w:val="78092C74"/>
    <w:rsid w:val="780B7492"/>
    <w:rsid w:val="78136167"/>
    <w:rsid w:val="782C1D4A"/>
    <w:rsid w:val="78412EB3"/>
    <w:rsid w:val="78D227AD"/>
    <w:rsid w:val="790B20A3"/>
    <w:rsid w:val="791C45F4"/>
    <w:rsid w:val="794C1B10"/>
    <w:rsid w:val="795F350D"/>
    <w:rsid w:val="79866C7A"/>
    <w:rsid w:val="79895EAC"/>
    <w:rsid w:val="799852F0"/>
    <w:rsid w:val="79993AD1"/>
    <w:rsid w:val="79BC7FBE"/>
    <w:rsid w:val="79D2374A"/>
    <w:rsid w:val="79F851D5"/>
    <w:rsid w:val="7A04260F"/>
    <w:rsid w:val="7A1A39BC"/>
    <w:rsid w:val="7A735E28"/>
    <w:rsid w:val="7A8C22DE"/>
    <w:rsid w:val="7AA428F7"/>
    <w:rsid w:val="7B370D5D"/>
    <w:rsid w:val="7B3A4732"/>
    <w:rsid w:val="7B4B5E55"/>
    <w:rsid w:val="7B7A2964"/>
    <w:rsid w:val="7BC31773"/>
    <w:rsid w:val="7BCB3140"/>
    <w:rsid w:val="7BFC0595"/>
    <w:rsid w:val="7C1525C8"/>
    <w:rsid w:val="7C1A5EF5"/>
    <w:rsid w:val="7C8F68E3"/>
    <w:rsid w:val="7CA227A5"/>
    <w:rsid w:val="7CF92B0D"/>
    <w:rsid w:val="7D047663"/>
    <w:rsid w:val="7D155246"/>
    <w:rsid w:val="7D652500"/>
    <w:rsid w:val="7D68356F"/>
    <w:rsid w:val="7DBA31B2"/>
    <w:rsid w:val="7DD52E04"/>
    <w:rsid w:val="7DE51A03"/>
    <w:rsid w:val="7E0C5521"/>
    <w:rsid w:val="7E290672"/>
    <w:rsid w:val="7E2911F2"/>
    <w:rsid w:val="7E5356EF"/>
    <w:rsid w:val="7E81400A"/>
    <w:rsid w:val="7ED56104"/>
    <w:rsid w:val="7EEF18BB"/>
    <w:rsid w:val="7F0A6674"/>
    <w:rsid w:val="7F2050F7"/>
    <w:rsid w:val="7F58433C"/>
    <w:rsid w:val="7FC23090"/>
    <w:rsid w:val="7FDB45E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47"/>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8"/>
    <w:qFormat/>
    <w:uiPriority w:val="0"/>
    <w:pPr>
      <w:keepNext/>
      <w:jc w:val="center"/>
      <w:outlineLvl w:val="3"/>
    </w:pPr>
    <w:rPr>
      <w:rFonts w:eastAsia="新宋体"/>
      <w:kern w:val="0"/>
      <w:sz w:val="30"/>
      <w:szCs w:val="21"/>
    </w:rPr>
  </w:style>
  <w:style w:type="paragraph" w:styleId="6">
    <w:name w:val="heading 5"/>
    <w:basedOn w:val="1"/>
    <w:next w:val="1"/>
    <w:link w:val="49"/>
    <w:qFormat/>
    <w:uiPriority w:val="0"/>
    <w:pPr>
      <w:keepNext/>
      <w:keepLines/>
      <w:spacing w:before="280" w:after="290" w:line="376" w:lineRule="auto"/>
      <w:outlineLvl w:val="4"/>
    </w:pPr>
    <w:rPr>
      <w:b/>
      <w:bCs/>
      <w:kern w:val="0"/>
      <w:sz w:val="28"/>
      <w:szCs w:val="28"/>
    </w:rPr>
  </w:style>
  <w:style w:type="paragraph" w:styleId="7">
    <w:name w:val="heading 6"/>
    <w:basedOn w:val="1"/>
    <w:next w:val="8"/>
    <w:link w:val="50"/>
    <w:qFormat/>
    <w:uiPriority w:val="0"/>
    <w:pPr>
      <w:keepNext/>
      <w:jc w:val="center"/>
      <w:outlineLvl w:val="5"/>
    </w:pPr>
    <w:rPr>
      <w:b/>
      <w:kern w:val="0"/>
      <w:sz w:val="44"/>
      <w:szCs w:val="20"/>
    </w:rPr>
  </w:style>
  <w:style w:type="paragraph" w:styleId="9">
    <w:name w:val="heading 7"/>
    <w:basedOn w:val="1"/>
    <w:next w:val="1"/>
    <w:link w:val="52"/>
    <w:qFormat/>
    <w:uiPriority w:val="0"/>
    <w:pPr>
      <w:keepNext/>
      <w:keepLines/>
      <w:spacing w:before="240" w:after="64" w:line="320" w:lineRule="auto"/>
      <w:outlineLvl w:val="6"/>
    </w:pPr>
    <w:rPr>
      <w:b/>
      <w:bCs/>
      <w:kern w:val="0"/>
      <w:sz w:val="24"/>
    </w:rPr>
  </w:style>
  <w:style w:type="paragraph" w:styleId="10">
    <w:name w:val="heading 8"/>
    <w:basedOn w:val="1"/>
    <w:next w:val="1"/>
    <w:link w:val="53"/>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54"/>
    <w:qFormat/>
    <w:uiPriority w:val="0"/>
    <w:pPr>
      <w:keepNext/>
      <w:keepLines/>
      <w:spacing w:before="240" w:after="64" w:line="320" w:lineRule="auto"/>
      <w:outlineLvl w:val="8"/>
    </w:pPr>
    <w:rPr>
      <w:rFonts w:ascii="Arial" w:hAnsi="Arial" w:eastAsia="黑体"/>
      <w:kern w:val="0"/>
      <w:sz w:val="24"/>
      <w:szCs w:val="21"/>
    </w:rPr>
  </w:style>
  <w:style w:type="character" w:default="1" w:styleId="39">
    <w:name w:val="Default Paragraph Font"/>
    <w:semiHidden/>
    <w:unhideWhenUsed/>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51"/>
    <w:qFormat/>
    <w:uiPriority w:val="0"/>
    <w:pPr>
      <w:ind w:firstLine="420"/>
    </w:pPr>
    <w:rPr>
      <w:kern w:val="0"/>
      <w:sz w:val="20"/>
      <w:szCs w:val="20"/>
    </w:rPr>
  </w:style>
  <w:style w:type="paragraph" w:styleId="12">
    <w:name w:val="Note Heading"/>
    <w:basedOn w:val="1"/>
    <w:next w:val="1"/>
    <w:qFormat/>
    <w:uiPriority w:val="0"/>
    <w:rPr>
      <w:rFonts w:ascii="Verdana" w:hAnsi="Verdana"/>
      <w:szCs w:val="20"/>
    </w:rPr>
  </w:style>
  <w:style w:type="paragraph" w:styleId="13">
    <w:name w:val="Document Map"/>
    <w:basedOn w:val="1"/>
    <w:link w:val="55"/>
    <w:semiHidden/>
    <w:qFormat/>
    <w:uiPriority w:val="0"/>
    <w:pPr>
      <w:shd w:val="clear" w:color="auto" w:fill="000080"/>
    </w:pPr>
    <w:rPr>
      <w:kern w:val="0"/>
      <w:sz w:val="20"/>
    </w:rPr>
  </w:style>
  <w:style w:type="paragraph" w:styleId="14">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5">
    <w:name w:val="annotation text"/>
    <w:basedOn w:val="1"/>
    <w:link w:val="56"/>
    <w:unhideWhenUsed/>
    <w:qFormat/>
    <w:uiPriority w:val="99"/>
    <w:pPr>
      <w:jc w:val="left"/>
    </w:pPr>
  </w:style>
  <w:style w:type="paragraph" w:styleId="16">
    <w:name w:val="Body Text 3"/>
    <w:basedOn w:val="1"/>
    <w:link w:val="57"/>
    <w:qFormat/>
    <w:uiPriority w:val="0"/>
    <w:pPr>
      <w:spacing w:after="120"/>
    </w:pPr>
    <w:rPr>
      <w:kern w:val="0"/>
      <w:sz w:val="16"/>
      <w:szCs w:val="16"/>
    </w:rPr>
  </w:style>
  <w:style w:type="paragraph" w:styleId="17">
    <w:name w:val="Body Text"/>
    <w:basedOn w:val="1"/>
    <w:next w:val="1"/>
    <w:link w:val="58"/>
    <w:qFormat/>
    <w:uiPriority w:val="0"/>
    <w:rPr>
      <w:rFonts w:ascii="仿宋_GB2312" w:eastAsia="仿宋_GB2312"/>
      <w:kern w:val="0"/>
      <w:sz w:val="24"/>
      <w:szCs w:val="20"/>
    </w:rPr>
  </w:style>
  <w:style w:type="paragraph" w:styleId="18">
    <w:name w:val="Body Text Indent"/>
    <w:basedOn w:val="1"/>
    <w:next w:val="19"/>
    <w:link w:val="59"/>
    <w:qFormat/>
    <w:uiPriority w:val="0"/>
    <w:pPr>
      <w:ind w:left="765"/>
    </w:pPr>
    <w:rPr>
      <w:rFonts w:ascii="仿宋_GB2312" w:eastAsia="仿宋_GB2312"/>
      <w:kern w:val="0"/>
      <w:sz w:val="28"/>
      <w:szCs w:val="20"/>
    </w:rPr>
  </w:style>
  <w:style w:type="paragraph" w:styleId="19">
    <w:name w:val="envelope return"/>
    <w:basedOn w:val="1"/>
    <w:unhideWhenUsed/>
    <w:qFormat/>
    <w:uiPriority w:val="99"/>
    <w:pPr>
      <w:snapToGrid w:val="0"/>
    </w:pPr>
    <w:rPr>
      <w:rFonts w:ascii="Arial" w:hAnsi="Arial"/>
    </w:rPr>
  </w:style>
  <w:style w:type="paragraph" w:styleId="20">
    <w:name w:val="Block Text"/>
    <w:basedOn w:val="1"/>
    <w:next w:val="17"/>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1">
    <w:name w:val="toc 3"/>
    <w:basedOn w:val="1"/>
    <w:next w:val="1"/>
    <w:unhideWhenUsed/>
    <w:qFormat/>
    <w:uiPriority w:val="39"/>
    <w:pPr>
      <w:ind w:left="840" w:leftChars="400"/>
    </w:pPr>
  </w:style>
  <w:style w:type="paragraph" w:styleId="22">
    <w:name w:val="Plain Text"/>
    <w:basedOn w:val="1"/>
    <w:link w:val="60"/>
    <w:qFormat/>
    <w:uiPriority w:val="0"/>
    <w:rPr>
      <w:rFonts w:ascii="宋体" w:hAnsi="Courier New"/>
      <w:kern w:val="0"/>
      <w:sz w:val="20"/>
      <w:szCs w:val="21"/>
    </w:rPr>
  </w:style>
  <w:style w:type="paragraph" w:styleId="23">
    <w:name w:val="Date"/>
    <w:basedOn w:val="1"/>
    <w:next w:val="1"/>
    <w:link w:val="61"/>
    <w:qFormat/>
    <w:uiPriority w:val="0"/>
    <w:rPr>
      <w:kern w:val="0"/>
      <w:sz w:val="24"/>
      <w:szCs w:val="20"/>
    </w:rPr>
  </w:style>
  <w:style w:type="paragraph" w:styleId="24">
    <w:name w:val="Body Text Indent 2"/>
    <w:basedOn w:val="1"/>
    <w:link w:val="62"/>
    <w:qFormat/>
    <w:uiPriority w:val="0"/>
    <w:pPr>
      <w:spacing w:line="500" w:lineRule="exact"/>
      <w:ind w:firstLine="560" w:firstLineChars="200"/>
    </w:pPr>
    <w:rPr>
      <w:rFonts w:eastAsia="仿宋_GB2312"/>
      <w:kern w:val="0"/>
      <w:sz w:val="28"/>
      <w:szCs w:val="20"/>
    </w:rPr>
  </w:style>
  <w:style w:type="paragraph" w:styleId="25">
    <w:name w:val="Balloon Text"/>
    <w:basedOn w:val="1"/>
    <w:link w:val="63"/>
    <w:semiHidden/>
    <w:qFormat/>
    <w:uiPriority w:val="0"/>
    <w:rPr>
      <w:kern w:val="0"/>
      <w:sz w:val="18"/>
      <w:szCs w:val="18"/>
    </w:rPr>
  </w:style>
  <w:style w:type="paragraph" w:styleId="26">
    <w:name w:val="footer"/>
    <w:basedOn w:val="1"/>
    <w:link w:val="64"/>
    <w:qFormat/>
    <w:uiPriority w:val="99"/>
    <w:pPr>
      <w:tabs>
        <w:tab w:val="center" w:pos="4153"/>
        <w:tab w:val="right" w:pos="8306"/>
      </w:tabs>
      <w:snapToGrid w:val="0"/>
      <w:jc w:val="left"/>
    </w:pPr>
    <w:rPr>
      <w:kern w:val="0"/>
      <w:sz w:val="18"/>
      <w:szCs w:val="20"/>
    </w:rPr>
  </w:style>
  <w:style w:type="paragraph" w:styleId="27">
    <w:name w:val="header"/>
    <w:basedOn w:val="1"/>
    <w:link w:val="65"/>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semiHidden/>
    <w:qFormat/>
    <w:uiPriority w:val="0"/>
    <w:rPr>
      <w:sz w:val="24"/>
    </w:rPr>
  </w:style>
  <w:style w:type="paragraph" w:styleId="29">
    <w:name w:val="List"/>
    <w:basedOn w:val="1"/>
    <w:qFormat/>
    <w:uiPriority w:val="0"/>
    <w:pPr>
      <w:ind w:left="200" w:hanging="200" w:hangingChars="200"/>
    </w:pPr>
  </w:style>
  <w:style w:type="paragraph" w:styleId="30">
    <w:name w:val="Body Text Indent 3"/>
    <w:basedOn w:val="1"/>
    <w:next w:val="14"/>
    <w:link w:val="66"/>
    <w:qFormat/>
    <w:uiPriority w:val="0"/>
    <w:pPr>
      <w:spacing w:after="120"/>
      <w:ind w:left="420" w:leftChars="200"/>
    </w:pPr>
    <w:rPr>
      <w:kern w:val="0"/>
      <w:sz w:val="16"/>
      <w:szCs w:val="16"/>
    </w:rPr>
  </w:style>
  <w:style w:type="paragraph" w:styleId="31">
    <w:name w:val="toc 2"/>
    <w:basedOn w:val="1"/>
    <w:next w:val="1"/>
    <w:unhideWhenUsed/>
    <w:qFormat/>
    <w:uiPriority w:val="39"/>
    <w:pPr>
      <w:ind w:left="420" w:leftChars="200"/>
    </w:pPr>
  </w:style>
  <w:style w:type="paragraph" w:styleId="32">
    <w:name w:val="Body Text 2"/>
    <w:basedOn w:val="1"/>
    <w:link w:val="67"/>
    <w:qFormat/>
    <w:uiPriority w:val="0"/>
    <w:pPr>
      <w:snapToGrid w:val="0"/>
    </w:pPr>
    <w:rPr>
      <w:b/>
      <w:bCs/>
      <w:kern w:val="0"/>
      <w:sz w:val="18"/>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4">
    <w:name w:val="annotation subject"/>
    <w:basedOn w:val="15"/>
    <w:next w:val="15"/>
    <w:link w:val="68"/>
    <w:unhideWhenUsed/>
    <w:qFormat/>
    <w:uiPriority w:val="99"/>
    <w:rPr>
      <w:b/>
      <w:bCs/>
    </w:rPr>
  </w:style>
  <w:style w:type="paragraph" w:styleId="35">
    <w:name w:val="Body Text First Indent"/>
    <w:basedOn w:val="17"/>
    <w:link w:val="69"/>
    <w:qFormat/>
    <w:uiPriority w:val="0"/>
    <w:pPr>
      <w:spacing w:after="120"/>
      <w:ind w:firstLine="420" w:firstLineChars="100"/>
    </w:pPr>
    <w:rPr>
      <w:rFonts w:ascii="Times New Roman" w:eastAsia="宋体"/>
      <w:szCs w:val="24"/>
    </w:rPr>
  </w:style>
  <w:style w:type="paragraph" w:styleId="36">
    <w:name w:val="Body Text First Indent 2"/>
    <w:basedOn w:val="18"/>
    <w:unhideWhenUsed/>
    <w:qFormat/>
    <w:uiPriority w:val="99"/>
    <w:pPr>
      <w:ind w:firstLine="200" w:firstLineChars="200"/>
    </w:p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0"/>
    <w:rPr>
      <w:color w:val="0000FF"/>
      <w:u w:val="single"/>
    </w:rPr>
  </w:style>
  <w:style w:type="character" w:styleId="44">
    <w:name w:val="annotation reference"/>
    <w:unhideWhenUsed/>
    <w:qFormat/>
    <w:uiPriority w:val="99"/>
    <w:rPr>
      <w:sz w:val="21"/>
      <w:szCs w:val="21"/>
    </w:rPr>
  </w:style>
  <w:style w:type="character" w:customStyle="1" w:styleId="45">
    <w:name w:val="标题 1 Char"/>
    <w:link w:val="2"/>
    <w:qFormat/>
    <w:uiPriority w:val="0"/>
    <w:rPr>
      <w:rFonts w:ascii="Times New Roman" w:hAnsi="Times New Roman" w:eastAsia="宋体" w:cs="Times New Roman"/>
      <w:b/>
      <w:bCs/>
      <w:kern w:val="44"/>
      <w:sz w:val="44"/>
      <w:szCs w:val="44"/>
    </w:rPr>
  </w:style>
  <w:style w:type="character" w:customStyle="1" w:styleId="46">
    <w:name w:val="标题 2 Char"/>
    <w:link w:val="3"/>
    <w:qFormat/>
    <w:uiPriority w:val="0"/>
    <w:rPr>
      <w:rFonts w:ascii="Arial" w:hAnsi="Arial" w:eastAsia="黑体" w:cs="Times New Roman"/>
      <w:b/>
      <w:bCs/>
      <w:sz w:val="32"/>
      <w:szCs w:val="32"/>
    </w:rPr>
  </w:style>
  <w:style w:type="character" w:customStyle="1" w:styleId="47">
    <w:name w:val="标题 3 Char"/>
    <w:link w:val="4"/>
    <w:qFormat/>
    <w:uiPriority w:val="0"/>
    <w:rPr>
      <w:rFonts w:ascii="Times New Roman" w:hAnsi="Times New Roman" w:eastAsia="宋体" w:cs="Times New Roman"/>
      <w:b/>
      <w:bCs/>
      <w:sz w:val="32"/>
      <w:szCs w:val="32"/>
    </w:rPr>
  </w:style>
  <w:style w:type="character" w:customStyle="1" w:styleId="48">
    <w:name w:val="标题 4 Char"/>
    <w:link w:val="5"/>
    <w:qFormat/>
    <w:uiPriority w:val="0"/>
    <w:rPr>
      <w:rFonts w:ascii="Times New Roman" w:hAnsi="Times New Roman" w:eastAsia="新宋体" w:cs="Times New Roman"/>
      <w:sz w:val="30"/>
      <w:szCs w:val="21"/>
    </w:rPr>
  </w:style>
  <w:style w:type="character" w:customStyle="1" w:styleId="49">
    <w:name w:val="标题 5 Char"/>
    <w:link w:val="6"/>
    <w:qFormat/>
    <w:uiPriority w:val="0"/>
    <w:rPr>
      <w:rFonts w:ascii="Times New Roman" w:hAnsi="Times New Roman" w:eastAsia="宋体" w:cs="Times New Roman"/>
      <w:b/>
      <w:bCs/>
      <w:sz w:val="28"/>
      <w:szCs w:val="28"/>
    </w:rPr>
  </w:style>
  <w:style w:type="character" w:customStyle="1" w:styleId="50">
    <w:name w:val="标题 6 Char"/>
    <w:link w:val="7"/>
    <w:qFormat/>
    <w:uiPriority w:val="0"/>
    <w:rPr>
      <w:rFonts w:ascii="Times New Roman" w:hAnsi="Times New Roman" w:eastAsia="宋体" w:cs="Times New Roman"/>
      <w:b/>
      <w:sz w:val="44"/>
      <w:szCs w:val="20"/>
    </w:rPr>
  </w:style>
  <w:style w:type="character" w:customStyle="1" w:styleId="51">
    <w:name w:val="正文缩进 Char"/>
    <w:link w:val="8"/>
    <w:qFormat/>
    <w:uiPriority w:val="0"/>
    <w:rPr>
      <w:rFonts w:ascii="Times New Roman" w:hAnsi="Times New Roman" w:eastAsia="宋体" w:cs="Times New Roman"/>
      <w:kern w:val="0"/>
      <w:sz w:val="20"/>
      <w:szCs w:val="20"/>
    </w:rPr>
  </w:style>
  <w:style w:type="character" w:customStyle="1" w:styleId="52">
    <w:name w:val="标题 7 Char"/>
    <w:link w:val="9"/>
    <w:qFormat/>
    <w:uiPriority w:val="0"/>
    <w:rPr>
      <w:rFonts w:ascii="Times New Roman" w:hAnsi="Times New Roman" w:eastAsia="宋体" w:cs="Times New Roman"/>
      <w:b/>
      <w:bCs/>
      <w:sz w:val="24"/>
      <w:szCs w:val="24"/>
    </w:rPr>
  </w:style>
  <w:style w:type="character" w:customStyle="1" w:styleId="53">
    <w:name w:val="标题 8 Char"/>
    <w:link w:val="10"/>
    <w:qFormat/>
    <w:uiPriority w:val="0"/>
    <w:rPr>
      <w:rFonts w:ascii="Arial" w:hAnsi="Arial" w:eastAsia="黑体" w:cs="Times New Roman"/>
      <w:sz w:val="24"/>
      <w:szCs w:val="24"/>
    </w:rPr>
  </w:style>
  <w:style w:type="character" w:customStyle="1" w:styleId="54">
    <w:name w:val="标题 9 Char"/>
    <w:link w:val="11"/>
    <w:qFormat/>
    <w:uiPriority w:val="0"/>
    <w:rPr>
      <w:rFonts w:ascii="Arial" w:hAnsi="Arial" w:eastAsia="黑体" w:cs="Times New Roman"/>
      <w:sz w:val="24"/>
      <w:szCs w:val="21"/>
    </w:rPr>
  </w:style>
  <w:style w:type="character" w:customStyle="1" w:styleId="55">
    <w:name w:val="文档结构图 Char"/>
    <w:link w:val="13"/>
    <w:semiHidden/>
    <w:qFormat/>
    <w:uiPriority w:val="0"/>
    <w:rPr>
      <w:szCs w:val="24"/>
      <w:shd w:val="clear" w:color="auto" w:fill="000080"/>
    </w:rPr>
  </w:style>
  <w:style w:type="character" w:customStyle="1" w:styleId="56">
    <w:name w:val="批注文字 Char"/>
    <w:link w:val="15"/>
    <w:qFormat/>
    <w:uiPriority w:val="99"/>
    <w:rPr>
      <w:kern w:val="2"/>
      <w:sz w:val="21"/>
      <w:szCs w:val="24"/>
    </w:rPr>
  </w:style>
  <w:style w:type="character" w:customStyle="1" w:styleId="57">
    <w:name w:val="正文文本 3 Char"/>
    <w:link w:val="16"/>
    <w:qFormat/>
    <w:uiPriority w:val="0"/>
    <w:rPr>
      <w:rFonts w:ascii="Times New Roman" w:hAnsi="Times New Roman" w:eastAsia="宋体" w:cs="Times New Roman"/>
      <w:sz w:val="16"/>
      <w:szCs w:val="16"/>
    </w:rPr>
  </w:style>
  <w:style w:type="character" w:customStyle="1" w:styleId="58">
    <w:name w:val="正文文本 Char"/>
    <w:link w:val="17"/>
    <w:qFormat/>
    <w:uiPriority w:val="0"/>
    <w:rPr>
      <w:rFonts w:ascii="仿宋_GB2312" w:hAnsi="Times New Roman" w:eastAsia="仿宋_GB2312" w:cs="Times New Roman"/>
      <w:sz w:val="24"/>
      <w:szCs w:val="20"/>
    </w:rPr>
  </w:style>
  <w:style w:type="character" w:customStyle="1" w:styleId="59">
    <w:name w:val="正文文本缩进 Char"/>
    <w:link w:val="18"/>
    <w:qFormat/>
    <w:uiPriority w:val="0"/>
    <w:rPr>
      <w:rFonts w:ascii="仿宋_GB2312" w:hAnsi="Times New Roman" w:eastAsia="仿宋_GB2312" w:cs="Times New Roman"/>
      <w:sz w:val="28"/>
      <w:szCs w:val="20"/>
    </w:rPr>
  </w:style>
  <w:style w:type="character" w:customStyle="1" w:styleId="60">
    <w:name w:val="纯文本 Char"/>
    <w:link w:val="22"/>
    <w:qFormat/>
    <w:uiPriority w:val="0"/>
    <w:rPr>
      <w:rFonts w:ascii="宋体" w:hAnsi="Courier New" w:eastAsia="宋体" w:cs="Courier New"/>
      <w:szCs w:val="21"/>
    </w:rPr>
  </w:style>
  <w:style w:type="character" w:customStyle="1" w:styleId="61">
    <w:name w:val="日期 Char"/>
    <w:link w:val="23"/>
    <w:qFormat/>
    <w:uiPriority w:val="0"/>
    <w:rPr>
      <w:rFonts w:ascii="Times New Roman" w:hAnsi="Times New Roman" w:eastAsia="宋体" w:cs="Times New Roman"/>
      <w:sz w:val="24"/>
      <w:szCs w:val="20"/>
    </w:rPr>
  </w:style>
  <w:style w:type="character" w:customStyle="1" w:styleId="62">
    <w:name w:val="正文文本缩进 2 Char"/>
    <w:link w:val="24"/>
    <w:qFormat/>
    <w:uiPriority w:val="0"/>
    <w:rPr>
      <w:rFonts w:ascii="Times New Roman" w:hAnsi="Times New Roman" w:eastAsia="仿宋_GB2312" w:cs="Times New Roman"/>
      <w:sz w:val="28"/>
      <w:szCs w:val="20"/>
    </w:rPr>
  </w:style>
  <w:style w:type="character" w:customStyle="1" w:styleId="63">
    <w:name w:val="批注框文本 Char"/>
    <w:link w:val="25"/>
    <w:semiHidden/>
    <w:qFormat/>
    <w:uiPriority w:val="0"/>
    <w:rPr>
      <w:sz w:val="18"/>
      <w:szCs w:val="18"/>
    </w:rPr>
  </w:style>
  <w:style w:type="character" w:customStyle="1" w:styleId="64">
    <w:name w:val="页脚 Char"/>
    <w:link w:val="26"/>
    <w:qFormat/>
    <w:uiPriority w:val="99"/>
    <w:rPr>
      <w:rFonts w:ascii="Times New Roman" w:hAnsi="Times New Roman" w:eastAsia="宋体" w:cs="Times New Roman"/>
      <w:sz w:val="18"/>
      <w:szCs w:val="20"/>
    </w:rPr>
  </w:style>
  <w:style w:type="character" w:customStyle="1" w:styleId="65">
    <w:name w:val="页眉 Char"/>
    <w:link w:val="27"/>
    <w:qFormat/>
    <w:uiPriority w:val="0"/>
    <w:rPr>
      <w:rFonts w:ascii="Times New Roman" w:hAnsi="Times New Roman" w:eastAsia="宋体" w:cs="Times New Roman"/>
      <w:sz w:val="18"/>
      <w:szCs w:val="18"/>
    </w:rPr>
  </w:style>
  <w:style w:type="character" w:customStyle="1" w:styleId="66">
    <w:name w:val="正文文本缩进 3 Char"/>
    <w:link w:val="30"/>
    <w:qFormat/>
    <w:uiPriority w:val="0"/>
    <w:rPr>
      <w:rFonts w:ascii="Times New Roman" w:hAnsi="Times New Roman" w:eastAsia="宋体" w:cs="Times New Roman"/>
      <w:sz w:val="16"/>
      <w:szCs w:val="16"/>
    </w:rPr>
  </w:style>
  <w:style w:type="character" w:customStyle="1" w:styleId="67">
    <w:name w:val="正文文本 2 Char"/>
    <w:link w:val="32"/>
    <w:qFormat/>
    <w:uiPriority w:val="0"/>
    <w:rPr>
      <w:rFonts w:ascii="Times New Roman" w:hAnsi="Times New Roman" w:eastAsia="宋体" w:cs="Times New Roman"/>
      <w:b/>
      <w:bCs/>
      <w:sz w:val="18"/>
      <w:szCs w:val="24"/>
    </w:rPr>
  </w:style>
  <w:style w:type="character" w:customStyle="1" w:styleId="68">
    <w:name w:val="批注主题 Char"/>
    <w:link w:val="34"/>
    <w:semiHidden/>
    <w:qFormat/>
    <w:uiPriority w:val="99"/>
    <w:rPr>
      <w:b/>
      <w:bCs/>
      <w:kern w:val="2"/>
      <w:sz w:val="21"/>
      <w:szCs w:val="24"/>
    </w:rPr>
  </w:style>
  <w:style w:type="character" w:customStyle="1" w:styleId="69">
    <w:name w:val="正文首行缩进 Char"/>
    <w:link w:val="35"/>
    <w:qFormat/>
    <w:uiPriority w:val="0"/>
    <w:rPr>
      <w:rFonts w:ascii="Times New Roman" w:hAnsi="Times New Roman" w:eastAsia="宋体" w:cs="Times New Roman"/>
      <w:sz w:val="24"/>
      <w:szCs w:val="24"/>
    </w:rPr>
  </w:style>
  <w:style w:type="paragraph" w:styleId="70">
    <w:name w:val="List Paragraph"/>
    <w:basedOn w:val="1"/>
    <w:link w:val="71"/>
    <w:qFormat/>
    <w:uiPriority w:val="99"/>
    <w:pPr>
      <w:ind w:firstLine="420" w:firstLineChars="200"/>
    </w:pPr>
    <w:rPr>
      <w:kern w:val="0"/>
      <w:sz w:val="20"/>
      <w:szCs w:val="20"/>
    </w:rPr>
  </w:style>
  <w:style w:type="character" w:customStyle="1" w:styleId="71">
    <w:name w:val="列出段落 Char"/>
    <w:link w:val="70"/>
    <w:qFormat/>
    <w:locked/>
    <w:uiPriority w:val="99"/>
  </w:style>
  <w:style w:type="paragraph" w:customStyle="1" w:styleId="72">
    <w:name w:val="style4"/>
    <w:basedOn w:val="1"/>
    <w:next w:val="73"/>
    <w:qFormat/>
    <w:uiPriority w:val="0"/>
    <w:pPr>
      <w:widowControl/>
      <w:spacing w:before="280" w:after="280"/>
    </w:pPr>
    <w:rPr>
      <w:rFonts w:ascii="宋体"/>
      <w:sz w:val="18"/>
    </w:rPr>
  </w:style>
  <w:style w:type="paragraph" w:customStyle="1" w:styleId="7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4">
    <w:name w:val="Default"/>
    <w:basedOn w:val="1"/>
    <w:qFormat/>
    <w:uiPriority w:val="0"/>
    <w:pPr>
      <w:autoSpaceDE w:val="0"/>
      <w:autoSpaceDN w:val="0"/>
      <w:adjustRightInd w:val="0"/>
      <w:jc w:val="left"/>
    </w:pPr>
    <w:rPr>
      <w:rFonts w:ascii="Arial" w:hAnsi="Arial" w:eastAsia="PMingLiU"/>
      <w:kern w:val="0"/>
      <w:sz w:val="20"/>
      <w:szCs w:val="20"/>
    </w:rPr>
  </w:style>
  <w:style w:type="paragraph" w:customStyle="1" w:styleId="75">
    <w:name w:val="无间隔1"/>
    <w:qFormat/>
    <w:uiPriority w:val="0"/>
    <w:rPr>
      <w:rFonts w:ascii="Times New Roman" w:hAnsi="Times New Roman" w:eastAsia="宋体" w:cs="Calibri"/>
      <w:sz w:val="22"/>
      <w:lang w:val="en-US" w:eastAsia="zh-CN" w:bidi="ar-SA"/>
    </w:rPr>
  </w:style>
  <w:style w:type="paragraph" w:customStyle="1" w:styleId="76">
    <w:name w:val="正文缩进1"/>
    <w:basedOn w:val="1"/>
    <w:qFormat/>
    <w:uiPriority w:val="0"/>
    <w:pPr>
      <w:widowControl/>
      <w:ind w:firstLine="420"/>
      <w:jc w:val="left"/>
    </w:pPr>
    <w:rPr>
      <w:kern w:val="0"/>
    </w:rPr>
  </w:style>
  <w:style w:type="character" w:customStyle="1" w:styleId="77">
    <w:name w:val="文档结构图 Char1"/>
    <w:semiHidden/>
    <w:qFormat/>
    <w:uiPriority w:val="99"/>
    <w:rPr>
      <w:rFonts w:ascii="宋体" w:hAnsi="Times New Roman" w:eastAsia="宋体" w:cs="Times New Roman"/>
      <w:sz w:val="18"/>
      <w:szCs w:val="18"/>
    </w:rPr>
  </w:style>
  <w:style w:type="character" w:customStyle="1" w:styleId="78">
    <w:name w:val="普通正文 Char"/>
    <w:link w:val="79"/>
    <w:qFormat/>
    <w:uiPriority w:val="0"/>
    <w:rPr>
      <w:rFonts w:ascii="Arial" w:hAnsi="Arial"/>
      <w:sz w:val="24"/>
      <w:szCs w:val="24"/>
    </w:rPr>
  </w:style>
  <w:style w:type="paragraph" w:customStyle="1" w:styleId="79">
    <w:name w:val="普通正文"/>
    <w:basedOn w:val="1"/>
    <w:link w:val="7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0">
    <w:name w:val="FA正文 Char"/>
    <w:link w:val="81"/>
    <w:qFormat/>
    <w:uiPriority w:val="0"/>
    <w:rPr>
      <w:rFonts w:ascii="宋体" w:hAnsi="宋体" w:eastAsia="宋体" w:cs="Times New Roman"/>
      <w:sz w:val="28"/>
      <w:szCs w:val="28"/>
    </w:rPr>
  </w:style>
  <w:style w:type="paragraph" w:customStyle="1" w:styleId="81">
    <w:name w:val="FA正文"/>
    <w:basedOn w:val="1"/>
    <w:link w:val="80"/>
    <w:qFormat/>
    <w:uiPriority w:val="0"/>
    <w:pPr>
      <w:tabs>
        <w:tab w:val="left" w:pos="3375"/>
      </w:tabs>
      <w:spacing w:line="440" w:lineRule="atLeast"/>
      <w:ind w:firstLine="538" w:firstLineChars="192"/>
    </w:pPr>
    <w:rPr>
      <w:rFonts w:ascii="宋体" w:hAnsi="宋体"/>
      <w:kern w:val="0"/>
      <w:sz w:val="28"/>
      <w:szCs w:val="28"/>
    </w:rPr>
  </w:style>
  <w:style w:type="character" w:customStyle="1" w:styleId="82">
    <w:name w:val="正文缩进2格 Char"/>
    <w:link w:val="83"/>
    <w:qFormat/>
    <w:uiPriority w:val="0"/>
    <w:rPr>
      <w:rFonts w:ascii="仿宋_GB2312" w:hAnsi="宋体" w:eastAsia="仿宋_GB2312" w:cs="Times New Roman"/>
      <w:sz w:val="31"/>
      <w:szCs w:val="28"/>
    </w:rPr>
  </w:style>
  <w:style w:type="paragraph" w:customStyle="1" w:styleId="83">
    <w:name w:val="正文缩进2格"/>
    <w:basedOn w:val="1"/>
    <w:link w:val="82"/>
    <w:qFormat/>
    <w:uiPriority w:val="0"/>
    <w:pPr>
      <w:spacing w:line="600" w:lineRule="exact"/>
      <w:ind w:firstLine="639" w:firstLineChars="206"/>
    </w:pPr>
    <w:rPr>
      <w:rFonts w:ascii="仿宋_GB2312" w:hAnsi="宋体" w:eastAsia="仿宋_GB2312"/>
      <w:kern w:val="0"/>
      <w:sz w:val="31"/>
      <w:szCs w:val="28"/>
    </w:rPr>
  </w:style>
  <w:style w:type="character" w:customStyle="1" w:styleId="84">
    <w:name w:val="cn_text1"/>
    <w:qFormat/>
    <w:uiPriority w:val="0"/>
    <w:rPr>
      <w:rFonts w:hint="default" w:ascii="ˎ̥" w:hAnsi="ˎ̥"/>
      <w:color w:val="003399"/>
      <w:spacing w:val="15"/>
      <w:sz w:val="18"/>
      <w:szCs w:val="18"/>
    </w:rPr>
  </w:style>
  <w:style w:type="character" w:customStyle="1" w:styleId="85">
    <w:name w:val="ssss Char"/>
    <w:qFormat/>
    <w:uiPriority w:val="0"/>
    <w:rPr>
      <w:rFonts w:eastAsia="宋体"/>
      <w:kern w:val="2"/>
      <w:sz w:val="24"/>
      <w:szCs w:val="24"/>
      <w:lang w:val="en-US" w:eastAsia="zh-CN" w:bidi="ar-SA"/>
    </w:rPr>
  </w:style>
  <w:style w:type="character" w:customStyle="1" w:styleId="86">
    <w:name w:val="ssss Char1"/>
    <w:link w:val="87"/>
    <w:qFormat/>
    <w:uiPriority w:val="0"/>
    <w:rPr>
      <w:rFonts w:ascii="Times New Roman" w:hAnsi="Times New Roman" w:eastAsia="宋体" w:cs="Times New Roman"/>
      <w:sz w:val="24"/>
      <w:szCs w:val="24"/>
    </w:rPr>
  </w:style>
  <w:style w:type="paragraph" w:customStyle="1" w:styleId="87">
    <w:name w:val="ssss"/>
    <w:basedOn w:val="1"/>
    <w:link w:val="86"/>
    <w:qFormat/>
    <w:uiPriority w:val="0"/>
    <w:pPr>
      <w:spacing w:line="360" w:lineRule="auto"/>
      <w:ind w:firstLine="480" w:firstLineChars="200"/>
    </w:pPr>
    <w:rPr>
      <w:kern w:val="0"/>
      <w:sz w:val="24"/>
    </w:rPr>
  </w:style>
  <w:style w:type="character" w:customStyle="1" w:styleId="88">
    <w:name w:val="标题 4 Char1"/>
    <w:qFormat/>
    <w:uiPriority w:val="0"/>
    <w:rPr>
      <w:rFonts w:ascii="Arial" w:hAnsi="Arial" w:eastAsia="黑体"/>
      <w:b/>
      <w:bCs/>
      <w:kern w:val="2"/>
      <w:sz w:val="28"/>
      <w:szCs w:val="28"/>
      <w:lang w:val="en-US" w:eastAsia="zh-CN" w:bidi="ar-SA"/>
    </w:rPr>
  </w:style>
  <w:style w:type="character" w:customStyle="1" w:styleId="89">
    <w:name w:val="列表段落 字符"/>
    <w:qFormat/>
    <w:uiPriority w:val="34"/>
    <w:rPr>
      <w:rFonts w:ascii="Calibri" w:hAnsi="Calibri"/>
      <w:kern w:val="2"/>
      <w:sz w:val="21"/>
      <w:szCs w:val="22"/>
    </w:rPr>
  </w:style>
  <w:style w:type="character" w:customStyle="1" w:styleId="90">
    <w:name w:val="批注框文本 Char1"/>
    <w:semiHidden/>
    <w:qFormat/>
    <w:uiPriority w:val="99"/>
    <w:rPr>
      <w:rFonts w:ascii="Times New Roman" w:hAnsi="Times New Roman" w:eastAsia="宋体" w:cs="Times New Roman"/>
      <w:sz w:val="18"/>
      <w:szCs w:val="18"/>
    </w:rPr>
  </w:style>
  <w:style w:type="character" w:customStyle="1" w:styleId="91">
    <w:name w:val="样式 ssss + 宋体 五号1 Char"/>
    <w:link w:val="92"/>
    <w:qFormat/>
    <w:uiPriority w:val="0"/>
    <w:rPr>
      <w:rFonts w:ascii="宋体" w:hAnsi="宋体" w:eastAsia="宋体" w:cs="Times New Roman"/>
      <w:sz w:val="24"/>
      <w:szCs w:val="24"/>
    </w:rPr>
  </w:style>
  <w:style w:type="paragraph" w:customStyle="1" w:styleId="92">
    <w:name w:val="样式 ssss + 宋体 五号1"/>
    <w:basedOn w:val="87"/>
    <w:link w:val="91"/>
    <w:qFormat/>
    <w:uiPriority w:val="0"/>
    <w:rPr>
      <w:rFonts w:ascii="宋体" w:hAnsi="宋体"/>
    </w:rPr>
  </w:style>
  <w:style w:type="character" w:customStyle="1" w:styleId="93">
    <w:name w:val="point_normal1"/>
    <w:qFormat/>
    <w:uiPriority w:val="0"/>
    <w:rPr>
      <w:rFonts w:hint="default" w:ascii="Arial" w:hAnsi="Arial" w:cs="Arial"/>
      <w:sz w:val="16"/>
      <w:szCs w:val="16"/>
    </w:rPr>
  </w:style>
  <w:style w:type="paragraph" w:customStyle="1" w:styleId="94">
    <w:name w:val="样式 正文文本缩进 3 + 四号"/>
    <w:basedOn w:val="30"/>
    <w:qFormat/>
    <w:uiPriority w:val="0"/>
    <w:pPr>
      <w:spacing w:after="0" w:line="360" w:lineRule="auto"/>
      <w:ind w:left="0" w:leftChars="0" w:firstLine="437"/>
    </w:pPr>
    <w:rPr>
      <w:sz w:val="24"/>
      <w:szCs w:val="21"/>
    </w:rPr>
  </w:style>
  <w:style w:type="paragraph" w:customStyle="1" w:styleId="95">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96">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97">
    <w:name w:val="Char Char Char Char"/>
    <w:basedOn w:val="1"/>
    <w:qFormat/>
    <w:uiPriority w:val="0"/>
    <w:rPr>
      <w:rFonts w:ascii="Tahoma" w:hAnsi="Tahoma"/>
      <w:sz w:val="24"/>
      <w:szCs w:val="20"/>
    </w:rPr>
  </w:style>
  <w:style w:type="paragraph" w:customStyle="1" w:styleId="98">
    <w:name w:val="Char Char Char Char Char Char Char Char Char Char Char Char Char"/>
    <w:basedOn w:val="1"/>
    <w:qFormat/>
    <w:uiPriority w:val="0"/>
  </w:style>
  <w:style w:type="paragraph" w:customStyle="1" w:styleId="99">
    <w:name w:val="表格正文"/>
    <w:basedOn w:val="1"/>
    <w:qFormat/>
    <w:uiPriority w:val="0"/>
    <w:pPr>
      <w:spacing w:line="360" w:lineRule="auto"/>
      <w:jc w:val="left"/>
    </w:pPr>
    <w:rPr>
      <w:rFonts w:ascii="Calibri" w:hAnsi="Calibri"/>
      <w:color w:val="000000"/>
      <w:szCs w:val="28"/>
    </w:rPr>
  </w:style>
  <w:style w:type="paragraph" w:customStyle="1" w:styleId="100">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1">
    <w:name w:val="Char Char Char Char1"/>
    <w:basedOn w:val="1"/>
    <w:qFormat/>
    <w:uiPriority w:val="0"/>
    <w:rPr>
      <w:rFonts w:ascii="Tahoma" w:hAnsi="Tahoma"/>
      <w:sz w:val="24"/>
      <w:szCs w:val="20"/>
    </w:rPr>
  </w:style>
  <w:style w:type="paragraph" w:customStyle="1" w:styleId="102">
    <w:name w:val="Char Char Char"/>
    <w:basedOn w:val="1"/>
    <w:qFormat/>
    <w:uiPriority w:val="0"/>
    <w:rPr>
      <w:rFonts w:ascii="Tahoma" w:hAnsi="Tahoma"/>
      <w:sz w:val="24"/>
      <w:szCs w:val="20"/>
    </w:rPr>
  </w:style>
  <w:style w:type="paragraph" w:customStyle="1" w:styleId="103">
    <w:name w:val="标题-----3"/>
    <w:basedOn w:val="4"/>
    <w:qFormat/>
    <w:uiPriority w:val="0"/>
    <w:pPr>
      <w:spacing w:before="0" w:after="0" w:line="240" w:lineRule="auto"/>
      <w:outlineLvl w:val="0"/>
    </w:pPr>
    <w:rPr>
      <w:rFonts w:ascii="宋体" w:hAnsi="宋体"/>
      <w:b w:val="0"/>
      <w:bCs w:val="0"/>
      <w:sz w:val="28"/>
      <w:szCs w:val="28"/>
    </w:rPr>
  </w:style>
  <w:style w:type="paragraph" w:customStyle="1" w:styleId="104">
    <w:name w:val="样式 ssss + 居中"/>
    <w:basedOn w:val="87"/>
    <w:qFormat/>
    <w:uiPriority w:val="0"/>
    <w:pPr>
      <w:jc w:val="center"/>
    </w:pPr>
    <w:rPr>
      <w:rFonts w:cs="宋体"/>
      <w:szCs w:val="20"/>
    </w:rPr>
  </w:style>
  <w:style w:type="paragraph" w:customStyle="1" w:styleId="105">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6">
    <w:name w:val="样式 样式 ssss + 宋体 五号 + 首行缩进:  2 字符"/>
    <w:basedOn w:val="107"/>
    <w:qFormat/>
    <w:uiPriority w:val="0"/>
    <w:pPr>
      <w:ind w:firstLine="480"/>
    </w:pPr>
  </w:style>
  <w:style w:type="paragraph" w:customStyle="1" w:styleId="107">
    <w:name w:val="样式 ssss + 宋体 五号"/>
    <w:basedOn w:val="87"/>
    <w:qFormat/>
    <w:uiPriority w:val="0"/>
    <w:pPr>
      <w:ind w:firstLine="420"/>
    </w:pPr>
    <w:rPr>
      <w:rFonts w:ascii="宋体" w:hAnsi="宋体" w:cs="宋体"/>
      <w:szCs w:val="20"/>
    </w:rPr>
  </w:style>
  <w:style w:type="paragraph" w:customStyle="1" w:styleId="108">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Char"/>
    <w:basedOn w:val="1"/>
    <w:qFormat/>
    <w:uiPriority w:val="0"/>
    <w:rPr>
      <w:rFonts w:ascii="Tahoma" w:hAnsi="Tahoma"/>
      <w:sz w:val="24"/>
      <w:szCs w:val="20"/>
    </w:rPr>
  </w:style>
  <w:style w:type="paragraph" w:customStyle="1" w:styleId="110">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1">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1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13">
    <w:name w:val="Char Char Char Char Char Char Char Char Char Char Char Char Char1"/>
    <w:basedOn w:val="1"/>
    <w:qFormat/>
    <w:uiPriority w:val="0"/>
    <w:rPr>
      <w:sz w:val="24"/>
    </w:rPr>
  </w:style>
  <w:style w:type="paragraph" w:customStyle="1" w:styleId="114">
    <w:name w:val="表格"/>
    <w:basedOn w:val="1"/>
    <w:qFormat/>
    <w:uiPriority w:val="0"/>
    <w:rPr>
      <w:rFonts w:ascii="Arial" w:hAnsi="Arial"/>
      <w:sz w:val="24"/>
    </w:rPr>
  </w:style>
  <w:style w:type="paragraph" w:customStyle="1" w:styleId="115">
    <w:name w:val="正文样式1"/>
    <w:basedOn w:val="1"/>
    <w:qFormat/>
    <w:uiPriority w:val="0"/>
    <w:pPr>
      <w:spacing w:before="120" w:after="120" w:line="360" w:lineRule="auto"/>
      <w:ind w:firstLine="480" w:firstLineChars="200"/>
    </w:pPr>
    <w:rPr>
      <w:sz w:val="24"/>
      <w:szCs w:val="20"/>
    </w:rPr>
  </w:style>
  <w:style w:type="paragraph" w:customStyle="1" w:styleId="11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7">
    <w:name w:val="Char Char Char Char Char Char Char Char Char Char"/>
    <w:basedOn w:val="1"/>
    <w:qFormat/>
    <w:uiPriority w:val="0"/>
    <w:rPr>
      <w:rFonts w:ascii="Tahoma" w:hAnsi="Tahoma"/>
      <w:sz w:val="24"/>
      <w:szCs w:val="20"/>
    </w:rPr>
  </w:style>
  <w:style w:type="paragraph" w:customStyle="1" w:styleId="118">
    <w:name w:val="Char1"/>
    <w:basedOn w:val="1"/>
    <w:qFormat/>
    <w:uiPriority w:val="0"/>
    <w:pPr>
      <w:tabs>
        <w:tab w:val="left" w:pos="360"/>
      </w:tabs>
    </w:pPr>
    <w:rPr>
      <w:sz w:val="24"/>
    </w:rPr>
  </w:style>
  <w:style w:type="paragraph" w:customStyle="1" w:styleId="119">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0">
    <w:name w:val="Header2"/>
    <w:basedOn w:val="1"/>
    <w:qFormat/>
    <w:uiPriority w:val="0"/>
    <w:pPr>
      <w:numPr>
        <w:ilvl w:val="0"/>
        <w:numId w:val="1"/>
      </w:numPr>
    </w:pPr>
  </w:style>
  <w:style w:type="paragraph" w:customStyle="1" w:styleId="121">
    <w:name w:val="Char Char 字元 字元 字元 Char Char Char Char"/>
    <w:basedOn w:val="1"/>
    <w:qFormat/>
    <w:uiPriority w:val="0"/>
    <w:pPr>
      <w:adjustRightInd w:val="0"/>
      <w:spacing w:line="360" w:lineRule="auto"/>
    </w:pPr>
    <w:rPr>
      <w:kern w:val="0"/>
      <w:sz w:val="24"/>
      <w:szCs w:val="20"/>
    </w:rPr>
  </w:style>
  <w:style w:type="paragraph" w:customStyle="1" w:styleId="12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25">
    <w:name w:val="网格型1"/>
    <w:basedOn w:val="3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6">
    <w:name w:val="列出段落1"/>
    <w:basedOn w:val="1"/>
    <w:qFormat/>
    <w:uiPriority w:val="34"/>
    <w:pPr>
      <w:widowControl/>
      <w:ind w:left="720"/>
      <w:contextualSpacing/>
      <w:jc w:val="left"/>
    </w:pPr>
    <w:rPr>
      <w:kern w:val="0"/>
      <w:sz w:val="24"/>
      <w:lang w:eastAsia="en-US" w:bidi="en-US"/>
    </w:rPr>
  </w:style>
  <w:style w:type="paragraph" w:customStyle="1" w:styleId="127">
    <w:name w:val="DAS正文"/>
    <w:basedOn w:val="1"/>
    <w:qFormat/>
    <w:uiPriority w:val="0"/>
    <w:pPr>
      <w:spacing w:line="360" w:lineRule="auto"/>
      <w:ind w:right="181" w:firstLine="480" w:firstLineChars="200"/>
    </w:pPr>
    <w:rPr>
      <w:rFonts w:ascii="Verdana" w:hAnsi="Verdana"/>
      <w:sz w:val="24"/>
      <w:szCs w:val="20"/>
    </w:rPr>
  </w:style>
  <w:style w:type="paragraph" w:customStyle="1" w:styleId="128">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styleId="129">
    <w:name w:val="No Spacing"/>
    <w:qFormat/>
    <w:uiPriority w:val="1"/>
    <w:pPr>
      <w:widowControl w:val="0"/>
      <w:spacing w:line="360" w:lineRule="auto"/>
      <w:ind w:firstLine="200"/>
      <w:jc w:val="both"/>
    </w:pPr>
    <w:rPr>
      <w:rFonts w:ascii="Arial" w:hAnsi="Arial" w:eastAsia="宋体" w:cs="Times New Roman"/>
      <w:sz w:val="24"/>
      <w:szCs w:val="24"/>
      <w:lang w:val="en-US" w:eastAsia="zh-CN" w:bidi="ar-SA"/>
    </w:rPr>
  </w:style>
  <w:style w:type="paragraph" w:customStyle="1" w:styleId="130">
    <w:name w:val="首行缩进"/>
    <w:basedOn w:val="1"/>
    <w:qFormat/>
    <w:uiPriority w:val="99"/>
    <w:pPr>
      <w:ind w:firstLine="480"/>
    </w:pPr>
    <w:rPr>
      <w:rFonts w:ascii="等线" w:hAnsi="等线" w:eastAsia="等线"/>
      <w:szCs w:val="22"/>
      <w:lang w:val="zh-CN"/>
    </w:rPr>
  </w:style>
  <w:style w:type="paragraph" w:customStyle="1" w:styleId="131">
    <w:name w:val="p0"/>
    <w:basedOn w:val="1"/>
    <w:qFormat/>
    <w:uiPriority w:val="0"/>
    <w:pPr>
      <w:widowControl/>
    </w:pPr>
    <w:rPr>
      <w:kern w:val="0"/>
      <w:sz w:val="20"/>
      <w:szCs w:val="21"/>
      <w:lang w:val="zh-CN"/>
    </w:rPr>
  </w:style>
  <w:style w:type="paragraph" w:customStyle="1" w:styleId="132">
    <w:name w:val="Table Text"/>
    <w:basedOn w:val="1"/>
    <w:semiHidden/>
    <w:qFormat/>
    <w:uiPriority w:val="0"/>
    <w:rPr>
      <w:rFonts w:ascii="仿宋" w:hAnsi="仿宋" w:eastAsia="仿宋" w:cs="仿宋"/>
      <w:sz w:val="24"/>
      <w:lang w:eastAsia="en-US"/>
    </w:rPr>
  </w:style>
  <w:style w:type="table" w:customStyle="1" w:styleId="133">
    <w:name w:val="Table Normal"/>
    <w:unhideWhenUsed/>
    <w:qFormat/>
    <w:uiPriority w:val="0"/>
    <w:tblPr>
      <w:tblCellMar>
        <w:top w:w="0" w:type="dxa"/>
        <w:left w:w="0" w:type="dxa"/>
        <w:bottom w:w="0" w:type="dxa"/>
        <w:right w:w="0" w:type="dxa"/>
      </w:tblCellMar>
    </w:tblPr>
  </w:style>
  <w:style w:type="character" w:customStyle="1" w:styleId="134">
    <w:name w:val="NormalCharacter"/>
    <w:qFormat/>
    <w:uiPriority w:val="99"/>
  </w:style>
  <w:style w:type="character" w:customStyle="1" w:styleId="135">
    <w:name w:val="font31"/>
    <w:qFormat/>
    <w:uiPriority w:val="0"/>
    <w:rPr>
      <w:rFonts w:ascii="Times New Roman Regular" w:hAnsi="Times New Roman Regular" w:eastAsia="Times New Roman Regular" w:cs="Times New Roman Regular"/>
      <w:color w:val="000000"/>
      <w:sz w:val="24"/>
      <w:szCs w:val="24"/>
      <w:u w:val="none"/>
    </w:rPr>
  </w:style>
  <w:style w:type="character" w:customStyle="1" w:styleId="136">
    <w:name w:val="font91"/>
    <w:qFormat/>
    <w:uiPriority w:val="0"/>
    <w:rPr>
      <w:rFonts w:hint="default" w:ascii="Times New Roman" w:hAnsi="Times New Roman" w:cs="Times New Roman"/>
      <w:color w:val="000000"/>
      <w:sz w:val="20"/>
      <w:szCs w:val="20"/>
      <w:u w:val="none"/>
    </w:rPr>
  </w:style>
  <w:style w:type="character" w:customStyle="1" w:styleId="137">
    <w:name w:val="font11"/>
    <w:qFormat/>
    <w:uiPriority w:val="0"/>
    <w:rPr>
      <w:rFonts w:hint="eastAsia" w:ascii="宋体" w:hAnsi="宋体" w:eastAsia="宋体" w:cs="宋体"/>
      <w:color w:val="000000"/>
      <w:sz w:val="20"/>
      <w:szCs w:val="20"/>
      <w:u w:val="none"/>
    </w:rPr>
  </w:style>
  <w:style w:type="character" w:customStyle="1" w:styleId="138">
    <w:name w:val="font101"/>
    <w:qFormat/>
    <w:uiPriority w:val="0"/>
    <w:rPr>
      <w:rFonts w:hint="default" w:ascii="Arial" w:hAnsi="Arial" w:cs="Arial"/>
      <w:color w:val="000000"/>
      <w:sz w:val="20"/>
      <w:szCs w:val="20"/>
      <w:u w:val="none"/>
    </w:rPr>
  </w:style>
  <w:style w:type="character" w:customStyle="1" w:styleId="139">
    <w:name w:val="font291"/>
    <w:qFormat/>
    <w:uiPriority w:val="0"/>
    <w:rPr>
      <w:rFonts w:hint="eastAsia" w:ascii="宋体" w:hAnsi="宋体" w:eastAsia="宋体" w:cs="宋体"/>
      <w:color w:val="000000"/>
      <w:sz w:val="20"/>
      <w:szCs w:val="20"/>
      <w:u w:val="none"/>
    </w:rPr>
  </w:style>
  <w:style w:type="character" w:customStyle="1" w:styleId="140">
    <w:name w:val="font61"/>
    <w:qFormat/>
    <w:uiPriority w:val="0"/>
    <w:rPr>
      <w:rFonts w:hint="eastAsia" w:ascii="等线" w:hAnsi="等线" w:eastAsia="等线" w:cs="等线"/>
      <w:color w:val="000000"/>
      <w:sz w:val="20"/>
      <w:szCs w:val="20"/>
      <w:u w:val="none"/>
    </w:rPr>
  </w:style>
  <w:style w:type="character" w:customStyle="1" w:styleId="141">
    <w:name w:val="font71"/>
    <w:qFormat/>
    <w:uiPriority w:val="0"/>
    <w:rPr>
      <w:rFonts w:hint="eastAsia" w:ascii="宋体" w:hAnsi="宋体" w:eastAsia="宋体" w:cs="宋体"/>
      <w:color w:val="000000"/>
      <w:sz w:val="20"/>
      <w:szCs w:val="20"/>
      <w:u w:val="none"/>
    </w:rPr>
  </w:style>
  <w:style w:type="character" w:customStyle="1" w:styleId="142">
    <w:name w:val="font4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3">
    <w:name w:val="font301"/>
    <w:qFormat/>
    <w:uiPriority w:val="0"/>
    <w:rPr>
      <w:rFonts w:hint="default" w:ascii="Times New Roman Regular" w:hAnsi="Times New Roman Regular" w:eastAsia="Times New Roman Regular" w:cs="Times New Roman Regular"/>
      <w:color w:val="000000"/>
      <w:sz w:val="20"/>
      <w:szCs w:val="20"/>
      <w:u w:val="none"/>
    </w:rPr>
  </w:style>
  <w:style w:type="character" w:customStyle="1" w:styleId="144">
    <w:name w:val="font81"/>
    <w:qFormat/>
    <w:uiPriority w:val="0"/>
    <w:rPr>
      <w:rFonts w:hint="eastAsia" w:ascii="宋体" w:hAnsi="宋体" w:eastAsia="宋体" w:cs="宋体"/>
      <w:color w:val="000000"/>
      <w:sz w:val="20"/>
      <w:szCs w:val="20"/>
      <w:u w:val="none"/>
    </w:rPr>
  </w:style>
  <w:style w:type="character" w:customStyle="1" w:styleId="145">
    <w:name w:val="font112"/>
    <w:qFormat/>
    <w:uiPriority w:val="0"/>
    <w:rPr>
      <w:rFonts w:hint="eastAsia" w:ascii="等线" w:hAnsi="等线" w:eastAsia="等线" w:cs="等线"/>
      <w:color w:val="000000"/>
      <w:sz w:val="20"/>
      <w:szCs w:val="20"/>
      <w:u w:val="none"/>
    </w:rPr>
  </w:style>
  <w:style w:type="character" w:customStyle="1" w:styleId="146">
    <w:name w:val="font312"/>
    <w:qFormat/>
    <w:uiPriority w:val="0"/>
    <w:rPr>
      <w:rFonts w:hint="default" w:ascii="Arial" w:hAnsi="Arial" w:cs="Arial"/>
      <w:color w:val="000000"/>
      <w:sz w:val="20"/>
      <w:szCs w:val="20"/>
      <w:u w:val="none"/>
    </w:rPr>
  </w:style>
  <w:style w:type="character" w:customStyle="1" w:styleId="147">
    <w:name w:val="font321"/>
    <w:qFormat/>
    <w:uiPriority w:val="0"/>
    <w:rPr>
      <w:rFonts w:ascii="微软雅黑" w:hAnsi="微软雅黑" w:eastAsia="微软雅黑" w:cs="微软雅黑"/>
      <w:color w:val="000000"/>
      <w:sz w:val="20"/>
      <w:szCs w:val="20"/>
      <w:u w:val="none"/>
    </w:rPr>
  </w:style>
  <w:style w:type="character" w:customStyle="1" w:styleId="148">
    <w:name w:val="font151"/>
    <w:qFormat/>
    <w:uiPriority w:val="0"/>
    <w:rPr>
      <w:rFonts w:hint="eastAsia" w:ascii="宋体" w:hAnsi="宋体" w:eastAsia="宋体" w:cs="宋体"/>
      <w:color w:val="000000"/>
      <w:sz w:val="22"/>
      <w:szCs w:val="22"/>
      <w:u w:val="none"/>
    </w:rPr>
  </w:style>
  <w:style w:type="character" w:customStyle="1" w:styleId="149">
    <w:name w:val="font121"/>
    <w:qFormat/>
    <w:uiPriority w:val="0"/>
    <w:rPr>
      <w:rFonts w:hint="eastAsia" w:ascii="宋体" w:hAnsi="宋体" w:eastAsia="宋体" w:cs="宋体"/>
      <w:b/>
      <w:bCs/>
      <w:color w:val="000000"/>
      <w:sz w:val="20"/>
      <w:szCs w:val="20"/>
      <w:u w:val="none"/>
    </w:rPr>
  </w:style>
  <w:style w:type="character" w:customStyle="1" w:styleId="150">
    <w:name w:val="font21"/>
    <w:qFormat/>
    <w:uiPriority w:val="0"/>
    <w:rPr>
      <w:rFonts w:hint="eastAsia" w:ascii="宋体" w:hAnsi="宋体" w:eastAsia="宋体" w:cs="宋体"/>
      <w:b/>
      <w:bCs/>
      <w:color w:val="000000"/>
      <w:sz w:val="24"/>
      <w:szCs w:val="24"/>
      <w:u w:val="none"/>
    </w:rPr>
  </w:style>
  <w:style w:type="character" w:customStyle="1" w:styleId="151">
    <w:name w:val="font131"/>
    <w:qFormat/>
    <w:uiPriority w:val="0"/>
    <w:rPr>
      <w:rFonts w:ascii="宋体" w:hAnsi="宋体" w:eastAsia="宋体" w:cs="宋体"/>
      <w:b/>
      <w:bCs/>
      <w:color w:val="000000"/>
      <w:sz w:val="24"/>
      <w:szCs w:val="24"/>
      <w:u w:val="none"/>
    </w:rPr>
  </w:style>
  <w:style w:type="character" w:customStyle="1" w:styleId="152">
    <w:name w:val="font141"/>
    <w:qFormat/>
    <w:uiPriority w:val="0"/>
    <w:rPr>
      <w:rFonts w:ascii="微软雅黑" w:hAnsi="微软雅黑" w:eastAsia="微软雅黑" w:cs="微软雅黑"/>
      <w:color w:val="000000"/>
      <w:sz w:val="24"/>
      <w:szCs w:val="24"/>
      <w:u w:val="none"/>
    </w:rPr>
  </w:style>
  <w:style w:type="paragraph" w:customStyle="1" w:styleId="153">
    <w:name w:val="标题 41"/>
    <w:basedOn w:val="1"/>
    <w:next w:val="1"/>
    <w:qFormat/>
    <w:uiPriority w:val="0"/>
    <w:pPr>
      <w:keepNext/>
      <w:jc w:val="center"/>
      <w:outlineLvl w:val="3"/>
    </w:pPr>
    <w:rPr>
      <w:rFonts w:eastAsia="新宋体"/>
      <w:sz w:val="30"/>
      <w:szCs w:val="21"/>
    </w:rPr>
  </w:style>
  <w:style w:type="paragraph" w:customStyle="1" w:styleId="154">
    <w:name w:val="样式1"/>
    <w:basedOn w:val="1"/>
    <w:qFormat/>
    <w:uiPriority w:val="0"/>
    <w:pPr>
      <w:jc w:val="center"/>
    </w:pPr>
    <w:rPr>
      <w:szCs w:val="21"/>
    </w:rPr>
  </w:style>
  <w:style w:type="paragraph" w:customStyle="1" w:styleId="155">
    <w:name w:val="正文首行缩进1"/>
    <w:basedOn w:val="156"/>
    <w:qFormat/>
    <w:uiPriority w:val="0"/>
    <w:pPr>
      <w:spacing w:line="360" w:lineRule="auto"/>
      <w:ind w:firstLine="200"/>
    </w:pPr>
    <w:rPr>
      <w:rFonts w:ascii="仿宋_GB2312" w:hAnsi="Times New Roman" w:eastAsia="仿宋_GB2312"/>
      <w:sz w:val="30"/>
      <w:szCs w:val="30"/>
    </w:rPr>
  </w:style>
  <w:style w:type="paragraph" w:customStyle="1" w:styleId="156">
    <w:name w:val="正文文本1"/>
    <w:basedOn w:val="1"/>
    <w:next w:val="1"/>
    <w:qFormat/>
    <w:uiPriority w:val="0"/>
    <w:rPr>
      <w:rFonts w:ascii="楷体_GB2312" w:hAnsi="Arial" w:eastAsia="楷体_GB2312"/>
      <w:sz w:val="28"/>
      <w:szCs w:val="28"/>
    </w:rPr>
  </w:style>
  <w:style w:type="paragraph" w:customStyle="1" w:styleId="157">
    <w:name w:val="正文+首行缩进2字符"/>
    <w:basedOn w:val="1"/>
    <w:qFormat/>
    <w:uiPriority w:val="0"/>
    <w:pPr>
      <w:ind w:firstLine="480" w:firstLineChars="200"/>
    </w:pPr>
  </w:style>
  <w:style w:type="paragraph" w:customStyle="1" w:styleId="158">
    <w:name w:val="正文首行缩进 21"/>
    <w:basedOn w:val="18"/>
    <w:unhideWhenUsed/>
    <w:qFormat/>
    <w:uiPriority w:val="99"/>
    <w:pPr>
      <w:ind w:firstLine="200"/>
    </w:pPr>
  </w:style>
  <w:style w:type="paragraph" w:customStyle="1" w:styleId="159">
    <w:name w:val="正文首行缩进11"/>
    <w:basedOn w:val="156"/>
    <w:qFormat/>
    <w:uiPriority w:val="0"/>
    <w:pPr>
      <w:spacing w:line="360" w:lineRule="auto"/>
      <w:ind w:firstLine="200"/>
    </w:pPr>
    <w:rPr>
      <w:rFonts w:ascii="仿宋_GB2312" w:eastAsia="仿宋_GB2312"/>
      <w:sz w:val="30"/>
      <w:szCs w:val="30"/>
    </w:rPr>
  </w:style>
  <w:style w:type="paragraph" w:customStyle="1" w:styleId="160">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61">
    <w:name w:val="纯文本2"/>
    <w:basedOn w:val="1"/>
    <w:qFormat/>
    <w:uiPriority w:val="0"/>
    <w:pPr>
      <w:suppressAutoHyphens/>
      <w:jc w:val="left"/>
    </w:pPr>
    <w:rPr>
      <w:rFonts w:ascii="宋体" w:hAnsi="宋体" w:eastAsia="楷体_GB2312"/>
      <w:sz w:val="26"/>
      <w:szCs w:val="20"/>
      <w:lang w:bidi="zh-CN"/>
    </w:rPr>
  </w:style>
  <w:style w:type="paragraph" w:customStyle="1" w:styleId="162">
    <w:name w:val="*正文"/>
    <w:basedOn w:val="1"/>
    <w:qFormat/>
    <w:uiPriority w:val="99"/>
    <w:pPr>
      <w:spacing w:line="360" w:lineRule="auto"/>
      <w:ind w:firstLine="482"/>
    </w:pPr>
    <w:rPr>
      <w:rFonts w:eastAsia="仿宋_GB2312"/>
      <w:sz w:val="28"/>
    </w:rPr>
  </w:style>
  <w:style w:type="paragraph" w:customStyle="1" w:styleId="163">
    <w:name w:val="标题 11"/>
    <w:basedOn w:val="1"/>
    <w:next w:val="1"/>
    <w:qFormat/>
    <w:uiPriority w:val="9"/>
    <w:pPr>
      <w:keepNext/>
      <w:keepLines/>
      <w:spacing w:before="480"/>
      <w:outlineLvl w:val="0"/>
    </w:pPr>
    <w:rPr>
      <w:rFonts w:ascii="Arial" w:hAnsi="Arial" w:eastAsia="Arial" w:cs="Arial"/>
      <w:sz w:val="40"/>
      <w:szCs w:val="40"/>
    </w:rPr>
  </w:style>
  <w:style w:type="paragraph" w:customStyle="1" w:styleId="164">
    <w:name w:val="样式 10 磅"/>
    <w:next w:val="1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5">
    <w:name w:val="标题 5_0"/>
    <w:basedOn w:val="166"/>
    <w:qFormat/>
    <w:uiPriority w:val="0"/>
    <w:pPr>
      <w:tabs>
        <w:tab w:val="left" w:pos="0"/>
        <w:tab w:val="left" w:pos="2660"/>
      </w:tabs>
      <w:spacing w:before="156" w:after="156" w:line="240" w:lineRule="exact"/>
      <w:outlineLvl w:val="4"/>
    </w:pPr>
    <w:rPr>
      <w:rFonts w:ascii="Arial" w:hAnsi="Arial" w:eastAsia="方正黑体_GBK" w:cs="Arial"/>
      <w:b w:val="0"/>
      <w:bCs w:val="0"/>
      <w:sz w:val="24"/>
      <w:szCs w:val="20"/>
    </w:rPr>
  </w:style>
  <w:style w:type="paragraph" w:customStyle="1" w:styleId="166">
    <w:name w:val="标题 4_1"/>
    <w:basedOn w:val="167"/>
    <w:next w:val="167"/>
    <w:qFormat/>
    <w:uiPriority w:val="0"/>
    <w:pPr>
      <w:keepNext/>
      <w:keepLines/>
      <w:spacing w:before="280" w:after="290" w:line="377" w:lineRule="auto"/>
      <w:outlineLvl w:val="3"/>
    </w:pPr>
    <w:rPr>
      <w:rFonts w:ascii="Cambria" w:hAnsi="Cambria"/>
      <w:b/>
      <w:bCs/>
      <w:sz w:val="28"/>
      <w:szCs w:val="28"/>
    </w:rPr>
  </w:style>
  <w:style w:type="paragraph" w:customStyle="1" w:styleId="167">
    <w:name w:val="正文_5"/>
    <w:next w:val="16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8">
    <w:name w:val="正文519"/>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8e927469-645a-483c-b492-8b6d1091a7ec</errorID>
      <errorWord>(</errorWord>
      <group>L1_Format</group>
      <groupName>格式问题</groupName>
      <ability>L2_HalfPunc</ability>
      <abilityName>全半角检查</abilityName>
      <candidateList>
        <item>（</item>
      </candidateList>
      <explain>文本全半角错误。</explain>
      <paraID> C4B506E</paraID>
      <start>66</start>
      <end>67</end>
      <status>unmodified</status>
      <modifiedWord/>
      <trackRevisions>false</trackRevisions>
    </reviewItem>
    <reviewItem>
      <errorID>75d85e39-8fb7-4e9f-adbe-396c0457814e</errorID>
      <errorWord>:</errorWord>
      <group>L1_Format</group>
      <groupName>格式问题</groupName>
      <ability>L2_HalfPunc</ability>
      <abilityName>全半角检查</abilityName>
      <candidateList>
        <item>：</item>
      </candidateList>
      <explain>文本全半角错误。</explain>
      <paraID> C4B506E</paraID>
      <start>71</start>
      <end>72</end>
      <status>unmodified</status>
      <modifiedWord/>
      <trackRevisions>false</trackRevisions>
    </reviewItem>
    <reviewItem>
      <errorID>272a0549-1e26-4d1d-82a6-cbd6a6d7aede</errorID>
      <errorWord>)</errorWord>
      <group>L1_Format</group>
      <groupName>格式问题</groupName>
      <ability>L2_HalfPunc</ability>
      <abilityName>全半角检查</abilityName>
      <candidateList>
        <item>）</item>
      </candidateList>
      <explain>文本全半角错误。</explain>
      <paraID> C4B506E</paraID>
      <start>101</start>
      <end>102</end>
      <status>unmodified</status>
      <modifiedWord/>
      <trackRevisions>false</trackRevisions>
    </reviewItem>
    <reviewItem>
      <errorID>6b42f73d-8b2b-422f-895a-9a5a9c74c466</errorID>
      <errorWord>,</errorWord>
      <group>L1_Format</group>
      <groupName>格式问题</groupName>
      <ability>L2_HalfPunc</ability>
      <abilityName>全半角检查</abilityName>
      <candidateList>
        <item>，</item>
      </candidateList>
      <explain>文本全半角错误。</explain>
      <paraID>29CB45C4</paraID>
      <start>37</start>
      <end>38</end>
      <status>unmodified</status>
      <modifiedWord/>
      <trackRevisions>false</trackRevisions>
    </reviewItem>
    <reviewItem>
      <errorID>0e9ae0d1-3999-4cdf-8b6a-17c7f8269d80</errorID>
      <errorWord>-</errorWord>
      <group>L1_Format</group>
      <groupName>格式问题</groupName>
      <ability>L2_HalfPunc</ability>
      <abilityName>全半角检查</abilityName>
      <candidateList>
        <item>－</item>
      </candidateList>
      <explain>文本全半角错误。</explain>
      <paraID>60E87818</paraID>
      <start>11</start>
      <end>12</end>
      <status>unmodified</status>
      <modifiedWord/>
      <trackRevisions>false</trackRevisions>
    </reviewItem>
    <reviewItem>
      <errorID>0fdd3fa2-f1e5-4aae-8b02-6d852898030b</errorID>
      <errorWord>-</errorWord>
      <group>L1_Format</group>
      <groupName>格式问题</groupName>
      <ability>L2_HalfPunc</ability>
      <abilityName>全半角检查</abilityName>
      <candidateList>
        <item>－</item>
      </candidateList>
      <explain>文本全半角错误。</explain>
      <paraID>60E87818</paraID>
      <start>12</start>
      <end>13</end>
      <status>unmodified</status>
      <modifiedWord/>
      <trackRevisions>false</trackRevisions>
    </reviewItem>
    <reviewItem>
      <errorID>adf888f1-7cc6-43b5-a8ff-14c690fe99f0</errorID>
      <errorWord>-</errorWord>
      <group>L1_Format</group>
      <groupName>格式问题</groupName>
      <ability>L2_HalfPunc</ability>
      <abilityName>全半角检查</abilityName>
      <candidateList>
        <item>－</item>
      </candidateList>
      <explain>文本全半角错误。</explain>
      <paraID>60E87818</paraID>
      <start>38</start>
      <end>39</end>
      <status>unmodified</status>
      <modifiedWord/>
      <trackRevisions>false</trackRevisions>
    </reviewItem>
    <reviewItem>
      <errorID>878cfd3d-08cd-4e4e-a61b-426cceb07d77</errorID>
      <errorWord>-</errorWord>
      <group>L1_Format</group>
      <groupName>格式问题</groupName>
      <ability>L2_HalfPunc</ability>
      <abilityName>全半角检查</abilityName>
      <candidateList>
        <item>－</item>
      </candidateList>
      <explain>文本全半角错误。</explain>
      <paraID>60E87818</paraID>
      <start>39</start>
      <end>40</end>
      <status>unmodified</status>
      <modifiedWord/>
      <trackRevisions>false</trackRevisions>
    </reviewItem>
    <reviewItem>
      <errorID>e04af6dd-9388-4eac-8966-d589eee95dec</errorID>
      <errorWord>“.</errorWord>
      <group>L1_Punc</group>
      <groupName>标点问题</groupName>
      <ability>L2_Punc</ability>
      <abilityName>标点符号检查</abilityName>
      <candidateList>
        <item>“</item>
      </candidateList>
      <explain/>
      <paraID>60E87818</paraID>
      <start>51</start>
      <end>53</end>
      <status>unmodified</status>
      <modifiedWord/>
      <trackRevisions>false</trackRevisions>
    </reviewItem>
    <reviewItem>
      <errorID>c7c5b1c2-b092-47c1-9c83-2a10352f3ca4</errorID>
      <errorWord>“.</errorWord>
      <group>L1_Punc</group>
      <groupName>标点问题</groupName>
      <ability>L2_Punc</ability>
      <abilityName>标点符号检查</abilityName>
      <candidateList>
        <item>“</item>
      </candidateList>
      <explain/>
      <paraID>60E87818</paraID>
      <start>66</start>
      <end>68</end>
      <status>unmodified</status>
      <modifiedWord/>
      <trackRevisions>false</trackRevisions>
    </reviewItem>
    <reviewItem>
      <errorID>68a1481e-2f0a-4d60-b194-890b03f5dd8c</errorID>
      <errorWord>-</errorWord>
      <group>L1_Format</group>
      <groupName>格式问题</groupName>
      <ability>L2_HalfPunc</ability>
      <abilityName>全半角检查</abilityName>
      <candidateList>
        <item>－</item>
      </candidateList>
      <explain>文本全半角错误。</explain>
      <paraID>60E87818</paraID>
      <start>89</start>
      <end>90</end>
      <status>unmodified</status>
      <modifiedWord/>
      <trackRevisions>false</trackRevisions>
    </reviewItem>
    <reviewItem>
      <errorID>22bdb4d2-7d76-4a92-b473-10d5fd8af69b</errorID>
      <errorWord>-</errorWord>
      <group>L1_Format</group>
      <groupName>格式问题</groupName>
      <ability>L2_HalfPunc</ability>
      <abilityName>全半角检查</abilityName>
      <candidateList>
        <item>－</item>
      </candidateList>
      <explain>文本全半角错误。</explain>
      <paraID>60E87818</paraID>
      <start>90</start>
      <end>91</end>
      <status>unmodified</status>
      <modifiedWord/>
      <trackRevisions>false</trackRevisions>
    </reviewItem>
    <reviewItem>
      <errorID>c7dc56a4-211f-4fdc-9198-5c83f6fef9fa</errorID>
      <errorWord>-</errorWord>
      <group>L1_Format</group>
      <groupName>格式问题</groupName>
      <ability>L2_HalfPunc</ability>
      <abilityName>全半角检查</abilityName>
      <candidateList>
        <item>－</item>
      </candidateList>
      <explain>文本全半角错误。</explain>
      <paraID>60E87818</paraID>
      <start>97</start>
      <end>98</end>
      <status>unmodified</status>
      <modifiedWord/>
      <trackRevisions>false</trackRevisions>
    </reviewItem>
    <reviewItem>
      <errorID>ca207d92-71a6-4ddf-a276-0ea62adf49bf</errorID>
      <errorWord>-</errorWord>
      <group>L1_Format</group>
      <groupName>格式问题</groupName>
      <ability>L2_HalfPunc</ability>
      <abilityName>全半角检查</abilityName>
      <candidateList>
        <item>－</item>
      </candidateList>
      <explain>文本全半角错误。</explain>
      <paraID>60E87818</paraID>
      <start>98</start>
      <end>99</end>
      <status>unmodified</status>
      <modifiedWord/>
      <trackRevisions>false</trackRevisions>
    </reviewItem>
    <reviewItem>
      <errorID>b5de0a4f-138b-4676-a4d9-2243be4e80ab</errorID>
      <errorWord>-</errorWord>
      <group>L1_Format</group>
      <groupName>格式问题</groupName>
      <ability>L2_HalfPunc</ability>
      <abilityName>全半角检查</abilityName>
      <candidateList>
        <item>－</item>
      </candidateList>
      <explain>文本全半角错误。</explain>
      <paraID>3525202D</paraID>
      <start>49</start>
      <end>50</end>
      <status>unmodified</status>
      <modifiedWord/>
      <trackRevisions>false</trackRevisions>
    </reviewItem>
    <reviewItem>
      <errorID>93ca8c8f-d376-45c0-83c0-f75862b9d25c</errorID>
      <errorWord>“.</errorWord>
      <group>L1_Punc</group>
      <groupName>标点问题</groupName>
      <ability>L2_Punc</ability>
      <abilityName>标点符号检查</abilityName>
      <candidateList>
        <item>“</item>
      </candidateList>
      <explain/>
      <paraID>4E32201A</paraID>
      <start>12</start>
      <end>14</end>
      <status>unmodified</status>
      <modifiedWord/>
      <trackRevisions>false</trackRevisions>
    </reviewItem>
    <reviewItem>
      <errorID>2572aef9-bf2d-4881-bbc8-65041b7ddfc9</errorID>
      <errorWord>-</errorWord>
      <group>L1_Format</group>
      <groupName>格式问题</groupName>
      <ability>L2_HalfPunc</ability>
      <abilityName>全半角检查</abilityName>
      <candidateList>
        <item>－</item>
      </candidateList>
      <explain>文本全半角错误。</explain>
      <paraID>4E32201A</paraID>
      <start>48</start>
      <end>49</end>
      <status>unmodified</status>
      <modifiedWord/>
      <trackRevisions>false</trackRevisions>
    </reviewItem>
    <reviewItem>
      <errorID>9c8bab91-4e0c-43c7-909a-36a258c5da3c</errorID>
      <errorWord>-</errorWord>
      <group>L1_Format</group>
      <groupName>格式问题</groupName>
      <ability>L2_HalfPunc</ability>
      <abilityName>全半角检查</abilityName>
      <candidateList>
        <item>－</item>
      </candidateList>
      <explain>文本全半角错误。</explain>
      <paraID>4E32201A</paraID>
      <start>49</start>
      <end>50</end>
      <status>unmodified</status>
      <modifiedWord/>
      <trackRevisions>false</trackRevisions>
    </reviewItem>
    <reviewItem>
      <errorID>97ef4be6-0ff3-4c5a-800b-94334b9a68af</errorID>
      <errorWord>-</errorWord>
      <group>L1_Format</group>
      <groupName>格式问题</groupName>
      <ability>L2_HalfPunc</ability>
      <abilityName>全半角检查</abilityName>
      <candidateList>
        <item>－</item>
      </candidateList>
      <explain>文本全半角错误。</explain>
      <paraID>4E32201A</paraID>
      <start>55</start>
      <end>56</end>
      <status>unmodified</status>
      <modifiedWord/>
      <trackRevisions>false</trackRevisions>
    </reviewItem>
    <reviewItem>
      <errorID>972ad5ba-0908-4237-a1f5-9f1e91ea8b9a</errorID>
      <errorWord>-</errorWord>
      <group>L1_Format</group>
      <groupName>格式问题</groupName>
      <ability>L2_HalfPunc</ability>
      <abilityName>全半角检查</abilityName>
      <candidateList>
        <item>－</item>
      </candidateList>
      <explain>文本全半角错误。</explain>
      <paraID>4E32201A</paraID>
      <start>56</start>
      <end>57</end>
      <status>unmodified</status>
      <modifiedWord/>
      <trackRevisions>false</trackRevisions>
    </reviewItem>
    <reviewItem>
      <errorID>8b235d77-b316-4ca1-b0ac-0ceaf924ff14</errorID>
      <errorWord>（</errorWord>
      <group>L1_Punc</group>
      <groupName>标点问题</groupName>
      <ability>L2_Punc</ability>
      <abilityName>标点符号检查</abilityName>
      <candidateList/>
      <explain>同一形式括号套用。</explain>
      <paraID>5DEFC5F6</paraID>
      <start>35</start>
      <end>36</end>
      <status>unmodified</status>
      <modifiedWord/>
      <trackRevisions>false</trackRevisions>
    </reviewItem>
    <reviewItem>
      <errorID>9ab217ea-05a4-413e-bb2b-365770e48bd7</errorID>
      <errorWord>）</errorWord>
      <group>L1_Punc</group>
      <groupName>标点问题</groupName>
      <ability>L2_Punc</ability>
      <abilityName>标点符号检查</abilityName>
      <candidateList/>
      <explain>同一形式括号套用。</explain>
      <paraID>5DEFC5F6</paraID>
      <start>39</start>
      <end>40</end>
      <status>unmodified</status>
      <modifiedWord/>
      <trackRevisions>false</trackRevisions>
    </reviewItem>
    <reviewItem>
      <errorID>4249fc56-35b2-479d-a276-2067e1aa190b</errorID>
      <errorWord>:</errorWord>
      <group>L1_Format</group>
      <groupName>格式问题</groupName>
      <ability>L2_HalfPunc</ability>
      <abilityName>全半角检查</abilityName>
      <candidateList>
        <item>：</item>
      </candidateList>
      <explain>文本全半角错误。</explain>
      <paraID>45A2BA13</paraID>
      <start>2</start>
      <end>3</end>
      <status>unmodified</status>
      <modifiedWord/>
      <trackRevisions>false</trackRevisions>
    </reviewItem>
    <reviewItem>
      <errorID>d6865a18-ade4-47fc-961d-43d67694c1b4</errorID>
      <errorWord>【2022】002号</errorWord>
      <group>L1_Knowledge</group>
      <groupName>知识性问题</groupName>
      <ability>L2_Knowledge</ability>
      <abilityName>其他知识</abilityName>
      <candidateList>
        <item>〔2022〕2号</item>
      </candidateList>
      <explain>发文字号格式错误。</explain>
      <paraID>1F468CED</paraID>
      <start>24</start>
      <end>34</end>
      <status>unmodified</status>
      <modifiedWord/>
      <trackRevisions>false</trackRevisions>
    </reviewItem>
    <reviewItem>
      <errorID>2f8db3da-7c1a-4bcf-8ada-271c8418c08b</errorID>
      <errorWord>间</errorWord>
      <group>L1_Word</group>
      <groupName>字词问题</groupName>
      <ability>L2_Typo</ability>
      <abilityName>字词错误</abilityName>
      <candidateList>
        <item>间之</item>
      </candidateList>
      <explain/>
      <paraID>4B24D525</paraID>
      <start>9</start>
      <end>10</end>
      <status>unmodified</status>
      <modifiedWord/>
      <trackRevisions>false</trackRevisions>
    </reviewItem>
    <reviewItem>
      <errorID>1213a2a2-33eb-48b8-963b-dd6089c1bc41</errorID>
      <errorWord>期</errorWord>
      <group>L1_Word</group>
      <groupName>字词问题</groupName>
      <ability>L2_Typo</ability>
      <abilityName>字词错误</abilityName>
      <candidateList>
        <item>期内</item>
      </candidateList>
      <explain/>
      <paraID>1C00C97E</paraID>
      <start>12</start>
      <end>13</end>
      <status>unmodified</status>
      <modifiedWord/>
      <trackRevisions>false</trackRevisions>
    </reviewItem>
    <reviewItem>
      <errorID>e8ddfadb-9b55-407c-b28a-9bd6c015f923</errorID>
      <errorWord>“.</errorWord>
      <group>L1_Punc</group>
      <groupName>标点问题</groupName>
      <ability>L2_Punc</ability>
      <abilityName>标点符号检查</abilityName>
      <candidateList>
        <item>“</item>
      </candidateList>
      <explain/>
      <paraID>1C00C97E</paraID>
      <start>189</start>
      <end>191</end>
      <status>unmodified</status>
      <modifiedWord/>
      <trackRevisions>false</trackRevisions>
    </reviewItem>
    <reviewItem>
      <errorID>a6dbdec7-6832-4d51-8f4b-fc52e5177811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DB393A4</paraID>
      <start>12</start>
      <end>15</end>
      <status>unmodified</status>
      <modifiedWord/>
      <trackRevisions>false</trackRevisions>
    </reviewItem>
    <reviewItem>
      <errorID>667ebc54-f207-440c-9b50-022fefb3d79b</errorID>
      <errorWord>做出</errorWord>
      <group>L1_Word</group>
      <groupName>字词问题</groupName>
      <ability>L2_Typo</ability>
      <abilityName>字词错误</abilityName>
      <candidateList>
        <item>作出</item>
      </candidateList>
      <explain/>
      <paraID>616507CB</paraID>
      <start>30</start>
      <end>32</end>
      <status>unmodified</status>
      <modifiedWord/>
      <trackRevisions>false</trackRevisions>
    </reviewItem>
    <reviewItem>
      <errorID>a3578a50-e50c-4633-ad30-f307c8a6ed29</errorID>
      <errorWord>,</errorWord>
      <group>L1_Format</group>
      <groupName>格式问题</groupName>
      <ability>L2_HalfPunc</ability>
      <abilityName>全半角检查</abilityName>
      <candidateList>
        <item>，</item>
      </candidateList>
      <explain>文本全半角错误。</explain>
      <paraID>78FB0894</paraID>
      <start>79</start>
      <end>80</end>
      <status>unmodified</status>
      <modifiedWord/>
      <trackRevisions>false</trackRevisions>
    </reviewItem>
    <reviewItem>
      <errorID>2fdaf067-18a1-4a31-86ea-fa386a30a6dd</errorID>
      <errorWord>,</errorWord>
      <group>L1_Format</group>
      <groupName>格式问题</groupName>
      <ability>L2_HalfPunc</ability>
      <abilityName>全半角检查</abilityName>
      <candidateList>
        <item>，</item>
      </candidateList>
      <explain>文本全半角错误。</explain>
      <paraID>3D502D88</paraID>
      <start>59</start>
      <end>60</end>
      <status>unmodified</status>
      <modifiedWord/>
      <trackRevisions>false</trackRevisions>
    </reviewItem>
    <reviewItem>
      <errorID>533608e0-0f1a-447f-b39b-debc4ba5ded8</errorID>
      <errorWord>,</errorWord>
      <group>L1_Format</group>
      <groupName>格式问题</groupName>
      <ability>L2_HalfPunc</ability>
      <abilityName>全半角检查</abilityName>
      <candidateList>
        <item>，</item>
      </candidateList>
      <explain>文本全半角错误。</explain>
      <paraID> 6FF5A0A</paraID>
      <start>19</start>
      <end>20</end>
      <status>unmodified</status>
      <modifiedWord/>
      <trackRevisions>false</trackRevisions>
    </reviewItem>
    <reviewItem>
      <errorID>cac3389b-4724-4ae6-b0c2-b613db312d59</errorID>
      <errorWord>&lt;</errorWord>
      <group>L1_Format</group>
      <groupName>格式问题</groupName>
      <ability>L2_HalfPunc</ability>
      <abilityName>全半角检查</abilityName>
      <candidateList>
        <item>〈</item>
      </candidateList>
      <explain>文本全半角错误。</explain>
      <paraID>585E9E6B</paraID>
      <start>54</start>
      <end>55</end>
      <status>unmodified</status>
      <modifiedWord/>
      <trackRevisions>false</trackRevisions>
    </reviewItem>
    <reviewItem>
      <errorID>a4f7d686-66a5-42cc-8c84-b5929cac0fa0</errorID>
      <errorWord>&lt;</errorWord>
      <group>L1_Format</group>
      <groupName>格式问题</groupName>
      <ability>L2_HalfPunc</ability>
      <abilityName>全半角检查</abilityName>
      <candidateList>
        <item>〈</item>
      </candidateList>
      <explain>文本全半角错误。</explain>
      <paraID>66AABA96</paraID>
      <start>54</start>
      <end>55</end>
      <status>unmodified</status>
      <modifiedWord/>
      <trackRevisions>false</trackRevisions>
    </reviewItem>
    <reviewItem>
      <errorID>e19dd930-aed9-4b09-8023-e5983ffa38e7</errorID>
      <errorWord>&lt;</errorWord>
      <group>L1_Format</group>
      <groupName>格式问题</groupName>
      <ability>L2_HalfPunc</ability>
      <abilityName>全半角检查</abilityName>
      <candidateList>
        <item>〈</item>
      </candidateList>
      <explain>文本全半角错误。</explain>
      <paraID> A928018</paraID>
      <start>39</start>
      <end>40</end>
      <status>unmodified</status>
      <modifiedWord/>
      <trackRevisions>false</trackRevisions>
    </reviewItem>
    <reviewItem>
      <errorID>8dd1ecc2-225f-4db8-9ceb-68691a0141ce</errorID>
      <errorWord>(</errorWord>
      <group>L1_Format</group>
      <groupName>格式问题</groupName>
      <ability>L2_HalfPunc</ability>
      <abilityName>全半角检查</abilityName>
      <candidateList>
        <item>（</item>
      </candidateList>
      <explain>文本全半角错误。</explain>
      <paraID>4818DD6A</paraID>
      <start>16</start>
      <end>17</end>
      <status>unmodified</status>
      <modifiedWord/>
      <trackRevisions>false</trackRevisions>
    </reviewItem>
    <reviewItem>
      <errorID>daacdb87-a114-413a-9705-7438f1f5c5d9</errorID>
      <errorWord>)</errorWord>
      <group>L1_Format</group>
      <groupName>格式问题</groupName>
      <ability>L2_HalfPunc</ability>
      <abilityName>全半角检查</abilityName>
      <candidateList>
        <item>）</item>
      </candidateList>
      <explain>文本全半角错误。</explain>
      <paraID>4818DD6A</paraID>
      <start>19</start>
      <end>20</end>
      <status>unmodified</status>
      <modifiedWord/>
      <trackRevisions>false</trackRevisions>
    </reviewItem>
    <reviewItem>
      <errorID>e5547fcf-3a60-4c6c-b758-61efa92fca73</errorID>
      <errorWord>，</errorWord>
      <group>L1_Word</group>
      <groupName>字词问题</groupName>
      <ability>L2_Typo</ability>
      <abilityName>字词错误</abilityName>
      <candidateList>
        <item>，并</item>
      </candidateList>
      <explain/>
      <paraID>4818DD6A</paraID>
      <start>64</start>
      <end>65</end>
      <status>unmodified</status>
      <modifiedWord/>
      <trackRevisions>false</trackRevisions>
    </reviewItem>
    <reviewItem>
      <errorID>2914c7d7-84a9-4a9a-9a96-e3b2793314df</errorID>
      <errorWord>保持通讯畅通</errorWord>
      <group>L1_Word</group>
      <groupName>字词问题</groupName>
      <ability>L2_Typo</ability>
      <abilityName>字词错误</abilityName>
      <candidateList>
        <item>保持通信畅通</item>
      </candidateList>
      <explain/>
      <paraID> AAC21AC</paraID>
      <start>18</start>
      <end>24</end>
      <status>unmodified</status>
      <modifiedWord/>
      <trackRevisions>false</trackRevisions>
    </reviewItem>
    <reviewItem>
      <errorID>cd3f43ea-56d9-4dc2-b08e-a20faa2c248c</errorID>
      <errorWord>国家发改委</errorWord>
      <group>L1_Knowledge</group>
      <groupName>知识性问题</groupName>
      <ability>L2_Knowledge</ability>
      <abilityName>其他知识</abilityName>
      <candidateList>
        <item>国家发展改革委</item>
      </candidateList>
      <explain/>
      <paraID>4821E8D0</paraID>
      <start>18</start>
      <end>23</end>
      <status>unmodified</status>
      <modifiedWord/>
      <trackRevisions>false</trackRevisions>
    </reviewItem>
    <reviewItem>
      <errorID>836efdd2-8791-43d0-bdfa-9e73ee3a8eea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4821E8D0</paraID>
      <start>41</start>
      <end>44</end>
      <status>unmodified</status>
      <modifiedWord/>
      <trackRevisions>false</trackRevisions>
    </reviewItem>
    <reviewItem>
      <errorID>eaa3e674-c1ee-4f6a-8db1-523725f54a28</errorID>
      <errorWord>法律、法规</errorWord>
      <group>L1_Word</group>
      <groupName>字词问题</groupName>
      <ability>L2_Typo</ability>
      <abilityName>字词错误</abilityName>
      <candidateList>
        <item>法律法规</item>
      </candidateList>
      <explain/>
      <paraID>3E8E90B5</paraID>
      <start>8</start>
      <end>13</end>
      <status>unmodified</status>
      <modifiedWord/>
      <trackRevisions>false</trackRevisions>
    </reviewItem>
    <reviewItem>
      <errorID>024b2b09-bee2-4e5a-9c71-611c0962977c</errorID>
      <errorWord>属</errorWord>
      <group>L1_Word</group>
      <groupName>字词问题</groupName>
      <ability>L2_Typo</ability>
      <abilityName>字词错误</abilityName>
      <candidateList>
        <item>属于</item>
      </candidateList>
      <explain/>
      <paraID>3E8E90B5</paraID>
      <start>22</start>
      <end>23</end>
      <status>unmodified</status>
      <modifiedWord/>
      <trackRevisions>false</trackRevisions>
    </reviewItem>
    <reviewItem>
      <errorID>919be69a-237c-4c18-a36d-0e11828abe5b</errorID>
      <errorWord>法律、法规</errorWord>
      <group>L1_Word</group>
      <groupName>字词问题</groupName>
      <ability>L2_Typo</ability>
      <abilityName>字词错误</abilityName>
      <candidateList>
        <item>法律法规</item>
      </candidateList>
      <explain/>
      <paraID>3EA819E6</paraID>
      <start>8</start>
      <end>13</end>
      <status>unmodified</status>
      <modifiedWord/>
      <trackRevisions>false</trackRevisions>
    </reviewItem>
    <reviewItem>
      <errorID>bcd7bf4e-8518-46c0-870d-c88d91107dbf</errorID>
      <errorWord>属</errorWord>
      <group>L1_Word</group>
      <groupName>字词问题</groupName>
      <ability>L2_Typo</ability>
      <abilityName>字词错误</abilityName>
      <candidateList>
        <item>属于</item>
      </candidateList>
      <explain/>
      <paraID>3EA819E6</paraID>
      <start>22</start>
      <end>23</end>
      <status>unmodified</status>
      <modifiedWord/>
      <trackRevisions>false</trackRevisions>
    </reviewItem>
    <reviewItem>
      <errorID>32239e64-aa4b-49d0-b0a8-bdeaf7cf85e8</errorID>
      <errorWord>,</errorWord>
      <group>L1_Format</group>
      <groupName>格式问题</groupName>
      <ability>L2_HalfPunc</ability>
      <abilityName>全半角检查</abilityName>
      <candidateList>
        <item>，</item>
      </candidateList>
      <explain>文本全半角错误。</explain>
      <paraID>3F9A9EF3</paraID>
      <start>55</start>
      <end>56</end>
      <status>unmodified</status>
      <modifiedWord/>
      <trackRevisions>false</trackRevisions>
    </reviewItem>
    <reviewItem>
      <errorID>fac781fe-ee84-4ce9-8573-630950959878</errorID>
      <errorWord>,</errorWord>
      <group>L1_Format</group>
      <groupName>格式问题</groupName>
      <ability>L2_HalfPunc</ability>
      <abilityName>全半角检查</abilityName>
      <candidateList>
        <item>，</item>
      </candidateList>
      <explain>文本全半角错误。</explain>
      <paraID>3F9A9EF3</paraID>
      <start>128</start>
      <end>129</end>
      <status>unmodified</status>
      <modifiedWord/>
      <trackRevisions>false</trackRevisions>
    </reviewItem>
    <reviewItem>
      <errorID>6977eb8a-5d01-413e-90cf-dca652c2f51f</errorID>
      <errorWord>:</errorWord>
      <group>L1_Format</group>
      <groupName>格式问题</groupName>
      <ability>L2_HalfPunc</ability>
      <abilityName>全半角检查</abilityName>
      <candidateList>
        <item>：</item>
      </candidateList>
      <explain>文本全半角错误。</explain>
      <paraID>27B3927C</paraID>
      <start>37</start>
      <end>38</end>
      <status>unmodified</status>
      <modifiedWord/>
      <trackRevisions>false</trackRevisions>
    </reviewItem>
    <reviewItem>
      <errorID>31029b65-deb7-431e-bcf7-ec3be46d87d1</errorID>
      <errorWord>;</errorWord>
      <group>L1_Format</group>
      <groupName>格式问题</groupName>
      <ability>L2_HalfPunc</ability>
      <abilityName>全半角检查</abilityName>
      <candidateList>
        <item>；</item>
      </candidateList>
      <explain>文本全半角错误。</explain>
      <paraID>27B3927C</paraID>
      <start>67</start>
      <end>68</end>
      <status>unmodified</status>
      <modifiedWord/>
      <trackRevisions>false</trackRevisions>
    </reviewItem>
    <reviewItem>
      <errorID>8fa062b9-92d4-4452-811a-05c81ada1368</errorID>
      <errorWord>(</errorWord>
      <group>L1_Format</group>
      <groupName>格式问题</groupName>
      <ability>L2_HalfPunc</ability>
      <abilityName>全半角检查</abilityName>
      <candidateList>
        <item>（</item>
      </candidateList>
      <explain>文本全半角错误。</explain>
      <paraID> 3036602</paraID>
      <start>5</start>
      <end>6</end>
      <status>unmodified</status>
      <modifiedWord/>
      <trackRevisions>false</trackRevisions>
    </reviewItem>
    <reviewItem>
      <errorID>105bf7c5-a66c-4208-a87e-97471969c788</errorID>
      <errorWord>)</errorWord>
      <group>L1_Format</group>
      <groupName>格式问题</groupName>
      <ability>L2_HalfPunc</ability>
      <abilityName>全半角检查</abilityName>
      <candidateList>
        <item>）</item>
      </candidateList>
      <explain>文本全半角错误。</explain>
      <paraID> 3036602</paraID>
      <start>28</start>
      <end>29</end>
      <status>unmodified</status>
      <modifiedWord/>
      <trackRevisions>false</trackRevisions>
    </reviewItem>
    <reviewItem>
      <errorID>c68dacc3-4bf9-4512-8bbe-ac5d07c361e3</errorID>
      <errorWord>；；</errorWord>
      <group>L1_Punc</group>
      <groupName>标点问题</groupName>
      <ability>L2_Punc</ability>
      <abilityName>标点符号检查</abilityName>
      <candidateList>
        <item>；</item>
      </candidateList>
      <explain/>
      <paraID>1AC02674</paraID>
      <start>7</start>
      <end>9</end>
      <status>unmodified</status>
      <modifiedWord/>
      <trackRevisions>false</trackRevisions>
    </reviewItem>
    <reviewItem>
      <errorID>89cac2d5-7c52-42b3-aea6-c5f2456a6dd0</errorID>
      <errorWord>(</errorWord>
      <group>L1_Format</group>
      <groupName>格式问题</groupName>
      <ability>L2_HalfPunc</ability>
      <abilityName>全半角检查</abilityName>
      <candidateList>
        <item>（</item>
      </candidateList>
      <explain>文本全半角错误。</explain>
      <paraID>1430EDB6</paraID>
      <start>5</start>
      <end>6</end>
      <status>unmodified</status>
      <modifiedWord/>
      <trackRevisions>false</trackRevisions>
    </reviewItem>
    <reviewItem>
      <errorID>70b63cd2-ac30-406a-b970-435f7c8edee6</errorID>
      <errorWord>)</errorWord>
      <group>L1_Format</group>
      <groupName>格式问题</groupName>
      <ability>L2_HalfPunc</ability>
      <abilityName>全半角检查</abilityName>
      <candidateList>
        <item>）</item>
      </candidateList>
      <explain>文本全半角错误。</explain>
      <paraID>1430EDB6</paraID>
      <start>28</start>
      <end>29</end>
      <status>unmodified</status>
      <modifiedWord/>
      <trackRevisions>false</trackRevisions>
    </reviewItem>
    <reviewItem>
      <errorID>c2386b14-ee6d-4eb9-b49d-378e68bde1a2</errorID>
      <errorWord>器衬</errorWord>
      <group>L1_Word</group>
      <groupName>字词问题</groupName>
      <ability>L2_Typo</ability>
      <abilityName>字词错误</abilityName>
      <candidateList>
        <item>器材</item>
      </candidateList>
      <explain/>
      <paraID>5B8D3FCD</paraID>
      <start>47</start>
      <end>49</end>
      <status>unmodified</status>
      <modifiedWord/>
      <trackRevisions>false</trackRevisions>
    </reviewItem>
    <reviewItem>
      <errorID>c2812e34-6f0e-40cd-ab4d-92d8a0bb0353</errorID>
      <errorWord>(</errorWord>
      <group>L1_Format</group>
      <groupName>格式问题</groupName>
      <ability>L2_HalfPunc</ability>
      <abilityName>全半角检查</abilityName>
      <candidateList>
        <item>（</item>
      </candidateList>
      <explain>文本全半角错误。</explain>
      <paraID>148D4565</paraID>
      <start>11</start>
      <end>12</end>
      <status>unmodified</status>
      <modifiedWord/>
      <trackRevisions>false</trackRevisions>
    </reviewItem>
    <reviewItem>
      <errorID>1fc1f5e5-73fe-42ce-aeb3-380c6f9db558</errorID>
      <errorWord>)</errorWord>
      <group>L1_Format</group>
      <groupName>格式问题</groupName>
      <ability>L2_HalfPunc</ability>
      <abilityName>全半角检查</abilityName>
      <candidateList>
        <item>）</item>
      </candidateList>
      <explain>文本全半角错误。</explain>
      <paraID>148D4565</paraID>
      <start>15</start>
      <end>16</end>
      <status>unmodified</status>
      <modifiedWord/>
      <trackRevisions>false</trackRevisions>
    </reviewItem>
    <reviewItem>
      <errorID>db82138a-9dda-4e2c-8802-bb91f1208f71</errorID>
      <errorWord>:</errorWord>
      <group>L1_Format</group>
      <groupName>格式问题</groupName>
      <ability>L2_HalfPunc</ability>
      <abilityName>全半角检查</abilityName>
      <candidateList>
        <item>：</item>
      </candidateList>
      <explain>文本全半角错误。</explain>
      <paraID>2A9887B2</paraID>
      <start>14</start>
      <end>15</end>
      <status>unmodified</status>
      <modifiedWord/>
      <trackRevisions>false</trackRevisions>
    </reviewItem>
    <reviewItem>
      <errorID>bb8c9359-c08c-4cfc-83ca-d3c4e057607d</errorID>
      <errorWord>器衬</errorWord>
      <group>L1_Word</group>
      <groupName>字词问题</groupName>
      <ability>L2_Typo</ability>
      <abilityName>字词错误</abilityName>
      <candidateList>
        <item>器材</item>
      </candidateList>
      <explain/>
      <paraID>47F169DE</paraID>
      <start>47</start>
      <end>49</end>
      <status>unmodified</status>
      <modifiedWord/>
      <trackRevisions>false</trackRevisions>
    </reviewItem>
    <reviewItem>
      <errorID>47647d7d-3f93-4e53-bcd8-59a50734014d</errorID>
      <errorWord>(</errorWord>
      <group>L1_Format</group>
      <groupName>格式问题</groupName>
      <ability>L2_HalfPunc</ability>
      <abilityName>全半角检查</abilityName>
      <candidateList>
        <item>（</item>
      </candidateList>
      <explain>文本全半角错误。</explain>
      <paraID>7E585424</paraID>
      <start>11</start>
      <end>12</end>
      <status>unmodified</status>
      <modifiedWord/>
      <trackRevisions>false</trackRevisions>
    </reviewItem>
    <reviewItem>
      <errorID>363cb14c-517a-46b7-bb8b-3ca14ca633db</errorID>
      <errorWord>)</errorWord>
      <group>L1_Format</group>
      <groupName>格式问题</groupName>
      <ability>L2_HalfPunc</ability>
      <abilityName>全半角检查</abilityName>
      <candidateList>
        <item>）</item>
      </candidateList>
      <explain>文本全半角错误。</explain>
      <paraID>7E585424</paraID>
      <start>15</start>
      <end>16</end>
      <status>unmodified</status>
      <modifiedWord/>
      <trackRevisions>false</trackRevisions>
    </reviewItem>
    <reviewItem>
      <errorID>c3753c59-a94d-4367-b491-4e1f2943a877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6553B812</paraID>
      <start>24</start>
      <end>25</end>
      <status>unmodified</status>
      <modifiedWord/>
      <trackRevisions>false</trackRevisions>
    </reviewItem>
    <reviewItem>
      <errorID>b9ef785c-e2d4-4d0d-a1d5-62c40e8b6291</errorID>
      <errorWord>:</errorWord>
      <group>L1_Format</group>
      <groupName>格式问题</groupName>
      <ability>L2_HalfPunc</ability>
      <abilityName>全半角检查</abilityName>
      <candidateList>
        <item>：</item>
      </candidateList>
      <explain>文本全半角错误。</explain>
      <paraID>30D3DC2A</paraID>
      <start>14</start>
      <end>15</end>
      <status>unmodified</status>
      <modifiedWord/>
      <trackRevisions>false</trackRevisions>
    </reviewItem>
    <reviewItem>
      <errorID>7f68eb9e-c66b-4102-9cd9-b92cc18857c4</errorID>
      <errorWord>器衬</errorWord>
      <group>L1_Word</group>
      <groupName>字词问题</groupName>
      <ability>L2_Typo</ability>
      <abilityName>字词错误</abilityName>
      <candidateList>
        <item>器材</item>
      </candidateList>
      <explain/>
      <paraID>7ECC765D</paraID>
      <start>49</start>
      <end>51</end>
      <status>unmodified</status>
      <modifiedWord/>
      <trackRevisions>false</trackRevisions>
    </reviewItem>
    <reviewItem>
      <errorID>65660d36-ac7f-4cfd-9962-e177033fa5e7</errorID>
      <errorWord>:</errorWord>
      <group>L1_Format</group>
      <groupName>格式问题</groupName>
      <ability>L2_HalfPunc</ability>
      <abilityName>全半角检查</abilityName>
      <candidateList>
        <item>：</item>
      </candidateList>
      <explain>文本全半角错误。</explain>
      <paraID>41223EDF</paraID>
      <start>9</start>
      <end>10</end>
      <status>unmodified</status>
      <modifiedWord/>
      <trackRevisions>false</trackRevisions>
    </reviewItem>
    <reviewItem>
      <errorID>c6a39c91-c54a-48fd-828b-a20f15849af1</errorID>
      <errorWord>：</errorWord>
      <group>L1_Format</group>
      <groupName>格式问题</groupName>
      <ability>L2_HalfPunc</ability>
      <abilityName>全半角检查</abilityName>
      <candidateList>
        <item>:</item>
      </candidateList>
      <explain>文本全半角错误。</explain>
      <paraID>41223EDF</paraID>
      <start>39</start>
      <end>40</end>
      <status>unmodified</status>
      <modifiedWord/>
      <trackRevisions>false</trackRevisions>
    </reviewItem>
    <reviewItem>
      <errorID>05c8544d-abbf-450e-873a-e8d114514b43</errorID>
      <errorWord>:</errorWord>
      <group>L1_Format</group>
      <groupName>格式问题</groupName>
      <ability>L2_HalfPunc</ability>
      <abilityName>全半角检查</abilityName>
      <candidateList>
        <item>：</item>
      </candidateList>
      <explain>文本全半角错误。</explain>
      <paraID>78DD04D9</paraID>
      <start>3</start>
      <end>4</end>
      <status>unmodified</status>
      <modifiedWord/>
      <trackRevisions>false</trackRevisions>
    </reviewItem>
    <reviewItem>
      <errorID>42266a8b-3357-4f28-b4ff-4a6f77f50101</errorID>
      <errorWord>：</errorWord>
      <group>L1_Format</group>
      <groupName>格式问题</groupName>
      <ability>L2_HalfPunc</ability>
      <abilityName>全半角检查</abilityName>
      <candidateList>
        <item>:</item>
      </candidateList>
      <explain>文本全半角错误。</explain>
      <paraID>78DD04D9</paraID>
      <start>32</start>
      <end>33</end>
      <status>unmodified</status>
      <modifiedWord/>
      <trackRevisions>false</trackRevisions>
    </reviewItem>
    <reviewItem>
      <errorID>13ac9bcb-a274-43a5-ae66-9c66bb59e2e3</errorID>
      <errorWord>:</errorWord>
      <group>L1_Format</group>
      <groupName>格式问题</groupName>
      <ability>L2_HalfPunc</ability>
      <abilityName>全半角检查</abilityName>
      <candidateList>
        <item>：</item>
      </candidateList>
      <explain>文本全半角错误。</explain>
      <paraID> 98FD2D6</paraID>
      <start>11</start>
      <end>12</end>
      <status>unmodified</status>
      <modifiedWord/>
      <trackRevisions>false</trackRevisions>
    </reviewItem>
    <reviewItem>
      <errorID>a9763916-a4ed-4331-aae0-81c62b276970</errorID>
      <errorWord>四级</errorWord>
      <group>L1_Word</group>
      <groupName>字词问题</groupName>
      <ability>L2_Typo</ability>
      <abilityName>字词错误</abilityName>
      <candidateList>
        <item>四极</item>
      </candidateList>
      <explain>存在发音相同字词的误用。</explain>
      <paraID>308C860A</paraID>
      <start>35</start>
      <end>37</end>
      <status>unmodified</status>
      <modifiedWord/>
      <trackRevisions>false</trackRevisions>
    </reviewItem>
    <reviewItem>
      <errorID>2121dccd-f287-405f-b105-37a184777e31</errorID>
      <errorWord>,</errorWord>
      <group>L1_Format</group>
      <groupName>格式问题</groupName>
      <ability>L2_HalfPunc</ability>
      <abilityName>全半角检查</abilityName>
      <candidateList>
        <item>，</item>
      </candidateList>
      <explain>文本全半角错误。</explain>
      <paraID>7CA4DD01</paraID>
      <start>19</start>
      <end>20</end>
      <status>unmodified</status>
      <modifiedWord/>
      <trackRevisions>false</trackRevisions>
    </reviewItem>
    <reviewItem>
      <errorID>3ef2cc34-81a5-4c9d-b67b-72c11ea3366e</errorID>
      <errorWord>或是</errorWord>
      <group>L1_Word</group>
      <groupName>字词问题</groupName>
      <ability>L2_Typo</ability>
      <abilityName>字词错误</abilityName>
      <candidateList>
        <item>或</item>
      </candidateList>
      <explain/>
      <paraID> 54963BB</paraID>
      <start>22</start>
      <end>24</end>
      <status>unmodified</status>
      <modifiedWord/>
      <trackRevisions>false</trackRevisions>
    </reviewItem>
    <reviewItem>
      <errorID>4ceef758-ef56-4e51-a4df-ced738e833cb</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29DBE9D3</paraID>
      <start>51</start>
      <end>54</end>
      <status>unmodified</status>
      <modifiedWord/>
      <trackRevisions>false</trackRevisions>
    </reviewItem>
    <reviewItem>
      <errorID>e55befbd-9980-45b3-aa58-29033b1b2845</errorID>
      <errorWord>:</errorWord>
      <group>L1_Format</group>
      <groupName>格式问题</groupName>
      <ability>L2_HalfPunc</ability>
      <abilityName>全半角检查</abilityName>
      <candidateList>
        <item>：</item>
      </candidateList>
      <explain>文本全半角错误。</explain>
      <paraID>318342F1</paraID>
      <start>12</start>
      <end>13</end>
      <status>unmodified</status>
      <modifiedWord/>
      <trackRevisions>false</trackRevisions>
    </reviewItem>
    <reviewItem>
      <errorID>6408ade9-5b0f-4c6e-abb7-0fd80fc79bda</errorID>
      <errorWord>:</errorWord>
      <group>L1_Format</group>
      <groupName>格式问题</groupName>
      <ability>L2_HalfPunc</ability>
      <abilityName>全半角检查</abilityName>
      <candidateList>
        <item>：</item>
      </candidateList>
      <explain>文本全半角错误。</explain>
      <paraID>61ED9456</paraID>
      <start>11</start>
      <end>12</end>
      <status>unmodified</status>
      <modifiedWord/>
      <trackRevisions>false</trackRevisions>
    </reviewItem>
    <reviewItem>
      <errorID>32068825-7cdc-4724-9411-ee3d5c8e719d</errorID>
      <errorWord>:</errorWord>
      <group>L1_Format</group>
      <groupName>格式问题</groupName>
      <ability>L2_HalfPunc</ability>
      <abilityName>全半角检查</abilityName>
      <candidateList>
        <item>：</item>
      </candidateList>
      <explain>文本全半角错误。</explain>
      <paraID>47954227</paraID>
      <start>11</start>
      <end>12</end>
      <status>unmodified</status>
      <modifiedWord/>
      <trackRevisions>false</trackRevisions>
    </reviewItem>
    <reviewItem>
      <errorID>39b7266b-e68d-4101-8ac9-fcad554e6151</errorID>
      <errorWord>:</errorWord>
      <group>L1_Format</group>
      <groupName>格式问题</groupName>
      <ability>L2_HalfPunc</ability>
      <abilityName>全半角检查</abilityName>
      <candidateList>
        <item>：</item>
      </candidateList>
      <explain>文本全半角错误。</explain>
      <paraID>5288AEF9</paraID>
      <start>9</start>
      <end>10</end>
      <status>unmodified</status>
      <modifiedWord/>
      <trackRevisions>false</trackRevisions>
    </reviewItem>
    <reviewItem>
      <errorID>b118a024-52a5-4df2-905d-2c76a0b93642</errorID>
      <errorWord>:</errorWord>
      <group>L1_Format</group>
      <groupName>格式问题</groupName>
      <ability>L2_HalfPunc</ability>
      <abilityName>全半角检查</abilityName>
      <candidateList>
        <item>：</item>
      </candidateList>
      <explain>文本全半角错误。</explain>
      <paraID>6C5A599B</paraID>
      <start>11</start>
      <end>12</end>
      <status>unmodified</status>
      <modifiedWord/>
      <trackRevisions>false</trackRevisions>
    </reviewItem>
    <reviewItem>
      <errorID>5a675c37-02d3-4c83-b0c5-88ecbb9a3fe4</errorID>
      <errorWord>&gt;</errorWord>
      <group>L1_Format</group>
      <groupName>格式问题</groupName>
      <ability>L2_HalfPunc</ability>
      <abilityName>全半角检查</abilityName>
      <candidateList>
        <item>〉</item>
      </candidateList>
      <explain>文本全半角错误。</explain>
      <paraID>578C0BFB</paraID>
      <start>26</start>
      <end>27</end>
      <status>unmodified</status>
      <modifiedWord/>
      <trackRevisions>false</trackRevisions>
    </reviewItem>
    <reviewItem>
      <errorID>d1df3c42-cc14-464f-a410-ca425ca5d5e4</errorID>
      <errorWord>&gt;</errorWord>
      <group>L1_Format</group>
      <groupName>格式问题</groupName>
      <ability>L2_HalfPunc</ability>
      <abilityName>全半角检查</abilityName>
      <candidateList>
        <item>〉</item>
      </candidateList>
      <explain>文本全半角错误。</explain>
      <paraID>578C0BFB</paraID>
      <start>39</start>
      <end>40</end>
      <status>unmodified</status>
      <modifiedWord/>
      <trackRevisions>false</trackRevisions>
    </reviewItem>
    <reviewItem>
      <errorID>8f6ba5a4-dbfe-4d8e-9c93-03543ec73e4f</errorID>
      <errorWord>噪音</errorWord>
      <group>L1_Word</group>
      <groupName>字词问题</groupName>
      <ability>L2_Alias</ability>
      <abilityName>也作/曾用词</abilityName>
      <candidateList>
        <item>噪声</item>
      </candidateList>
      <explain>词汇[噪音]为不规范表述或旧称，其规范书面表述为[噪声]。</explain>
      <paraID>578C0BFB</paraID>
      <start>53</start>
      <end>55</end>
      <status>unmodified</status>
      <modifiedWord/>
      <trackRevisions>false</trackRevisions>
    </reviewItem>
    <reviewItem>
      <errorID>2ba710a9-8196-4259-8801-ec8a7a58b82a</errorID>
      <errorWord>:</errorWord>
      <group>L1_Format</group>
      <groupName>格式问题</groupName>
      <ability>L2_HalfPunc</ability>
      <abilityName>全半角检查</abilityName>
      <candidateList>
        <item>：</item>
      </candidateList>
      <explain>文本全半角错误。</explain>
      <paraID>637E9D16</paraID>
      <start>12</start>
      <end>13</end>
      <status>unmodified</status>
      <modifiedWord/>
      <trackRevisions>false</trackRevisions>
    </reviewItem>
    <reviewItem>
      <errorID>96555add-dfdf-49db-9bf1-b865f3cb2a83</errorID>
      <errorWord>实施</errorWord>
      <group>L1_Word</group>
      <groupName>字词问题</groupName>
      <ability>L2_Typo</ability>
      <abilityName>字词错误</abilityName>
      <candidateList>
        <item>实时</item>
      </candidateList>
      <explain>存在发音相同字词的误用。</explain>
      <paraID>35B4F219</paraID>
      <start>22</start>
      <end>24</end>
      <status>unmodified</status>
      <modifiedWord/>
      <trackRevisions>false</trackRevisions>
    </reviewItem>
    <reviewItem>
      <errorID>57e8c074-7274-45a0-9f1d-60ed77a650a8</errorID>
      <errorWord>报告出</errorWord>
      <group>L1_Word</group>
      <groupName>字词问题</groupName>
      <ability>L2_Typo</ability>
      <abilityName>字词错误</abilityName>
      <candidateList>
        <item>报告</item>
      </candidateList>
      <explain/>
      <paraID>35B4F219</paraID>
      <start>53</start>
      <end>56</end>
      <status>unmodified</status>
      <modifiedWord/>
      <trackRevisions>false</trackRevisions>
    </reviewItem>
    <reviewItem>
      <errorID>64321f83-d732-40db-8091-d3c828d96688</errorID>
      <errorWord>(</errorWord>
      <group>L1_Format</group>
      <groupName>格式问题</groupName>
      <ability>L2_HalfPunc</ability>
      <abilityName>全半角检查</abilityName>
      <candidateList>
        <item>（</item>
      </candidateList>
      <explain>文本全半角错误。</explain>
      <paraID>1F6D785A</paraID>
      <start>8</start>
      <end>9</end>
      <status>unmodified</status>
      <modifiedWord/>
      <trackRevisions>false</trackRevisions>
    </reviewItem>
    <reviewItem>
      <errorID>62309dbf-4c23-41b3-837c-6304ad704d03</errorID>
      <errorWord>)</errorWord>
      <group>L1_Format</group>
      <groupName>格式问题</groupName>
      <ability>L2_HalfPunc</ability>
      <abilityName>全半角检查</abilityName>
      <candidateList>
        <item>）</item>
      </candidateList>
      <explain>文本全半角错误。</explain>
      <paraID>1F6D785A</paraID>
      <start>31</start>
      <end>32</end>
      <status>unmodified</status>
      <modifiedWord/>
      <trackRevisions>false</trackRevisions>
    </reviewItem>
    <reviewItem>
      <errorID>9bd63fff-31a9-4641-ab08-221122c0bdae</errorID>
      <errorWord>的</errorWord>
      <group>L1_Word</group>
      <groupName>字词问题</groupName>
      <ability>L2_DDD</ability>
      <abilityName>的地得用法</abilityName>
      <candidateList>
        <item>地</item>
      </candidateList>
      <explain/>
      <paraID>67932559</paraID>
      <start>35</start>
      <end>36</end>
      <status>unmodified</status>
      <modifiedWord/>
      <trackRevisions>false</trackRevisions>
    </reviewItem>
    <reviewItem>
      <errorID>2f3f7a59-6173-45fe-93c1-b5b98c70c177</errorID>
      <errorWord>,</errorWord>
      <group>L1_Format</group>
      <groupName>格式问题</groupName>
      <ability>L2_HalfPunc</ability>
      <abilityName>全半角检查</abilityName>
      <candidateList>
        <item>，</item>
      </candidateList>
      <explain>文本全半角错误。</explain>
      <paraID>13ED21B8</paraID>
      <start>19</start>
      <end>20</end>
      <status>unmodified</status>
      <modifiedWord/>
      <trackRevisions>false</trackRevisions>
    </reviewItem>
    <reviewItem>
      <errorID>fcabbe68-2d3b-439f-ae2a-e972d9aa627c</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7248BB10</paraID>
      <start>51</start>
      <end>54</end>
      <status>unmodified</status>
      <modifiedWord/>
      <trackRevisions>false</trackRevisions>
    </reviewItem>
    <reviewItem>
      <errorID>39c2d146-5412-458e-9795-f61359f43687</errorID>
      <errorWord>:</errorWord>
      <group>L1_Format</group>
      <groupName>格式问题</groupName>
      <ability>L2_HalfPunc</ability>
      <abilityName>全半角检查</abilityName>
      <candidateList>
        <item>：</item>
      </candidateList>
      <explain>文本全半角错误。</explain>
      <paraID>3D122217</paraID>
      <start>12</start>
      <end>13</end>
      <status>unmodified</status>
      <modifiedWord/>
      <trackRevisions>false</trackRevisions>
    </reviewItem>
    <reviewItem>
      <errorID>80b07fe1-bc47-465d-936f-a2d52060e821</errorID>
      <errorWord>:</errorWord>
      <group>L1_Format</group>
      <groupName>格式问题</groupName>
      <ability>L2_HalfPunc</ability>
      <abilityName>全半角检查</abilityName>
      <candidateList>
        <item>：</item>
      </candidateList>
      <explain>文本全半角错误。</explain>
      <paraID>5EFAB2A2</paraID>
      <start>11</start>
      <end>12</end>
      <status>unmodified</status>
      <modifiedWord/>
      <trackRevisions>false</trackRevisions>
    </reviewItem>
    <reviewItem>
      <errorID>a9f3f1ee-34e8-4f28-92dd-79b390e73ce6</errorID>
      <errorWord>:</errorWord>
      <group>L1_Format</group>
      <groupName>格式问题</groupName>
      <ability>L2_HalfPunc</ability>
      <abilityName>全半角检查</abilityName>
      <candidateList>
        <item>：</item>
      </candidateList>
      <explain>文本全半角错误。</explain>
      <paraID>6A875A7C</paraID>
      <start>11</start>
      <end>12</end>
      <status>unmodified</status>
      <modifiedWord/>
      <trackRevisions>false</trackRevisions>
    </reviewItem>
    <reviewItem>
      <errorID>8a839e89-8114-49f0-8b46-573f01f6febd</errorID>
      <errorWord>:</errorWord>
      <group>L1_Format</group>
      <groupName>格式问题</groupName>
      <ability>L2_HalfPunc</ability>
      <abilityName>全半角检查</abilityName>
      <candidateList>
        <item>：</item>
      </candidateList>
      <explain>文本全半角错误。</explain>
      <paraID> 3E65208</paraID>
      <start>9</start>
      <end>10</end>
      <status>unmodified</status>
      <modifiedWord/>
      <trackRevisions>false</trackRevisions>
    </reviewItem>
    <reviewItem>
      <errorID>63d335ec-758a-4756-9278-28f0e07158db</errorID>
      <errorWord>(</errorWord>
      <group>L1_Format</group>
      <groupName>格式问题</groupName>
      <ability>L2_HalfPunc</ability>
      <abilityName>全半角检查</abilityName>
      <candidateList>
        <item>（</item>
      </candidateList>
      <explain>文本全半角错误。</explain>
      <paraID>26E314EE</paraID>
      <start>16</start>
      <end>17</end>
      <status>unmodified</status>
      <modifiedWord/>
      <trackRevisions>false</trackRevisions>
    </reviewItem>
    <reviewItem>
      <errorID>49e4f114-0caf-4c06-bbe2-a55f50a8cde5</errorID>
      <errorWord>)</errorWord>
      <group>L1_Format</group>
      <groupName>格式问题</groupName>
      <ability>L2_HalfPunc</ability>
      <abilityName>全半角检查</abilityName>
      <candidateList>
        <item>）</item>
      </candidateList>
      <explain>文本全半角错误。</explain>
      <paraID>26E314EE</paraID>
      <start>20</start>
      <end>21</end>
      <status>unmodified</status>
      <modifiedWord/>
      <trackRevisions>false</trackRevisions>
    </reviewItem>
    <reviewItem>
      <errorID>c477d7dd-d4fc-402a-bd51-ebfcd7df5505</errorID>
      <errorWord>噪音</errorWord>
      <group>L1_Word</group>
      <groupName>字词问题</groupName>
      <ability>L2_Alias</ability>
      <abilityName>也作/曾用词</abilityName>
      <candidateList>
        <item>噪声</item>
      </candidateList>
      <explain>词汇[噪音]为不规范表述或旧称，其规范书面表述为[噪声]。</explain>
      <paraID>4ED484CD</paraID>
      <start>9</start>
      <end>11</end>
      <status>unmodified</status>
      <modifiedWord/>
      <trackRevisions>false</trackRevisions>
    </reviewItem>
    <reviewItem>
      <errorID>db2add09-79ba-4ddd-b093-7d31bdffce46</errorID>
      <errorWord>实施</errorWord>
      <group>L1_Word</group>
      <groupName>字词问题</groupName>
      <ability>L2_Typo</ability>
      <abilityName>字词错误</abilityName>
      <candidateList>
        <item>实时</item>
      </candidateList>
      <explain>存在发音相同字词的误用。</explain>
      <paraID>410F4FFE</paraID>
      <start>22</start>
      <end>24</end>
      <status>unmodified</status>
      <modifiedWord/>
      <trackRevisions>false</trackRevisions>
    </reviewItem>
    <reviewItem>
      <errorID>c03402d2-f02b-4b0f-bb73-bf1f2452f3fe</errorID>
      <errorWord>报告出</errorWord>
      <group>L1_Word</group>
      <groupName>字词问题</groupName>
      <ability>L2_Typo</ability>
      <abilityName>字词错误</abilityName>
      <candidateList>
        <item>报告</item>
      </candidateList>
      <explain/>
      <paraID>410F4FFE</paraID>
      <start>53</start>
      <end>56</end>
      <status>unmodified</status>
      <modifiedWord/>
      <trackRevisions>false</trackRevisions>
    </reviewItem>
    <reviewItem>
      <errorID>1411d763-b392-422b-b775-c6c37f733f6d</errorID>
      <errorWord>(</errorWord>
      <group>L1_Format</group>
      <groupName>格式问题</groupName>
      <ability>L2_HalfPunc</ability>
      <abilityName>全半角检查</abilityName>
      <candidateList>
        <item>（</item>
      </candidateList>
      <explain>文本全半角错误。</explain>
      <paraID>2EB4897B</paraID>
      <start>13</start>
      <end>14</end>
      <status>unmodified</status>
      <modifiedWord/>
      <trackRevisions>false</trackRevisions>
    </reviewItem>
    <reviewItem>
      <errorID>c1b70e82-2a2c-408e-9d54-a7e5915718f7</errorID>
      <errorWord>)</errorWord>
      <group>L1_Format</group>
      <groupName>格式问题</groupName>
      <ability>L2_HalfPunc</ability>
      <abilityName>全半角检查</abilityName>
      <candidateList>
        <item>）</item>
      </candidateList>
      <explain>文本全半角错误。</explain>
      <paraID>2EB4897B</paraID>
      <start>21</start>
      <end>22</end>
      <status>unmodified</status>
      <modifiedWord/>
      <trackRevisions>false</trackRevisions>
    </reviewItem>
    <reviewItem>
      <errorID>6317eb67-bd61-4dc8-a56b-98eb565e126e</errorID>
      <errorWord>(</errorWord>
      <group>L1_Format</group>
      <groupName>格式问题</groupName>
      <ability>L2_HalfPunc</ability>
      <abilityName>全半角检查</abilityName>
      <candidateList>
        <item>（</item>
      </candidateList>
      <explain>文本全半角错误。</explain>
      <paraID>2EB4897B</paraID>
      <start>27</start>
      <end>28</end>
      <status>unmodified</status>
      <modifiedWord/>
      <trackRevisions>false</trackRevisions>
    </reviewItem>
    <reviewItem>
      <errorID>abc61fe2-c6ef-4479-8046-2f429a911ba0</errorID>
      <errorWord>)</errorWord>
      <group>L1_Format</group>
      <groupName>格式问题</groupName>
      <ability>L2_HalfPunc</ability>
      <abilityName>全半角检查</abilityName>
      <candidateList>
        <item>）</item>
      </candidateList>
      <explain>文本全半角错误。</explain>
      <paraID>2EB4897B</paraID>
      <start>37</start>
      <end>38</end>
      <status>unmodified</status>
      <modifiedWord/>
      <trackRevisions>false</trackRevisions>
    </reviewItem>
    <reviewItem>
      <errorID>51a342b9-5dd8-4c69-b39f-54276748939f</errorID>
      <errorWord>(</errorWord>
      <group>L1_Format</group>
      <groupName>格式问题</groupName>
      <ability>L2_HalfPunc</ability>
      <abilityName>全半角检查</abilityName>
      <candidateList>
        <item>（</item>
      </candidateList>
      <explain>文本全半角错误。</explain>
      <paraID>34CFCD97</paraID>
      <start>11</start>
      <end>12</end>
      <status>unmodified</status>
      <modifiedWord/>
      <trackRevisions>false</trackRevisions>
    </reviewItem>
    <reviewItem>
      <errorID>49ad61e2-3364-42c2-94de-21fca814ec92</errorID>
      <errorWord>)</errorWord>
      <group>L1_Format</group>
      <groupName>格式问题</groupName>
      <ability>L2_HalfPunc</ability>
      <abilityName>全半角检查</abilityName>
      <candidateList>
        <item>）</item>
      </candidateList>
      <explain>文本全半角错误。</explain>
      <paraID>34CFCD97</paraID>
      <start>16</start>
      <end>17</end>
      <status>unmodified</status>
      <modifiedWord/>
      <trackRevisions>false</trackRevisions>
    </reviewItem>
    <reviewItem>
      <errorID>6a7db590-7adc-4ba6-9716-dcac424240dd</errorID>
      <errorWord>)</errorWord>
      <group>L1_Format</group>
      <groupName>格式问题</groupName>
      <ability>L2_HalfPunc</ability>
      <abilityName>全半角检查</abilityName>
      <candidateList>
        <item>）</item>
      </candidateList>
      <explain>文本全半角错误。</explain>
      <paraID> EFBA42D</paraID>
      <start>16</start>
      <end>17</end>
      <status>unmodified</status>
      <modifiedWord/>
      <trackRevisions>false</trackRevisions>
    </reviewItem>
    <reviewItem>
      <errorID>7605b33e-0a17-4279-b694-97d0129dc747</errorID>
      <errorWord>)</errorWord>
      <group>L1_Format</group>
      <groupName>格式问题</groupName>
      <ability>L2_HalfPunc</ability>
      <abilityName>全半角检查</abilityName>
      <candidateList>
        <item>）</item>
      </candidateList>
      <explain>文本全半角错误。</explain>
      <paraID>411C5D6F</paraID>
      <start>17</start>
      <end>18</end>
      <status>unmodified</status>
      <modifiedWord/>
      <trackRevisions>false</trackRevisions>
    </reviewItem>
    <reviewItem>
      <errorID>10c0c260-5c42-40de-9905-cf0367de83e1</errorID>
      <errorWord>：</errorWord>
      <group>L1_Format</group>
      <groupName>格式问题</groupName>
      <ability>L2_HalfPunc</ability>
      <abilityName>全半角检查</abilityName>
      <candidateList>
        <item>:</item>
      </candidateList>
      <explain>文本全半角错误。</explain>
      <paraID>58CEFD96</paraID>
      <start>44</start>
      <end>45</end>
      <status>unmodified</status>
      <modifiedWord/>
      <trackRevisions>false</trackRevisions>
    </reviewItem>
    <reviewItem>
      <errorID>056d215c-4457-4f5c-b6e2-b6bc3980f030</errorID>
      <errorWord>：</errorWord>
      <group>L1_Format</group>
      <groupName>格式问题</groupName>
      <ability>L2_HalfPunc</ability>
      <abilityName>全半角检查</abilityName>
      <candidateList>
        <item>:</item>
      </candidateList>
      <explain>文本全半角错误。</explain>
      <paraID>7DC88884</paraID>
      <start>40</start>
      <end>41</end>
      <status>unmodified</status>
      <modifiedWord/>
      <trackRevisions>false</trackRevisions>
    </reviewItem>
    <reviewItem>
      <errorID>e82008f6-fbc0-47fd-a620-613a6812db90</errorID>
      <errorWord>(</errorWord>
      <group>L1_Format</group>
      <groupName>格式问题</groupName>
      <ability>L2_HalfPunc</ability>
      <abilityName>全半角检查</abilityName>
      <candidateList>
        <item>（</item>
      </candidateList>
      <explain>文本全半角错误。</explain>
      <paraID>45ADBC1A</paraID>
      <start>0</start>
      <end>1</end>
      <status>unmodified</status>
      <modifiedWord/>
      <trackRevisions>false</trackRevisions>
    </reviewItem>
    <reviewItem>
      <errorID>5c278f79-4cbc-43df-a596-76d6a9d5fe58</errorID>
      <errorWord>)</errorWord>
      <group>L1_Format</group>
      <groupName>格式问题</groupName>
      <ability>L2_HalfPunc</ability>
      <abilityName>全半角检查</abilityName>
      <candidateList>
        <item>）</item>
      </candidateList>
      <explain>文本全半角错误。</explain>
      <paraID>45ADBC1A</paraID>
      <start>23</start>
      <end>24</end>
      <status>unmodified</status>
      <modifiedWord/>
      <trackRevisions>false</trackRevisions>
    </reviewItem>
    <reviewItem>
      <errorID>0d90a9b4-cf90-4c68-95f4-0f6e9bf20889</errorID>
      <errorWord>(</errorWord>
      <group>L1_Format</group>
      <groupName>格式问题</groupName>
      <ability>L2_HalfPunc</ability>
      <abilityName>全半角检查</abilityName>
      <candidateList>
        <item>（</item>
      </candidateList>
      <explain>文本全半角错误。</explain>
      <paraID>5A2809F0</paraID>
      <start>56</start>
      <end>57</end>
      <status>unmodified</status>
      <modifiedWord/>
      <trackRevisions>false</trackRevisions>
    </reviewItem>
    <reviewItem>
      <errorID>20a1c09c-519f-4683-9a77-e84a0e445845</errorID>
      <errorWord>)</errorWord>
      <group>L1_Format</group>
      <groupName>格式问题</groupName>
      <ability>L2_HalfPunc</ability>
      <abilityName>全半角检查</abilityName>
      <candidateList>
        <item>）</item>
      </candidateList>
      <explain>文本全半角错误。</explain>
      <paraID>5A2809F0</paraID>
      <start>79</start>
      <end>80</end>
      <status>unmodified</status>
      <modifiedWord/>
      <trackRevisions>false</trackRevisions>
    </reviewItem>
    <reviewItem>
      <errorID>e528cbac-138f-4a0a-96ae-e6185db78e92</errorID>
      <errorWord>噪音</errorWord>
      <group>L1_Word</group>
      <groupName>字词问题</groupName>
      <ability>L2_Alias</ability>
      <abilityName>也作/曾用词</abilityName>
      <candidateList>
        <item>噪声</item>
      </candidateList>
      <explain>词汇[噪音]为不规范表述或旧称，其规范书面表述为[噪声]。</explain>
      <paraID>59DA4EAC</paraID>
      <start>11</start>
      <end>13</end>
      <status>unmodified</status>
      <modifiedWord/>
      <trackRevisions>false</trackRevisions>
    </reviewItem>
    <reviewItem>
      <errorID>7d3e56fb-e1b8-4a6b-a796-ff1eb684a625</errorID>
      <errorWord>须</errorWord>
      <group>L1_Word</group>
      <groupName>字词问题</groupName>
      <ability>L2_Typo</ability>
      <abilityName>字词错误</abilityName>
      <candidateList>
        <item>需</item>
      </candidateList>
      <explain>存在发音相同字词的误用。</explain>
      <paraID>31AEC673</paraID>
      <start>82</start>
      <end>83</end>
      <status>unmodified</status>
      <modifiedWord/>
      <trackRevisions>false</trackRevisions>
    </reviewItem>
    <reviewItem>
      <errorID>f08cd33e-c280-48b7-b186-541b4aac1684</errorID>
      <errorWord>-</errorWord>
      <group>L1_Format</group>
      <groupName>格式问题</groupName>
      <ability>L2_HalfPunc</ability>
      <abilityName>全半角检查</abilityName>
      <candidateList>
        <item>－</item>
      </candidateList>
      <explain>文本全半角错误。</explain>
      <paraID>2459AEA7</paraID>
      <start>51</start>
      <end>52</end>
      <status>unmodified</status>
      <modifiedWord/>
      <trackRevisions>false</trackRevisions>
    </reviewItem>
    <reviewItem>
      <errorID>9020c23a-f610-457c-8395-8c99b850a1fb</errorID>
      <errorWord>,</errorWord>
      <group>L1_Format</group>
      <groupName>格式问题</groupName>
      <ability>L2_HalfPunc</ability>
      <abilityName>全半角检查</abilityName>
      <candidateList>
        <item>，</item>
      </candidateList>
      <explain>文本全半角错误。</explain>
      <paraID>67484773</paraID>
      <start>20</start>
      <end>21</end>
      <status>unmodified</status>
      <modifiedWord/>
      <trackRevisions>false</trackRevisions>
    </reviewItem>
    <reviewItem>
      <errorID>07591b8a-3f3a-4530-9126-ecd28b1a904b</errorID>
      <errorWord>,</errorWord>
      <group>L1_Format</group>
      <groupName>格式问题</groupName>
      <ability>L2_HalfPunc</ability>
      <abilityName>全半角检查</abilityName>
      <candidateList>
        <item>，</item>
      </candidateList>
      <explain>文本全半角错误。</explain>
      <paraID>67484773</paraID>
      <start>46</start>
      <end>47</end>
      <status>unmodified</status>
      <modifiedWord/>
      <trackRevisions>false</trackRevisions>
    </reviewItem>
    <reviewItem>
      <errorID>2fedad99-862a-49f9-b26e-3252eb58437c</errorID>
      <errorWord>,</errorWord>
      <group>L1_Format</group>
      <groupName>格式问题</groupName>
      <ability>L2_HalfPunc</ability>
      <abilityName>全半角检查</abilityName>
      <candidateList>
        <item>，</item>
      </candidateList>
      <explain>文本全半角错误。</explain>
      <paraID>67484773</paraID>
      <start>58</start>
      <end>59</end>
      <status>unmodified</status>
      <modifiedWord/>
      <trackRevisions>false</trackRevisions>
    </reviewItem>
    <reviewItem>
      <errorID>1cbc6ff2-a6b0-45a9-a42a-6faf355c2f80</errorID>
      <errorWord>(</errorWord>
      <group>L1_Format</group>
      <groupName>格式问题</groupName>
      <ability>L2_HalfPunc</ability>
      <abilityName>全半角检查</abilityName>
      <candidateList>
        <item>（</item>
      </candidateList>
      <explain>文本全半角错误。</explain>
      <paraID> EB0C663</paraID>
      <start>22</start>
      <end>23</end>
      <status>unmodified</status>
      <modifiedWord/>
      <trackRevisions>false</trackRevisions>
    </reviewItem>
    <reviewItem>
      <errorID>6082fe02-47ee-420a-b4c3-e2e282d782ad</errorID>
      <errorWord>)</errorWord>
      <group>L1_Format</group>
      <groupName>格式问题</groupName>
      <ability>L2_HalfPunc</ability>
      <abilityName>全半角检查</abilityName>
      <candidateList>
        <item>）</item>
      </candidateList>
      <explain>文本全半角错误。</explain>
      <paraID> EB0C663</paraID>
      <start>43</start>
      <end>44</end>
      <status>unmodified</status>
      <modifiedWord/>
      <trackRevisions>false</trackRevisions>
    </reviewItem>
    <reviewItem>
      <errorID>d40a0c25-e72d-439e-a814-545593a1842a</errorID>
      <errorWord>贴</errorWord>
      <group>L1_Word</group>
      <groupName>字词问题</groupName>
      <ability>L2_Typo</ability>
      <abilityName>字词错误</abilityName>
      <candidateList>
        <item>贴在</item>
      </candidateList>
      <explain/>
      <paraID> EB0C663</paraID>
      <start>77</start>
      <end>78</end>
      <status>unmodified</status>
      <modifiedWord/>
      <trackRevisions>false</trackRevisions>
    </reviewItem>
    <reviewItem>
      <errorID>1eb81db0-e002-4150-8330-897d57a8ef0c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17EEC0F</paraID>
      <start>47</start>
      <end>52</end>
      <status>unmodified</status>
      <modifiedWord/>
      <trackRevisions>false</trackRevisions>
    </reviewItem>
    <reviewItem>
      <errorID>8a680f4b-c463-4722-bc6d-bbb30bb401fb</errorID>
      <errorWord>法律、法规</errorWord>
      <group>L1_Word</group>
      <groupName>字词问题</groupName>
      <ability>L2_Typo</ability>
      <abilityName>字词错误</abilityName>
      <candidateList>
        <item>法律法规</item>
      </candidateList>
      <explain/>
      <paraID>6050608D</paraID>
      <start>42</start>
      <end>47</end>
      <status>unmodified</status>
      <modifiedWord/>
      <trackRevisions>false</trackRevisions>
    </reviewItem>
    <reviewItem>
      <errorID>3ac13cd9-781c-4a2c-bdb7-4506eb4dec1d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2633666</paraID>
      <start>150</start>
      <end>162</end>
      <status>modified</status>
      <modifiedWord>中华人民共和国政府采购法</modifiedWord>
      <trackRevisions>false</trackRevisions>
    </reviewItem>
    <reviewItem>
      <errorID>8807e694-20bd-43d0-9bc3-63bb9e41b5aa</errorID>
      <errorWord>》</errorWord>
      <group>L1_Word</group>
      <groupName>字词问题</groupName>
      <ability>L2_Typo</ability>
      <abilityName>字词错误</abilityName>
      <candidateList>
        <item>》和</item>
      </candidateList>
      <explain/>
      <paraID> 2633666</paraID>
      <start>162</start>
      <end>163</end>
      <status>unmodified</status>
      <modifiedWord/>
      <trackRevisions>false</trackRevisions>
    </reviewItem>
    <reviewItem>
      <errorID>8f745fd5-7f1d-4b41-b2c0-2e7f4aa31921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2633666</paraID>
      <start>164</start>
      <end>180</end>
      <status>modified</status>
      <modifiedWord>中华人民共和国政府采购法实施条例</modifiedWord>
      <trackRevisions>false</trackRevisions>
    </reviewItem>
    <reviewItem>
      <errorID>88220440-551e-4149-9c89-f2e3920f7103</errorID>
      <errorWord>必需</errorWord>
      <group>L1_Word</group>
      <groupName>字词问题</groupName>
      <ability>L2_Typo</ability>
      <abilityName>字词错误</abilityName>
      <candidateList>
        <item>必须</item>
      </candidateList>
      <explain>存在发音相同字词的误用。</explain>
      <paraID>254EAFD0</paraID>
      <start>28</start>
      <end>30</end>
      <status>modified</status>
      <modifiedWord>必须</modifiedWord>
      <trackRevisions>false</trackRevisions>
    </reviewItem>
    <reviewItem>
      <errorID>eaab6cc2-eb34-4247-b4bb-85d8158e5e2a</errorID>
      <errorWord>(</errorWord>
      <group>L1_Format</group>
      <groupName>格式问题</groupName>
      <ability>L2_HalfPunc</ability>
      <abilityName>全半角检查</abilityName>
      <candidateList>
        <item>（</item>
      </candidateList>
      <explain>文本全半角错误。</explain>
      <paraID>  102176</paraID>
      <start>23</start>
      <end>24</end>
      <status>unmodified</status>
      <modifiedWord/>
      <trackRevisions>false</trackRevisions>
    </reviewItem>
    <reviewItem>
      <errorID>1d194ebc-4147-45e3-a1bf-2eefceedf0e5</errorID>
      <errorWord>)</errorWord>
      <group>L1_Format</group>
      <groupName>格式问题</groupName>
      <ability>L2_HalfPunc</ability>
      <abilityName>全半角检查</abilityName>
      <candidateList>
        <item>）</item>
      </candidateList>
      <explain>文本全半角错误。</explain>
      <paraID>  102176</paraID>
      <start>28</start>
      <end>29</end>
      <status>unmodified</status>
      <modifiedWord/>
      <trackRevisions>false</trackRevisions>
    </reviewItem>
    <reviewItem>
      <errorID>751de556-abed-465f-aede-43bfbbd2145e</errorID>
      <errorWord>(</errorWord>
      <group>L1_Format</group>
      <groupName>格式问题</groupName>
      <ability>L2_HalfPunc</ability>
      <abilityName>全半角检查</abilityName>
      <candidateList>
        <item>（</item>
      </candidateList>
      <explain>文本全半角错误。</explain>
      <paraID>13B79B22</paraID>
      <start>35</start>
      <end>36</end>
      <status>unmodified</status>
      <modifiedWord/>
      <trackRevisions>false</trackRevisions>
    </reviewItem>
    <reviewItem>
      <errorID>cc0487ba-aab1-43eb-b3cc-c7d26c23dcdc</errorID>
      <errorWord>)</errorWord>
      <group>L1_Format</group>
      <groupName>格式问题</groupName>
      <ability>L2_HalfPunc</ability>
      <abilityName>全半角检查</abilityName>
      <candidateList>
        <item>）</item>
      </candidateList>
      <explain>文本全半角错误。</explain>
      <paraID>13B79B22</paraID>
      <start>40</start>
      <end>41</end>
      <status>unmodified</status>
      <modifiedWord/>
      <trackRevisions>false</trackRevisions>
    </reviewItem>
    <reviewItem>
      <errorID>c46eef1f-b165-49e4-93e0-b17cd6a54087</errorID>
      <errorWord>(</errorWord>
      <group>L1_Format</group>
      <groupName>格式问题</groupName>
      <ability>L2_HalfPunc</ability>
      <abilityName>全半角检查</abilityName>
      <candidateList>
        <item>（</item>
      </candidateList>
      <explain>文本全半角错误。</explain>
      <paraID>6CBAD5C6</paraID>
      <start>49</start>
      <end>50</end>
      <status>unmodified</status>
      <modifiedWord/>
      <trackRevisions>false</trackRevisions>
    </reviewItem>
    <reviewItem>
      <errorID>2fed996a-05a0-4db9-81b6-3bb3633608fe</errorID>
      <errorWord>-</errorWord>
      <group>L1_Format</group>
      <groupName>格式问题</groupName>
      <ability>L2_HalfPunc</ability>
      <abilityName>全半角检查</abilityName>
      <candidateList>
        <item>－</item>
      </candidateList>
      <explain>文本全半角错误。</explain>
      <paraID>6CBAD5C6</paraID>
      <start>51</start>
      <end>52</end>
      <status>unmodified</status>
      <modifiedWord/>
      <trackRevisions>false</trackRevisions>
    </reviewItem>
    <reviewItem>
      <errorID>f130d658-3852-44b8-8e05-d52557537496</errorID>
      <errorWord>)</errorWord>
      <group>L1_Format</group>
      <groupName>格式问题</groupName>
      <ability>L2_HalfPunc</ability>
      <abilityName>全半角检查</abilityName>
      <candidateList>
        <item>）</item>
      </candidateList>
      <explain>文本全半角错误。</explain>
      <paraID>6CBAD5C6</paraID>
      <start>54</start>
      <end>55</end>
      <status>unmodified</status>
      <modifiedWord/>
      <trackRevisions>false</trackRevisions>
    </reviewItem>
    <reviewItem>
      <errorID>3f651453-3d32-4ee8-8c75-537b8415871a</errorID>
      <errorWord>胶粘剂</errorWord>
      <group>L1_Word</group>
      <groupName>字词问题</groupName>
      <ability>L2_Typo</ability>
      <abilityName>字词错误</abilityName>
      <candidateList>
        <item>胶黏剂</item>
      </candidateList>
      <explain/>
      <paraID>63512A8C</paraID>
      <start>15</start>
      <end>18</end>
      <status>unmodified</status>
      <modifiedWord/>
      <trackRevisions>false</trackRevisions>
    </reviewItem>
    <reviewItem>
      <errorID>5aed91a0-7096-440c-b308-3c2a29f99483</errorID>
      <errorWord>未有</errorWord>
      <group>L1_Word</group>
      <groupName>字词问题</groupName>
      <ability>L2_Typo</ability>
      <abilityName>字词错误</abilityName>
      <candidateList>
        <item>未</item>
      </candidateList>
      <explain/>
      <paraID>623DDBBF</paraID>
      <start>123</start>
      <end>125</end>
      <status>unmodified</status>
      <modifiedWord/>
      <trackRevisions>false</trackRevisions>
    </reviewItem>
    <reviewItem>
      <errorID>ede122d5-5cfd-4c79-a519-bee10b5cf73b</errorID>
      <errorWord>登陆</errorWord>
      <group>L1_Word</group>
      <groupName>字词问题</groupName>
      <ability>L2_Typo</ability>
      <abilityName>字词错误</abilityName>
      <candidateList>
        <item>登录</item>
      </candidateList>
      <explain>存在发音相同字词的误用。</explain>
      <paraID>326552FE</paraID>
      <start>86</start>
      <end>88</end>
      <status>modified</status>
      <modifiedWord>登录</modifiedWord>
      <trackRevisions>false</trackRevisions>
    </reviewItem>
    <reviewItem>
      <errorID>c177b91d-efe3-4b2a-83cd-8dec62010693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326552FE</paraID>
      <start>105</start>
      <end>106</end>
      <status>unmodified</status>
      <modifiedWord/>
      <trackRevisions>false</trackRevisions>
    </reviewItem>
    <reviewItem>
      <errorID>1c18de5e-2144-4a46-87c5-e96b5f9f6edb</errorID>
      <errorWord>)</errorWord>
      <group>L1_Format</group>
      <groupName>格式问题</groupName>
      <ability>L2_HalfPunc</ability>
      <abilityName>全半角检查</abilityName>
      <candidateList>
        <item>）</item>
      </candidateList>
      <explain>文本全半角错误。</explain>
      <paraID>7066CD73</paraID>
      <start>44</start>
      <end>45</end>
      <status>unmodified</status>
      <modifiedWord/>
      <trackRevisions>false</trackRevisions>
    </reviewItem>
    <reviewItem>
      <errorID>d7dfe178-fa9b-4236-98db-e74402ebf668</errorID>
      <errorWord>(</errorWord>
      <group>L1_Format</group>
      <groupName>格式问题</groupName>
      <ability>L2_HalfPunc</ability>
      <abilityName>全半角检查</abilityName>
      <candidateList>
        <item>（</item>
      </candidateList>
      <explain>文本全半角错误。</explain>
      <paraID>5DA27F8E</paraID>
      <start>25</start>
      <end>26</end>
      <status>unmodified</status>
      <modifiedWord/>
      <trackRevisions>false</trackRevisions>
    </reviewItem>
    <reviewItem>
      <errorID>8ebf4c88-d9fb-4cec-89dd-7c19e1fc7e49</errorID>
      <errorWord>)</errorWord>
      <group>L1_Format</group>
      <groupName>格式问题</groupName>
      <ability>L2_HalfPunc</ability>
      <abilityName>全半角检查</abilityName>
      <candidateList>
        <item>）</item>
      </candidateList>
      <explain>文本全半角错误。</explain>
      <paraID>5DA27F8E</paraID>
      <start>36</start>
      <end>37</end>
      <status>unmodified</status>
      <modifiedWord/>
      <trackRevisions>false</trackRevisions>
    </reviewItem>
    <reviewItem>
      <errorID>1db8593b-e9bf-42b7-ada1-f6988443aa13</errorID>
      <errorWord>未有</errorWord>
      <group>L1_Word</group>
      <groupName>字词问题</groupName>
      <ability>L2_Typo</ability>
      <abilityName>字词错误</abilityName>
      <candidateList>
        <item>未</item>
      </candidateList>
      <explain/>
      <paraID>292D0C0B</paraID>
      <start>118</start>
      <end>120</end>
      <status>unmodified</status>
      <modifiedWord/>
      <trackRevisions>false</trackRevisions>
    </reviewItem>
    <reviewItem>
      <errorID>bf718ae1-7928-48a9-ba4a-208ff8928b4b</errorID>
      <errorWord>可登陆</errorWord>
      <group>L1_Word</group>
      <groupName>字词问题</groupName>
      <ability>L2_Typo</ability>
      <abilityName>字词错误</abilityName>
      <candidateList>
        <item>可登录</item>
      </candidateList>
      <explain/>
      <paraID>27D0C44B</paraID>
      <start>82</start>
      <end>85</end>
      <status>modified</status>
      <modifiedWord>可登录</modifiedWord>
      <trackRevisions>false</trackRevisions>
    </reviewItem>
    <reviewItem>
      <errorID>2a5ac7a6-1c25-4029-9af2-5933058bcbe7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27D0C44B</paraID>
      <start>102</start>
      <end>103</end>
      <status>unmodified</status>
      <modifiedWord/>
      <trackRevisions>false</trackRevisions>
    </reviewItem>
    <reviewItem>
      <errorID>28063be3-2506-4be0-93db-64b207a7d112</errorID>
      <errorWord>,</errorWord>
      <group>L1_Format</group>
      <groupName>格式问题</groupName>
      <ability>L2_HalfPunc</ability>
      <abilityName>全半角检查</abilityName>
      <candidateList>
        <item>，</item>
      </candidateList>
      <explain>文本全半角错误。</explain>
      <paraID>683E5A28</paraID>
      <start>58</start>
      <end>59</end>
      <status>unmodified</status>
      <modifiedWord/>
      <trackRevisions>false</trackRevisions>
    </reviewItem>
    <reviewItem>
      <errorID>119c7d8b-15bf-4665-84e5-ddfadf19114c</errorID>
      <errorWord>,</errorWord>
      <group>L1_Format</group>
      <groupName>格式问题</groupName>
      <ability>L2_HalfPunc</ability>
      <abilityName>全半角检查</abilityName>
      <candidateList>
        <item>，</item>
      </candidateList>
      <explain>文本全半角错误。</explain>
      <paraID>683E5A28</paraID>
      <start>96</start>
      <end>97</end>
      <status>unmodified</status>
      <modifiedWord/>
      <trackRevisions>false</trackRevisions>
    </reviewItem>
    <reviewItem>
      <errorID>e0ea880e-1bc5-4dd5-a890-4f07d418b9f6</errorID>
      <errorWord>,</errorWord>
      <group>L1_Format</group>
      <groupName>格式问题</groupName>
      <ability>L2_HalfPunc</ability>
      <abilityName>全半角检查</abilityName>
      <candidateList>
        <item>，</item>
      </candidateList>
      <explain>文本全半角错误。</explain>
      <paraID>683E5A28</paraID>
      <start>106</start>
      <end>107</end>
      <status>unmodified</status>
      <modifiedWord/>
      <trackRevisions>false</trackRevisions>
    </reviewItem>
    <reviewItem>
      <errorID>032c1ce7-5011-4725-84bc-3b9fb9917d32</errorID>
      <errorWord>,</errorWord>
      <group>L1_Format</group>
      <groupName>格式问题</groupName>
      <ability>L2_HalfPunc</ability>
      <abilityName>全半角检查</abilityName>
      <candidateList>
        <item>，</item>
      </candidateList>
      <explain>文本全半角错误。</explain>
      <paraID>683E5A28</paraID>
      <start>125</start>
      <end>126</end>
      <status>unmodified</status>
      <modifiedWord/>
      <trackRevisions>false</trackRevisions>
    </reviewItem>
    <reviewItem>
      <errorID>288fe001-ddb8-44dc-992b-f76260b5ad65</errorID>
      <errorWord>,</errorWord>
      <group>L1_Format</group>
      <groupName>格式问题</groupName>
      <ability>L2_HalfPunc</ability>
      <abilityName>全半角检查</abilityName>
      <candidateList>
        <item>，</item>
      </candidateList>
      <explain>文本全半角错误。</explain>
      <paraID>43BBCCB0</paraID>
      <start>12</start>
      <end>13</end>
      <status>unmodified</status>
      <modifiedWord/>
      <trackRevisions>false</trackRevisions>
    </reviewItem>
    <reviewItem>
      <errorID>f85dc324-6ba9-4954-a567-351446c60c47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43BBCCB0</paraID>
      <start>86</start>
      <end>96</end>
      <status>modified</status>
      <modifiedWord>中华人民共和国民法典</modifiedWord>
      <trackRevisions>false</trackRevisions>
    </reviewItem>
    <reviewItem>
      <errorID>aa5ac1a8-892e-4d00-99c4-d1d3d6429966</errorID>
      <errorWord>,</errorWord>
      <group>L1_Format</group>
      <groupName>格式问题</groupName>
      <ability>L2_HalfPunc</ability>
      <abilityName>全半角检查</abilityName>
      <candidateList>
        <item>，</item>
      </candidateList>
      <explain>文本全半角错误。</explain>
      <paraID>43BBCCB0</paraID>
      <start>125</start>
      <end>126</end>
      <status>unmodified</status>
      <modifiedWord/>
      <trackRevisions>false</trackRevisions>
    </reviewItem>
    <reviewItem>
      <errorID>f1845af1-73a9-4c25-974e-445552590341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52822335</paraID>
      <start>89</start>
      <end>91</end>
      <status>modified</status>
      <modifiedWord>》《</modifiedWord>
      <trackRevisions>false</trackRevisions>
    </reviewItem>
    <reviewItem>
      <errorID>7973054e-42b0-450f-9830-3414786c4a87</errorID>
      <errorWord>,</errorWord>
      <group>L1_Format</group>
      <groupName>格式问题</groupName>
      <ability>L2_HalfPunc</ability>
      <abilityName>全半角检查</abilityName>
      <candidateList>
        <item>，</item>
      </candidateList>
      <explain>文本全半角错误。</explain>
      <paraID>1C125F5E</paraID>
      <start>23</start>
      <end>24</end>
      <status>unmodified</status>
      <modifiedWord/>
      <trackRevisions>false</trackRevisions>
    </reviewItem>
    <reviewItem>
      <errorID>d7fbd082-f633-4888-854d-ef02afa0b8c3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5C702A38</paraID>
      <start>5</start>
      <end>10</end>
      <status>unmodified</status>
      <modifiedWord/>
      <trackRevisions>false</trackRevisions>
    </reviewItem>
    <reviewItem>
      <errorID>6bb81543-b22d-4531-a6ba-6d7f320844c3</errorID>
      <errorWord>》</errorWord>
      <group>L1_Word</group>
      <groupName>字词问题</groupName>
      <ability>L2_Typo</ability>
      <abilityName>字词错误</abilityName>
      <candidateList>
        <item>》等</item>
      </candidateList>
      <explain/>
      <paraID>1305D0E7</paraID>
      <start>39</start>
      <end>40</end>
      <status>unmodified</status>
      <modifiedWord/>
      <trackRevisions>false</trackRevisions>
    </reviewItem>
    <reviewItem>
      <errorID>002d89d8-6cab-4e0a-84a9-5a7ef84b6d91</errorID>
      <errorWord>、</errorWord>
      <group>L1_Word</group>
      <groupName>字词问题</groupName>
      <ability>L2_Typo</ability>
      <abilityName>字词错误</abilityName>
      <candidateList>
        <item>、具</item>
      </candidateList>
      <explain/>
      <paraID> 9C9FEF0</paraID>
      <start>201</start>
      <end>202</end>
      <status>unmodified</status>
      <modifiedWord/>
      <trackRevisions>false</trackRevisions>
    </reviewItem>
    <reviewItem>
      <errorID>fe8fb9ec-ab34-4a80-b564-1be288629464</errorID>
      <errorWord>稳定性</errorWord>
      <group>L1_Word</group>
      <groupName>字词问题</groupName>
      <ability>L2_Typo</ability>
      <abilityName>字词错误</abilityName>
      <candidateList>
        <item>稳定</item>
      </candidateList>
      <explain/>
      <paraID> 9C9FEF0</paraID>
      <start>306</start>
      <end>309</end>
      <status>unmodified</status>
      <modifiedWord/>
      <trackRevisions>false</trackRevisions>
    </reviewItem>
    <reviewItem>
      <errorID>4b230459-f929-41cd-8d46-59515b869d1b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1E3EFE45</paraID>
      <start>83</start>
      <end>87</end>
      <status>unmodified</status>
      <modifiedWord/>
      <trackRevisions>false</trackRevisions>
    </reviewItem>
    <reviewItem>
      <errorID>9807901c-2688-4d5f-b9e1-674b662a21d1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1E3EFE45</paraID>
      <start>133</start>
      <end>137</end>
      <status>unmodified</status>
      <modifiedWord/>
      <trackRevisions>false</trackRevisions>
    </reviewItem>
    <reviewItem>
      <errorID>e637f32d-3761-4d4d-b2bc-417c16e7968b</errorID>
      <errorWord>适应</errorWord>
      <group>L1_Word</group>
      <groupName>字词问题</groupName>
      <ability>L2_Typo</ability>
      <abilityName>字词错误</abilityName>
      <candidateList>
        <item>适用</item>
      </candidateList>
      <explain/>
      <paraID>6B2F83E9</paraID>
      <start>87</start>
      <end>89</end>
      <status>unmodified</status>
      <modifiedWord/>
      <trackRevisions>false</trackRevisions>
    </reviewItem>
    <reviewItem>
      <errorID>36729b7d-1787-4e9f-91f9-7b89792633ac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10B09BE2</paraID>
      <start>5</start>
      <end>6</end>
      <status>unmodified</status>
      <modifiedWord/>
      <trackRevisions>false</trackRevisions>
    </reviewItem>
    <reviewItem>
      <errorID>758b7d00-f20b-4fc5-8295-3f146230cff3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36B020F6</paraID>
      <start>5</start>
      <end>9</end>
      <status>unmodified</status>
      <modifiedWord/>
      <trackRevisions>false</trackRevisions>
    </reviewItem>
    <reviewItem>
      <errorID>ca278835-73fe-4e18-992d-c08a1bd196f7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7C482DCB</paraID>
      <start>6</start>
      <end>10</end>
      <status>unmodified</status>
      <modifiedWord/>
      <trackRevisions>false</trackRevisions>
    </reviewItem>
    <reviewItem>
      <errorID>a9ed1af0-06b0-4222-a851-6219401ee6fa</errorID>
      <errorWord>其它</errorWord>
      <group>L1_Word</group>
      <groupName>字词问题</groupName>
      <ability>L2_Alias</ability>
      <abilityName>也作/曾用词</abilityName>
      <candidateList>
        <item>其他</item>
      </candidateList>
      <explain>词汇[其它]为不规范表述或旧称，其规范书面表述为[其他]。</explain>
      <paraID>71BDA303</paraID>
      <start>2</start>
      <end>4</end>
      <status>unmodified</status>
      <modifiedWord/>
      <trackRevisions>false</trackRevisions>
    </reviewItem>
    <reviewItem>
      <errorID>286566a7-d94a-49fa-aac5-ce61a3296742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769782E4</paraID>
      <start>14</start>
      <end>15</end>
      <status>unmodified</status>
      <modifiedWord/>
      <trackRevisions>false</trackRevisions>
    </reviewItem>
    <reviewItem>
      <errorID>a1dddfb0-9403-431a-8c11-b51a5c4a673b</errorID>
      <errorWord>须</errorWord>
      <group>L1_Word</group>
      <groupName>字词问题</groupName>
      <ability>L2_Typo</ability>
      <abilityName>字词错误</abilityName>
      <candidateList>
        <item>需</item>
      </candidateList>
      <explain>存在发音相同字词的误用。</explain>
      <paraID>5BD789FB</paraID>
      <start>11</start>
      <end>12</end>
      <status>unmodified</status>
      <modifiedWord/>
      <trackRevisions>false</trackRevisions>
    </reviewItem>
    <reviewItem>
      <errorID>d6ef3655-dfd6-4c91-bbfa-84abac7dd2d3</errorID>
      <errorWord>(</errorWord>
      <group>L1_Format</group>
      <groupName>格式问题</groupName>
      <ability>L2_HalfPunc</ability>
      <abilityName>全半角检查</abilityName>
      <candidateList>
        <item>（</item>
      </candidateList>
      <explain>文本全半角错误。</explain>
      <paraID>3B1F4342</paraID>
      <start>5</start>
      <end>6</end>
      <status>unmodified</status>
      <modifiedWord/>
      <trackRevisions>false</trackRevisions>
    </reviewItem>
    <reviewItem>
      <errorID>341adbbb-9bf2-4de6-9bd2-7edb1ccf8542</errorID>
      <errorWord>)</errorWord>
      <group>L1_Format</group>
      <groupName>格式问题</groupName>
      <ability>L2_HalfPunc</ability>
      <abilityName>全半角检查</abilityName>
      <candidateList>
        <item>）</item>
      </candidateList>
      <explain>文本全半角错误。</explain>
      <paraID>3B1F4342</paraID>
      <start>28</start>
      <end>29</end>
      <status>unmodified</status>
      <modifiedWord/>
      <trackRevisions>false</trackRevisions>
    </reviewItem>
    <reviewItem>
      <errorID>2178180a-2ca2-46ed-b064-ecf6cb309514</errorID>
      <errorWord>其它</errorWord>
      <group>L1_Word</group>
      <groupName>字词问题</groupName>
      <ability>L2_Alias</ability>
      <abilityName>也作/曾用词</abilityName>
      <candidateList>
        <item>其他</item>
      </candidateList>
      <explain>词汇[其它]为不规范表述或旧称，其规范书面表述为[其他]。</explain>
      <paraID>2620806A</paraID>
      <start>0</start>
      <end>2</end>
      <status>unmodified</status>
      <modifiedWord/>
      <trackRevisions>false</trackRevisions>
    </reviewItem>
    <reviewItem>
      <errorID>af3bf109-351b-4c32-8676-934037d5d340</errorID>
      <errorWord>它人</errorWord>
      <group>L1_Word</group>
      <groupName>字词问题</groupName>
      <ability>L2_Typo</ability>
      <abilityName>字词错误</abilityName>
      <candidateList>
        <item>他人</item>
      </candidateList>
      <explain>存在发音相同字词的误用。</explain>
      <paraID>339B2EFE</paraID>
      <start>83</start>
      <end>85</end>
      <status>modified</status>
      <modifiedWord>他人</modifiedWord>
      <trackRevisions>false</trackRevisions>
    </reviewItem>
    <reviewItem>
      <errorID>3bd74a47-b9d5-4d76-847f-6eba3143b0e1</errorID>
      <errorWord>（</errorWord>
      <group>L1_Punc</group>
      <groupName>标点问题</groupName>
      <ability>L2_Punc</ability>
      <abilityName>标点符号检查</abilityName>
      <candidateList/>
      <explain>同一形式括号套用。</explain>
      <paraID>67B7AF66</paraID>
      <start>20</start>
      <end>21</end>
      <status>unmodified</status>
      <modifiedWord/>
      <trackRevisions>false</trackRevisions>
    </reviewItem>
    <reviewItem>
      <errorID>4d1c20db-ae73-4634-8554-6604b4d9c32c</errorID>
      <errorWord>）</errorWord>
      <group>L1_Punc</group>
      <groupName>标点问题</groupName>
      <ability>L2_Punc</ability>
      <abilityName>标点符号检查</abilityName>
      <candidateList/>
      <explain>同一形式括号套用。</explain>
      <paraID>67B7AF66</paraID>
      <start>27</start>
      <end>28</end>
      <status>unmodified</status>
      <modifiedWord/>
      <trackRevisions>false</trackRevisions>
    </reviewItem>
    <reviewItem>
      <errorID>7a39a813-6b72-4408-b75e-399eec6c5cce</errorID>
      <errorWord>法律、法规</errorWord>
      <group>L1_Word</group>
      <groupName>字词问题</groupName>
      <ability>L2_Typo</ability>
      <abilityName>字词错误</abilityName>
      <candidateList>
        <item>法律法规</item>
      </candidateList>
      <explain/>
      <paraID>7127A839</paraID>
      <start>24</start>
      <end>29</end>
      <status>unmodified</status>
      <modifiedWord/>
      <trackRevisions>false</trackRevisions>
    </reviewItem>
    <reviewItem>
      <errorID>fac4ff6d-337f-495e-9387-358da8d14ced</errorID>
      <errorWord>(</errorWord>
      <group>L1_Format</group>
      <groupName>格式问题</groupName>
      <ability>L2_HalfPunc</ability>
      <abilityName>全半角检查</abilityName>
      <candidateList>
        <item>（</item>
      </candidateList>
      <explain>文本全半角错误。</explain>
      <paraID>7B0F22EA</paraID>
      <start>5</start>
      <end>6</end>
      <status>unmodified</status>
      <modifiedWord/>
      <trackRevisions>false</trackRevisions>
    </reviewItem>
    <reviewItem>
      <errorID>9757246b-53ee-4eca-8fac-bedd1dd32211</errorID>
      <errorWord>)</errorWord>
      <group>L1_Format</group>
      <groupName>格式问题</groupName>
      <ability>L2_HalfPunc</ability>
      <abilityName>全半角检查</abilityName>
      <candidateList>
        <item>）</item>
      </candidateList>
      <explain>文本全半角错误。</explain>
      <paraID>7B0F22EA</paraID>
      <start>14</start>
      <end>15</end>
      <status>unmodified</status>
      <modifiedWord/>
      <trackRevisions>false</trackRevisions>
    </reviewItem>
    <reviewItem>
      <errorID>5b8d99f6-a0c9-4c3f-af66-419d88a0f16d</errorID>
      <errorWord>(</errorWord>
      <group>L1_Format</group>
      <groupName>格式问题</groupName>
      <ability>L2_HalfPunc</ability>
      <abilityName>全半角检查</abilityName>
      <candidateList>
        <item>（</item>
      </candidateList>
      <explain>文本全半角错误。</explain>
      <paraID>7F3CF1CF</paraID>
      <start>3</start>
      <end>4</end>
      <status>unmodified</status>
      <modifiedWord/>
      <trackRevisions>false</trackRevisions>
    </reviewItem>
    <reviewItem>
      <errorID>5d13521f-d416-4a5a-92d6-eacd9c844dc6</errorID>
      <errorWord>)</errorWord>
      <group>L1_Format</group>
      <groupName>格式问题</groupName>
      <ability>L2_HalfPunc</ability>
      <abilityName>全半角检查</abilityName>
      <candidateList>
        <item>）</item>
      </candidateList>
      <explain>文本全半角错误。</explain>
      <paraID>7F3CF1CF</paraID>
      <start>10</start>
      <end>11</end>
      <status>unmodified</status>
      <modifiedWord/>
      <trackRevisions>false</trackRevisions>
    </reviewItem>
    <reviewItem>
      <errorID>01d7b943-36cc-4221-9185-4882c7875d06</errorID>
      <errorWord>(</errorWord>
      <group>L1_Format</group>
      <groupName>格式问题</groupName>
      <ability>L2_HalfPunc</ability>
      <abilityName>全半角检查</abilityName>
      <candidateList>
        <item>（</item>
      </candidateList>
      <explain>文本全半角错误。</explain>
      <paraID>4F787877</paraID>
      <start>33</start>
      <end>34</end>
      <status>unmodified</status>
      <modifiedWord/>
      <trackRevisions>false</trackRevisions>
    </reviewItem>
    <reviewItem>
      <errorID>f0bd4d5c-d71b-43ef-aa09-eb79d717936c</errorID>
      <errorWord>)</errorWord>
      <group>L1_Format</group>
      <groupName>格式问题</groupName>
      <ability>L2_HalfPunc</ability>
      <abilityName>全半角检查</abilityName>
      <candidateList>
        <item>）</item>
      </candidateList>
      <explain>文本全半角错误。</explain>
      <paraID>4F787877</paraID>
      <start>45</start>
      <end>46</end>
      <status>unmodified</status>
      <modifiedWord/>
      <trackRevisions>false</trackRevisions>
    </reviewItem>
    <reviewItem>
      <errorID>f1e3e19c-5c9e-4b6c-8406-729673a3b276</errorID>
      <errorWord>(</errorWord>
      <group>L1_Format</group>
      <groupName>格式问题</groupName>
      <ability>L2_HalfPunc</ability>
      <abilityName>全半角检查</abilityName>
      <candidateList>
        <item>（</item>
      </candidateList>
      <explain>文本全半角错误。</explain>
      <paraID>4F787877</paraID>
      <start>158</start>
      <end>159</end>
      <status>unmodified</status>
      <modifiedWord/>
      <trackRevisions>false</trackRevisions>
    </reviewItem>
    <reviewItem>
      <errorID>f447973a-1fc5-491e-9ba3-9c052ba65421</errorID>
      <errorWord>)</errorWord>
      <group>L1_Format</group>
      <groupName>格式问题</groupName>
      <ability>L2_HalfPunc</ability>
      <abilityName>全半角检查</abilityName>
      <candidateList>
        <item>）</item>
      </candidateList>
      <explain>文本全半角错误。</explain>
      <paraID>4F787877</paraID>
      <start>175</start>
      <end>176</end>
      <status>unmodified</status>
      <modifiedWord/>
      <trackRevisions>false</trackRevisions>
    </reviewItem>
    <reviewItem>
      <errorID>b0ae1cc4-dab0-4baa-8379-66c63750f0c5</errorID>
      <errorWord>（</errorWord>
      <group>L1_Punc</group>
      <groupName>标点问题</groupName>
      <ability>L2_Punc</ability>
      <abilityName>标点符号检查</abilityName>
      <candidateList/>
      <explain>同一形式括号套用。</explain>
      <paraID>4EFFDECD</paraID>
      <start>8</start>
      <end>9</end>
      <status>unmodified</status>
      <modifiedWord/>
      <trackRevisions>false</trackRevisions>
    </reviewItem>
    <reviewItem>
      <errorID>9ee479d0-2a3e-45ee-b5b4-eab7d77e7ef4</errorID>
      <errorWord>）</errorWord>
      <group>L1_Punc</group>
      <groupName>标点问题</groupName>
      <ability>L2_Punc</ability>
      <abilityName>标点符号检查</abilityName>
      <candidateList/>
      <explain>同一形式括号套用。</explain>
      <paraID>4EFFDECD</paraID>
      <start>35</start>
      <end>36</end>
      <status>unmodified</status>
      <modifiedWord/>
      <trackRevisions>false</trackRevisions>
    </reviewItem>
    <reviewItem>
      <errorID>abb52f98-5b81-4ab0-8ff7-565bda5daaf6</errorID>
      <errorWord>（</errorWord>
      <group>L1_Punc</group>
      <groupName>标点问题</groupName>
      <ability>L2_Punc</ability>
      <abilityName>标点符号检查</abilityName>
      <candidateList/>
      <explain>同一形式括号套用。</explain>
      <paraID>68E4CD00</paraID>
      <start>8</start>
      <end>9</end>
      <status>unmodified</status>
      <modifiedWord/>
      <trackRevisions>false</trackRevisions>
    </reviewItem>
    <reviewItem>
      <errorID>a25ecfce-b83f-4495-a495-4b6a42bc9bcb</errorID>
      <errorWord>）</errorWord>
      <group>L1_Punc</group>
      <groupName>标点问题</groupName>
      <ability>L2_Punc</ability>
      <abilityName>标点符号检查</abilityName>
      <candidateList/>
      <explain>同一形式括号套用。</explain>
      <paraID>68E4CD00</paraID>
      <start>32</start>
      <end>33</end>
      <status>unmodified</status>
      <modifiedWord/>
      <trackRevisions>false</trackRevisions>
    </reviewItem>
    <reviewItem>
      <errorID>591ce694-a9a8-43c8-8dd7-076aa15a9b96</errorID>
      <errorWord>（</errorWord>
      <group>L1_Punc</group>
      <groupName>标点问题</groupName>
      <ability>L2_Punc</ability>
      <abilityName>标点符号检查</abilityName>
      <candidateList/>
      <explain>同一形式括号套用。</explain>
      <paraID>22987354</paraID>
      <start>8</start>
      <end>9</end>
      <status>unmodified</status>
      <modifiedWord/>
      <trackRevisions>false</trackRevisions>
    </reviewItem>
    <reviewItem>
      <errorID>c3e5867c-b483-4b97-a0ad-1dad9858a7ad</errorID>
      <errorWord>）</errorWord>
      <group>L1_Punc</group>
      <groupName>标点问题</groupName>
      <ability>L2_Punc</ability>
      <abilityName>标点符号检查</abilityName>
      <candidateList/>
      <explain>同一形式括号套用。</explain>
      <paraID>22987354</paraID>
      <start>33</start>
      <end>34</end>
      <status>unmodified</status>
      <modifiedWord/>
      <trackRevisions>false</trackRevisions>
    </reviewItem>
    <reviewItem>
      <errorID>fabd967d-acdb-40f5-be83-4fe56067038d</errorID>
      <errorWord>（</errorWord>
      <group>L1_Punc</group>
      <groupName>标点问题</groupName>
      <ability>L2_Punc</ability>
      <abilityName>标点符号检查</abilityName>
      <candidateList/>
      <explain>同一形式括号套用。</explain>
      <paraID>46C58609</paraID>
      <start>2</start>
      <end>3</end>
      <status>unmodified</status>
      <modifiedWord/>
      <trackRevisions>false</trackRevisions>
    </reviewItem>
    <reviewItem>
      <errorID>dea7b436-8738-42f8-9d1a-b37713c61450</errorID>
      <errorWord>(</errorWord>
      <group>L1_Punc</group>
      <groupName>标点问题</groupName>
      <ability>L2_Punc</ability>
      <abilityName>标点符号检查</abilityName>
      <candidateList/>
      <explain>同一形式括号套用。</explain>
      <paraID>46C58609</paraID>
      <start>8</start>
      <end>9</end>
      <status>unmodified</status>
      <modifiedWord/>
      <trackRevisions>false</trackRevisions>
    </reviewItem>
    <reviewItem>
      <errorID>39e3b763-98e2-4c05-b49c-00b80590d8af</errorID>
      <errorWord>)</errorWord>
      <group>L1_Punc</group>
      <groupName>标点问题</groupName>
      <ability>L2_Punc</ability>
      <abilityName>标点符号检查</abilityName>
      <candidateList/>
      <explain>同一形式括号套用。</explain>
      <paraID>46C58609</paraID>
      <start>31</start>
      <end>32</end>
      <status>unmodified</status>
      <modifiedWord/>
      <trackRevisions>false</trackRevisions>
    </reviewItem>
    <reviewItem>
      <errorID>66372451-f554-4e4c-8a24-6e7aaf21cf0e</errorID>
      <errorWord>）</errorWord>
      <group>L1_Punc</group>
      <groupName>标点问题</groupName>
      <ability>L2_Punc</ability>
      <abilityName>标点符号检查</abilityName>
      <candidateList/>
      <explain>同一形式括号套用。</explain>
      <paraID>46C58609</paraID>
      <start>32</start>
      <end>33</end>
      <status>unmodified</status>
      <modifiedWord/>
      <trackRevisions>false</trackRevisions>
    </reviewItem>
    <reviewItem>
      <errorID>47f0c6ae-273e-4a61-9d1d-404a6f9ba627</errorID>
      <errorWord>（</errorWord>
      <group>L1_Punc</group>
      <groupName>标点问题</groupName>
      <ability>L2_Punc</ability>
      <abilityName>标点符号检查</abilityName>
      <candidateList/>
      <explain>同一形式括号套用。</explain>
      <paraID>20A9BF8B</paraID>
      <start>8</start>
      <end>9</end>
      <status>unmodified</status>
      <modifiedWord/>
      <trackRevisions>false</trackRevisions>
    </reviewItem>
    <reviewItem>
      <errorID>5e3879d4-dabd-48ad-96c5-fe47e9c2d419</errorID>
      <errorWord>）</errorWord>
      <group>L1_Punc</group>
      <groupName>标点问题</groupName>
      <ability>L2_Punc</ability>
      <abilityName>标点符号检查</abilityName>
      <candidateList/>
      <explain>同一形式括号套用。</explain>
      <paraID>20A9BF8B</paraID>
      <start>25</start>
      <end>26</end>
      <status>unmodified</status>
      <modifiedWord/>
      <trackRevisions>false</trackRevisions>
    </reviewItem>
    <reviewItem>
      <errorID>2db49316-03ff-4166-857d-bdc8e84fdb1b</errorID>
      <errorWord>(</errorWord>
      <group>L1_Format</group>
      <groupName>格式问题</groupName>
      <ability>L2_HalfPunc</ability>
      <abilityName>全半角检查</abilityName>
      <candidateList>
        <item>（</item>
      </candidateList>
      <explain>文本全半角错误。</explain>
      <paraID>49DFD54A</paraID>
      <start>2</start>
      <end>3</end>
      <status>unmodified</status>
      <modifiedWord/>
      <trackRevisions>false</trackRevisions>
    </reviewItem>
    <reviewItem>
      <errorID>cb451f2e-454b-4128-b413-a9d7af902cd4</errorID>
      <errorWord>)</errorWord>
      <group>L1_Format</group>
      <groupName>格式问题</groupName>
      <ability>L2_HalfPunc</ability>
      <abilityName>全半角检查</abilityName>
      <candidateList>
        <item>）</item>
      </candidateList>
      <explain>文本全半角错误。</explain>
      <paraID>49DFD54A</paraID>
      <start>5</start>
      <end>6</end>
      <status>unmodified</status>
      <modifiedWord/>
      <trackRevisions>false</trackRevisions>
    </reviewItem>
    <reviewItem>
      <errorID>30d36bb7-2d2a-4122-9b47-1b9cabb68a82</errorID>
      <errorWord>-</errorWord>
      <group>L1_Format</group>
      <groupName>格式问题</groupName>
      <ability>L2_HalfPunc</ability>
      <abilityName>全半角检查</abilityName>
      <candidateList>
        <item>－</item>
      </candidateList>
      <explain>文本全半角错误。</explain>
      <paraID>378024CC</paraID>
      <start>15</start>
      <end>16</end>
      <status>unmodified</status>
      <modifiedWord/>
      <trackRevisions>false</trackRevisions>
    </reviewItem>
    <reviewItem>
      <errorID>49f009b0-8228-43ed-9bda-38f9c6b024da</errorID>
      <errorWord>-</errorWord>
      <group>L1_Format</group>
      <groupName>格式问题</groupName>
      <ability>L2_HalfPunc</ability>
      <abilityName>全半角检查</abilityName>
      <candidateList>
        <item>－</item>
      </candidateList>
      <explain>文本全半角错误。</explain>
      <paraID>378024CC</paraID>
      <start>16</start>
      <end>17</end>
      <status>unmodified</status>
      <modifiedWord/>
      <trackRevisions>false</trackRevisions>
    </reviewItem>
    <reviewItem>
      <errorID>abab01d2-e7df-4551-87a3-1fe61855b329</errorID>
      <errorWord>-</errorWord>
      <group>L1_Format</group>
      <groupName>格式问题</groupName>
      <ability>L2_HalfPunc</ability>
      <abilityName>全半角检查</abilityName>
      <candidateList>
        <item>－</item>
      </candidateList>
      <explain>文本全半角错误。</explain>
      <paraID>378024CC</paraID>
      <start>42</start>
      <end>43</end>
      <status>unmodified</status>
      <modifiedWord/>
      <trackRevisions>false</trackRevisions>
    </reviewItem>
    <reviewItem>
      <errorID>01d72dee-5ffd-4fba-8281-bb34d7f0e3a9</errorID>
      <errorWord>-</errorWord>
      <group>L1_Format</group>
      <groupName>格式问题</groupName>
      <ability>L2_HalfPunc</ability>
      <abilityName>全半角检查</abilityName>
      <candidateList>
        <item>－</item>
      </candidateList>
      <explain>文本全半角错误。</explain>
      <paraID>378024CC</paraID>
      <start>43</start>
      <end>44</end>
      <status>unmodified</status>
      <modifiedWord/>
      <trackRevisions>false</trackRevisions>
    </reviewItem>
    <reviewItem>
      <errorID>be760b5e-71a3-4865-bd23-3317eed36d87</errorID>
      <errorWord>“.</errorWord>
      <group>L1_Punc</group>
      <groupName>标点问题</groupName>
      <ability>L2_Punc</ability>
      <abilityName>标点符号检查</abilityName>
      <candidateList>
        <item>“</item>
      </candidateList>
      <explain/>
      <paraID>378024CC</paraID>
      <start>55</start>
      <end>57</end>
      <status>unmodified</status>
      <modifiedWord/>
      <trackRevisions>false</trackRevisions>
    </reviewItem>
    <reviewItem>
      <errorID>f7b8c0f2-64bd-4e38-98a2-e66c32f535ee</errorID>
      <errorWord>“.</errorWord>
      <group>L1_Punc</group>
      <groupName>标点问题</groupName>
      <ability>L2_Punc</ability>
      <abilityName>标点符号检查</abilityName>
      <candidateList>
        <item>“</item>
      </candidateList>
      <explain/>
      <paraID>378024CC</paraID>
      <start>70</start>
      <end>72</end>
      <status>unmodified</status>
      <modifiedWord/>
      <trackRevisions>false</trackRevisions>
    </reviewItem>
    <reviewItem>
      <errorID>7f2d5cd9-3208-4d31-9314-2e75beec2ab5</errorID>
      <errorWord>-</errorWord>
      <group>L1_Format</group>
      <groupName>格式问题</groupName>
      <ability>L2_HalfPunc</ability>
      <abilityName>全半角检查</abilityName>
      <candidateList>
        <item>－</item>
      </candidateList>
      <explain>文本全半角错误。</explain>
      <paraID>378024CC</paraID>
      <start>93</start>
      <end>94</end>
      <status>unmodified</status>
      <modifiedWord/>
      <trackRevisions>false</trackRevisions>
    </reviewItem>
    <reviewItem>
      <errorID>e4db86b0-54e4-4b0b-9eac-4a89b618398e</errorID>
      <errorWord>-</errorWord>
      <group>L1_Format</group>
      <groupName>格式问题</groupName>
      <ability>L2_HalfPunc</ability>
      <abilityName>全半角检查</abilityName>
      <candidateList>
        <item>－</item>
      </candidateList>
      <explain>文本全半角错误。</explain>
      <paraID>378024CC</paraID>
      <start>94</start>
      <end>95</end>
      <status>unmodified</status>
      <modifiedWord/>
      <trackRevisions>false</trackRevisions>
    </reviewItem>
    <reviewItem>
      <errorID>a2316fa5-375f-499f-826f-4a53642cfac0</errorID>
      <errorWord>-</errorWord>
      <group>L1_Format</group>
      <groupName>格式问题</groupName>
      <ability>L2_HalfPunc</ability>
      <abilityName>全半角检查</abilityName>
      <candidateList>
        <item>－</item>
      </candidateList>
      <explain>文本全半角错误。</explain>
      <paraID>378024CC</paraID>
      <start>101</start>
      <end>102</end>
      <status>unmodified</status>
      <modifiedWord/>
      <trackRevisions>false</trackRevisions>
    </reviewItem>
    <reviewItem>
      <errorID>115ce3f5-c0df-4d8d-a078-d391aadca96a</errorID>
      <errorWord>-</errorWord>
      <group>L1_Format</group>
      <groupName>格式问题</groupName>
      <ability>L2_HalfPunc</ability>
      <abilityName>全半角检查</abilityName>
      <candidateList>
        <item>－</item>
      </candidateList>
      <explain>文本全半角错误。</explain>
      <paraID>378024CC</paraID>
      <start>102</start>
      <end>103</end>
      <status>unmodified</status>
      <modifiedWord/>
      <trackRevisions>false</trackRevisions>
    </reviewItem>
    <reviewItem>
      <errorID>7ca3e24d-baac-4c96-8e5f-b81e04c69eea</errorID>
      <errorWord>&lt;</errorWord>
      <group>L1_Format</group>
      <groupName>格式问题</groupName>
      <ability>L2_HalfPunc</ability>
      <abilityName>全半角检查</abilityName>
      <candidateList>
        <item>〈</item>
      </candidateList>
      <explain>文本全半角错误。</explain>
      <paraID>227AB804</paraID>
      <start>49</start>
      <end>50</end>
      <status>unmodified</status>
      <modifiedWord/>
      <trackRevisions>false</trackRevisions>
    </reviewItem>
    <reviewItem>
      <errorID>0af73bf2-7983-4dbd-bedd-ba47173314ef</errorID>
      <errorWord>&lt;</errorWord>
      <group>L1_Format</group>
      <groupName>格式问题</groupName>
      <ability>L2_HalfPunc</ability>
      <abilityName>全半角检查</abilityName>
      <candidateList>
        <item>〈</item>
      </candidateList>
      <explain>文本全半角错误。</explain>
      <paraID> 4D90243</paraID>
      <start>49</start>
      <end>50</end>
      <status>unmodified</status>
      <modifiedWord/>
      <trackRevisions>false</trackRevisions>
    </reviewItem>
    <reviewItem>
      <errorID>dd6e16df-888a-4884-af93-ec90bf44c64a</errorID>
      <errorWord>&lt;</errorWord>
      <group>L1_Format</group>
      <groupName>格式问题</groupName>
      <ability>L2_HalfPunc</ability>
      <abilityName>全半角检查</abilityName>
      <candidateList>
        <item>〈</item>
      </candidateList>
      <explain>文本全半角错误。</explain>
      <paraID> A364DFA</paraID>
      <start>34</start>
      <end>35</end>
      <status>unmodified</status>
      <modifiedWord/>
      <trackRevisions>false</trackRevisions>
    </reviewItem>
    <reviewItem>
      <errorID>d8655a27-7f84-44b2-ac49-52508e3fb31c</errorID>
      <errorWord>，</errorWord>
      <group>L1_Word</group>
      <groupName>字词问题</groupName>
      <ability>L2_Typo</ability>
      <abilityName>字词错误</abilityName>
      <candidateList>
        <item>，并</item>
      </candidateList>
      <explain/>
      <paraID>54A48D24</paraID>
      <start>72</start>
      <end>73</end>
      <status>unmodified</status>
      <modifiedWord/>
      <trackRevisions>false</trackRevisions>
    </reviewItem>
    <reviewItem>
      <errorID>b76b4af6-e22e-4553-a7db-238c75a4299b</errorID>
      <errorWord>-</errorWord>
      <group>L1_Format</group>
      <groupName>格式问题</groupName>
      <ability>L2_HalfPunc</ability>
      <abilityName>全半角检查</abilityName>
      <candidateList>
        <item>－</item>
      </candidateList>
      <explain>文本全半角错误。</explain>
      <paraID>5D59A294</paraID>
      <start>23</start>
      <end>24</end>
      <status>unmodified</status>
      <modifiedWord/>
      <trackRevisions>false</trackRevisions>
    </reviewItem>
    <reviewItem>
      <errorID>dffcdc1e-e00a-4b21-a488-8894483c328e</errorID>
      <errorWord>-</errorWord>
      <group>L1_Format</group>
      <groupName>格式问题</groupName>
      <ability>L2_HalfPunc</ability>
      <abilityName>全半角检查</abilityName>
      <candidateList>
        <item>－</item>
      </candidateList>
      <explain>文本全半角错误。</explain>
      <paraID>5D59A294</paraID>
      <start>43</start>
      <end>44</end>
      <status>unmodified</status>
      <modifiedWord/>
      <trackRevisions>false</trackRevisions>
    </reviewItem>
    <reviewItem>
      <errorID>3b8f75cc-0e1f-4449-b7da-edea5058de37</errorID>
      <errorWord>查看到</errorWord>
      <group>L1_Word</group>
      <groupName>字词问题</groupName>
      <ability>L2_Typo</ability>
      <abilityName>字词错误</abilityName>
      <candidateList>
        <item>查看</item>
      </candidateList>
      <explain/>
      <paraID>5D59A294</paraID>
      <start>69</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53C794-7050-4478-951D-0F1A42416796}">
  <ds:schemaRefs/>
</ds:datastoreItem>
</file>

<file path=customXml/itemProps3.xml><?xml version="1.0" encoding="utf-8"?>
<ds:datastoreItem xmlns:ds="http://schemas.openxmlformats.org/officeDocument/2006/customXml" ds:itemID="{de485a5c-27d5-4a1a-9f73-17136c3b999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91</Pages>
  <Words>12281</Words>
  <Characters>13110</Characters>
  <Lines>390</Lines>
  <Paragraphs>109</Paragraphs>
  <TotalTime>17</TotalTime>
  <ScaleCrop>false</ScaleCrop>
  <LinksUpToDate>false</LinksUpToDate>
  <CharactersWithSpaces>13177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2026-10-23T01:34:00Z</dcterms:created>
  <dc:creator>User</dc:creator>
  <cp:lastModifiedBy>戳戳</cp:lastModifiedBy>
  <cp:lastPrinted>2025-09-28T03:14:00Z</cp:lastPrinted>
  <dcterms:modified xsi:type="dcterms:W3CDTF">2026-10-23T03:15:45Z</dcterms:modified>
  <dc:title>南通市Ⅹ项目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C4699A50470F49BEBDE454B2B87B6604_13</vt:lpwstr>
  </property>
  <property fmtid="{D5CDD505-2E9C-101B-9397-08002B2CF9AE}" pid="4" name="KSOTemplateDocerSaveRecord">
    <vt:lpwstr>eyJoZGlkIjoiMGJlNTBlZTJkMzNmMTJlYTRlNDRkMzg2YjliNjZmZjgiLCJ1c2VySWQiOiIxNjE0MzM0OTc0In0=</vt:lpwstr>
  </property>
</Properties>
</file>