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color w:val="auto"/>
          <w:sz w:val="36"/>
          <w:highlight w:val="none"/>
        </w:rPr>
      </w:pPr>
      <w:r>
        <w:rPr>
          <w:rFonts w:hint="eastAsia" w:ascii="宋体" w:hAnsi="宋体" w:cs="宋体"/>
          <w:color w:val="auto"/>
          <w:sz w:val="36"/>
          <w:highlight w:val="none"/>
        </w:rPr>
      </w:r>
      <w:r/>
    </w:p>
    <w:p>
      <w:pPr>
        <w:jc w:val="right"/>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JSZC-321000-SWGC-G2026-0125</w: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pacing w:val="-17"/>
          <w:sz w:val="36"/>
          <w:highlight w:val="none"/>
          <w:lang w:eastAsia="zh-CN"/>
        </w:rPr>
      </w:pPr>
      <w:r>
        <w:rPr>
          <w:rFonts w:hint="eastAsia" w:ascii="宋体" w:hAnsi="宋体" w:cs="宋体"/>
          <w:b/>
          <w:bCs/>
          <w:color w:val="auto"/>
          <w:spacing w:val="-17"/>
          <w:sz w:val="36"/>
          <w:highlight w:val="none"/>
          <w:lang w:eastAsia="zh-CN"/>
        </w:rPr>
        <w:t xml:space="preserve">扬州市生态环境监测监控中心应急监测能力规范化</w:t>
      </w:r>
      <w:r/>
    </w:p>
    <w:p>
      <w:pPr>
        <w:jc w:val="center"/>
        <w:rPr>
          <w:rFonts w:hint="eastAsia" w:ascii="宋体" w:hAnsi="宋体" w:cs="宋体"/>
          <w:b/>
          <w:bCs/>
          <w:color w:val="auto"/>
          <w:sz w:val="36"/>
          <w:highlight w:val="none"/>
        </w:rPr>
      </w:pPr>
      <w:r>
        <w:rPr>
          <w:rFonts w:hint="eastAsia" w:ascii="宋体" w:hAnsi="宋体" w:cs="宋体"/>
          <w:b/>
          <w:bCs/>
          <w:color w:val="auto"/>
          <w:spacing w:val="-17"/>
          <w:sz w:val="36"/>
          <w:highlight w:val="none"/>
          <w:lang w:eastAsia="zh-CN"/>
        </w:rPr>
        <w:t xml:space="preserve">建设项目</w:t>
      </w:r>
      <w:r>
        <w:rPr>
          <w:rFonts w:hint="eastAsia" w:ascii="宋体" w:hAnsi="宋体" w:cs="宋体"/>
          <w:b/>
          <w:bCs/>
          <w:color w:val="auto"/>
          <w:sz w:val="36"/>
          <w:highlight w:val="none"/>
        </w:rPr>
        <w:t xml:space="preserve">公开招标文件</w:t>
      </w:r>
      <w:r/>
    </w:p>
    <w:p>
      <w:pPr>
        <w:pStyle w:val="945"/>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266690" cy="3241040"/>
                <wp:effectExtent l="0" t="0" r="10160" b="16510"/>
                <wp:docPr id="2"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4"/>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7pt;height:255.2pt;mso-wrap-distance-left:0.0pt;mso-wrap-distance-top:0.0pt;mso-wrap-distance-right:0.0pt;mso-wrap-distance-bottom:0.0pt;" stroked="f">
                <v:path textboxrect="0,0,0,0"/>
                <v:imagedata r:id="rId14"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江苏苏维工程管理有限公司</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2026年</w:t>
      </w:r>
      <w:r>
        <w:rPr>
          <w:rFonts w:hint="eastAsia" w:ascii="宋体" w:hAnsi="宋体" w:cs="宋体"/>
          <w:b/>
          <w:bCs/>
          <w:color w:val="auto"/>
          <w:sz w:val="36"/>
          <w:highlight w:val="none"/>
          <w:lang w:val="en-US" w:eastAsia="zh-CN"/>
        </w:rPr>
        <w:t xml:space="preserve">9</w:t>
      </w:r>
      <w:r>
        <w:rPr>
          <w:rFonts w:hint="eastAsia" w:ascii="宋体" w:hAnsi="宋体" w:cs="宋体"/>
          <w:b/>
          <w:bCs/>
          <w:color w:val="auto"/>
          <w:sz w:val="36"/>
          <w:highlight w:val="none"/>
        </w:rPr>
        <w:t xml:space="preserve">月</w:t>
      </w:r>
      <w:r>
        <w:rPr>
          <w:rFonts w:hint="eastAsia" w:ascii="宋体" w:hAnsi="宋体" w:cs="宋体"/>
          <w:b/>
          <w:bCs/>
          <w:color w:val="auto"/>
          <w:sz w:val="36"/>
          <w:highlight w:val="none"/>
          <w:lang w:val="en-US" w:eastAsia="zh-CN"/>
        </w:rPr>
        <w:t xml:space="preserve">21</w:t>
      </w:r>
      <w:r>
        <w:rPr>
          <w:rFonts w:hint="eastAsia" w:ascii="宋体" w:hAnsi="宋体" w:cs="宋体"/>
          <w:b/>
          <w:bCs/>
          <w:color w:val="auto"/>
          <w:sz w:val="36"/>
          <w:highlight w:val="none"/>
        </w:rPr>
        <w:t xml:space="preserve">日</w:t>
      </w:r>
      <w:r/>
    </w:p>
    <w:p>
      <w:pPr>
        <w:jc w:val="center"/>
        <w:rPr>
          <w:rFonts w:hint="eastAsia" w:ascii="宋体" w:hAnsi="宋体" w:cs="宋体"/>
          <w:color w:val="auto"/>
          <w:sz w:val="32"/>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32"/>
          <w:highlight w:val="none"/>
        </w:rPr>
      </w:r>
      <w:r/>
    </w:p>
    <w:p>
      <w:pPr>
        <w:pStyle w:val="956"/>
        <w:rPr>
          <w:rFonts w:hint="eastAsia" w:ascii="宋体" w:hAnsi="宋体" w:cs="宋体"/>
          <w:color w:val="auto"/>
          <w:highlight w:val="none"/>
        </w:rPr>
      </w:pPr>
      <w:r>
        <w:rPr>
          <w:rFonts w:hint="eastAsia" w:ascii="宋体" w:hAnsi="宋体" w:cs="宋体"/>
          <w:color w:val="auto"/>
          <w:highlight w:val="none"/>
        </w:rPr>
      </w:r>
      <w:r/>
    </w:p>
    <w:p>
      <w:pPr>
        <w:jc w:val="center"/>
        <w:spacing w:line="480" w:lineRule="auto"/>
        <w:rPr>
          <w:rFonts w:hint="eastAsia" w:ascii="宋体" w:hAnsi="宋体" w:cs="宋体"/>
          <w:color w:val="auto"/>
          <w:sz w:val="32"/>
          <w:highlight w:val="none"/>
        </w:rPr>
      </w:pPr>
      <w:r>
        <w:rPr>
          <w:rFonts w:hint="eastAsia" w:ascii="宋体" w:hAnsi="宋体" w:cs="宋体"/>
          <w:color w:val="auto"/>
          <w:sz w:val="32"/>
          <w:highlight w:val="none"/>
        </w:rPr>
        <w:t xml:space="preserve">目 录</w:t>
      </w:r>
      <w:r/>
    </w:p>
    <w:p>
      <w:pPr>
        <w:pStyle w:val="755"/>
        <w:tabs>
          <w:tab w:val="right" w:pos="8306" w:leader="dot"/>
        </w:tabs>
        <w:rPr>
          <w:rFonts w:hint="eastAsia" w:eastAsia="宋体"/>
          <w:color w:val="auto"/>
          <w:highlight w:val="none"/>
          <w:lang w:eastAsia="zh-CN"/>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TOC \o "1-3" \f </w:instrText>
      </w:r>
      <w:r>
        <w:rPr>
          <w:rFonts w:hint="eastAsia" w:ascii="宋体" w:hAnsi="宋体" w:cs="宋体"/>
          <w:color w:val="auto"/>
          <w:szCs w:val="21"/>
          <w:highlight w:val="none"/>
        </w:rPr>
        <w:fldChar w:fldCharType="separate"/>
      </w:r>
      <w:r>
        <w:rPr>
          <w:rFonts w:hint="eastAsia"/>
          <w:color w:val="auto"/>
          <w:highlight w:val="none"/>
        </w:rPr>
        <w:t xml:space="preserve">第一章 采购公告</w:t>
      </w:r>
      <w:r>
        <w:rPr>
          <w:color w:val="auto"/>
          <w:highlight w:val="none"/>
        </w:rPr>
        <w:tab/>
      </w:r>
      <w:r>
        <w:rPr>
          <w:rFonts w:hint="eastAsia"/>
          <w:color w:val="auto"/>
          <w:highlight w:val="none"/>
          <w:lang w:val="en-US" w:eastAsia="zh-CN"/>
        </w:rPr>
        <w:t xml:space="preserve">3</w:t>
      </w:r>
      <w:r/>
    </w:p>
    <w:p>
      <w:pPr>
        <w:pStyle w:val="755"/>
        <w:tabs>
          <w:tab w:val="right" w:pos="8306" w:leader="dot"/>
        </w:tabs>
        <w:rPr>
          <w:color w:val="auto"/>
          <w:highlight w:val="none"/>
        </w:rPr>
      </w:pPr>
      <w:r>
        <w:rPr>
          <w:rFonts w:hint="eastAsia"/>
          <w:color w:val="auto"/>
          <w:highlight w:val="none"/>
        </w:rPr>
        <w:t xml:space="preserve">第二章 投标人须知</w:t>
      </w:r>
      <w:r>
        <w:rPr>
          <w:color w:val="auto"/>
          <w:highlight w:val="none"/>
        </w:rPr>
        <w:tab/>
      </w:r>
      <w:r>
        <w:rPr>
          <w:rFonts w:hint="eastAsia"/>
          <w:color w:val="auto"/>
          <w:highlight w:val="none"/>
        </w:rPr>
        <w:t xml:space="preserve">7</w:t>
      </w:r>
      <w:r/>
    </w:p>
    <w:p>
      <w:pPr>
        <w:pStyle w:val="755"/>
        <w:tabs>
          <w:tab w:val="right" w:pos="8306" w:leader="dot"/>
        </w:tabs>
        <w:rPr>
          <w:color w:val="auto"/>
          <w:highlight w:val="none"/>
        </w:rPr>
      </w:pPr>
      <w:r>
        <w:rPr>
          <w:rFonts w:hint="eastAsia"/>
          <w:color w:val="auto"/>
          <w:highlight w:val="none"/>
        </w:rPr>
        <w:t xml:space="preserve">第三章 合同条款及格式</w:t>
      </w:r>
      <w:r>
        <w:rPr>
          <w:color w:val="auto"/>
          <w:highlight w:val="none"/>
        </w:rPr>
        <w:tab/>
      </w:r>
      <w:r>
        <w:rPr>
          <w:rFonts w:hint="eastAsia"/>
          <w:color w:val="auto"/>
          <w:highlight w:val="none"/>
        </w:rPr>
        <w:t xml:space="preserve">19</w:t>
      </w:r>
      <w:r/>
    </w:p>
    <w:p>
      <w:pPr>
        <w:pStyle w:val="755"/>
        <w:tabs>
          <w:tab w:val="right" w:pos="8306" w:leader="dot"/>
        </w:tabs>
        <w:rPr>
          <w:rFonts w:hint="default" w:eastAsia="宋体"/>
          <w:color w:val="auto"/>
          <w:highlight w:val="none"/>
          <w:lang w:val="en-US" w:eastAsia="zh-CN"/>
        </w:rPr>
      </w:pPr>
      <w:r>
        <w:rPr>
          <w:rFonts w:hint="eastAsia"/>
          <w:color w:val="auto"/>
          <w:highlight w:val="none"/>
        </w:rPr>
        <w:t xml:space="preserve">第四章 项目需求</w:t>
      </w:r>
      <w:r>
        <w:rPr>
          <w:color w:val="auto"/>
          <w:highlight w:val="none"/>
        </w:rPr>
        <w:tab/>
      </w:r>
      <w:r>
        <w:rPr>
          <w:rFonts w:hint="eastAsia"/>
          <w:color w:val="auto"/>
          <w:highlight w:val="none"/>
          <w:lang w:val="en-US" w:eastAsia="zh-CN"/>
        </w:rPr>
        <w:t xml:space="preserve">27</w:t>
      </w:r>
      <w:r/>
    </w:p>
    <w:p>
      <w:pPr>
        <w:pStyle w:val="755"/>
        <w:tabs>
          <w:tab w:val="right" w:pos="8306" w:leader="dot"/>
        </w:tabs>
        <w:rPr>
          <w:rFonts w:hint="default" w:eastAsia="宋体"/>
          <w:color w:val="auto"/>
          <w:highlight w:val="none"/>
          <w:lang w:val="en-US" w:eastAsia="zh-CN"/>
        </w:rPr>
      </w:pPr>
      <w:r>
        <w:rPr>
          <w:rFonts w:hint="eastAsia"/>
          <w:color w:val="auto"/>
          <w:highlight w:val="none"/>
        </w:rPr>
        <w:t xml:space="preserve">第五章 评标方法及评标标准</w:t>
      </w:r>
      <w:r>
        <w:rPr>
          <w:color w:val="auto"/>
          <w:highlight w:val="none"/>
        </w:rPr>
        <w:tab/>
      </w:r>
      <w:r>
        <w:rPr>
          <w:rFonts w:hint="eastAsia"/>
          <w:color w:val="auto"/>
          <w:highlight w:val="none"/>
          <w:lang w:val="en-US" w:eastAsia="zh-CN"/>
        </w:rPr>
        <w:t xml:space="preserve">56</w:t>
      </w:r>
      <w:r/>
    </w:p>
    <w:p>
      <w:pPr>
        <w:pStyle w:val="755"/>
        <w:tabs>
          <w:tab w:val="right" w:pos="8306" w:leader="dot"/>
        </w:tabs>
        <w:rPr>
          <w:rFonts w:hint="default" w:eastAsia="宋体"/>
          <w:color w:val="auto"/>
          <w:highlight w:val="none"/>
          <w:lang w:val="en-US" w:eastAsia="zh-CN"/>
        </w:rPr>
      </w:pPr>
      <w:r>
        <w:rPr>
          <w:rFonts w:hint="eastAsia"/>
          <w:color w:val="auto"/>
          <w:highlight w:val="none"/>
        </w:rPr>
        <w:t xml:space="preserve">第六章 投标文件格式</w:t>
      </w:r>
      <w:r>
        <w:rPr>
          <w:color w:val="auto"/>
          <w:highlight w:val="none"/>
        </w:rPr>
        <w:tab/>
      </w:r>
      <w:r>
        <w:rPr>
          <w:rFonts w:hint="eastAsia"/>
          <w:color w:val="auto"/>
          <w:highlight w:val="none"/>
          <w:lang w:val="en-US" w:eastAsia="zh-CN"/>
        </w:rPr>
        <w:t xml:space="preserve">61</w:t>
      </w:r>
      <w:r/>
    </w:p>
    <w:p>
      <w:pPr>
        <w:pStyle w:val="761"/>
        <w:tabs>
          <w:tab w:val="right" w:pos="8306" w:leader="dot"/>
        </w:tabs>
        <w:rPr>
          <w:color w:val="auto"/>
          <w:highlight w:val="none"/>
        </w:rPr>
      </w:pPr>
      <w:r>
        <w:rPr>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fldChar w:fldCharType="end"/>
      </w:r>
      <w:r/>
    </w:p>
    <w:p>
      <w:pPr>
        <w:spacing w:line="360" w:lineRule="auto"/>
        <w:rPr>
          <w:rFonts w:hint="eastAsia" w:ascii="宋体" w:hAnsi="宋体" w:cs="宋体"/>
          <w:color w:val="auto"/>
          <w:highlight w:val="none"/>
        </w:rPr>
      </w:pPr>
      <w:r>
        <w:rPr>
          <w:rFonts w:hint="eastAsia" w:ascii="宋体" w:hAnsi="宋体" w:cs="宋体"/>
          <w:color w:val="auto"/>
          <w:sz w:val="28"/>
          <w:highlight w:val="none"/>
        </w:rPr>
        <w:br w:type="page" w:clear="all"/>
      </w:r>
      <w:r/>
    </w:p>
    <w:p>
      <w:pPr>
        <w:pStyle w:val="732"/>
        <w:rPr>
          <w:color w:val="auto"/>
          <w:highlight w:val="none"/>
        </w:rPr>
      </w:pPr>
      <w:r/>
      <w:bookmarkStart w:id="0" w:name="_Toc30208"/>
      <w:r/>
      <w:bookmarkStart w:id="1" w:name="_Toc55204177"/>
      <w:r>
        <w:rPr>
          <w:rFonts w:hint="eastAsia"/>
          <w:color w:val="auto"/>
          <w:highlight w:val="none"/>
        </w:rPr>
        <w:t xml:space="preserve">第一章 </w:t>
      </w:r>
      <w:bookmarkEnd w:id="0"/>
      <w:r/>
      <w:bookmarkStart w:id="2" w:name="_Toc27417"/>
      <w:r>
        <w:rPr>
          <w:rFonts w:hint="eastAsia"/>
          <w:color w:val="auto"/>
          <w:highlight w:val="none"/>
        </w:rPr>
        <w:t xml:space="preserve">采购公告</w:t>
      </w:r>
      <w:bookmarkEnd w:id="1"/>
      <w:r/>
      <w:bookmarkEnd w:id="2"/>
      <w:r/>
      <w:r/>
    </w:p>
    <w:p>
      <w:pPr>
        <w:ind w:firstLine="420"/>
        <w:jc w:val="left"/>
        <w:spacing w:line="360" w:lineRule="auto"/>
        <w:tabs>
          <w:tab w:val="left" w:pos="266" w:leader="none"/>
        </w:tabs>
        <w:rPr>
          <w:rFonts w:hint="eastAsia"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扬州市生态环境监测监控中心</w:t>
      </w:r>
      <w:r>
        <w:rPr>
          <w:rFonts w:hint="eastAsia" w:ascii="宋体" w:hAnsi="宋体" w:cs="宋体"/>
          <w:color w:val="auto"/>
          <w:highlight w:val="none"/>
        </w:rPr>
        <w:t xml:space="preserve">的委托，江苏苏维工程管理有限公司就</w:t>
      </w:r>
      <w:r>
        <w:rPr>
          <w:rFonts w:hint="eastAsia" w:ascii="宋体" w:hAnsi="宋体" w:cs="宋体"/>
          <w:color w:val="auto"/>
          <w:highlight w:val="none"/>
          <w:lang w:eastAsia="zh-CN"/>
        </w:rPr>
        <w:t xml:space="preserve">扬州市生态环境监测监控中心应急监测能力规范化建设项目</w:t>
      </w:r>
      <w:r>
        <w:rPr>
          <w:rFonts w:hint="eastAsia" w:ascii="宋体" w:hAnsi="宋体" w:cs="宋体"/>
          <w:color w:val="auto"/>
          <w:highlight w:val="none"/>
        </w:rPr>
        <w:t xml:space="preserve">(</w:t>
      </w:r>
      <w:r>
        <w:rPr>
          <w:rFonts w:hint="eastAsia" w:ascii="宋体" w:hAnsi="宋体" w:cs="宋体"/>
          <w:color w:val="auto"/>
          <w:szCs w:val="21"/>
          <w:highlight w:val="none"/>
          <w:lang w:eastAsia="zh-CN"/>
        </w:rPr>
        <w:t xml:space="preserve">JSZC-321000-SWGC-G2026-0125</w:t>
      </w:r>
      <w:r>
        <w:rPr>
          <w:rFonts w:hint="eastAsia" w:ascii="宋体" w:hAnsi="宋体" w:cs="宋体"/>
          <w:color w:val="auto"/>
          <w:highlight w:val="none"/>
        </w:rPr>
        <w:t xml:space="preserve">)进行公开招标采购，欢迎符合条件的供应商投标。</w:t>
      </w:r>
      <w:r/>
    </w:p>
    <w:p>
      <w:pPr>
        <w:ind w:firstLine="422"/>
        <w:spacing w:line="360" w:lineRule="auto"/>
        <w:rPr>
          <w:rFonts w:hint="eastAsia" w:ascii="宋体" w:hAnsi="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highlight w:val="none"/>
        </w:rPr>
        <w:t xml:space="preserve">项目概况</w:t>
      </w:r>
      <w:r/>
    </w:p>
    <w:p>
      <w:pPr>
        <w:ind w:firstLine="420"/>
        <w:spacing w:line="360" w:lineRule="auto"/>
        <w:rPr>
          <w:rFonts w:hint="eastAsia" w:ascii="宋体" w:hAnsi="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highlight w:val="none"/>
          <w:u w:val="single"/>
          <w:lang w:eastAsia="zh-CN"/>
        </w:rPr>
        <w:t xml:space="preserve">扬州市生态环境监测监控中心应急监测能力规范化建设项目</w:t>
      </w:r>
      <w:r>
        <w:rPr>
          <w:rFonts w:hint="eastAsia" w:ascii="宋体" w:hAnsi="宋体" w:cs="宋体"/>
          <w:color w:val="auto"/>
          <w:highlight w:val="none"/>
        </w:rPr>
        <w:t xml:space="preserve">的潜在投标人可在</w:t>
      </w:r>
      <w:r>
        <w:rPr>
          <w:rFonts w:hint="eastAsia" w:ascii="宋体" w:hAnsi="宋体" w:cs="宋体"/>
          <w:color w:val="auto"/>
          <w:highlight w:val="none"/>
          <w:u w:val="single"/>
        </w:rPr>
        <w:t xml:space="preserve">“扬州市政府采购网”、“江苏政府采购网”和“中国政府采购网”自行免费下载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rPr>
        <w:t xml:space="preserve">2026年</w:t>
      </w:r>
      <w:r>
        <w:rPr>
          <w:rFonts w:hint="eastAsia" w:ascii="宋体" w:hAnsi="宋体" w:cs="宋体"/>
          <w:bCs/>
          <w:color w:val="auto"/>
          <w:highlight w:val="none"/>
          <w:u w:val="single"/>
          <w:lang w:val="en-US" w:eastAsia="zh-CN"/>
        </w:rPr>
        <w:t xml:space="preserve">10</w:t>
      </w:r>
      <w:r>
        <w:rPr>
          <w:rFonts w:hint="eastAsia" w:ascii="宋体" w:hAnsi="宋体" w:cs="宋体"/>
          <w:bCs/>
          <w:color w:val="auto"/>
          <w:highlight w:val="none"/>
          <w:u w:val="single"/>
        </w:rPr>
        <w:t xml:space="preserve">月</w:t>
      </w:r>
      <w:r>
        <w:rPr>
          <w:rFonts w:hint="eastAsia" w:ascii="宋体" w:hAnsi="宋体" w:cs="宋体"/>
          <w:bCs/>
          <w:color w:val="auto"/>
          <w:highlight w:val="none"/>
          <w:u w:val="single"/>
          <w:lang w:val="en-US" w:eastAsia="zh-CN"/>
        </w:rPr>
        <w:t xml:space="preserve">15</w:t>
      </w:r>
      <w:r>
        <w:rPr>
          <w:rFonts w:hint="eastAsia" w:ascii="宋体" w:hAnsi="宋体" w:cs="宋体"/>
          <w:bCs/>
          <w:color w:val="auto"/>
          <w:highlight w:val="none"/>
          <w:u w:val="single"/>
        </w:rPr>
        <w:t xml:space="preserve">日上午9：30 </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ind w:firstLine="422"/>
        <w:spacing w:line="360" w:lineRule="auto"/>
        <w:tabs>
          <w:tab w:val="left" w:pos="266" w:leader="none"/>
        </w:tabs>
        <w:rPr>
          <w:rFonts w:hint="eastAsia" w:ascii="宋体" w:hAnsi="宋体" w:cs="宋体"/>
          <w:b/>
          <w:bCs/>
          <w:color w:val="auto"/>
          <w:highlight w:val="none"/>
        </w:rPr>
      </w:pPr>
      <w:r/>
      <w:bookmarkStart w:id="3" w:name="_Toc35393790"/>
      <w:r/>
      <w:bookmarkStart w:id="4" w:name="_Toc38985263"/>
      <w:r/>
      <w:bookmarkStart w:id="5" w:name="_Toc28359079"/>
      <w:r/>
      <w:bookmarkStart w:id="6" w:name="_Toc28359002"/>
      <w:r/>
      <w:bookmarkStart w:id="7" w:name="_Toc35393621"/>
      <w:r/>
      <w:bookmarkStart w:id="8" w:name="_Hlk24379207"/>
      <w:r>
        <w:rPr>
          <w:rFonts w:hint="eastAsia" w:ascii="宋体" w:hAnsi="宋体" w:cs="宋体"/>
          <w:b/>
          <w:bCs/>
          <w:color w:val="auto"/>
          <w:highlight w:val="none"/>
        </w:rPr>
        <w:t xml:space="preserve">一、项目基本情况</w:t>
      </w:r>
      <w:bookmarkEnd w:id="3"/>
      <w:r/>
      <w:bookmarkEnd w:id="4"/>
      <w:r/>
      <w:bookmarkEnd w:id="5"/>
      <w:r/>
      <w:bookmarkEnd w:id="6"/>
      <w:r/>
      <w:bookmarkEnd w:id="7"/>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JSZC-321000-SWGC-G2026-0125</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2.项目名称：</w:t>
      </w:r>
      <w:bookmarkEnd w:id="8"/>
      <w:r>
        <w:rPr>
          <w:rFonts w:hint="eastAsia" w:ascii="宋体" w:hAnsi="宋体" w:cs="宋体"/>
          <w:color w:val="auto"/>
          <w:szCs w:val="21"/>
          <w:highlight w:val="none"/>
          <w:lang w:eastAsia="zh-CN"/>
        </w:rPr>
        <w:t xml:space="preserve">扬州市生态环境监测监控中心应急监测能力规范化建设项目</w:t>
      </w:r>
      <w:r/>
    </w:p>
    <w:p>
      <w:pPr>
        <w:ind w:firstLine="420"/>
        <w:spacing w:line="400" w:lineRule="exact"/>
        <w:rPr>
          <w:rFonts w:hint="eastAsia" w:ascii="宋体" w:hAnsi="宋体"/>
          <w:color w:val="auto"/>
          <w:szCs w:val="21"/>
          <w:highlight w:val="none"/>
        </w:rPr>
      </w:pPr>
      <w:r>
        <w:rPr>
          <w:rFonts w:hint="eastAsia" w:ascii="宋体" w:hAnsi="宋体" w:cs="宋体"/>
          <w:color w:val="auto"/>
          <w:szCs w:val="21"/>
          <w:highlight w:val="none"/>
        </w:rPr>
        <w:t xml:space="preserve">3.预算金额：</w:t>
      </w:r>
      <w:r/>
    </w:p>
    <w:tbl>
      <w:tblPr>
        <w:tblStyle w:val="74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0"/>
        <w:gridCol w:w="7139"/>
      </w:tblGrid>
      <w:tr>
        <w:trPr/>
        <w:tc>
          <w:tcPr>
            <w:tcW w:w="810" w:type="pct"/>
            <w:vAlign w:val="top"/>
            <w:textDirection w:val="lrTb"/>
            <w:noWrap w:val="false"/>
          </w:tcPr>
          <w:p>
            <w:pPr>
              <w:jc w:val="center"/>
              <w:spacing w:line="0" w:lineRule="atLeast"/>
              <w:rPr>
                <w:rFonts w:hint="eastAsia" w:ascii="宋体" w:hAnsi="宋体"/>
                <w:color w:val="auto"/>
                <w:szCs w:val="21"/>
                <w:highlight w:val="none"/>
              </w:rPr>
            </w:pPr>
            <w:r>
              <w:rPr>
                <w:rFonts w:hint="eastAsia" w:ascii="宋体" w:hAnsi="宋体"/>
                <w:color w:val="auto"/>
                <w:szCs w:val="21"/>
                <w:highlight w:val="none"/>
              </w:rPr>
              <w:t xml:space="preserve">采购</w:t>
            </w:r>
            <w:r/>
          </w:p>
          <w:p>
            <w:pPr>
              <w:jc w:val="center"/>
              <w:spacing w:line="0" w:lineRule="atLeast"/>
              <w:rPr>
                <w:rFonts w:hint="eastAsia" w:ascii="宋体" w:hAnsi="宋体"/>
                <w:color w:val="auto"/>
                <w:szCs w:val="21"/>
                <w:highlight w:val="none"/>
              </w:rPr>
            </w:pPr>
            <w:r>
              <w:rPr>
                <w:rFonts w:hint="eastAsia" w:ascii="宋体" w:hAnsi="宋体"/>
                <w:color w:val="auto"/>
                <w:szCs w:val="21"/>
                <w:highlight w:val="none"/>
              </w:rPr>
              <w:t xml:space="preserve">包号</w:t>
            </w:r>
            <w:r/>
          </w:p>
        </w:tc>
        <w:tc>
          <w:tcPr>
            <w:tcW w:w="4189" w:type="pct"/>
            <w:vAlign w:val="top"/>
            <w:textDirection w:val="lrTb"/>
            <w:noWrap w:val="false"/>
          </w:tcPr>
          <w:p>
            <w:pPr>
              <w:jc w:val="center"/>
              <w:spacing w:line="0" w:lineRule="atLeast"/>
              <w:rPr>
                <w:rFonts w:hint="eastAsia" w:ascii="宋体" w:hAnsi="宋体"/>
                <w:color w:val="auto"/>
                <w:szCs w:val="21"/>
                <w:highlight w:val="none"/>
              </w:rPr>
            </w:pPr>
            <w:r>
              <w:rPr>
                <w:rFonts w:hint="eastAsia" w:ascii="宋体" w:hAnsi="宋体"/>
                <w:color w:val="auto"/>
                <w:szCs w:val="21"/>
                <w:highlight w:val="none"/>
              </w:rPr>
              <w:t xml:space="preserve">预算</w:t>
            </w:r>
            <w:r>
              <w:rPr>
                <w:rFonts w:ascii="宋体" w:hAnsi="宋体"/>
                <w:color w:val="auto"/>
                <w:szCs w:val="21"/>
                <w:highlight w:val="none"/>
              </w:rPr>
              <w:t xml:space="preserve">金额</w:t>
            </w:r>
            <w:r>
              <w:rPr>
                <w:rFonts w:hint="eastAsia" w:ascii="宋体" w:hAnsi="宋体"/>
                <w:color w:val="auto"/>
                <w:szCs w:val="21"/>
                <w:highlight w:val="none"/>
              </w:rPr>
              <w:t xml:space="preserve">（人民币</w:t>
            </w:r>
            <w:r>
              <w:rPr>
                <w:rFonts w:ascii="宋体" w:hAnsi="宋体"/>
                <w:color w:val="auto"/>
                <w:szCs w:val="21"/>
                <w:highlight w:val="none"/>
              </w:rPr>
              <w:t xml:space="preserve">：万元</w:t>
            </w:r>
            <w:r>
              <w:rPr>
                <w:rFonts w:hint="eastAsia" w:ascii="宋体" w:hAnsi="宋体"/>
                <w:color w:val="auto"/>
                <w:szCs w:val="21"/>
                <w:highlight w:val="none"/>
              </w:rPr>
              <w:t xml:space="preserve">）</w:t>
            </w:r>
            <w:r/>
          </w:p>
        </w:tc>
      </w:tr>
      <w:tr>
        <w:trPr/>
        <w:tc>
          <w:tcPr>
            <w:tcW w:w="810" w:type="pct"/>
            <w:vAlign w:val="top"/>
            <w:textDirection w:val="lrTb"/>
            <w:noWrap w:val="false"/>
          </w:tcPr>
          <w:p>
            <w:pPr>
              <w:jc w:val="center"/>
              <w:spacing w:line="0" w:lineRule="atLeast"/>
              <w:rPr>
                <w:rFonts w:hint="eastAsia" w:ascii="宋体" w:hAnsi="宋体"/>
                <w:color w:val="auto"/>
                <w:szCs w:val="21"/>
                <w:highlight w:val="none"/>
              </w:rPr>
            </w:pPr>
            <w:r>
              <w:rPr>
                <w:rFonts w:hint="eastAsia" w:ascii="宋体" w:hAnsi="宋体"/>
                <w:color w:val="auto"/>
                <w:szCs w:val="21"/>
                <w:highlight w:val="none"/>
              </w:rPr>
              <w:t xml:space="preserve">1</w:t>
            </w:r>
            <w:r/>
          </w:p>
        </w:tc>
        <w:tc>
          <w:tcPr>
            <w:tcW w:w="4189" w:type="pct"/>
            <w:vAlign w:val="top"/>
            <w:textDirection w:val="lrTb"/>
            <w:noWrap w:val="false"/>
          </w:tcPr>
          <w:p>
            <w:pPr>
              <w:jc w:val="center"/>
              <w:spacing w:line="0" w:lineRule="atLeas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891.15</w:t>
            </w:r>
            <w:r/>
          </w:p>
        </w:tc>
      </w:tr>
    </w:tbl>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4.本项目</w:t>
      </w:r>
      <w:r>
        <w:rPr>
          <w:rFonts w:hint="eastAsia" w:ascii="宋体" w:hAnsi="宋体" w:cs="宋体"/>
          <w:color w:val="auto"/>
          <w:szCs w:val="21"/>
          <w:highlight w:val="none"/>
          <w:u w:val="single"/>
        </w:rPr>
        <w:t xml:space="preserve">设置</w:t>
      </w:r>
      <w:r>
        <w:rPr>
          <w:rFonts w:hint="eastAsia" w:ascii="宋体" w:hAnsi="宋体" w:cs="宋体"/>
          <w:color w:val="auto"/>
          <w:szCs w:val="21"/>
          <w:highlight w:val="none"/>
        </w:rPr>
        <w:t xml:space="preserve">最高限价：</w:t>
      </w:r>
      <w:r/>
    </w:p>
    <w:tbl>
      <w:tblPr>
        <w:tblStyle w:val="74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0"/>
        <w:gridCol w:w="3367"/>
        <w:gridCol w:w="3772"/>
      </w:tblGrid>
      <w:tr>
        <w:trPr/>
        <w:tc>
          <w:tcPr>
            <w:tcW w:w="810" w:type="pct"/>
            <w:vAlign w:val="top"/>
            <w:textDirection w:val="lrTb"/>
            <w:noWrap w:val="false"/>
          </w:tcPr>
          <w:p>
            <w:pPr>
              <w:jc w:val="center"/>
              <w:spacing w:line="0" w:lineRule="atLeast"/>
              <w:rPr>
                <w:rFonts w:hint="eastAsia" w:ascii="宋体" w:hAnsi="宋体"/>
                <w:color w:val="auto"/>
                <w:szCs w:val="21"/>
                <w:highlight w:val="none"/>
              </w:rPr>
            </w:pPr>
            <w:r>
              <w:rPr>
                <w:rFonts w:hint="eastAsia" w:ascii="宋体" w:hAnsi="宋体"/>
                <w:color w:val="auto"/>
                <w:szCs w:val="21"/>
                <w:highlight w:val="none"/>
              </w:rPr>
              <w:t xml:space="preserve">采购</w:t>
            </w:r>
            <w:r/>
          </w:p>
          <w:p>
            <w:pPr>
              <w:jc w:val="center"/>
              <w:spacing w:line="0" w:lineRule="atLeast"/>
              <w:rPr>
                <w:rFonts w:hint="eastAsia" w:ascii="宋体" w:hAnsi="宋体"/>
                <w:color w:val="auto"/>
                <w:szCs w:val="21"/>
                <w:highlight w:val="none"/>
              </w:rPr>
            </w:pPr>
            <w:r>
              <w:rPr>
                <w:rFonts w:hint="eastAsia" w:ascii="宋体" w:hAnsi="宋体"/>
                <w:color w:val="auto"/>
                <w:szCs w:val="21"/>
                <w:highlight w:val="none"/>
              </w:rPr>
              <w:t xml:space="preserve">包号</w:t>
            </w:r>
            <w:r/>
          </w:p>
        </w:tc>
        <w:tc>
          <w:tcPr>
            <w:tcW w:w="1976" w:type="pct"/>
            <w:vAlign w:val="top"/>
            <w:textDirection w:val="lrTb"/>
            <w:noWrap w:val="false"/>
          </w:tcPr>
          <w:p>
            <w:pPr>
              <w:jc w:val="center"/>
              <w:spacing w:line="0" w:lineRule="atLeast"/>
              <w:rPr>
                <w:rFonts w:hint="eastAsia" w:ascii="宋体" w:hAnsi="宋体"/>
                <w:color w:val="auto"/>
                <w:szCs w:val="21"/>
                <w:highlight w:val="none"/>
              </w:rPr>
            </w:pPr>
            <w:r>
              <w:rPr>
                <w:rFonts w:hint="eastAsia" w:ascii="宋体" w:hAnsi="宋体"/>
                <w:color w:val="auto"/>
                <w:szCs w:val="21"/>
                <w:highlight w:val="none"/>
              </w:rPr>
              <w:t xml:space="preserve">是否</w:t>
            </w:r>
            <w:r>
              <w:rPr>
                <w:rFonts w:ascii="宋体" w:hAnsi="宋体"/>
                <w:color w:val="auto"/>
                <w:szCs w:val="21"/>
                <w:highlight w:val="none"/>
              </w:rPr>
              <w:t xml:space="preserve">设定最高</w:t>
            </w:r>
            <w:r>
              <w:rPr>
                <w:rFonts w:hint="eastAsia" w:ascii="宋体" w:hAnsi="宋体"/>
                <w:color w:val="auto"/>
                <w:szCs w:val="21"/>
                <w:highlight w:val="none"/>
              </w:rPr>
              <w:t xml:space="preserve">限价</w:t>
            </w:r>
            <w:r/>
          </w:p>
          <w:p>
            <w:pPr>
              <w:jc w:val="center"/>
              <w:spacing w:line="0" w:lineRule="atLeast"/>
              <w:rPr>
                <w:rFonts w:hint="eastAsia"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是/否</w:t>
            </w:r>
            <w:r>
              <w:rPr>
                <w:rFonts w:ascii="宋体" w:hAnsi="宋体"/>
                <w:color w:val="auto"/>
                <w:szCs w:val="21"/>
                <w:highlight w:val="none"/>
              </w:rPr>
              <w:t xml:space="preserve">）</w:t>
            </w:r>
            <w:r/>
          </w:p>
        </w:tc>
        <w:tc>
          <w:tcPr>
            <w:tcW w:w="2213" w:type="pct"/>
            <w:vAlign w:val="top"/>
            <w:textDirection w:val="lrTb"/>
            <w:noWrap w:val="false"/>
          </w:tcPr>
          <w:p>
            <w:pPr>
              <w:jc w:val="center"/>
              <w:spacing w:line="0" w:lineRule="atLeast"/>
              <w:rPr>
                <w:rFonts w:hint="eastAsia" w:ascii="宋体" w:hAnsi="宋体"/>
                <w:color w:val="auto"/>
                <w:szCs w:val="21"/>
                <w:highlight w:val="none"/>
              </w:rPr>
            </w:pPr>
            <w:r>
              <w:rPr>
                <w:rFonts w:hint="eastAsia" w:ascii="宋体" w:hAnsi="宋体"/>
                <w:color w:val="auto"/>
                <w:szCs w:val="21"/>
                <w:highlight w:val="none"/>
              </w:rPr>
              <w:t xml:space="preserve">最高</w:t>
            </w:r>
            <w:r>
              <w:rPr>
                <w:rFonts w:ascii="宋体" w:hAnsi="宋体"/>
                <w:color w:val="auto"/>
                <w:szCs w:val="21"/>
                <w:highlight w:val="none"/>
              </w:rPr>
              <w:t xml:space="preserve">限价</w:t>
            </w:r>
            <w:r>
              <w:rPr>
                <w:rFonts w:hint="eastAsia" w:ascii="宋体" w:hAnsi="宋体"/>
                <w:color w:val="auto"/>
                <w:szCs w:val="21"/>
                <w:highlight w:val="none"/>
              </w:rPr>
              <w:t xml:space="preserve">（人民币</w:t>
            </w:r>
            <w:r>
              <w:rPr>
                <w:rFonts w:ascii="宋体" w:hAnsi="宋体"/>
                <w:color w:val="auto"/>
                <w:szCs w:val="21"/>
                <w:highlight w:val="none"/>
              </w:rPr>
              <w:t xml:space="preserve">：万元</w:t>
            </w:r>
            <w:r>
              <w:rPr>
                <w:rFonts w:hint="eastAsia" w:ascii="宋体" w:hAnsi="宋体"/>
                <w:color w:val="auto"/>
                <w:szCs w:val="21"/>
                <w:highlight w:val="none"/>
              </w:rPr>
              <w:t xml:space="preserve">）</w:t>
            </w:r>
            <w:r/>
          </w:p>
        </w:tc>
      </w:tr>
      <w:tr>
        <w:trPr/>
        <w:tc>
          <w:tcPr>
            <w:tcW w:w="810" w:type="pct"/>
            <w:vAlign w:val="top"/>
            <w:textDirection w:val="lrTb"/>
            <w:noWrap w:val="false"/>
          </w:tcPr>
          <w:p>
            <w:pPr>
              <w:jc w:val="center"/>
              <w:spacing w:line="0" w:lineRule="atLeast"/>
              <w:rPr>
                <w:rFonts w:hint="eastAsia" w:ascii="宋体" w:hAnsi="宋体"/>
                <w:color w:val="auto"/>
                <w:szCs w:val="21"/>
                <w:highlight w:val="none"/>
              </w:rPr>
            </w:pPr>
            <w:r>
              <w:rPr>
                <w:rFonts w:hint="eastAsia" w:ascii="宋体" w:hAnsi="宋体"/>
                <w:color w:val="auto"/>
                <w:szCs w:val="21"/>
                <w:highlight w:val="none"/>
              </w:rPr>
              <w:t xml:space="preserve">1</w:t>
            </w:r>
            <w:r/>
          </w:p>
        </w:tc>
        <w:tc>
          <w:tcPr>
            <w:tcW w:w="1976" w:type="pct"/>
            <w:vAlign w:val="top"/>
            <w:textDirection w:val="lrTb"/>
            <w:noWrap w:val="false"/>
          </w:tcPr>
          <w:p>
            <w:pPr>
              <w:jc w:val="center"/>
              <w:spacing w:line="0" w:lineRule="atLeast"/>
              <w:rPr>
                <w:rFonts w:hint="eastAsia" w:ascii="宋体" w:hAnsi="宋体"/>
                <w:color w:val="auto"/>
                <w:szCs w:val="21"/>
                <w:highlight w:val="none"/>
              </w:rPr>
            </w:pPr>
            <w:r>
              <w:rPr>
                <w:rFonts w:hint="eastAsia" w:ascii="宋体" w:hAnsi="宋体"/>
                <w:color w:val="auto"/>
                <w:szCs w:val="21"/>
                <w:highlight w:val="none"/>
              </w:rPr>
              <w:t xml:space="preserve">是</w:t>
            </w:r>
            <w:r/>
          </w:p>
        </w:tc>
        <w:tc>
          <w:tcPr>
            <w:tcW w:w="2213" w:type="pct"/>
            <w:vAlign w:val="top"/>
            <w:textDirection w:val="lrTb"/>
            <w:noWrap w:val="false"/>
          </w:tcPr>
          <w:p>
            <w:pPr>
              <w:jc w:val="center"/>
              <w:spacing w:line="0" w:lineRule="atLeas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891.15</w:t>
            </w:r>
            <w:r/>
          </w:p>
        </w:tc>
      </w:tr>
    </w:tbl>
    <w:p>
      <w:pPr>
        <w:ind w:firstLine="420"/>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5.采购需求：见招标文件第四章。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6.合同履行期限：见招标文件第四章。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7.</w:t>
      </w:r>
      <w:r>
        <w:rPr>
          <w:rFonts w:hint="eastAsia" w:ascii="Times New Roman" w:hAnsi="Times New Roman" w:cs="宋体"/>
          <w:color w:val="auto"/>
          <w:highlight w:val="none"/>
        </w:rPr>
        <w:t xml:space="preserve">本项目</w:t>
      </w:r>
      <w:r>
        <w:rPr>
          <w:rFonts w:hint="eastAsia" w:ascii="Times New Roman" w:hAnsi="Times New Roman" w:cs="宋体"/>
          <w:i/>
          <w:iCs/>
          <w:color w:val="auto"/>
          <w:highlight w:val="none"/>
          <w:u w:val="single"/>
        </w:rPr>
        <w:t xml:space="preserve">接受</w:t>
      </w:r>
      <w:r>
        <w:rPr>
          <w:rFonts w:hint="eastAsia" w:ascii="Times New Roman" w:hAnsi="Times New Roman" w:cs="宋体"/>
          <w:color w:val="auto"/>
          <w:highlight w:val="none"/>
        </w:rPr>
        <w:t xml:space="preserve">进口产品投标。</w:t>
      </w:r>
      <w:r/>
    </w:p>
    <w:p>
      <w:pPr>
        <w:ind w:firstLine="422"/>
        <w:spacing w:line="360" w:lineRule="auto"/>
        <w:tabs>
          <w:tab w:val="left" w:pos="266" w:leader="none"/>
        </w:tabs>
        <w:rPr>
          <w:rFonts w:hint="eastAsia" w:ascii="宋体" w:hAnsi="宋体" w:cs="宋体"/>
          <w:b/>
          <w:bCs/>
          <w:color w:val="auto"/>
          <w:highlight w:val="none"/>
        </w:rPr>
      </w:pPr>
      <w:r/>
      <w:bookmarkStart w:id="9" w:name="_Toc28359080"/>
      <w:r/>
      <w:bookmarkStart w:id="10" w:name="_Toc28359003"/>
      <w:r/>
      <w:bookmarkStart w:id="11" w:name="_Toc35393791"/>
      <w:r/>
      <w:bookmarkStart w:id="12" w:name="_Toc38985264"/>
      <w:r/>
      <w:bookmarkStart w:id="13" w:name="_Toc35393622"/>
      <w:r>
        <w:rPr>
          <w:rFonts w:hint="eastAsia" w:ascii="宋体" w:hAnsi="宋体" w:cs="宋体"/>
          <w:b/>
          <w:bCs/>
          <w:color w:val="auto"/>
          <w:highlight w:val="none"/>
        </w:rPr>
        <w:t xml:space="preserve">二、申请人的资格要求：</w:t>
      </w:r>
      <w:bookmarkEnd w:id="9"/>
      <w:r/>
      <w:bookmarkEnd w:id="10"/>
      <w:r/>
      <w:bookmarkEnd w:id="11"/>
      <w:r/>
      <w:bookmarkEnd w:id="12"/>
      <w:r/>
      <w:bookmarkEnd w:id="13"/>
      <w:r/>
      <w:r/>
    </w:p>
    <w:p>
      <w:pPr>
        <w:ind w:firstLine="420"/>
        <w:spacing w:line="360" w:lineRule="auto"/>
        <w:rPr>
          <w:rFonts w:hint="eastAsia" w:ascii="宋体" w:hAnsi="宋体" w:cs="宋体"/>
          <w:color w:val="auto"/>
          <w:szCs w:val="21"/>
          <w:highlight w:val="none"/>
        </w:rPr>
      </w:pPr>
      <w:r/>
      <w:bookmarkStart w:id="14" w:name="_Toc35393792"/>
      <w:r/>
      <w:bookmarkStart w:id="15" w:name="_Toc38985265"/>
      <w:r/>
      <w:bookmarkStart w:id="16" w:name="_Toc28359004"/>
      <w:r/>
      <w:bookmarkStart w:id="17" w:name="_Toc35393623"/>
      <w:r/>
      <w:bookmarkStart w:id="18" w:name="_Toc28359081"/>
      <w:r>
        <w:rPr>
          <w:rFonts w:hint="eastAsia" w:ascii="宋体" w:hAnsi="宋体" w:cs="宋体"/>
          <w:color w:val="auto"/>
          <w:szCs w:val="21"/>
          <w:highlight w:val="none"/>
        </w:rPr>
        <w:t xml:space="preserve">（一）通用资格要求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hint="eastAsia" w:ascii="宋体" w:hAnsi="宋体" w:eastAsia="宋体" w:cs="宋体"/>
          <w:i/>
          <w:iCs/>
          <w:color w:val="auto"/>
          <w:szCs w:val="21"/>
          <w:highlight w:val="none"/>
          <w:u w:val="single"/>
          <w:lang w:eastAsia="zh-CN"/>
        </w:rPr>
      </w:pPr>
      <w:r>
        <w:rPr>
          <w:rFonts w:hint="eastAsia" w:ascii="宋体" w:hAnsi="宋体" w:cs="宋体"/>
          <w:i/>
          <w:iCs/>
          <w:color w:val="auto"/>
          <w:szCs w:val="21"/>
          <w:highlight w:val="none"/>
          <w:u w:val="single"/>
        </w:rPr>
        <w:t xml:space="preserve">1.2 </w:t>
      </w:r>
      <w:r>
        <w:rPr>
          <w:rFonts w:hint="eastAsia" w:ascii="宋体" w:hAnsi="宋体" w:cs="宋体"/>
          <w:i/>
          <w:iCs/>
          <w:color w:val="auto"/>
          <w:szCs w:val="21"/>
          <w:highlight w:val="none"/>
          <w:u w:val="single"/>
          <w:lang w:eastAsia="zh-CN"/>
        </w:rPr>
        <w:t xml:space="preserve">上一年度的财务报告情况（成立不满一年不需提供）</w:t>
      </w:r>
      <w:r/>
    </w:p>
    <w:p>
      <w:pPr>
        <w:ind w:firstLine="420"/>
        <w:spacing w:line="360" w:lineRule="auto"/>
        <w:rPr>
          <w:rFonts w:hint="eastAsia" w:ascii="宋体" w:hAnsi="宋体" w:cs="宋体"/>
          <w:b/>
          <w:bCs/>
          <w:i/>
          <w:iCs/>
          <w:color w:val="auto"/>
          <w:highlight w:val="none"/>
          <w:u w:val="single"/>
        </w:rPr>
      </w:pPr>
      <w:r>
        <w:rPr>
          <w:rFonts w:hint="eastAsia" w:ascii="宋体" w:hAnsi="宋体" w:cs="宋体"/>
          <w:i/>
          <w:iCs/>
          <w:color w:val="auto"/>
          <w:szCs w:val="21"/>
          <w:highlight w:val="none"/>
          <w:u w:val="single"/>
        </w:rPr>
        <w:t xml:space="preserve">1.3 依法缴纳税收和社会保障资金的相关材料</w:t>
      </w:r>
      <w:r>
        <w:rPr>
          <w:rFonts w:hint="eastAsia" w:ascii="宋体" w:hAnsi="宋体" w:cs="宋体"/>
          <w:b/>
          <w:bCs/>
          <w:i/>
          <w:iCs/>
          <w:color w:val="auto"/>
          <w:szCs w:val="21"/>
          <w:highlight w:val="none"/>
          <w:u w:val="single"/>
        </w:rPr>
        <w:t xml:space="preserve">（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具备履行合同所必需的设备和专业技术能力的书面声明；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参加政府采购活动前3年内在经营活动中没有重大违法记录的书面声明；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供应商信用承诺书；</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color w:val="auto"/>
          <w:szCs w:val="21"/>
          <w:highlight w:val="none"/>
        </w:rPr>
        <w:t xml:space="preserve">2.落实政府采购政策需满足的资格要求：</w:t>
      </w:r>
      <w:r>
        <w:rPr>
          <w:rFonts w:hint="eastAsia" w:ascii="宋体" w:hAnsi="宋体" w:cs="宋体"/>
          <w:i/>
          <w:iCs/>
          <w:color w:val="auto"/>
          <w:szCs w:val="21"/>
          <w:highlight w:val="none"/>
          <w:u w:val="single"/>
        </w:rPr>
        <w:t xml:space="preserve">无</w:t>
      </w:r>
      <w:r/>
    </w:p>
    <w:p>
      <w:pPr>
        <w:ind w:firstLine="420"/>
        <w:spacing w:line="360" w:lineRule="auto"/>
        <w:rPr>
          <w:rFonts w:hint="eastAsia" w:ascii="宋体" w:hAnsi="宋体"/>
          <w:color w:val="auto"/>
          <w:sz w:val="24"/>
          <w:szCs w:val="24"/>
          <w:highlight w:val="none"/>
        </w:rPr>
      </w:pPr>
      <w:r>
        <w:rPr>
          <w:rFonts w:hint="eastAsia" w:ascii="宋体" w:hAnsi="宋体" w:cs="宋体"/>
          <w:color w:val="auto"/>
          <w:szCs w:val="21"/>
          <w:highlight w:val="none"/>
        </w:rPr>
        <w:t xml:space="preserve">3.联合体投标</w:t>
      </w:r>
      <w:r/>
    </w:p>
    <w:tbl>
      <w:tblPr>
        <w:tblStyle w:val="74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2"/>
        <w:gridCol w:w="3343"/>
        <w:gridCol w:w="3885"/>
      </w:tblGrid>
      <w:tr>
        <w:trPr/>
        <w:tc>
          <w:tcPr>
            <w:tcW w:w="758" w:type="pct"/>
            <w:vAlign w:val="top"/>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采购</w:t>
            </w:r>
            <w:r/>
          </w:p>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包号</w:t>
            </w:r>
            <w:r/>
          </w:p>
        </w:tc>
        <w:tc>
          <w:tcPr>
            <w:tcW w:w="1961" w:type="pct"/>
            <w:vAlign w:val="top"/>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是否接受联合体</w:t>
            </w:r>
            <w:r>
              <w:rPr>
                <w:rFonts w:ascii="宋体" w:hAnsi="宋体"/>
                <w:color w:val="auto"/>
                <w:szCs w:val="21"/>
                <w:highlight w:val="none"/>
              </w:rPr>
              <w:t xml:space="preserve">投标</w:t>
            </w:r>
            <w:r/>
          </w:p>
          <w:p>
            <w:pPr>
              <w:jc w:val="center"/>
              <w:spacing w:line="400" w:lineRule="exact"/>
              <w:rPr>
                <w:rFonts w:hint="eastAsia"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是/否</w:t>
            </w:r>
            <w:r>
              <w:rPr>
                <w:rFonts w:ascii="宋体" w:hAnsi="宋体"/>
                <w:color w:val="auto"/>
                <w:szCs w:val="21"/>
                <w:highlight w:val="none"/>
              </w:rPr>
              <w:t xml:space="preserve">）</w:t>
            </w:r>
            <w:r/>
          </w:p>
        </w:tc>
        <w:tc>
          <w:tcPr>
            <w:tcW w:w="2279" w:type="pct"/>
            <w:vAlign w:val="top"/>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该采购包中</w:t>
            </w:r>
            <w:r>
              <w:rPr>
                <w:rFonts w:ascii="宋体" w:hAnsi="宋体"/>
                <w:color w:val="auto"/>
                <w:szCs w:val="21"/>
                <w:highlight w:val="none"/>
              </w:rPr>
              <w:t xml:space="preserve">联合体成员数量</w:t>
            </w:r>
            <w:r>
              <w:rPr>
                <w:rFonts w:hint="eastAsia" w:ascii="宋体" w:hAnsi="宋体"/>
                <w:color w:val="auto"/>
                <w:szCs w:val="21"/>
                <w:highlight w:val="none"/>
              </w:rPr>
              <w:t xml:space="preserve">上限</w:t>
            </w:r>
            <w:r/>
          </w:p>
        </w:tc>
      </w:tr>
      <w:tr>
        <w:trPr/>
        <w:tc>
          <w:tcPr>
            <w:tcW w:w="758" w:type="pct"/>
            <w:vAlign w:val="top"/>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w:t>
            </w:r>
            <w:r/>
          </w:p>
        </w:tc>
        <w:tc>
          <w:tcPr>
            <w:tcW w:w="1961" w:type="pct"/>
            <w:vAlign w:val="top"/>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否</w:t>
            </w:r>
            <w:r/>
          </w:p>
        </w:tc>
        <w:tc>
          <w:tcPr>
            <w:tcW w:w="2279" w:type="pct"/>
            <w:vAlign w:val="top"/>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p>
        </w:tc>
      </w:tr>
    </w:tbl>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（二）本项目的特定资格要求：</w:t>
      </w:r>
      <w:r/>
    </w:p>
    <w:tbl>
      <w:tblPr>
        <w:tblStyle w:val="74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2"/>
        <w:gridCol w:w="7138"/>
      </w:tblGrid>
      <w:tr>
        <w:trPr/>
        <w:tc>
          <w:tcPr>
            <w:tcW w:w="811" w:type="pct"/>
            <w:vAlign w:val="top"/>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采购</w:t>
            </w:r>
            <w:r/>
          </w:p>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包号</w:t>
            </w:r>
            <w:r/>
          </w:p>
        </w:tc>
        <w:tc>
          <w:tcPr>
            <w:tcW w:w="4188" w:type="pct"/>
            <w:vAlign w:val="top"/>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特定</w:t>
            </w:r>
            <w:r>
              <w:rPr>
                <w:rFonts w:ascii="宋体" w:hAnsi="宋体"/>
                <w:color w:val="auto"/>
                <w:szCs w:val="21"/>
                <w:highlight w:val="none"/>
              </w:rPr>
              <w:t xml:space="preserve">资格要求</w:t>
            </w:r>
            <w:r/>
          </w:p>
        </w:tc>
      </w:tr>
      <w:tr>
        <w:trPr/>
        <w:tc>
          <w:tcPr>
            <w:tcW w:w="811" w:type="pct"/>
            <w:vAlign w:val="top"/>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w:t>
            </w:r>
            <w:r/>
          </w:p>
        </w:tc>
        <w:tc>
          <w:tcPr>
            <w:tcW w:w="4188" w:type="pct"/>
            <w:vAlign w:val="top"/>
            <w:textDirection w:val="lrTb"/>
            <w:noWrap w:val="false"/>
          </w:tcPr>
          <w:p>
            <w:pPr>
              <w:spacing w:line="360" w:lineRule="auto"/>
              <w:rPr>
                <w:rFonts w:hint="eastAsia" w:ascii="宋体" w:hAnsi="宋体"/>
                <w:color w:val="auto"/>
                <w:szCs w:val="21"/>
                <w:highlight w:val="none"/>
              </w:rPr>
            </w:pPr>
            <w:r>
              <w:rPr>
                <w:rFonts w:hint="eastAsia" w:ascii="宋体" w:hAnsi="宋体" w:eastAsia="宋体" w:cs="宋体"/>
                <w:i/>
                <w:iCs/>
                <w:color w:val="auto"/>
                <w:szCs w:val="21"/>
                <w:highlight w:val="none"/>
                <w:u w:val="single"/>
              </w:rPr>
              <w:t xml:space="preserve">投标产品若为进口产品，须提供制造商（生产者）或代理商授权（如为外文需提供翻译件)</w:t>
            </w:r>
            <w:r>
              <w:rPr>
                <w:rFonts w:hint="eastAsia" w:ascii="宋体" w:hAnsi="宋体" w:cs="宋体"/>
                <w:i/>
                <w:iCs/>
                <w:color w:val="auto"/>
                <w:szCs w:val="21"/>
                <w:highlight w:val="none"/>
                <w:u w:val="single"/>
                <w:lang w:eastAsia="zh-CN"/>
              </w:rPr>
              <w:t xml:space="preserve">。</w:t>
            </w:r>
            <w:r/>
          </w:p>
        </w:tc>
      </w:tr>
    </w:tbl>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（三）其它资格条件：</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hint="eastAsia" w:ascii="宋体" w:hAnsi="宋体" w:cs="宋体"/>
          <w:b/>
          <w:bCs/>
          <w:color w:val="auto"/>
          <w:highlight w:val="none"/>
        </w:rPr>
      </w:pPr>
      <w:r>
        <w:rPr>
          <w:rFonts w:hint="eastAsia" w:ascii="宋体" w:hAnsi="宋体" w:cs="宋体"/>
          <w:color w:val="auto"/>
          <w:szCs w:val="24"/>
          <w:highlight w:val="none"/>
        </w:rPr>
        <w:t xml:space="preserve">（2）凡为采购项目提供整体设计、规范编制或者项目管理、监理、检测等服务的供应商，不得再参加本项目的采购活动。</w:t>
      </w:r>
      <w:r/>
    </w:p>
    <w:p>
      <w:pPr>
        <w:ind w:firstLine="422"/>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三、获取招标文件</w:t>
      </w:r>
      <w:bookmarkEnd w:id="14"/>
      <w:r/>
      <w:bookmarkEnd w:id="15"/>
      <w:r/>
      <w:bookmarkEnd w:id="16"/>
      <w:r/>
      <w:bookmarkEnd w:id="17"/>
      <w:r/>
      <w:bookmarkEnd w:id="18"/>
      <w:r/>
      <w:r/>
    </w:p>
    <w:p>
      <w:pPr>
        <w:ind w:firstLine="420"/>
        <w:spacing w:line="360" w:lineRule="auto"/>
        <w:rPr>
          <w:rFonts w:hint="eastAsia" w:ascii="宋体" w:hAnsi="宋体" w:cs="宋体"/>
          <w:color w:val="auto"/>
          <w:highlight w:val="none"/>
        </w:rPr>
      </w:pPr>
      <w:r/>
      <w:bookmarkStart w:id="19" w:name="_Toc28359082"/>
      <w:r/>
      <w:bookmarkStart w:id="20" w:name="_Toc28359005"/>
      <w:r/>
      <w:bookmarkStart w:id="21" w:name="_Toc35393624"/>
      <w:r/>
      <w:bookmarkStart w:id="22" w:name="_Toc35393793"/>
      <w:r/>
      <w:bookmarkStart w:id="23" w:name="_Toc38985266"/>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2.获取方式：本项目采用网上注册登记方式。</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3.潜在供应商访问政府采购管理交易系统（苏采云）的网络地址和方法：</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（3）“CA数字证书”的办理材料以及供应商操作手册详见：</w:t>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http://zfcg.yangzhou.gov.cn/xzzx/art/2023/art_4d7de1f7865f4a2894fc22bc452f94d8.html。</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（4）潜在供应商访问“苏采云”系统的网络地址和方法：“苏采云”系统的网址：http：//jszfcg.jsczt.cn/。</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（6）招标代理机构（采购代理机构）将数据电文形式的采购文件加载至“苏采云”系统，供潜在供应商下载或者查阅。     </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（7）苏采云系统使用谷歌浏览器参与不见面开标。</w:t>
      </w:r>
      <w:r/>
    </w:p>
    <w:p>
      <w:pPr>
        <w:ind w:firstLine="422"/>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四、提交投标文件</w:t>
      </w:r>
      <w:bookmarkEnd w:id="19"/>
      <w:r/>
      <w:bookmarkEnd w:id="20"/>
      <w:r>
        <w:rPr>
          <w:rFonts w:hint="eastAsia" w:ascii="宋体" w:hAnsi="宋体" w:cs="宋体"/>
          <w:b/>
          <w:bCs/>
          <w:color w:val="auto"/>
          <w:highlight w:val="none"/>
        </w:rPr>
        <w:t xml:space="preserve">截止时间、开标时间和地点</w:t>
      </w:r>
      <w:bookmarkEnd w:id="21"/>
      <w:r/>
      <w:bookmarkEnd w:id="22"/>
      <w:r/>
      <w:bookmarkEnd w:id="23"/>
      <w:r/>
      <w:r/>
    </w:p>
    <w:p>
      <w:pPr>
        <w:ind w:firstLine="420"/>
        <w:spacing w:line="360" w:lineRule="auto"/>
        <w:rPr>
          <w:rFonts w:hint="eastAsia" w:ascii="宋体" w:hAnsi="宋体" w:cs="宋体"/>
          <w:bCs/>
          <w:color w:val="auto"/>
          <w:szCs w:val="21"/>
          <w:highlight w:val="none"/>
          <w:u w:val="single"/>
        </w:rPr>
      </w:pPr>
      <w:r>
        <w:rPr>
          <w:rFonts w:hint="eastAsia" w:ascii="宋体" w:hAnsi="宋体" w:cs="宋体"/>
          <w:color w:val="auto"/>
          <w:highlight w:val="none"/>
        </w:rPr>
        <w:t xml:space="preserve">1.时间：2026年</w:t>
      </w: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月</w:t>
      </w:r>
      <w:r>
        <w:rPr>
          <w:rFonts w:hint="eastAsia" w:ascii="宋体" w:hAnsi="宋体" w:cs="宋体"/>
          <w:color w:val="auto"/>
          <w:highlight w:val="none"/>
          <w:lang w:val="en-US" w:eastAsia="zh-CN"/>
        </w:rPr>
        <w:t xml:space="preserve">15</w:t>
      </w:r>
      <w:r>
        <w:rPr>
          <w:rFonts w:hint="eastAsia" w:ascii="宋体" w:hAnsi="宋体" w:cs="宋体"/>
          <w:color w:val="auto"/>
          <w:highlight w:val="none"/>
        </w:rPr>
        <w:t xml:space="preserve">日上午9：30 （北京时间）</w:t>
      </w:r>
      <w:r/>
    </w:p>
    <w:p>
      <w:pPr>
        <w:ind w:firstLine="420"/>
        <w:spacing w:line="360" w:lineRule="auto"/>
        <w:rPr>
          <w:rFonts w:hint="eastAsia" w:ascii="宋体" w:hAnsi="宋体" w:cs="宋体"/>
          <w:b/>
          <w:color w:val="auto"/>
          <w:szCs w:val="21"/>
          <w:highlight w:val="none"/>
        </w:rPr>
      </w:pPr>
      <w:r>
        <w:rPr>
          <w:rFonts w:hint="eastAsia" w:ascii="宋体" w:hAnsi="宋体" w:cs="宋体"/>
          <w:color w:val="auto"/>
          <w:highlight w:val="none"/>
        </w:rPr>
        <w:t xml:space="preserve">2.开标地点：</w:t>
      </w:r>
      <w:r>
        <w:rPr>
          <w:rFonts w:hint="eastAsia" w:ascii="宋体" w:hAnsi="宋体" w:cs="宋体"/>
          <w:color w:val="auto"/>
          <w:szCs w:val="21"/>
          <w:highlight w:val="none"/>
        </w:rPr>
        <w:t xml:space="preserve">“苏采云”系统（网址：https：//jszfcg.jsczt.cn/）</w:t>
      </w:r>
      <w:r/>
    </w:p>
    <w:p>
      <w:pPr>
        <w:ind w:firstLine="422"/>
        <w:spacing w:line="360" w:lineRule="auto"/>
        <w:tabs>
          <w:tab w:val="left" w:pos="266" w:leader="none"/>
        </w:tabs>
        <w:rPr>
          <w:rFonts w:hint="eastAsia" w:ascii="宋体" w:hAnsi="宋体" w:cs="宋体"/>
          <w:b/>
          <w:bCs/>
          <w:color w:val="auto"/>
          <w:highlight w:val="none"/>
        </w:rPr>
      </w:pPr>
      <w:r/>
      <w:bookmarkStart w:id="24" w:name="_Toc35393625"/>
      <w:r/>
      <w:bookmarkStart w:id="25" w:name="_Toc28359007"/>
      <w:r/>
      <w:bookmarkStart w:id="26" w:name="_Toc38985267"/>
      <w:r/>
      <w:bookmarkStart w:id="27" w:name="_Toc35393794"/>
      <w:r/>
      <w:bookmarkStart w:id="28" w:name="_Toc28359084"/>
      <w:r>
        <w:rPr>
          <w:rFonts w:hint="eastAsia" w:ascii="宋体" w:hAnsi="宋体" w:cs="宋体"/>
          <w:b/>
          <w:bCs/>
          <w:color w:val="auto"/>
          <w:highlight w:val="none"/>
        </w:rPr>
        <w:t xml:space="preserve">五、公告期限</w:t>
      </w:r>
      <w:bookmarkEnd w:id="24"/>
      <w:r/>
      <w:bookmarkEnd w:id="25"/>
      <w:r/>
      <w:bookmarkEnd w:id="26"/>
      <w:r/>
      <w:bookmarkEnd w:id="27"/>
      <w:r/>
      <w:bookmarkEnd w:id="28"/>
      <w:r/>
      <w:r/>
    </w:p>
    <w:p>
      <w:pPr>
        <w:ind w:firstLine="420"/>
        <w:spacing w:line="360" w:lineRule="auto"/>
        <w:rPr>
          <w:rFonts w:hint="eastAsia" w:ascii="宋体" w:hAnsi="宋体" w:cs="宋体"/>
          <w:color w:val="auto"/>
          <w:highlight w:val="none"/>
        </w:rPr>
      </w:pPr>
      <w:r/>
      <w:bookmarkStart w:id="29" w:name="_Toc35393626"/>
      <w:r/>
      <w:bookmarkStart w:id="30" w:name="_Toc38985268"/>
      <w:r/>
      <w:bookmarkStart w:id="31" w:name="_Toc35393795"/>
      <w:r>
        <w:rPr>
          <w:rFonts w:hint="eastAsia" w:ascii="宋体" w:hAnsi="宋体" w:cs="宋体"/>
          <w:color w:val="auto"/>
          <w:highlight w:val="none"/>
        </w:rPr>
        <w:t xml:space="preserve">招标公告及招标文件公告期限为自本公告发布之日起5个工作日。</w:t>
      </w:r>
      <w:r/>
    </w:p>
    <w:p>
      <w:pPr>
        <w:ind w:firstLine="422"/>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六、其他补充事宜</w:t>
      </w:r>
      <w:bookmarkEnd w:id="29"/>
      <w:r/>
      <w:bookmarkEnd w:id="30"/>
      <w:r/>
      <w:bookmarkEnd w:id="31"/>
      <w:r/>
      <w:r/>
    </w:p>
    <w:p>
      <w:pPr>
        <w:ind w:firstLine="422"/>
        <w:spacing w:line="360" w:lineRule="auto"/>
        <w:rPr>
          <w:rFonts w:hint="eastAsia" w:ascii="宋体" w:hAnsi="宋体" w:cs="宋体"/>
          <w:b/>
          <w:bCs/>
          <w:color w:val="auto"/>
          <w:highlight w:val="none"/>
        </w:rPr>
      </w:pPr>
      <w:r/>
      <w:bookmarkStart w:id="32" w:name="_Toc28359085"/>
      <w:r/>
      <w:bookmarkStart w:id="33" w:name="_Toc35393796"/>
      <w:r/>
      <w:bookmarkStart w:id="34" w:name="_Toc38985269"/>
      <w:r/>
      <w:bookmarkStart w:id="35" w:name="_Toc35393627"/>
      <w:r/>
      <w:bookmarkStart w:id="36" w:name="_Toc28359008"/>
      <w:r>
        <w:rPr>
          <w:rFonts w:hint="eastAsia" w:ascii="宋体" w:hAnsi="宋体" w:cs="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hint="eastAsia" w:ascii="宋体" w:hAnsi="宋体" w:cs="宋体"/>
          <w:bCs/>
          <w:color w:val="auto"/>
          <w:highlight w:val="none"/>
        </w:rPr>
      </w:pPr>
      <w:r>
        <w:rPr>
          <w:rFonts w:hint="eastAsia" w:ascii="宋体" w:hAnsi="宋体" w:cs="宋体"/>
          <w:bCs/>
          <w:color w:val="auto"/>
          <w:szCs w:val="21"/>
          <w:highlight w:val="none"/>
        </w:rPr>
        <w:t xml:space="preserve">3.</w:t>
      </w:r>
      <w:r>
        <w:rPr>
          <w:rFonts w:hint="eastAsia" w:ascii="宋体" w:hAnsi="宋体" w:cs="宋体"/>
          <w:color w:val="auto"/>
          <w:highlight w:val="none"/>
        </w:rPr>
        <w:t xml:space="preserve">本次招标</w:t>
      </w:r>
      <w:r>
        <w:rPr>
          <w:rFonts w:hint="eastAsia" w:ascii="宋体" w:hAnsi="宋体" w:cs="宋体"/>
          <w:color w:val="auto"/>
          <w:highlight w:val="none"/>
          <w:u w:val="single"/>
        </w:rPr>
        <w:t xml:space="preserve">不收取</w:t>
      </w:r>
      <w:r>
        <w:rPr>
          <w:rFonts w:hint="eastAsia" w:ascii="宋体" w:hAnsi="宋体" w:cs="宋体"/>
          <w:color w:val="auto"/>
          <w:highlight w:val="none"/>
        </w:rPr>
        <w:t xml:space="preserve">投标保证金。</w:t>
      </w:r>
      <w:r/>
    </w:p>
    <w:p>
      <w:pPr>
        <w:ind w:firstLine="420"/>
        <w:spacing w:line="360" w:lineRule="auto"/>
        <w:rPr>
          <w:rFonts w:hint="eastAsia" w:ascii="宋体" w:hAnsi="宋体" w:cs="宋体"/>
          <w:bCs/>
          <w:color w:val="auto"/>
          <w:highlight w:val="none"/>
        </w:rPr>
      </w:pPr>
      <w:r>
        <w:rPr>
          <w:rFonts w:hint="eastAsia" w:ascii="宋体" w:hAnsi="宋体" w:cs="宋体"/>
          <w:color w:val="auto"/>
          <w:szCs w:val="21"/>
          <w:highlight w:val="none"/>
        </w:rPr>
        <w:t xml:space="preserve">4.</w:t>
      </w:r>
      <w:r>
        <w:rPr>
          <w:rFonts w:hint="eastAsia" w:ascii="宋体" w:hAnsi="宋体" w:cs="宋体"/>
          <w:bCs/>
          <w:color w:val="auto"/>
          <w:highlight w:val="none"/>
        </w:rPr>
        <w:t xml:space="preserve">有关本次招标的事项若存在变动或修改，敬请及时关注</w:t>
      </w:r>
      <w:r>
        <w:rPr>
          <w:rFonts w:hint="eastAsia" w:ascii="宋体" w:hAnsi="宋体" w:cs="宋体"/>
          <w:bCs/>
          <w:color w:val="auto"/>
          <w:szCs w:val="21"/>
          <w:highlight w:val="none"/>
        </w:rPr>
        <w:t xml:space="preserve">“扬州市政府采购网”、“江苏政府采购网”和“中国政府采购网”</w:t>
      </w:r>
      <w:r>
        <w:rPr>
          <w:rFonts w:hint="eastAsia" w:ascii="宋体" w:hAnsi="宋体" w:cs="宋体"/>
          <w:bCs/>
          <w:color w:val="auto"/>
          <w:highlight w:val="none"/>
        </w:rPr>
        <w:t xml:space="preserve">发布的信息。</w:t>
      </w:r>
      <w:r/>
    </w:p>
    <w:p>
      <w:pPr>
        <w:ind w:firstLine="422"/>
        <w:spacing w:line="360" w:lineRule="auto"/>
        <w:tabs>
          <w:tab w:val="left" w:pos="266" w:leader="none"/>
        </w:tabs>
        <w:rPr>
          <w:rFonts w:hint="eastAsia" w:ascii="宋体" w:hAnsi="宋体" w:cs="宋体"/>
          <w:b/>
          <w:i/>
          <w:iCs/>
          <w:color w:val="auto"/>
          <w:highlight w:val="none"/>
          <w:u w:val="single"/>
        </w:rPr>
      </w:pPr>
      <w:r>
        <w:rPr>
          <w:rFonts w:hint="eastAsia" w:ascii="宋体" w:hAnsi="宋体" w:cs="宋体"/>
          <w:b/>
          <w:i/>
          <w:iCs/>
          <w:color w:val="auto"/>
          <w:highlight w:val="none"/>
          <w:u w:val="single"/>
        </w:rPr>
        <w:t xml:space="preserve">5.本项目招标文件中所有斜体下划线部分为实质性条款，如不满足，则为无效投标。</w:t>
      </w:r>
      <w:r/>
    </w:p>
    <w:p>
      <w:pPr>
        <w:ind w:firstLine="42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6.如在开标时间发生系统崩溃等不可预见的情况，造成开评标活动无法正常进行的，将延迟开评标，具体开评标时间另行通知。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7.为落实好政府采购履约资金扶持政策，中标/成交供应商可凭政府采购合同办理融资贷款，详见江苏政府采购网“政采贷”专栏。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8.本项目严格执行政府采购关于支持节能产品、环境</w:t>
      </w:r>
      <w:r>
        <w:rPr>
          <w:rFonts w:hint="eastAsia" w:ascii="宋体" w:hAnsi="宋体" w:cs="宋体"/>
          <w:bCs/>
          <w:color w:val="auto"/>
          <w:highlight w:val="none"/>
        </w:rPr>
        <w:t xml:space="preserve">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9.供应商对于所投货物的包装应按照“财办库〔2020〕123号《关于印发《商品包装政府采购需求标准（试行）》、《快递包装政府采购需求标准（试行）》的通知》”执行。</w:t>
      </w:r>
      <w:r/>
    </w:p>
    <w:p>
      <w:pPr>
        <w:ind w:firstLine="422"/>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七、本次招标联系方式</w:t>
      </w:r>
      <w:bookmarkEnd w:id="32"/>
      <w:r/>
      <w:bookmarkEnd w:id="33"/>
      <w:r/>
      <w:bookmarkEnd w:id="34"/>
      <w:r/>
      <w:bookmarkEnd w:id="35"/>
      <w:r/>
      <w:bookmarkEnd w:id="36"/>
      <w:r/>
      <w:r/>
    </w:p>
    <w:p>
      <w:pPr>
        <w:ind w:firstLine="420"/>
        <w:jc w:val="left"/>
        <w:spacing w:line="360" w:lineRule="auto"/>
        <w:widowControl/>
        <w:rPr>
          <w:rFonts w:hint="eastAsia" w:ascii="宋体" w:hAnsi="宋体" w:cs="宋体"/>
          <w:color w:val="auto"/>
          <w:szCs w:val="21"/>
          <w:highlight w:val="none"/>
        </w:rPr>
      </w:pPr>
      <w:r/>
      <w:bookmarkStart w:id="37" w:name="_Toc28359010"/>
      <w:r/>
      <w:bookmarkStart w:id="38" w:name="_Toc28359087"/>
      <w:r>
        <w:rPr>
          <w:rFonts w:hint="eastAsia" w:ascii="宋体" w:hAnsi="宋体" w:cs="宋体"/>
          <w:color w:val="auto"/>
          <w:highlight w:val="none"/>
        </w:rPr>
        <w:t xml:space="preserve">1.采购人信息</w:t>
      </w:r>
      <w:r/>
    </w:p>
    <w:p>
      <w:pPr>
        <w:ind w:firstLine="420"/>
        <w:jc w:val="left"/>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名 称：</w:t>
      </w:r>
      <w:r>
        <w:rPr>
          <w:rFonts w:hint="eastAsia" w:ascii="宋体" w:hAnsi="宋体" w:cs="宋体"/>
          <w:color w:val="auto"/>
          <w:szCs w:val="21"/>
          <w:highlight w:val="none"/>
          <w:lang w:eastAsia="zh-CN"/>
        </w:rPr>
        <w:t xml:space="preserve">扬州市生态环境监测监控中心</w:t>
      </w:r>
      <w:r/>
    </w:p>
    <w:p>
      <w:pPr>
        <w:ind w:firstLine="420"/>
        <w:jc w:val="left"/>
        <w:spacing w:line="360" w:lineRule="auto"/>
        <w:rPr>
          <w:rFonts w:hint="eastAsia" w:ascii="宋体" w:hAnsi="宋体" w:cs="宋体"/>
          <w:color w:val="auto"/>
          <w:highlight w:val="none"/>
        </w:rPr>
      </w:pPr>
      <w:r/>
      <w:bookmarkStart w:id="39" w:name="_Toc28359086"/>
      <w:r/>
      <w:bookmarkStart w:id="40" w:name="_Toc28359009"/>
      <w:r>
        <w:rPr>
          <w:rFonts w:hint="eastAsia" w:ascii="宋体" w:hAnsi="宋体" w:cs="宋体"/>
          <w:color w:val="auto"/>
          <w:highlight w:val="none"/>
        </w:rPr>
        <w:t xml:space="preserve">地 址：扬州市邗江区维扬路555号 </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联系人：</w:t>
      </w:r>
      <w:r>
        <w:rPr>
          <w:rFonts w:hint="eastAsia" w:ascii="宋体" w:hAnsi="宋体"/>
          <w:color w:val="auto"/>
          <w:szCs w:val="21"/>
          <w:highlight w:val="none"/>
        </w:rPr>
        <w:t xml:space="preserve">吴</w:t>
      </w:r>
      <w:r>
        <w:rPr>
          <w:rFonts w:hint="eastAsia" w:ascii="宋体" w:hAnsi="宋体"/>
          <w:color w:val="auto"/>
          <w:szCs w:val="21"/>
          <w:highlight w:val="none"/>
          <w:lang w:val="en-US" w:eastAsia="zh-CN"/>
        </w:rPr>
        <w:t xml:space="preserve">永兵</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联系方式：0514-89336837</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2.采购代理机构信息</w:t>
      </w:r>
      <w:bookmarkEnd w:id="39"/>
      <w:r/>
      <w:bookmarkEnd w:id="40"/>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rPr>
          <w:rFonts w:hint="eastAsia" w:ascii="宋体" w:hAnsi="宋体" w:cs="宋体"/>
          <w:color w:val="auto"/>
          <w:szCs w:val="21"/>
          <w:highlight w:val="none"/>
        </w:rPr>
        <w:t xml:space="preserve">江苏苏维工程管理有限公司</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szCs w:val="21"/>
          <w:highlight w:val="none"/>
        </w:rPr>
        <w:t xml:space="preserve">扬州市邗江区翠岗路48号</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联系人：</w:t>
      </w:r>
      <w:r>
        <w:rPr>
          <w:rFonts w:hint="eastAsia" w:ascii="宋体" w:hAnsi="宋体" w:cs="宋体"/>
          <w:color w:val="auto"/>
          <w:highlight w:val="none"/>
          <w:lang w:val="en-US" w:eastAsia="zh-CN"/>
        </w:rPr>
        <w:t xml:space="preserve">赵凌云、</w:t>
      </w:r>
      <w:r>
        <w:rPr>
          <w:rFonts w:hint="eastAsia" w:ascii="宋体" w:hAnsi="宋体" w:cs="宋体"/>
          <w:color w:val="auto"/>
          <w:szCs w:val="21"/>
          <w:highlight w:val="none"/>
        </w:rPr>
        <w:t xml:space="preserve">阮玉婷</w:t>
      </w:r>
      <w:r/>
    </w:p>
    <w:p>
      <w:pPr>
        <w:ind w:firstLine="420"/>
        <w:rPr>
          <w:rFonts w:hint="eastAsia" w:ascii="宋体" w:hAnsi="宋体" w:cs="宋体"/>
          <w:bCs/>
          <w:color w:val="auto"/>
          <w:szCs w:val="21"/>
          <w:highlight w:val="none"/>
        </w:rPr>
      </w:pPr>
      <w:r>
        <w:rPr>
          <w:rFonts w:hint="eastAsia" w:ascii="宋体" w:hAnsi="宋体" w:cs="宋体"/>
          <w:color w:val="auto"/>
          <w:highlight w:val="none"/>
        </w:rPr>
        <w:t xml:space="preserve">联系方式：</w:t>
      </w:r>
      <w:r>
        <w:rPr>
          <w:rFonts w:hint="eastAsia" w:ascii="宋体" w:hAnsi="宋体" w:cs="宋体"/>
          <w:color w:val="auto"/>
          <w:szCs w:val="21"/>
          <w:highlight w:val="none"/>
        </w:rPr>
        <w:t xml:space="preserve">0514-82129116</w:t>
      </w:r>
      <w:bookmarkEnd w:id="37"/>
      <w:r/>
      <w:bookmarkEnd w:id="38"/>
      <w:r/>
      <w:bookmarkStart w:id="41" w:name="_Toc55204178"/>
      <w:r/>
      <w:r/>
    </w:p>
    <w:p>
      <w:pPr>
        <w:rPr>
          <w:color w:val="auto"/>
          <w:highlight w:val="none"/>
        </w:rPr>
      </w:pPr>
      <w:r/>
      <w:bookmarkStart w:id="42" w:name="_Toc10032"/>
      <w:r>
        <w:rPr>
          <w:rFonts w:hint="eastAsia"/>
          <w:color w:val="auto"/>
          <w:highlight w:val="none"/>
        </w:rPr>
        <w:br w:type="page" w:clear="all"/>
      </w:r>
      <w:r/>
    </w:p>
    <w:p>
      <w:pPr>
        <w:pStyle w:val="732"/>
        <w:rPr>
          <w:color w:val="auto"/>
          <w:highlight w:val="none"/>
        </w:rPr>
      </w:pPr>
      <w:r>
        <w:rPr>
          <w:rFonts w:hint="eastAsia"/>
          <w:color w:val="auto"/>
          <w:highlight w:val="none"/>
        </w:rPr>
        <w:t xml:space="preserve">第二章 投标人须知</w:t>
      </w:r>
      <w:bookmarkEnd w:id="41"/>
      <w:r/>
      <w:bookmarkEnd w:id="42"/>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1、招标方式</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1.1 本次招标采取公开招标方式，本招标文件仅适用于</w:t>
      </w:r>
      <w:r>
        <w:rPr>
          <w:rFonts w:hint="eastAsia" w:ascii="宋体" w:hAnsi="宋体" w:cs="宋体"/>
          <w:bCs/>
          <w:color w:val="auto"/>
          <w:szCs w:val="21"/>
          <w:highlight w:val="none"/>
          <w:lang w:eastAsia="zh-CN"/>
        </w:rPr>
        <w:t xml:space="preserve">JSZC-321000-SWGC-G2026-0125</w:t>
      </w:r>
      <w:r>
        <w:rPr>
          <w:rFonts w:hint="eastAsia" w:ascii="宋体" w:hAnsi="宋体" w:cs="宋体"/>
          <w:bCs/>
          <w:color w:val="auto"/>
          <w:szCs w:val="21"/>
          <w:highlight w:val="none"/>
        </w:rPr>
        <w:t xml:space="preserve">项目。</w:t>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2、投标人</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2.2合格的投标人</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2.2.1 满足招标公告中供应商的资格条件要求的规定。</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2.2.2 满足本文件实质性条款的规定。</w:t>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3、适用法律</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3.2 在本项目政府采购活动过程中，如果所执行的标准有更新的，按照最新标准执行。</w:t>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4、投标费用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4.2本次采购预算中已包含</w:t>
      </w:r>
      <w:r>
        <w:rPr>
          <w:rFonts w:hint="eastAsia" w:ascii="宋体" w:hAnsi="宋体" w:cs="宋体"/>
          <w:b/>
          <w:bCs/>
          <w:color w:val="auto"/>
          <w:szCs w:val="21"/>
          <w:highlight w:val="none"/>
          <w:lang w:val="en-US" w:eastAsia="zh-CN"/>
        </w:rPr>
        <w:t xml:space="preserve">代理服务费。收费标准</w:t>
      </w:r>
      <w:r>
        <w:rPr>
          <w:rFonts w:hint="eastAsia" w:ascii="宋体" w:hAnsi="宋体" w:cs="宋体"/>
          <w:b/>
          <w:bCs/>
          <w:color w:val="auto"/>
          <w:szCs w:val="21"/>
          <w:highlight w:val="none"/>
        </w:rPr>
        <w:t xml:space="preserve">参照《招标代理服务收费管理暂行办法》(计价格【2002】1980号文)货物类标准</w:t>
      </w:r>
      <w:r>
        <w:rPr>
          <w:rFonts w:hint="eastAsia" w:ascii="宋体" w:hAnsi="宋体" w:cs="宋体"/>
          <w:b/>
          <w:bCs/>
          <w:color w:val="auto"/>
          <w:szCs w:val="21"/>
          <w:highlight w:val="none"/>
          <w:lang w:val="en-US" w:eastAsia="zh-CN"/>
        </w:rPr>
        <w:t xml:space="preserve">八</w:t>
      </w:r>
      <w:r>
        <w:rPr>
          <w:rFonts w:hint="eastAsia" w:ascii="宋体" w:hAnsi="宋体" w:cs="宋体"/>
          <w:b/>
          <w:bCs/>
          <w:color w:val="auto"/>
          <w:szCs w:val="21"/>
          <w:highlight w:val="none"/>
        </w:rPr>
        <w:t xml:space="preserve">折计取，投标报价应包含代理服务费，由中标人支付给代理机构。</w:t>
      </w:r>
      <w:r/>
    </w:p>
    <w:tbl>
      <w:tblPr>
        <w:tblStyle w:val="7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88"/>
        <w:gridCol w:w="2687"/>
        <w:gridCol w:w="2238"/>
      </w:tblGrid>
      <w:tr>
        <w:trPr>
          <w:jc w:val="center"/>
          <w:trHeight w:val="317"/>
        </w:trPr>
        <w:tc>
          <w:tcPr>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jc w:val="center"/>
              <w:spacing w:line="360" w:lineRule="auto"/>
              <w:widowControl/>
              <w:rPr>
                <w:color w:val="auto"/>
                <w:szCs w:val="21"/>
                <w:highlight w:val="none"/>
              </w:rPr>
            </w:pPr>
            <w:r>
              <w:rPr>
                <w:rFonts w:hint="eastAsia" w:hAnsi="宋体"/>
                <w:color w:val="auto"/>
                <w:szCs w:val="21"/>
                <w:highlight w:val="none"/>
                <w:lang w:val="en-US" w:eastAsia="zh-CN"/>
              </w:rPr>
              <w:t xml:space="preserve">中标</w:t>
            </w:r>
            <w:r>
              <w:rPr>
                <w:rFonts w:hAnsi="宋体"/>
                <w:color w:val="auto"/>
                <w:szCs w:val="21"/>
                <w:highlight w:val="none"/>
              </w:rPr>
              <w:t xml:space="preserve">价</w:t>
            </w:r>
            <w:r/>
          </w:p>
        </w:tc>
        <w:tc>
          <w:tcPr>
            <w:tcBorders>
              <w:top w:val="single" w:color="auto" w:sz="4" w:space="0"/>
              <w:left w:val="single" w:color="auto" w:sz="4" w:space="0"/>
              <w:bottom w:val="single" w:color="auto" w:sz="4" w:space="0"/>
              <w:right w:val="single" w:color="auto" w:sz="4" w:space="0"/>
            </w:tcBorders>
            <w:tcW w:w="2687" w:type="dxa"/>
            <w:vAlign w:val="center"/>
            <w:textDirection w:val="lrTb"/>
            <w:noWrap w:val="false"/>
          </w:tcPr>
          <w:p>
            <w:pPr>
              <w:ind w:firstLine="105"/>
              <w:jc w:val="center"/>
              <w:spacing w:line="360" w:lineRule="auto"/>
              <w:widowControl/>
              <w:rPr>
                <w:color w:val="auto"/>
                <w:szCs w:val="21"/>
                <w:highlight w:val="none"/>
              </w:rPr>
            </w:pPr>
            <w:r>
              <w:rPr>
                <w:rFonts w:hAnsi="宋体"/>
                <w:color w:val="auto"/>
                <w:szCs w:val="21"/>
                <w:highlight w:val="none"/>
              </w:rPr>
              <w:t xml:space="preserve">标准费率（差额</w:t>
            </w:r>
            <w:r>
              <w:rPr>
                <w:rFonts w:hint="eastAsia" w:hAnsi="宋体"/>
                <w:color w:val="auto"/>
                <w:szCs w:val="21"/>
                <w:highlight w:val="none"/>
              </w:rPr>
              <w:t xml:space="preserve">累进</w:t>
            </w:r>
            <w:r>
              <w:rPr>
                <w:rFonts w:hAnsi="宋体"/>
                <w:color w:val="auto"/>
                <w:szCs w:val="21"/>
                <w:highlight w:val="none"/>
              </w:rPr>
              <w:t xml:space="preserve">计算）</w:t>
            </w:r>
            <w:r/>
          </w:p>
        </w:tc>
        <w:tc>
          <w:tcPr>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firstLine="105"/>
              <w:jc w:val="center"/>
              <w:spacing w:line="360" w:lineRule="auto"/>
              <w:widowControl/>
              <w:rPr>
                <w:color w:val="auto"/>
                <w:szCs w:val="21"/>
                <w:highlight w:val="none"/>
              </w:rPr>
            </w:pPr>
            <w:r>
              <w:rPr>
                <w:rFonts w:hint="eastAsia"/>
                <w:color w:val="auto"/>
                <w:szCs w:val="21"/>
                <w:highlight w:val="none"/>
              </w:rPr>
              <w:t xml:space="preserve">服务费金额</w:t>
            </w:r>
            <w:r/>
          </w:p>
        </w:tc>
      </w:tr>
      <w:tr>
        <w:trPr>
          <w:jc w:val="center"/>
          <w:trHeight w:val="330"/>
        </w:trPr>
        <w:tc>
          <w:tcPr>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100</w:t>
            </w:r>
            <w:r>
              <w:rPr>
                <w:rFonts w:hAnsi="宋体"/>
                <w:color w:val="auto"/>
                <w:szCs w:val="21"/>
                <w:highlight w:val="none"/>
              </w:rPr>
              <w:t xml:space="preserve">万元以下</w:t>
            </w:r>
            <w:r/>
          </w:p>
        </w:tc>
        <w:tc>
          <w:tcPr>
            <w:tcBorders>
              <w:top w:val="single" w:color="auto" w:sz="4" w:space="0"/>
              <w:left w:val="single" w:color="auto" w:sz="4" w:space="0"/>
              <w:bottom w:val="single" w:color="auto" w:sz="4" w:space="0"/>
              <w:right w:val="single" w:color="auto" w:sz="4" w:space="0"/>
            </w:tcBorders>
            <w:tcW w:w="2687" w:type="dxa"/>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1.5%</w:t>
            </w:r>
            <w:r/>
          </w:p>
        </w:tc>
        <w:tc>
          <w:tcPr>
            <w:tcBorders>
              <w:top w:val="single" w:color="auto" w:sz="4" w:space="0"/>
              <w:left w:val="single" w:color="auto" w:sz="4" w:space="0"/>
              <w:right w:val="single" w:color="auto" w:sz="4" w:space="0"/>
            </w:tcBorders>
            <w:tcW w:w="2238" w:type="dxa"/>
            <w:vAlign w:val="center"/>
            <w:vMerge w:val="restart"/>
            <w:textDirection w:val="lrTb"/>
            <w:noWrap w:val="false"/>
          </w:tcPr>
          <w:p>
            <w:pPr>
              <w:spacing w:line="360" w:lineRule="auto"/>
              <w:widowControl/>
              <w:rPr>
                <w:color w:val="auto"/>
                <w:szCs w:val="21"/>
                <w:highlight w:val="none"/>
              </w:rPr>
            </w:pPr>
            <w:r>
              <w:rPr>
                <w:rFonts w:hint="eastAsia" w:hAnsi="宋体"/>
                <w:color w:val="auto"/>
                <w:szCs w:val="21"/>
                <w:highlight w:val="none"/>
              </w:rPr>
              <w:t xml:space="preserve">代理服务费金额为</w:t>
            </w:r>
            <w:r>
              <w:rPr>
                <w:rFonts w:hAnsi="宋体"/>
                <w:color w:val="auto"/>
                <w:szCs w:val="21"/>
                <w:highlight w:val="none"/>
              </w:rPr>
              <w:t xml:space="preserve">标准收费的</w:t>
            </w:r>
            <w:r>
              <w:rPr>
                <w:rFonts w:hint="eastAsia" w:hAnsi="宋体"/>
                <w:color w:val="auto"/>
                <w:szCs w:val="21"/>
                <w:highlight w:val="none"/>
              </w:rPr>
              <w:t xml:space="preserve">80</w:t>
            </w:r>
            <w:r>
              <w:rPr>
                <w:rFonts w:hAnsi="宋体"/>
                <w:color w:val="auto"/>
                <w:szCs w:val="21"/>
                <w:highlight w:val="none"/>
              </w:rPr>
              <w:t xml:space="preserve">%</w:t>
            </w:r>
            <w:r>
              <w:rPr>
                <w:rFonts w:hint="eastAsia" w:hAnsi="宋体"/>
                <w:color w:val="auto"/>
                <w:szCs w:val="21"/>
                <w:highlight w:val="none"/>
              </w:rPr>
              <w:t xml:space="preserve">，不满叁仟元按叁仟元计取。</w:t>
            </w:r>
            <w:r/>
          </w:p>
        </w:tc>
      </w:tr>
      <w:tr>
        <w:trPr>
          <w:jc w:val="center"/>
          <w:trHeight w:val="266"/>
        </w:trPr>
        <w:tc>
          <w:tcPr>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100</w:t>
            </w:r>
            <w:r>
              <w:rPr>
                <w:rFonts w:hAnsi="宋体"/>
                <w:color w:val="auto"/>
                <w:szCs w:val="21"/>
                <w:highlight w:val="none"/>
              </w:rPr>
              <w:t xml:space="preserve">～</w:t>
            </w:r>
            <w:r>
              <w:rPr>
                <w:color w:val="auto"/>
                <w:szCs w:val="21"/>
                <w:highlight w:val="none"/>
              </w:rPr>
              <w:t xml:space="preserve">500</w:t>
            </w:r>
            <w:r>
              <w:rPr>
                <w:rFonts w:hAnsi="宋体"/>
                <w:color w:val="auto"/>
                <w:szCs w:val="21"/>
                <w:highlight w:val="none"/>
              </w:rPr>
              <w:t xml:space="preserve">万元</w:t>
            </w:r>
            <w:r/>
          </w:p>
        </w:tc>
        <w:tc>
          <w:tcPr>
            <w:tcBorders>
              <w:top w:val="single" w:color="auto" w:sz="4" w:space="0"/>
              <w:left w:val="single" w:color="auto" w:sz="4" w:space="0"/>
              <w:bottom w:val="single" w:color="auto" w:sz="4" w:space="0"/>
              <w:right w:val="single" w:color="auto" w:sz="4" w:space="0"/>
            </w:tcBorders>
            <w:tcW w:w="2687"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rPr>
              <w:t xml:space="preserve">1.1</w:t>
            </w:r>
            <w:r>
              <w:rPr>
                <w:color w:val="auto"/>
                <w:szCs w:val="21"/>
                <w:highlight w:val="none"/>
              </w:rPr>
              <w:t xml:space="preserve">%</w:t>
            </w:r>
            <w:r/>
          </w:p>
        </w:tc>
        <w:tc>
          <w:tcPr>
            <w:tcBorders>
              <w:left w:val="single" w:color="auto" w:sz="4" w:space="0"/>
              <w:right w:val="single" w:color="auto" w:sz="4" w:space="0"/>
            </w:tcBorders>
            <w:tcW w:w="2238" w:type="dxa"/>
            <w:vAlign w:val="center"/>
            <w:vMerge w:val="continue"/>
            <w:textDirection w:val="lrTb"/>
            <w:noWrap w:val="false"/>
          </w:tcPr>
          <w:p>
            <w:pPr>
              <w:ind w:firstLine="210"/>
              <w:jc w:val="center"/>
              <w:spacing w:line="360" w:lineRule="auto"/>
              <w:widowControl/>
              <w:rPr>
                <w:color w:val="auto"/>
                <w:szCs w:val="21"/>
                <w:highlight w:val="none"/>
              </w:rPr>
            </w:pPr>
            <w:r>
              <w:rPr>
                <w:color w:val="auto"/>
                <w:szCs w:val="21"/>
                <w:highlight w:val="none"/>
              </w:rPr>
            </w:r>
            <w:r/>
          </w:p>
        </w:tc>
      </w:tr>
      <w:tr>
        <w:trPr>
          <w:jc w:val="center"/>
          <w:trHeight w:val="90"/>
        </w:trPr>
        <w:tc>
          <w:tcPr>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500</w:t>
            </w:r>
            <w:r>
              <w:rPr>
                <w:rFonts w:hAnsi="宋体"/>
                <w:color w:val="auto"/>
                <w:szCs w:val="21"/>
                <w:highlight w:val="none"/>
              </w:rPr>
              <w:t xml:space="preserve">～</w:t>
            </w:r>
            <w:r>
              <w:rPr>
                <w:color w:val="auto"/>
                <w:szCs w:val="21"/>
                <w:highlight w:val="none"/>
              </w:rPr>
              <w:t xml:space="preserve">1000</w:t>
            </w:r>
            <w:r>
              <w:rPr>
                <w:rFonts w:hAnsi="宋体"/>
                <w:color w:val="auto"/>
                <w:szCs w:val="21"/>
                <w:highlight w:val="none"/>
              </w:rPr>
              <w:t xml:space="preserve">万元</w:t>
            </w:r>
            <w:r/>
          </w:p>
        </w:tc>
        <w:tc>
          <w:tcPr>
            <w:tcBorders>
              <w:top w:val="single" w:color="auto" w:sz="4" w:space="0"/>
              <w:left w:val="single" w:color="auto" w:sz="4" w:space="0"/>
              <w:bottom w:val="single" w:color="auto" w:sz="4" w:space="0"/>
              <w:right w:val="single" w:color="auto" w:sz="4" w:space="0"/>
            </w:tcBorders>
            <w:tcW w:w="2687"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rPr>
              <w:t xml:space="preserve">0.8</w:t>
            </w:r>
            <w:r>
              <w:rPr>
                <w:color w:val="auto"/>
                <w:szCs w:val="21"/>
                <w:highlight w:val="none"/>
              </w:rPr>
              <w:t xml:space="preserve">%</w:t>
            </w:r>
            <w:r/>
          </w:p>
        </w:tc>
        <w:tc>
          <w:tcPr>
            <w:tcBorders>
              <w:left w:val="single" w:color="auto" w:sz="4" w:space="0"/>
              <w:right w:val="single" w:color="auto" w:sz="4" w:space="0"/>
            </w:tcBorders>
            <w:tcW w:w="2238" w:type="dxa"/>
            <w:vAlign w:val="center"/>
            <w:vMerge w:val="continue"/>
            <w:textDirection w:val="lrTb"/>
            <w:noWrap w:val="false"/>
          </w:tcPr>
          <w:p>
            <w:pPr>
              <w:jc w:val="center"/>
              <w:spacing w:line="360" w:lineRule="auto"/>
              <w:widowControl/>
              <w:rPr>
                <w:color w:val="auto"/>
                <w:szCs w:val="21"/>
                <w:highlight w:val="none"/>
              </w:rPr>
            </w:pPr>
            <w:r>
              <w:rPr>
                <w:color w:val="auto"/>
                <w:szCs w:val="21"/>
                <w:highlight w:val="none"/>
              </w:rPr>
            </w:r>
            <w:r/>
          </w:p>
        </w:tc>
      </w:tr>
    </w:tbl>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（1）代理服务费以人民币支付；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（2）代理服务费一次性以电汇或转账等非现金形式支付。</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（3）代理服务费不在报价中单列，由</w:t>
      </w:r>
      <w:r>
        <w:rPr>
          <w:rFonts w:hint="eastAsia" w:ascii="宋体" w:hAnsi="宋体" w:cs="宋体"/>
          <w:color w:val="auto"/>
          <w:szCs w:val="21"/>
          <w:highlight w:val="none"/>
          <w:lang w:val="en-US" w:eastAsia="zh-CN"/>
        </w:rPr>
        <w:t xml:space="preserve">中标</w:t>
      </w:r>
      <w:r>
        <w:rPr>
          <w:rFonts w:hint="eastAsia" w:ascii="宋体" w:hAnsi="宋体" w:cs="宋体"/>
          <w:color w:val="auto"/>
          <w:szCs w:val="21"/>
          <w:highlight w:val="none"/>
        </w:rPr>
        <w:t xml:space="preserve">人支付给代理机构。</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代理服务费开户银行：中国工商银行扬州雍华府支行</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               开户名称：江苏苏维工程管理有限公司</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               开户账号：1108020819100000612</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4.3专家评审费按照《扬州市财政局关于进一步规范扬州市政府采购专家评审费标准的通知》（扬财购〔2020〕40号）执行</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由采购人支付</w:t>
      </w:r>
      <w:r>
        <w:rPr>
          <w:rFonts w:hint="eastAsia" w:ascii="宋体" w:hAnsi="宋体" w:cs="宋体"/>
          <w:b/>
          <w:bCs/>
          <w:color w:val="auto"/>
          <w:szCs w:val="21"/>
          <w:highlight w:val="none"/>
        </w:rPr>
        <w:t xml:space="preserve">。</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5、招标文件的约束力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6、招标文件构成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6.1 招标文件有以下部分组成：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（1）招标公告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（3）合同条款及格式</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（4）项目需求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7、招标文件的澄清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8、招标文件的修改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8.1 在投标截止时间前，代理机构可以对招标文件进行修改。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8.3招标文件的修改将在“扬州市政府采购网”、“江苏政府采购网”和“中国政府采购网”公布，补充文件将作为招标文件的组成部分，并对投标人具有约束力。</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9、投标文件的语言、度量衡单位、货币</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10、投标文件构成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10.1投标文件由以下部分组成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（1）资格审查响应对照表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（2）符合性审查响应对照表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（3）非实质性响应对照表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（4）开标一览表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（5）分项报价表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（6）技术参数响应及偏离表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（7）商务条款响应及偏离表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（8）其他 （投标人认为有必要提供的声明和文件，如有自拟并自行添加）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10.3如标书制作工具中格式和内容与“扬州市政府采购网”“江苏政府采购网”“中国政府采购网”发布的招标文件不一致，请以“扬州市政府采购网”“江苏政府采购网”“中国政府采购网”发布的招标文件为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11、证明投标人资格及符合招标文件规定的文件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11.4投标人应提交根据合同要求提供的证明服务质量合格以及符合招标文件规定的证明文件。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11.5证明投标人所提供服务与招标文件的要求相一致的文件可以是手册、图纸、文字资料和数据。</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12、投标配置与分项报价表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12.2 标的物</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采购人需求的货物和服务供应、安装，调试及有关技术服务等。</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12.3有关费用处理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招标报价采用总承包方式，投标人的报价应包括所投货物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12.4其它费用处理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招标文件未列明，而投标人认为必需的费用也需列入报价。</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12.5投标货币</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12.6 投标配置与分项报价表上的价格应按下列方式分开填写：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2、项目单价按投标配置及分项报价表中要求填报。</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13、技术参数响应及偏离表、商务条款响应及偏离表及投标货物说明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13.2 提供参加本项目类似案例简介；</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13.3 培训计划；</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13.4 详细阐述所投货物的主要组成部分、功能设计、实现思路及关键技术；</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13.5 投标人认为需要的其他技术文件或说明。</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14、服务承诺及售后服务机构、人员的情况介绍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14.1投标人的服务承诺应按不低于招标文件中商务要求的标准。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15、投标函和开标一览表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16、投标有效期</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cs="宋体"/>
          <w:b/>
          <w:color w:val="auto"/>
          <w:szCs w:val="21"/>
          <w:highlight w:val="none"/>
        </w:rPr>
      </w:pPr>
      <w:r/>
      <w:bookmarkStart w:id="43" w:name="_Toc16938541"/>
      <w:r/>
      <w:bookmarkStart w:id="44" w:name="_Toc462564084"/>
      <w:r/>
      <w:bookmarkStart w:id="45" w:name="_Toc20823297"/>
      <w:r/>
      <w:bookmarkStart w:id="46" w:name="_Toc513029225"/>
      <w:r>
        <w:rPr>
          <w:rFonts w:hint="eastAsia" w:ascii="宋体" w:hAnsi="宋体" w:cs="宋体"/>
          <w:b/>
          <w:color w:val="auto"/>
          <w:szCs w:val="21"/>
          <w:highlight w:val="none"/>
        </w:rPr>
        <w:t xml:space="preserve">17、投标文件</w:t>
      </w:r>
      <w:bookmarkEnd w:id="43"/>
      <w:r/>
      <w:bookmarkEnd w:id="44"/>
      <w:r/>
      <w:bookmarkEnd w:id="45"/>
      <w:r/>
      <w:bookmarkEnd w:id="46"/>
      <w:r>
        <w:rPr>
          <w:rFonts w:hint="eastAsia" w:ascii="宋体" w:hAnsi="宋体" w:cs="宋体"/>
          <w:b/>
          <w:color w:val="auto"/>
          <w:szCs w:val="21"/>
          <w:highlight w:val="none"/>
        </w:rPr>
        <w:t xml:space="preserve">的递交</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bookmarkStart w:id="47" w:name="_Toc20823298"/>
      <w:r/>
      <w:bookmarkStart w:id="48" w:name="_Toc513029226"/>
      <w:r/>
      <w:bookmarkStart w:id="49" w:name="_Toc16938542"/>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17.2政府采购管理交易系统（苏采云）相关要求是本招标文件的组成部分。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17.3投标人应对 CA 证书妥善保管，如被他人盗用投标，因此带来的结果均由投标人自行承担。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17.4投标人应当对招标文件提出的要求和条件作出实质性响应，并在电子投标系统逐条应答。</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17.5投标人应对要求提供的资格证明文件（如资质证书、资格证书）、技术资料（如白皮书、彩页、手册、检测报告等）扫描上传至投标系统。</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hint="eastAsia" w:ascii="宋体" w:hAnsi="宋体" w:cs="宋体"/>
          <w:bCs/>
          <w:color w:val="auto"/>
          <w:highlight w:val="none"/>
        </w:rPr>
      </w:pPr>
      <w:r>
        <w:rPr>
          <w:rFonts w:hint="eastAsia" w:ascii="宋体" w:hAnsi="宋体" w:cs="宋体"/>
          <w:bCs/>
          <w:color w:val="auto"/>
          <w:szCs w:val="21"/>
          <w:highlight w:val="none"/>
        </w:rPr>
        <w:t xml:space="preserve">17.7各投标人应在规定时间内凭CA证书进行网上解密。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18、投标截止日期</w:t>
      </w:r>
      <w:bookmarkEnd w:id="47"/>
      <w:r/>
      <w:bookmarkEnd w:id="48"/>
      <w:r/>
      <w:bookmarkEnd w:id="49"/>
      <w:r/>
      <w:r/>
    </w:p>
    <w:p>
      <w:pPr>
        <w:ind w:firstLine="420"/>
        <w:spacing w:line="360" w:lineRule="auto"/>
        <w:rPr>
          <w:rFonts w:hint="eastAsia" w:ascii="宋体" w:hAnsi="宋体" w:cs="宋体"/>
          <w:bCs/>
          <w:i/>
          <w:iCs/>
          <w:color w:val="auto"/>
          <w:szCs w:val="21"/>
          <w:highlight w:val="none"/>
          <w:u w:val="single"/>
        </w:rPr>
      </w:pPr>
      <w:r>
        <w:rPr>
          <w:rFonts w:hint="eastAsia" w:ascii="宋体" w:hAnsi="宋体" w:cs="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cs="宋体"/>
          <w:b/>
          <w:color w:val="auto"/>
          <w:szCs w:val="21"/>
          <w:highlight w:val="none"/>
        </w:rPr>
      </w:pPr>
      <w:r/>
      <w:bookmarkStart w:id="50" w:name="_Toc16938543"/>
      <w:r/>
      <w:bookmarkStart w:id="51" w:name="_Toc20823299"/>
      <w:r/>
      <w:bookmarkStart w:id="52" w:name="_Toc513029227"/>
      <w:r>
        <w:rPr>
          <w:rFonts w:hint="eastAsia" w:ascii="宋体" w:hAnsi="宋体" w:cs="宋体"/>
          <w:b/>
          <w:color w:val="auto"/>
          <w:szCs w:val="21"/>
          <w:highlight w:val="none"/>
        </w:rPr>
        <w:t xml:space="preserve">19、投标文件</w:t>
      </w:r>
      <w:bookmarkEnd w:id="50"/>
      <w:r/>
      <w:bookmarkEnd w:id="51"/>
      <w:r/>
      <w:bookmarkEnd w:id="52"/>
      <w:r>
        <w:rPr>
          <w:rFonts w:hint="eastAsia" w:ascii="宋体" w:hAnsi="宋体" w:cs="宋体"/>
          <w:b/>
          <w:color w:val="auto"/>
          <w:szCs w:val="21"/>
          <w:highlight w:val="none"/>
        </w:rPr>
        <w:t xml:space="preserve">的拒收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spacing w:line="360" w:lineRule="auto"/>
        <w:rPr>
          <w:rFonts w:hint="eastAsia" w:ascii="宋体" w:hAnsi="宋体" w:cs="宋体"/>
          <w:b/>
          <w:color w:val="auto"/>
          <w:szCs w:val="21"/>
          <w:highlight w:val="none"/>
        </w:rPr>
      </w:pPr>
      <w:r/>
      <w:bookmarkStart w:id="53" w:name="_Toc513029228"/>
      <w:r/>
      <w:bookmarkStart w:id="54" w:name="_Toc20823300"/>
      <w:r/>
      <w:bookmarkStart w:id="55" w:name="_Toc16938544"/>
      <w:r>
        <w:rPr>
          <w:rFonts w:hint="eastAsia" w:ascii="宋体" w:hAnsi="宋体" w:cs="宋体"/>
          <w:b/>
          <w:color w:val="auto"/>
          <w:szCs w:val="21"/>
          <w:highlight w:val="none"/>
        </w:rPr>
        <w:t xml:space="preserve">20、投标文件的撤回和修改</w:t>
      </w:r>
      <w:bookmarkEnd w:id="53"/>
      <w:r/>
      <w:bookmarkEnd w:id="54"/>
      <w:r/>
      <w:bookmarkEnd w:id="55"/>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20.3 在投标截止时间之后，投标人不得对其电子投标文件作任何修改。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21、开标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代理机构将在招标公告中规定的时间和地点组织公开开标。投标人应当按照《操作手册》规定，参加开标活动和在苏采云系统规定的时间内对投标文件进行解密。投标人不足3家的，不得开标。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21.3投标人在开标过程中涉及到的投标文件解密、开标结果确认等工作，应按照《操作手册》规定执行。</w:t>
      </w:r>
      <w:r/>
    </w:p>
    <w:p>
      <w:pPr>
        <w:ind w:firstLine="420"/>
        <w:spacing w:line="360" w:lineRule="auto"/>
        <w:rPr>
          <w:rFonts w:hint="eastAsia" w:ascii="宋体" w:hAnsi="宋体" w:cs="宋体"/>
          <w:bCs/>
          <w:color w:val="auto"/>
          <w:szCs w:val="21"/>
          <w:highlight w:val="none"/>
        </w:rPr>
      </w:pPr>
      <w:r>
        <w:rPr>
          <w:rFonts w:hint="eastAsia"/>
          <w:b w:val="0"/>
          <w:bCs w:val="0"/>
          <w:color w:val="auto"/>
          <w:highlight w:val="none"/>
        </w:rPr>
        <w:t xml:space="preserve">21.</w:t>
      </w:r>
      <w:r>
        <w:rPr>
          <w:rFonts w:hint="eastAsia"/>
          <w:b w:val="0"/>
          <w:bCs w:val="0"/>
          <w:color w:val="auto"/>
          <w:highlight w:val="none"/>
          <w:lang w:val="en-US" w:eastAsia="zh-CN"/>
        </w:rPr>
        <w:t xml:space="preserve">4</w:t>
      </w:r>
      <w:r>
        <w:rPr>
          <w:rFonts w:hint="eastAsia"/>
          <w:b w:val="0"/>
          <w:bCs w:val="0"/>
          <w:color w:val="auto"/>
          <w:highlight w:val="none"/>
        </w:rPr>
        <w:t xml:space="preserve">投标人如果对开标过程和开标记录有疑义，应当根据《操作手册》规定提出，如苏采云系统中《开标记录表》宣布后5分钟内未提出的，视同认可开标结果。</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22、评标委员会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 开标后，代理机构将立即组织评标委员会（以下简称评委会）进行评标。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 评委会由采购人代表和有关技术、经济等方面的专家组成，且人员构成符合政府采购有关规定。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22.3评委会独立工作，负责评审所有投标文件并确定中标候选人。</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23、评标过程的保密与公正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24、投标的澄清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24.3 接到评委会澄清要求的投标人如未按规定做出澄清，其风险由投标人自行承担。</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25、对投标文件的初审</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25.8 投标人在开、评标全过程中应保持通讯畅通，并安排专人与代理机构及评委会联系。</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25.9 异常低价投标审查</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25.9.1 评标过程中出现下列情形之一的，评标委员会应当启动异常低价投标审查程序：</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3.投标（响应）报价低于采购项目最高限价45%的，即投标（响应）报价&lt;采购项目最高限价×45%；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4.评审委员会基于专业判断，认为供应商报价过低，有可能影响产品质量或者不能诚信履约的其他情形。 </w:t>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25.9.2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 </w:t>
      </w:r>
      <w:r/>
    </w:p>
    <w:p>
      <w:pPr>
        <w:ind w:firstLine="422"/>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25.9.3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26、无效投标、废标及投标人不足三家的处理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26.1无效投标条款</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 投标人未成功解密电子投标文件的。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26.1.2 投标人未按照招标文件要求上传电子投标文件的。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26.1.3投标人在报价时采用选择性报价的。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26.1.4投标人不具备招标文件中规定资格要求的。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26.1.5投标人的报价超过了采购预算或最高限价的。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26.1.6未通过符合性审查的。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26.1.7不符合招标文件中规定的其他实质性要求和条件的（</w:t>
      </w:r>
      <w:r>
        <w:rPr>
          <w:rFonts w:hint="eastAsia" w:ascii="宋体" w:hAnsi="宋体" w:cs="宋体"/>
          <w:bCs/>
          <w:i/>
          <w:iCs/>
          <w:color w:val="auto"/>
          <w:szCs w:val="21"/>
          <w:highlight w:val="none"/>
          <w:u w:val="single"/>
        </w:rPr>
        <w:t xml:space="preserve">本招标文件中斜体且有下划线部分为实质性要求和条件</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26.1.9  投标文件含有采购人不能接受的附加条件的。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26.1.10 评标委员会按照本招标文件规定对投标人进行异常低价投标审查后，认为投标人不能证明其报价合理性的。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26.1.12 投标文件未按照招标文件要求加盖电子签章。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26.1.13  投标人所投标产品不符合招标文件中所列国家强制性标准的。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26.1.14其他法律、法规及本招标文件规定的属无效投标的情形。</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26.2.4评委会认定招标文件存在歧义、重大缺陷导致评审工作无法进行。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26.2.5 因苏采云系统故障原因造成开标不成功的。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27、确定中标单位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27.1评委会根据本招标文件规定评标方法与评标标准向采购人推荐出中标候选人。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 采购人应根据评委会推荐的中标候选人确定中标人。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27.3代理机构将在“扬州市政府采购网”、“江苏政府采购网”和“中国政府采购网”发布中标公告，公告期限为1个工作日。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27.4.1提供虚假材料谋取中标的；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27.4.4属于本文件规定的无效条件，但在评标过程中又未被评委会发现的；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27.4.5与采购人或者其他投标人恶意串通的；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27.4.6采取不正当手段诋毁、排挤其他供应商的；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27.4.7不符合法律、法规的规定的。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 有下列情形之一的，视为投标人串通投标，投标无效：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27.5.1不同投标人的投标文件由同一单位或者个人编制。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27.5.2不同投标人委托同一单位或者个人办理投标事宜。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27.5.3 不同投标人的投标文件载明的项目管理成员或者联系人员为同一人。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27.5.5不同投标人的投标文件相互混装。</w:t>
      </w:r>
      <w:r/>
    </w:p>
    <w:p>
      <w:pPr>
        <w:ind w:firstLine="422"/>
        <w:spacing w:line="360" w:lineRule="auto"/>
        <w:rPr>
          <w:rFonts w:hint="eastAsia" w:ascii="宋体" w:hAnsi="宋体" w:cs="宋体"/>
          <w:bCs/>
          <w:color w:val="auto"/>
          <w:szCs w:val="21"/>
          <w:highlight w:val="none"/>
        </w:rPr>
      </w:pPr>
      <w:r>
        <w:rPr>
          <w:rFonts w:hint="eastAsia" w:ascii="宋体" w:hAnsi="宋体" w:cs="宋体"/>
          <w:b/>
          <w:color w:val="auto"/>
          <w:szCs w:val="21"/>
          <w:highlight w:val="none"/>
        </w:rPr>
        <w:t xml:space="preserve">27.5.6经查实，不同投标人的电子投标文件出自同一台电脑的</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rPr>
        <w:t xml:space="preserve">不同投标人的标书制作工具客户端标识码存在一致的；不同投标人从同一互联网协议地址上传投标文件的。</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28、质疑处理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28.2.2对采购过程提出质疑的，为各采购程序环节结束之日起7个工作日内提出。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28.2.3对中标结果提出质疑的，为中标结果公告期限届满之日起7个工作日内提出。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28.5 采购人及代理机构只接收以纸质原件形式送达的质疑。同时需与采购代理机构经办人确认是否收到《质疑函》，如供应商未按上述要求去做，将自行承担所产生的风险。</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采购人质疑接收人及联系方式见招标文件第一章。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28.7质疑人应当在法定质疑期限内进行补正并重新提交质疑函。</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 以下情形的质疑不予受理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28.8.1 内容不符合《政府采购质疑和投诉办法》第十二条规定的质疑。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28.8.2 超出政府采购法定期限的质疑。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28.8.3 以传真、电子邮件等方式递交的非原件形式的质疑。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29、中标通知书</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29.l 中标结果确定后，代理机构将向中标人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30、 签订合同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30.l中标人应在中标通知书发出之日起三十日内，按照招标文件确定的事项与采购人签订政府采购合同。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30.3 合同在“政府采购管理交易系统（苏采云）”中签订，签订合同后，</w:t>
      </w:r>
      <w:r>
        <w:rPr>
          <w:rFonts w:hint="eastAsia" w:ascii="宋体" w:hAnsi="宋体" w:cs="宋体"/>
          <w:bCs/>
          <w:i/>
          <w:iCs/>
          <w:color w:val="auto"/>
          <w:szCs w:val="21"/>
          <w:highlight w:val="none"/>
          <w:u w:val="single"/>
        </w:rPr>
        <w:t xml:space="preserve">中标人不得将货物或服务及其他服务进行转包</w:t>
      </w:r>
      <w:r>
        <w:rPr>
          <w:rFonts w:hint="eastAsia" w:ascii="宋体" w:hAnsi="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31、货物（包含与货物相关的服务）的追加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32、政府采购履约资金扶持政策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中标供应商可凭政府采购合同办理融资贷款，详情请见江苏政府采购网“政采贷”专栏。</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32、电子投标文件要求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32.1政府采购管理交易系统（苏采云）相关要求是本招标文件的组成部分。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32.2投标人应对 CA 证书妥善保管，如被他人盗用投标，因此带来的结果均由投标人自行承担。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32.3投标人应当对招标文件提出的要求和条件作出实质性响应，并在电子投标系统逐条应答。</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32.4投标人应对要求提供的资格证明文件（如资质证书、资格证书）、技术资料（如白皮书、彩页、手册、检测报告等）扫描上传至投标系统。</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33、提交投标文件的截止时间（投标截止时间）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33.1投标人应当在招标文件要求提交投标文件的截止时间前，将投标文件提交至“苏采云”系统，逾期提交的投标文件，“苏采云”系统将自动拒收。</w:t>
      </w:r>
      <w:r/>
    </w:p>
    <w:p>
      <w:pPr>
        <w:ind w:firstLine="420"/>
        <w:spacing w:line="360" w:lineRule="auto"/>
        <w:rPr>
          <w:rFonts w:hint="eastAsia" w:ascii="宋体" w:hAnsi="宋体" w:cs="宋体"/>
          <w:bCs/>
          <w:color w:val="auto"/>
          <w:highlight w:val="none"/>
        </w:rPr>
      </w:pPr>
      <w:r>
        <w:rPr>
          <w:rFonts w:hint="eastAsia" w:ascii="宋体" w:hAnsi="宋体" w:cs="宋体"/>
          <w:bCs/>
          <w:color w:val="auto"/>
          <w:szCs w:val="21"/>
          <w:highlight w:val="none"/>
        </w:rPr>
        <w:t xml:space="preserve">33.2各投标人应在规定时间内凭CA证书进行网上解密。</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34、其他</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highlight w:val="none"/>
        </w:rPr>
        <w:t xml:space="preserve">34.1 依据《政府采购促进中小企业发展管理办法》享受享受扶持政策获得政府采购合同的，小微企业不得将合同分包给大中型企业，中型企业不得将合同分包给大型企业。</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pStyle w:val="732"/>
        <w:rPr>
          <w:color w:val="auto"/>
          <w:highlight w:val="none"/>
        </w:rPr>
      </w:pPr>
      <w:r/>
      <w:bookmarkStart w:id="56" w:name="_Toc18427"/>
      <w:r/>
      <w:bookmarkStart w:id="57" w:name="_Toc55204179"/>
      <w:r/>
      <w:bookmarkStart w:id="58" w:name="_Hlk69392822"/>
      <w:r>
        <w:rPr>
          <w:rFonts w:hint="eastAsia"/>
          <w:color w:val="auto"/>
          <w:highlight w:val="none"/>
        </w:rPr>
        <w:t xml:space="preserve">第三章 合同条款及格式</w:t>
      </w:r>
      <w:bookmarkEnd w:id="56"/>
      <w:r/>
      <w:bookmarkEnd w:id="57"/>
      <w:r/>
      <w:r/>
    </w:p>
    <w:p>
      <w:pPr>
        <w:pStyle w:val="95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以下为中标后签定本项目合同的通用条款，中标人不得提出实质性的修改，关于专用条款将由采购人与中标人结合本项目具体情况协商后签订。</w:t>
      </w:r>
      <w:bookmarkEnd w:id="58"/>
      <w:r/>
      <w:r/>
    </w:p>
    <w:p>
      <w:pPr>
        <w:pStyle w:val="750"/>
        <w:ind w:firstLine="422"/>
        <w:jc w:val="center"/>
        <w:spacing w:before="120" w:after="120" w:line="360" w:lineRule="auto"/>
        <w:rPr>
          <w:rFonts w:hAnsi="宋体"/>
          <w:b/>
          <w:bCs/>
          <w:color w:val="auto"/>
          <w:sz w:val="21"/>
          <w:highlight w:val="none"/>
        </w:rPr>
      </w:pPr>
      <w:r>
        <w:rPr>
          <w:rFonts w:hint="eastAsia" w:hAnsi="宋体"/>
          <w:b/>
          <w:bCs/>
          <w:color w:val="auto"/>
          <w:sz w:val="21"/>
          <w:highlight w:val="none"/>
        </w:rPr>
        <w:t xml:space="preserve">扬州市政府采购合同（货物)（合同编号）</w:t>
      </w:r>
      <w:r/>
    </w:p>
    <w:p>
      <w:pPr>
        <w:pStyle w:val="750"/>
        <w:ind w:firstLine="42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项目名称：</w:t>
      </w:r>
      <w:r>
        <w:rPr>
          <w:rFonts w:hint="eastAsia" w:hAnsi="宋体"/>
          <w:color w:val="auto"/>
          <w:sz w:val="21"/>
          <w:highlight w:val="none"/>
          <w:lang w:eastAsia="zh-CN"/>
        </w:rPr>
        <w:t xml:space="preserve">扬州市生态环境监测监控中心应急监测能力规范化建设项目</w:t>
      </w:r>
      <w:r/>
    </w:p>
    <w:p>
      <w:pPr>
        <w:pStyle w:val="750"/>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项目编号：</w:t>
      </w:r>
      <w:r>
        <w:rPr>
          <w:rFonts w:hint="eastAsia" w:hAnsi="宋体"/>
          <w:color w:val="auto"/>
          <w:sz w:val="21"/>
          <w:highlight w:val="none"/>
          <w:lang w:eastAsia="zh-CN"/>
        </w:rPr>
        <w:t xml:space="preserve">JSZC-321000-SWGC-G2026-0125</w:t>
      </w:r>
      <w:r/>
    </w:p>
    <w:p>
      <w:pPr>
        <w:pStyle w:val="750"/>
        <w:ind w:firstLine="42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甲方：（买方）</w:t>
      </w:r>
      <w:r>
        <w:rPr>
          <w:rFonts w:hint="eastAsia" w:hAnsi="宋体"/>
          <w:color w:val="auto"/>
          <w:sz w:val="21"/>
          <w:highlight w:val="none"/>
          <w:lang w:eastAsia="zh-CN"/>
        </w:rPr>
        <w:t xml:space="preserve">扬州市生态环境监测监控中心</w:t>
      </w:r>
      <w:r/>
    </w:p>
    <w:p>
      <w:pPr>
        <w:pStyle w:val="750"/>
        <w:ind w:firstLine="420"/>
        <w:spacing w:before="120" w:after="120" w:line="360" w:lineRule="auto"/>
        <w:rPr>
          <w:rFonts w:hAnsi="宋体"/>
          <w:color w:val="auto"/>
          <w:sz w:val="21"/>
          <w:highlight w:val="none"/>
        </w:rPr>
      </w:pPr>
      <w:r>
        <w:rPr>
          <w:rFonts w:hint="eastAsia" w:hAnsi="宋体"/>
          <w:color w:val="auto"/>
          <w:sz w:val="21"/>
          <w:highlight w:val="none"/>
        </w:rPr>
        <w:t xml:space="preserve">乙方：（卖方）_________</w:t>
      </w:r>
      <w:r/>
    </w:p>
    <w:p>
      <w:pPr>
        <w:pStyle w:val="750"/>
        <w:ind w:firstLine="420"/>
        <w:spacing w:before="120" w:after="120" w:line="360" w:lineRule="auto"/>
        <w:rPr>
          <w:rFonts w:hAnsi="宋体"/>
          <w:color w:val="auto"/>
          <w:sz w:val="21"/>
          <w:highlight w:val="none"/>
        </w:rPr>
      </w:pPr>
      <w:r>
        <w:rPr>
          <w:rFonts w:hint="eastAsia" w:hAnsi="宋体"/>
          <w:color w:val="auto"/>
          <w:sz w:val="21"/>
          <w:highlight w:val="none"/>
        </w:rPr>
        <w:t xml:space="preserve">甲、乙双方根据江苏苏维工程管理有限公司</w:t>
      </w:r>
      <w:r>
        <w:rPr>
          <w:rFonts w:hint="eastAsia" w:hAnsi="宋体"/>
          <w:color w:val="auto"/>
          <w:sz w:val="21"/>
          <w:highlight w:val="none"/>
          <w:u w:val="single"/>
        </w:rPr>
        <w:t xml:space="preserve">         </w:t>
      </w:r>
      <w:r>
        <w:rPr>
          <w:rFonts w:hint="eastAsia" w:hAnsi="宋体"/>
          <w:color w:val="auto"/>
          <w:sz w:val="21"/>
          <w:highlight w:val="none"/>
        </w:rPr>
        <w:t xml:space="preserve">项目公开招标的结果，签署本合同。</w:t>
      </w:r>
      <w:r/>
    </w:p>
    <w:p>
      <w:pPr>
        <w:pStyle w:val="75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一、货物及伴随服务</w:t>
      </w:r>
      <w:r/>
    </w:p>
    <w:p>
      <w:pPr>
        <w:pStyle w:val="986"/>
        <w:ind w:left="0" w:firstLine="420"/>
        <w:jc w:val="left"/>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1.1 项目基本情况：</w:t>
      </w:r>
      <w:r>
        <w:rPr>
          <w:rFonts w:hint="eastAsia" w:ascii="宋体" w:hAnsi="宋体"/>
          <w:color w:val="auto"/>
          <w:szCs w:val="21"/>
          <w:highlight w:val="none"/>
          <w:lang w:eastAsia="zh-CN"/>
        </w:rPr>
        <w:t xml:space="preserve">为提升扬州市生态环境监测监控中心应急监测能力，</w:t>
      </w:r>
      <w:r>
        <w:rPr>
          <w:rFonts w:hint="eastAsia" w:ascii="宋体" w:hAnsi="宋体"/>
          <w:color w:val="auto"/>
          <w:szCs w:val="21"/>
          <w:highlight w:val="none"/>
          <w:lang w:val="en-US" w:eastAsia="zh-CN"/>
        </w:rPr>
        <w:t xml:space="preserve">满足规范化建设的要求，</w:t>
      </w:r>
      <w:r>
        <w:rPr>
          <w:rFonts w:hint="eastAsia" w:ascii="宋体" w:hAnsi="宋体"/>
          <w:color w:val="auto"/>
          <w:szCs w:val="21"/>
          <w:highlight w:val="none"/>
          <w:lang w:eastAsia="zh-CN"/>
        </w:rPr>
        <w:t xml:space="preserve">拟购置</w:t>
      </w:r>
      <w:r>
        <w:rPr>
          <w:rFonts w:hint="eastAsia" w:ascii="宋体" w:hAnsi="宋体"/>
          <w:color w:val="auto"/>
          <w:szCs w:val="21"/>
          <w:highlight w:val="none"/>
          <w:lang w:val="en-US" w:eastAsia="zh-CN"/>
        </w:rPr>
        <w:t xml:space="preserve">一批</w:t>
      </w:r>
      <w:r>
        <w:rPr>
          <w:rFonts w:hint="eastAsia" w:ascii="宋体" w:hAnsi="宋体"/>
          <w:color w:val="auto"/>
          <w:szCs w:val="21"/>
          <w:highlight w:val="none"/>
          <w:lang w:eastAsia="zh-CN"/>
        </w:rPr>
        <w:t xml:space="preserve">应急检测设备</w:t>
      </w:r>
      <w:r>
        <w:rPr>
          <w:rFonts w:hint="eastAsia" w:ascii="宋体" w:hAnsi="宋体"/>
          <w:color w:val="auto"/>
          <w:szCs w:val="21"/>
          <w:highlight w:val="none"/>
        </w:rPr>
        <w:t xml:space="preserve">。</w:t>
      </w:r>
      <w:r/>
    </w:p>
    <w:p>
      <w:pPr>
        <w:ind w:firstLine="420"/>
        <w:jc w:val="left"/>
        <w:spacing w:line="360" w:lineRule="auto"/>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 xml:space="preserve">1.2货物及伴随服务内容：</w:t>
      </w:r>
      <w:r/>
    </w:p>
    <w:tbl>
      <w:tblPr>
        <w:tblStyle w:val="7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0"/>
        <w:gridCol w:w="1032"/>
        <w:gridCol w:w="3684"/>
        <w:gridCol w:w="1577"/>
      </w:tblGrid>
      <w:tr>
        <w:trPr>
          <w:jc w:val="center"/>
          <w:trHeight w:val="692"/>
          <w:tblHeader/>
        </w:trPr>
        <w:tc>
          <w:tcPr>
            <w:tcW w:w="1340"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序号</w:t>
            </w:r>
            <w:r/>
          </w:p>
        </w:tc>
        <w:tc>
          <w:tcPr>
            <w:tcW w:w="1032"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用途</w:t>
            </w:r>
            <w:r/>
          </w:p>
        </w:tc>
        <w:tc>
          <w:tcPr>
            <w:tcW w:w="3684"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设备名称</w:t>
            </w:r>
            <w:r/>
          </w:p>
        </w:tc>
        <w:tc>
          <w:tcPr>
            <w:tcW w:w="1577"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数量（台/套）</w:t>
            </w:r>
            <w:r/>
          </w:p>
        </w:tc>
      </w:tr>
      <w:tr>
        <w:trPr>
          <w:jc w:val="center"/>
          <w:trHeight w:val="0"/>
        </w:trPr>
        <w:tc>
          <w:tcPr>
            <w:tcW w:w="1340"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1</w:t>
            </w:r>
            <w:r/>
          </w:p>
        </w:tc>
        <w:tc>
          <w:tcPr>
            <w:tcW w:w="1032"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水质常规项目</w:t>
            </w:r>
            <w:r/>
          </w:p>
        </w:tc>
        <w:tc>
          <w:tcPr>
            <w:tcW w:w="3684"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便携式气相分子吸收光谱仪</w:t>
            </w:r>
            <w:r/>
          </w:p>
        </w:tc>
        <w:tc>
          <w:tcPr>
            <w:tcW w:w="1577"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p>
        </w:tc>
      </w:tr>
      <w:tr>
        <w:trPr>
          <w:jc w:val="center"/>
          <w:trHeight w:val="697"/>
        </w:trPr>
        <w:tc>
          <w:tcPr>
            <w:tcW w:w="1340"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2</w:t>
            </w:r>
            <w:r/>
          </w:p>
        </w:tc>
        <w:tc>
          <w:tcPr>
            <w:tcW w:w="1032" w:type="dxa"/>
            <w:vAlign w:val="center"/>
            <w:vMerge w:val="restart"/>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水质重金属</w:t>
            </w:r>
            <w:r/>
          </w:p>
        </w:tc>
        <w:tc>
          <w:tcPr>
            <w:tcW w:w="3684"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便携式测汞仪</w:t>
            </w:r>
            <w:r/>
          </w:p>
        </w:tc>
        <w:tc>
          <w:tcPr>
            <w:tcW w:w="1577"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p>
        </w:tc>
      </w:tr>
      <w:tr>
        <w:trPr>
          <w:jc w:val="center"/>
          <w:trHeight w:val="764"/>
        </w:trPr>
        <w:tc>
          <w:tcPr>
            <w:tcW w:w="1340"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3</w:t>
            </w:r>
            <w:r/>
          </w:p>
        </w:tc>
        <w:tc>
          <w:tcPr>
            <w:tcW w:w="1032" w:type="dxa"/>
            <w:vAlign w:val="center"/>
            <w:vMerge w:val="continue"/>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tcW w:w="3684"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车载 ICP-MS</w:t>
            </w:r>
            <w:r/>
          </w:p>
        </w:tc>
        <w:tc>
          <w:tcPr>
            <w:tcW w:w="1577"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p>
        </w:tc>
      </w:tr>
      <w:tr>
        <w:trPr>
          <w:jc w:val="center"/>
          <w:trHeight w:val="1169"/>
        </w:trPr>
        <w:tc>
          <w:tcPr>
            <w:tcW w:w="1340"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4</w:t>
            </w:r>
            <w:r/>
          </w:p>
        </w:tc>
        <w:tc>
          <w:tcPr>
            <w:tcW w:w="1032"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水质有机项目</w:t>
            </w:r>
            <w:r/>
          </w:p>
        </w:tc>
        <w:tc>
          <w:tcPr>
            <w:tcW w:w="3684" w:type="dxa"/>
            <w:vAlign w:val="center"/>
            <w:textDirection w:val="lrTb"/>
            <w:noWrap w:val="false"/>
          </w:tcPr>
          <w:p>
            <w:pPr>
              <w:ind w:firstLine="0"/>
              <w:jc w:val="both"/>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便携式 GC-MS（含便携式顶空进样器+吹扫捕集装置、固相微萃取装置、动态稀释仪）</w:t>
            </w:r>
            <w:r/>
          </w:p>
        </w:tc>
        <w:tc>
          <w:tcPr>
            <w:tcW w:w="1577"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p>
        </w:tc>
      </w:tr>
      <w:tr>
        <w:trPr>
          <w:jc w:val="center"/>
          <w:trHeight w:val="0"/>
        </w:trPr>
        <w:tc>
          <w:tcPr>
            <w:tcW w:w="1340"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5</w:t>
            </w:r>
            <w:r/>
          </w:p>
        </w:tc>
        <w:tc>
          <w:tcPr>
            <w:tcW w:w="1032" w:type="dxa"/>
            <w:vAlign w:val="center"/>
            <w:vMerge w:val="restart"/>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空气常规项目</w:t>
            </w:r>
            <w:r/>
          </w:p>
        </w:tc>
        <w:tc>
          <w:tcPr>
            <w:tcW w:w="3684"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便携式傅里叶红外分析仪</w:t>
            </w:r>
            <w:r/>
          </w:p>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(无机气体监测)</w:t>
            </w:r>
            <w:r/>
          </w:p>
        </w:tc>
        <w:tc>
          <w:tcPr>
            <w:tcW w:w="1577"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p>
        </w:tc>
      </w:tr>
      <w:tr>
        <w:trPr>
          <w:jc w:val="center"/>
          <w:trHeight w:val="0"/>
        </w:trPr>
        <w:tc>
          <w:tcPr>
            <w:tcW w:w="1340"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6</w:t>
            </w:r>
            <w:r/>
          </w:p>
        </w:tc>
        <w:tc>
          <w:tcPr>
            <w:tcW w:w="1032" w:type="dxa"/>
            <w:vAlign w:val="center"/>
            <w:vMerge w:val="continue"/>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tcW w:w="3684"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红外热成像气体检测仪</w:t>
            </w:r>
            <w:r/>
          </w:p>
        </w:tc>
        <w:tc>
          <w:tcPr>
            <w:tcW w:w="1577"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p>
        </w:tc>
      </w:tr>
      <w:tr>
        <w:trPr>
          <w:jc w:val="center"/>
          <w:trHeight w:val="0"/>
        </w:trPr>
        <w:tc>
          <w:tcPr>
            <w:tcW w:w="1340"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7</w:t>
            </w:r>
            <w:r/>
          </w:p>
        </w:tc>
        <w:tc>
          <w:tcPr>
            <w:tcW w:w="1032"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空气有机项目</w:t>
            </w:r>
            <w:r/>
          </w:p>
        </w:tc>
        <w:tc>
          <w:tcPr>
            <w:tcW w:w="3684"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便携式GC-MS</w:t>
            </w:r>
            <w:r/>
          </w:p>
        </w:tc>
        <w:tc>
          <w:tcPr>
            <w:tcW w:w="1577"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p>
        </w:tc>
      </w:tr>
      <w:tr>
        <w:trPr>
          <w:jc w:val="center"/>
          <w:trHeight w:val="0"/>
        </w:trPr>
        <w:tc>
          <w:tcPr>
            <w:tcW w:w="1340"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8</w:t>
            </w:r>
            <w:r/>
          </w:p>
        </w:tc>
        <w:tc>
          <w:tcPr>
            <w:tcW w:w="1032"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土壤采样设备</w:t>
            </w:r>
            <w:r/>
          </w:p>
        </w:tc>
        <w:tc>
          <w:tcPr>
            <w:tcW w:w="3684"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土壤采样相关装备（带动力）</w:t>
            </w:r>
            <w:r/>
          </w:p>
        </w:tc>
        <w:tc>
          <w:tcPr>
            <w:tcW w:w="1577"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p>
        </w:tc>
      </w:tr>
      <w:tr>
        <w:trPr>
          <w:jc w:val="center"/>
          <w:trHeight w:val="0"/>
        </w:trPr>
        <w:tc>
          <w:tcPr>
            <w:tcW w:w="134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t xml:space="preserve">9</w:t>
            </w:r>
            <w:r/>
          </w:p>
        </w:tc>
        <w:tc>
          <w:tcPr>
            <w:tcW w:w="1032"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应急执法设备</w:t>
            </w:r>
            <w:r/>
          </w:p>
        </w:tc>
        <w:tc>
          <w:tcPr>
            <w:tcW w:w="3684"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现场执法记录仪</w:t>
            </w:r>
            <w:r/>
          </w:p>
        </w:tc>
        <w:tc>
          <w:tcPr>
            <w:tcW w:w="1577"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w:t>
            </w:r>
            <w:r/>
          </w:p>
        </w:tc>
      </w:tr>
      <w:tr>
        <w:trPr>
          <w:jc w:val="center"/>
          <w:trHeight w:val="0"/>
        </w:trPr>
        <w:tc>
          <w:tcPr>
            <w:tcW w:w="134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t xml:space="preserve">10</w:t>
            </w:r>
            <w:r/>
          </w:p>
        </w:tc>
        <w:tc>
          <w:tcPr>
            <w:tcW w:w="1032"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水质监测设备</w:t>
            </w:r>
            <w:r/>
          </w:p>
        </w:tc>
        <w:tc>
          <w:tcPr>
            <w:tcW w:w="3684"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便携式流速测量仪</w:t>
            </w:r>
            <w:r/>
          </w:p>
        </w:tc>
        <w:tc>
          <w:tcPr>
            <w:tcW w:w="1577"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p>
        </w:tc>
      </w:tr>
      <w:tr>
        <w:trPr>
          <w:jc w:val="center"/>
          <w:trHeight w:val="0"/>
        </w:trPr>
        <w:tc>
          <w:tcPr>
            <w:tcW w:w="134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t xml:space="preserve">11</w:t>
            </w:r>
            <w:r/>
          </w:p>
        </w:tc>
        <w:tc>
          <w:tcPr>
            <w:tcW w:w="1032"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水质生物指标</w:t>
            </w:r>
            <w:r/>
          </w:p>
        </w:tc>
        <w:tc>
          <w:tcPr>
            <w:tcW w:w="3684"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细菌快速检测仪</w:t>
            </w:r>
            <w:r/>
          </w:p>
        </w:tc>
        <w:tc>
          <w:tcPr>
            <w:tcW w:w="1577"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p>
        </w:tc>
      </w:tr>
      <w:tr>
        <w:trPr>
          <w:jc w:val="center"/>
          <w:trHeight w:val="0"/>
        </w:trPr>
        <w:tc>
          <w:tcPr>
            <w:gridSpan w:val="3"/>
            <w:tcW w:w="6056" w:type="dxa"/>
            <w:vAlign w:val="center"/>
            <w:textDirection w:val="lrTb"/>
            <w:noWrap w:val="false"/>
          </w:tcPr>
          <w:p>
            <w:pPr>
              <w:ind w:firstLine="0"/>
              <w:jc w:val="center"/>
              <w:keepLines w:val="0"/>
              <w:keepNext w:val="0"/>
              <w:pageBreakBefore w:val="0"/>
              <w:spacing w:line="520" w:lineRule="exact"/>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合计</w:t>
            </w:r>
            <w:r/>
          </w:p>
        </w:tc>
        <w:tc>
          <w:tcPr>
            <w:tcW w:w="1577" w:type="dxa"/>
            <w:vAlign w:val="center"/>
            <w:textDirection w:val="lrTb"/>
            <w:noWrap w:val="false"/>
          </w:tcPr>
          <w:p>
            <w:pPr>
              <w:ind w:firstLine="0"/>
              <w:jc w:val="center"/>
              <w:keepLines w:val="0"/>
              <w:keepNext w:val="0"/>
              <w:pageBreakBefore w:val="0"/>
              <w:spacing w:line="520" w:lineRule="exact"/>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14</w:t>
            </w:r>
            <w:r/>
          </w:p>
        </w:tc>
      </w:tr>
    </w:tbl>
    <w:p>
      <w:pPr>
        <w:ind w:firstLine="420"/>
        <w:jc w:val="left"/>
        <w:spacing w:line="360" w:lineRule="auto"/>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r>
      <w:r/>
    </w:p>
    <w:p>
      <w:pPr>
        <w:ind w:firstLine="420"/>
        <w:jc w:val="left"/>
        <w:spacing w:line="360" w:lineRule="auto"/>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 xml:space="preserve">其他具体内容详见招标文件及乙方投标文件。</w:t>
      </w:r>
      <w:r/>
    </w:p>
    <w:p>
      <w:pPr>
        <w:pStyle w:val="750"/>
        <w:ind w:firstLine="420"/>
        <w:spacing w:before="120" w:after="120" w:line="360" w:lineRule="auto"/>
        <w:rPr>
          <w:rFonts w:hAnsi="宋体"/>
          <w:color w:val="auto"/>
          <w:sz w:val="21"/>
          <w:highlight w:val="none"/>
        </w:rPr>
      </w:pPr>
      <w:r>
        <w:rPr>
          <w:rFonts w:hAnsi="宋体"/>
          <w:color w:val="auto"/>
          <w:sz w:val="21"/>
          <w:highlight w:val="none"/>
        </w:rPr>
        <w:t xml:space="preserve">1.</w:t>
      </w:r>
      <w:r>
        <w:rPr>
          <w:rFonts w:hint="eastAsia" w:hAnsi="宋体"/>
          <w:color w:val="auto"/>
          <w:sz w:val="21"/>
          <w:highlight w:val="none"/>
        </w:rPr>
        <w:t xml:space="preserve">3</w:t>
      </w:r>
      <w:r>
        <w:rPr>
          <w:rFonts w:hAnsi="宋体"/>
          <w:color w:val="auto"/>
          <w:sz w:val="21"/>
          <w:highlight w:val="none"/>
        </w:rPr>
        <w:t xml:space="preserve"> 型号规格：</w:t>
      </w:r>
      <w:r/>
    </w:p>
    <w:p>
      <w:pPr>
        <w:pStyle w:val="750"/>
        <w:ind w:firstLine="420"/>
        <w:spacing w:before="120" w:after="120" w:line="360" w:lineRule="auto"/>
        <w:rPr>
          <w:rFonts w:hAnsi="宋体"/>
          <w:color w:val="auto"/>
          <w:sz w:val="21"/>
          <w:highlight w:val="none"/>
        </w:rPr>
      </w:pPr>
      <w:r>
        <w:rPr>
          <w:rFonts w:hAnsi="宋体"/>
          <w:color w:val="auto"/>
          <w:sz w:val="21"/>
          <w:highlight w:val="none"/>
        </w:rPr>
        <w:t xml:space="preserve">1.</w:t>
      </w:r>
      <w:r>
        <w:rPr>
          <w:rFonts w:hint="eastAsia" w:hAnsi="宋体"/>
          <w:color w:val="auto"/>
          <w:sz w:val="21"/>
          <w:highlight w:val="none"/>
        </w:rPr>
        <w:t xml:space="preserve">4</w:t>
      </w:r>
      <w:r>
        <w:rPr>
          <w:rFonts w:hAnsi="宋体"/>
          <w:color w:val="auto"/>
          <w:sz w:val="21"/>
          <w:highlight w:val="none"/>
        </w:rPr>
        <w:t xml:space="preserve"> 数量（单位）</w:t>
      </w:r>
      <w:r/>
    </w:p>
    <w:p>
      <w:pPr>
        <w:pStyle w:val="75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二、合同金额</w:t>
      </w:r>
      <w:r/>
    </w:p>
    <w:p>
      <w:pPr>
        <w:pStyle w:val="750"/>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2.1 本合同金额为（大写）：____________________________________圆（_______________元）人民币。</w:t>
      </w:r>
      <w:r/>
    </w:p>
    <w:p>
      <w:pPr>
        <w:pStyle w:val="750"/>
        <w:ind w:firstLine="420"/>
        <w:spacing w:before="120" w:after="120" w:line="360" w:lineRule="auto"/>
        <w:rPr>
          <w:rFonts w:hint="eastAsia" w:hAnsi="宋体" w:eastAsia="宋体"/>
          <w:color w:val="auto"/>
          <w:sz w:val="21"/>
          <w:highlight w:val="none"/>
          <w:lang w:eastAsia="zh-CN"/>
        </w:rPr>
      </w:pPr>
      <w:r>
        <w:rPr>
          <w:rFonts w:hint="eastAsia" w:hAnsi="宋体"/>
          <w:color w:val="auto"/>
          <w:sz w:val="21"/>
          <w:highlight w:val="none"/>
          <w:lang w:eastAsia="zh-CN"/>
        </w:rPr>
        <w:t xml:space="preserve">合同价款为完成本次采购活动中所有涉及到的费用，包括但不限于运输费、安装费、培训费、差旅费等。</w:t>
      </w:r>
      <w:r/>
    </w:p>
    <w:p>
      <w:pPr>
        <w:pStyle w:val="75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三、技术资料</w:t>
      </w:r>
      <w:r/>
    </w:p>
    <w:p>
      <w:pPr>
        <w:pStyle w:val="750"/>
        <w:ind w:firstLine="420"/>
        <w:spacing w:before="120" w:after="120" w:line="360" w:lineRule="auto"/>
        <w:rPr>
          <w:rFonts w:hAnsi="宋体"/>
          <w:color w:val="auto"/>
          <w:sz w:val="21"/>
          <w:highlight w:val="none"/>
        </w:rPr>
      </w:pPr>
      <w:r>
        <w:rPr>
          <w:rFonts w:hint="eastAsia" w:hAnsi="宋体"/>
          <w:color w:val="auto"/>
          <w:sz w:val="21"/>
          <w:highlight w:val="none"/>
        </w:rPr>
        <w:t xml:space="preserve">3.1乙方应按招标文件规定的时间向甲方提供使用货物及服务的有关技术资料。</w:t>
      </w:r>
      <w:r/>
    </w:p>
    <w:p>
      <w:pPr>
        <w:pStyle w:val="750"/>
        <w:ind w:firstLine="420"/>
        <w:spacing w:before="120" w:after="120" w:line="360" w:lineRule="auto"/>
        <w:rPr>
          <w:rFonts w:hAnsi="宋体"/>
          <w:color w:val="auto"/>
          <w:sz w:val="21"/>
          <w:szCs w:val="21"/>
          <w:highlight w:val="none"/>
        </w:rPr>
      </w:pPr>
      <w:r>
        <w:rPr>
          <w:rFonts w:hint="eastAsia" w:hAnsi="宋体"/>
          <w:color w:val="auto"/>
          <w:sz w:val="21"/>
          <w:highlight w:val="none"/>
        </w:rPr>
        <w:t xml:space="preserve">3.2 没有甲方</w:t>
      </w:r>
      <w:r>
        <w:rPr>
          <w:rFonts w:hint="eastAsia" w:hAnsi="宋体"/>
          <w:color w:val="auto"/>
          <w:sz w:val="21"/>
          <w:szCs w:val="21"/>
          <w:highlight w:val="none"/>
        </w:rPr>
        <w:t xml:space="preserve">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50"/>
        <w:ind w:firstLine="422"/>
        <w:spacing w:before="120" w:after="120" w:line="360" w:lineRule="auto"/>
        <w:rPr>
          <w:rFonts w:hAnsi="宋体"/>
          <w:b/>
          <w:bCs/>
          <w:color w:val="auto"/>
          <w:sz w:val="21"/>
          <w:szCs w:val="21"/>
          <w:highlight w:val="none"/>
        </w:rPr>
      </w:pPr>
      <w:r>
        <w:rPr>
          <w:rFonts w:hint="eastAsia" w:hAnsi="宋体"/>
          <w:b/>
          <w:bCs/>
          <w:color w:val="auto"/>
          <w:sz w:val="21"/>
          <w:szCs w:val="21"/>
          <w:highlight w:val="none"/>
        </w:rPr>
        <w:t xml:space="preserve">四、知识产权</w:t>
      </w:r>
      <w:r/>
    </w:p>
    <w:p>
      <w:pPr>
        <w:pStyle w:val="750"/>
        <w:ind w:firstLine="420"/>
        <w:spacing w:before="120" w:after="12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4.1乙方提供的所有货物必须为合格产品，质量符合国家质量检测标准及招标文件载明的技术要求。</w:t>
      </w:r>
      <w:r/>
    </w:p>
    <w:p>
      <w:pPr>
        <w:pStyle w:val="750"/>
        <w:ind w:firstLine="420"/>
        <w:spacing w:before="120" w:after="12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4.2乙方应保证所提供货物涉及的知识产权是合法取得的，</w:t>
      </w:r>
      <w:r>
        <w:rPr>
          <w:rFonts w:hint="eastAsia" w:hAnsi="宋体" w:cs="宋体"/>
          <w:color w:val="auto"/>
          <w:sz w:val="21"/>
          <w:szCs w:val="21"/>
          <w:highlight w:val="none"/>
          <w:lang w:val="en-US" w:eastAsia="zh-CN"/>
        </w:rPr>
        <w:t xml:space="preserve">并</w:t>
      </w:r>
      <w:r>
        <w:rPr>
          <w:rFonts w:hint="eastAsia" w:ascii="Times New Roman" w:hAnsi="Times New Roman"/>
          <w:color w:val="auto"/>
          <w:sz w:val="21"/>
          <w:highlight w:val="none"/>
        </w:rPr>
        <w:t xml:space="preserve">保证甲方在使用、接受本合同货物及服务或其任何一部分时不受第三方提出侵犯其专利权、版权、商标权和工业设计权等知识产权的起诉。一旦出现侵权，由乙方负全部责任。</w:t>
      </w:r>
      <w:r/>
    </w:p>
    <w:p>
      <w:pPr>
        <w:pStyle w:val="750"/>
        <w:ind w:firstLine="422"/>
        <w:spacing w:before="120" w:after="120" w:line="360" w:lineRule="auto"/>
        <w:rPr>
          <w:rFonts w:hAnsi="宋体"/>
          <w:b/>
          <w:bCs/>
          <w:color w:val="auto"/>
          <w:sz w:val="21"/>
          <w:szCs w:val="21"/>
          <w:highlight w:val="none"/>
        </w:rPr>
      </w:pPr>
      <w:r>
        <w:rPr>
          <w:rFonts w:hint="eastAsia" w:hAnsi="宋体"/>
          <w:b/>
          <w:bCs/>
          <w:color w:val="auto"/>
          <w:sz w:val="21"/>
          <w:szCs w:val="21"/>
          <w:highlight w:val="none"/>
        </w:rPr>
        <w:t xml:space="preserve">五、产权担保</w:t>
      </w:r>
      <w:r/>
    </w:p>
    <w:p>
      <w:pPr>
        <w:pStyle w:val="750"/>
        <w:ind w:firstLine="420"/>
        <w:spacing w:before="120" w:after="120" w:line="360" w:lineRule="auto"/>
        <w:rPr>
          <w:rFonts w:hint="eastAsia" w:hAnsi="宋体"/>
          <w:color w:val="auto"/>
          <w:sz w:val="21"/>
          <w:szCs w:val="21"/>
          <w:highlight w:val="none"/>
        </w:rPr>
      </w:pPr>
      <w:r>
        <w:rPr>
          <w:rFonts w:hint="eastAsia" w:hAnsi="宋体"/>
          <w:color w:val="auto"/>
          <w:sz w:val="21"/>
          <w:szCs w:val="21"/>
          <w:highlight w:val="none"/>
        </w:rPr>
        <w:t xml:space="preserve">5.1 乙方保证所交付的货物及服务的所有权完全属于乙方且无任何抵押、查封等产权瑕疵。</w:t>
      </w:r>
      <w:r/>
    </w:p>
    <w:p>
      <w:pPr>
        <w:pStyle w:val="750"/>
        <w:ind w:firstLine="420"/>
        <w:spacing w:before="120" w:after="120"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5.2 自1.2条所涉的</w:t>
      </w:r>
      <w:r>
        <w:rPr>
          <w:rFonts w:hint="eastAsia" w:ascii="宋体" w:hAnsi="宋体" w:cs="宋体"/>
          <w:color w:val="auto"/>
          <w:sz w:val="21"/>
          <w:szCs w:val="21"/>
          <w:highlight w:val="none"/>
          <w:lang w:val="en-US" w:eastAsia="zh-CN"/>
        </w:rPr>
        <w:t xml:space="preserve">所有</w:t>
      </w:r>
      <w:r>
        <w:rPr>
          <w:rFonts w:hint="eastAsia" w:ascii="宋体" w:hAnsi="宋体" w:cs="宋体"/>
          <w:color w:val="auto"/>
          <w:sz w:val="21"/>
          <w:szCs w:val="21"/>
          <w:highlight w:val="none"/>
          <w:lang w:eastAsia="zh-CN"/>
        </w:rPr>
        <w:t xml:space="preserve">仪器设备</w:t>
      </w:r>
      <w:r>
        <w:rPr>
          <w:rFonts w:hint="eastAsia" w:ascii="宋体" w:hAnsi="宋体" w:eastAsia="宋体" w:cs="Times New Roman"/>
          <w:color w:val="auto"/>
          <w:sz w:val="21"/>
          <w:szCs w:val="21"/>
          <w:highlight w:val="none"/>
          <w:lang w:val="en-US" w:eastAsia="zh-CN"/>
        </w:rPr>
        <w:t xml:space="preserve">交付之日起，设备所有权归甲方所有。</w:t>
      </w:r>
      <w:r/>
    </w:p>
    <w:p>
      <w:pPr>
        <w:pStyle w:val="750"/>
        <w:ind w:firstLine="422"/>
        <w:spacing w:before="120" w:after="120" w:line="360" w:lineRule="auto"/>
        <w:rPr>
          <w:rFonts w:hAnsi="宋体"/>
          <w:b/>
          <w:bCs/>
          <w:color w:val="auto"/>
          <w:sz w:val="21"/>
          <w:szCs w:val="21"/>
          <w:highlight w:val="none"/>
        </w:rPr>
      </w:pPr>
      <w:r>
        <w:rPr>
          <w:rFonts w:hint="eastAsia" w:hAnsi="宋体"/>
          <w:b/>
          <w:bCs/>
          <w:color w:val="auto"/>
          <w:sz w:val="21"/>
          <w:szCs w:val="21"/>
          <w:highlight w:val="none"/>
        </w:rPr>
        <w:t xml:space="preserve">六、履约保证金</w:t>
      </w:r>
      <w:r/>
    </w:p>
    <w:p>
      <w:pPr>
        <w:pStyle w:val="750"/>
        <w:ind w:firstLine="420"/>
        <w:spacing w:before="120" w:after="120" w:line="360" w:lineRule="auto"/>
        <w:rPr>
          <w:rFonts w:hint="eastAsia" w:hAnsi="宋体"/>
          <w:color w:val="auto"/>
          <w:sz w:val="21"/>
          <w:szCs w:val="21"/>
          <w:highlight w:val="none"/>
        </w:rPr>
      </w:pPr>
      <w:r>
        <w:rPr>
          <w:rFonts w:hint="eastAsia" w:hAnsi="宋体"/>
          <w:color w:val="auto"/>
          <w:sz w:val="21"/>
          <w:szCs w:val="21"/>
          <w:highlight w:val="none"/>
        </w:rPr>
        <w:t xml:space="preserve">6.1 乙方交纳人民币</w:t>
      </w:r>
      <w:r>
        <w:rPr>
          <w:rFonts w:hint="eastAsia" w:hAnsi="宋体"/>
          <w:color w:val="auto"/>
          <w:sz w:val="21"/>
          <w:szCs w:val="21"/>
          <w:highlight w:val="none"/>
          <w:u w:val="single"/>
        </w:rPr>
        <w:t xml:space="preserve"> 零  </w:t>
      </w:r>
      <w:r>
        <w:rPr>
          <w:rFonts w:hint="eastAsia" w:hAnsi="宋体"/>
          <w:color w:val="auto"/>
          <w:sz w:val="21"/>
          <w:szCs w:val="21"/>
          <w:highlight w:val="none"/>
        </w:rPr>
        <w:t xml:space="preserve">元作为本合同的履约保证金。（不得超过合同金额的10%）</w:t>
      </w:r>
      <w:r/>
    </w:p>
    <w:p>
      <w:pPr>
        <w:pStyle w:val="750"/>
        <w:ind w:firstLine="420"/>
        <w:spacing w:before="120" w:after="120" w:line="360" w:lineRule="auto"/>
        <w:rPr>
          <w:rFonts w:hint="eastAsia" w:hAnsi="宋体"/>
          <w:color w:val="auto"/>
          <w:sz w:val="21"/>
          <w:szCs w:val="21"/>
          <w:highlight w:val="none"/>
        </w:rPr>
      </w:pPr>
      <w:r>
        <w:rPr>
          <w:rFonts w:hint="eastAsia" w:hAnsi="宋体"/>
          <w:color w:val="auto"/>
          <w:sz w:val="21"/>
          <w:szCs w:val="21"/>
          <w:highlight w:val="none"/>
        </w:rPr>
        <w:t xml:space="preserve">6.2合同履行结束后，甲方应及时退还交纳的履约保证金。</w:t>
      </w:r>
      <w:r/>
    </w:p>
    <w:p>
      <w:pPr>
        <w:pStyle w:val="750"/>
        <w:ind w:firstLine="420"/>
        <w:spacing w:before="120" w:after="120" w:line="360" w:lineRule="auto"/>
        <w:rPr>
          <w:rFonts w:hint="eastAsia" w:hAnsi="宋体"/>
          <w:color w:val="auto"/>
          <w:sz w:val="21"/>
          <w:szCs w:val="21"/>
          <w:highlight w:val="none"/>
        </w:rPr>
      </w:pPr>
      <w:r>
        <w:rPr>
          <w:rFonts w:hint="eastAsia" w:hAnsi="宋体"/>
          <w:color w:val="auto"/>
          <w:sz w:val="21"/>
          <w:szCs w:val="21"/>
          <w:highlight w:val="none"/>
        </w:rPr>
        <w:t xml:space="preserve">6.2.1履约保证金退还方式：无</w:t>
      </w:r>
      <w:r/>
    </w:p>
    <w:p>
      <w:pPr>
        <w:pStyle w:val="750"/>
        <w:ind w:firstLine="420"/>
        <w:spacing w:before="120" w:after="120" w:line="360" w:lineRule="auto"/>
        <w:rPr>
          <w:rFonts w:hint="eastAsia" w:hAnsi="宋体"/>
          <w:color w:val="auto"/>
          <w:sz w:val="21"/>
          <w:szCs w:val="21"/>
          <w:highlight w:val="none"/>
        </w:rPr>
      </w:pPr>
      <w:r>
        <w:rPr>
          <w:rFonts w:hint="eastAsia" w:hAnsi="宋体"/>
          <w:color w:val="auto"/>
          <w:sz w:val="21"/>
          <w:szCs w:val="21"/>
          <w:highlight w:val="none"/>
        </w:rPr>
        <w:t xml:space="preserve">6.2.2履约保证金退还时间：无</w:t>
      </w:r>
      <w:r/>
    </w:p>
    <w:p>
      <w:pPr>
        <w:pStyle w:val="750"/>
        <w:ind w:firstLine="420"/>
        <w:spacing w:before="120" w:after="120" w:line="360" w:lineRule="auto"/>
        <w:rPr>
          <w:rFonts w:hint="eastAsia" w:hAnsi="宋体"/>
          <w:color w:val="auto"/>
          <w:sz w:val="21"/>
          <w:szCs w:val="21"/>
          <w:highlight w:val="none"/>
        </w:rPr>
      </w:pPr>
      <w:r>
        <w:rPr>
          <w:rFonts w:hint="eastAsia" w:hAnsi="宋体"/>
          <w:color w:val="auto"/>
          <w:sz w:val="21"/>
          <w:szCs w:val="21"/>
          <w:highlight w:val="none"/>
        </w:rPr>
        <w:t xml:space="preserve">6.2.3履约保证金退还条件：无</w:t>
      </w:r>
      <w:r/>
    </w:p>
    <w:p>
      <w:pPr>
        <w:pStyle w:val="750"/>
        <w:ind w:firstLine="420"/>
        <w:spacing w:before="120" w:after="120" w:line="360" w:lineRule="auto"/>
        <w:rPr>
          <w:rFonts w:hint="eastAsia" w:hAnsi="宋体"/>
          <w:color w:val="auto"/>
          <w:sz w:val="21"/>
          <w:szCs w:val="21"/>
          <w:highlight w:val="none"/>
        </w:rPr>
      </w:pPr>
      <w:r>
        <w:rPr>
          <w:rFonts w:hint="eastAsia" w:hAnsi="宋体"/>
          <w:color w:val="auto"/>
          <w:sz w:val="21"/>
          <w:szCs w:val="21"/>
          <w:highlight w:val="none"/>
        </w:rPr>
        <w:t xml:space="preserve">6.2.4履约保证金不予退还的情形：无</w:t>
      </w:r>
      <w:r/>
    </w:p>
    <w:p>
      <w:pPr>
        <w:pStyle w:val="750"/>
        <w:ind w:firstLine="422"/>
        <w:spacing w:before="120" w:after="120" w:line="360" w:lineRule="auto"/>
        <w:rPr>
          <w:rFonts w:hAnsi="宋体"/>
          <w:b/>
          <w:bCs/>
          <w:color w:val="auto"/>
          <w:sz w:val="21"/>
          <w:szCs w:val="21"/>
          <w:highlight w:val="none"/>
        </w:rPr>
      </w:pPr>
      <w:r>
        <w:rPr>
          <w:rFonts w:hint="eastAsia" w:hAnsi="宋体"/>
          <w:b/>
          <w:bCs/>
          <w:color w:val="auto"/>
          <w:sz w:val="21"/>
          <w:szCs w:val="21"/>
          <w:highlight w:val="none"/>
        </w:rPr>
        <w:t xml:space="preserve">七、转包或分包</w:t>
      </w:r>
      <w:r/>
    </w:p>
    <w:p>
      <w:pPr>
        <w:pStyle w:val="750"/>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7.1本合同范围的货物及服务，应由乙方直接供应，不得转让他人供应；</w:t>
      </w:r>
      <w:r/>
    </w:p>
    <w:p>
      <w:pPr>
        <w:pStyle w:val="750"/>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7.2 除非得到甲方的书面同意，乙方不得部分分包给他人供应。</w:t>
      </w:r>
      <w:r/>
    </w:p>
    <w:p>
      <w:pPr>
        <w:pStyle w:val="750"/>
        <w:ind w:firstLine="420"/>
        <w:spacing w:before="120" w:after="120"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7.3乙方如擅自转包或未经甲方同意部分分包的，甲方有权解除合同。因转包或分包行为造成甲方损失的，乙方应承担相应赔偿责任。</w:t>
      </w:r>
      <w:r/>
    </w:p>
    <w:p>
      <w:pPr>
        <w:pStyle w:val="75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八、质保期</w:t>
      </w:r>
      <w:r/>
    </w:p>
    <w:p>
      <w:pPr>
        <w:ind w:firstLine="420"/>
        <w:jc w:val="left"/>
        <w:spacing w:line="360" w:lineRule="auto"/>
        <w:rPr>
          <w:rFonts w:hAnsi="宋体"/>
          <w:color w:val="auto"/>
          <w:sz w:val="21"/>
          <w:highlight w:val="none"/>
        </w:rPr>
      </w:pPr>
      <w:r>
        <w:rPr>
          <w:rFonts w:hint="eastAsia" w:hAnsi="宋体"/>
          <w:color w:val="auto"/>
          <w:sz w:val="21"/>
          <w:highlight w:val="none"/>
        </w:rPr>
        <w:t xml:space="preserve">8.1 自</w:t>
      </w:r>
      <w:r>
        <w:rPr>
          <w:rFonts w:hint="eastAsia" w:ascii="宋体" w:hAnsi="宋体" w:cs="宋体"/>
          <w:color w:val="auto"/>
          <w:highlight w:val="none"/>
          <w:lang w:eastAsia="zh-CN"/>
        </w:rPr>
        <w:t xml:space="preserve">仪器设备</w:t>
      </w:r>
      <w:r>
        <w:rPr>
          <w:rFonts w:hint="eastAsia" w:hAnsi="宋体"/>
          <w:color w:val="auto"/>
          <w:sz w:val="21"/>
          <w:highlight w:val="none"/>
        </w:rPr>
        <w:t xml:space="preserve">交付</w:t>
      </w:r>
      <w:r>
        <w:rPr>
          <w:rFonts w:hint="eastAsia" w:hAnsi="宋体" w:cs="宋体"/>
          <w:color w:val="auto"/>
          <w:sz w:val="21"/>
          <w:highlight w:val="none"/>
        </w:rPr>
        <w:t xml:space="preserve">并经</w:t>
      </w:r>
      <w:r>
        <w:rPr>
          <w:rFonts w:hint="eastAsia" w:hAnsi="宋体" w:cs="宋体"/>
          <w:color w:val="auto"/>
          <w:sz w:val="21"/>
          <w:highlight w:val="none"/>
          <w:lang w:val="en-US" w:eastAsia="zh-CN"/>
        </w:rPr>
        <w:t xml:space="preserve">验收</w:t>
      </w:r>
      <w:r>
        <w:rPr>
          <w:rFonts w:hint="eastAsia" w:hAnsi="宋体" w:cs="宋体"/>
          <w:color w:val="auto"/>
          <w:sz w:val="21"/>
          <w:highlight w:val="none"/>
        </w:rPr>
        <w:t xml:space="preserve">合格之日起</w:t>
      </w:r>
      <w:r>
        <w:rPr>
          <w:rFonts w:hint="eastAsia" w:hAnsi="宋体" w:cs="宋体"/>
          <w:color w:val="auto"/>
          <w:sz w:val="21"/>
          <w:highlight w:val="none"/>
          <w:u w:val="single"/>
          <w:lang w:val="en-US" w:eastAsia="zh-CN"/>
        </w:rPr>
        <w:t xml:space="preserve">    </w:t>
      </w:r>
      <w:r>
        <w:rPr>
          <w:rFonts w:hint="eastAsia" w:hAnsi="宋体" w:cs="宋体"/>
          <w:color w:val="auto"/>
          <w:sz w:val="21"/>
          <w:highlight w:val="none"/>
        </w:rPr>
        <w:t xml:space="preserve">年</w:t>
      </w:r>
      <w:r>
        <w:rPr>
          <w:rFonts w:hint="eastAsia" w:hAnsi="宋体"/>
          <w:color w:val="auto"/>
          <w:sz w:val="21"/>
          <w:highlight w:val="none"/>
        </w:rPr>
        <w:t xml:space="preserve">为质保期。</w:t>
      </w:r>
      <w:r/>
    </w:p>
    <w:p>
      <w:pPr>
        <w:pStyle w:val="75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九、交付期、交付方式及交付地点</w:t>
      </w:r>
      <w:r/>
    </w:p>
    <w:p>
      <w:pPr>
        <w:pStyle w:val="750"/>
        <w:ind w:firstLine="420"/>
        <w:spacing w:before="120" w:after="120" w:line="360" w:lineRule="auto"/>
        <w:rPr>
          <w:rFonts w:hAnsi="宋体"/>
          <w:color w:val="auto"/>
          <w:sz w:val="21"/>
          <w:highlight w:val="none"/>
        </w:rPr>
      </w:pPr>
      <w:r>
        <w:rPr>
          <w:rFonts w:hint="eastAsia" w:hAnsi="宋体"/>
          <w:color w:val="auto"/>
          <w:sz w:val="21"/>
          <w:highlight w:val="none"/>
        </w:rPr>
        <w:t xml:space="preserve">9.1 交付期：</w:t>
      </w:r>
      <w:r>
        <w:rPr>
          <w:rFonts w:hint="eastAsia" w:hAnsi="宋体" w:cs="宋体"/>
          <w:color w:val="auto"/>
          <w:sz w:val="21"/>
          <w:highlight w:val="none"/>
          <w:u w:val="single"/>
        </w:rPr>
        <w:t xml:space="preserve">                 </w:t>
      </w:r>
      <w:r/>
    </w:p>
    <w:p>
      <w:pPr>
        <w:pStyle w:val="750"/>
        <w:ind w:firstLine="420"/>
        <w:spacing w:before="120" w:after="120" w:line="360" w:lineRule="auto"/>
        <w:rPr>
          <w:rFonts w:hAnsi="宋体"/>
          <w:color w:val="auto"/>
          <w:sz w:val="21"/>
          <w:highlight w:val="none"/>
        </w:rPr>
      </w:pPr>
      <w:r>
        <w:rPr>
          <w:rFonts w:hint="eastAsia" w:hAnsi="宋体"/>
          <w:color w:val="auto"/>
          <w:sz w:val="21"/>
          <w:highlight w:val="none"/>
        </w:rPr>
        <w:t xml:space="preserve">9.2 交付方式：</w:t>
      </w:r>
      <w:r>
        <w:rPr>
          <w:rFonts w:hint="eastAsia" w:hAnsi="宋体" w:cs="宋体"/>
          <w:bCs/>
          <w:color w:val="auto"/>
          <w:sz w:val="21"/>
          <w:highlight w:val="none"/>
          <w:u w:val="single"/>
        </w:rPr>
        <w:t xml:space="preserve">               </w:t>
      </w:r>
      <w:r/>
    </w:p>
    <w:p>
      <w:pPr>
        <w:pStyle w:val="750"/>
        <w:ind w:firstLine="420"/>
        <w:spacing w:before="120" w:after="120" w:line="360" w:lineRule="auto"/>
        <w:rPr>
          <w:rFonts w:hAnsi="宋体"/>
          <w:color w:val="auto"/>
          <w:sz w:val="21"/>
          <w:highlight w:val="none"/>
        </w:rPr>
      </w:pPr>
      <w:r>
        <w:rPr>
          <w:rFonts w:hint="eastAsia" w:hAnsi="宋体"/>
          <w:color w:val="auto"/>
          <w:sz w:val="21"/>
          <w:highlight w:val="none"/>
        </w:rPr>
        <w:t xml:space="preserve">9.3 交付地点：</w:t>
      </w:r>
      <w:r>
        <w:rPr>
          <w:rFonts w:hint="eastAsia" w:hAnsi="宋体" w:cs="宋体"/>
          <w:bCs/>
          <w:color w:val="auto"/>
          <w:sz w:val="21"/>
          <w:highlight w:val="none"/>
          <w:u w:val="single"/>
        </w:rPr>
        <w:t xml:space="preserve">                </w:t>
      </w:r>
      <w:r/>
    </w:p>
    <w:p>
      <w:pPr>
        <w:pStyle w:val="75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十、货款支付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pStyle w:val="750"/>
        <w:ind w:firstLine="420"/>
        <w:spacing w:line="360" w:lineRule="auto"/>
        <w:rPr>
          <w:rFonts w:hAnsi="宋体" w:cs="宋体"/>
          <w:color w:val="auto"/>
          <w:sz w:val="21"/>
          <w:highlight w:val="none"/>
        </w:rPr>
      </w:pPr>
      <w:r>
        <w:rPr>
          <w:rFonts w:hint="eastAsia" w:hAnsi="宋体" w:cs="宋体"/>
          <w:color w:val="auto"/>
          <w:sz w:val="21"/>
          <w:highlight w:val="none"/>
        </w:rPr>
        <w:t xml:space="preserve">10.3 甲方付款方式：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（1）合同签订后，乙方向甲方开具发票，甲方自收到发票之日起</w:t>
      </w:r>
      <w:r>
        <w:rPr>
          <w:rFonts w:hint="eastAsia" w:ascii="宋体" w:hAnsi="宋体" w:cs="宋体"/>
          <w:color w:val="auto"/>
          <w:szCs w:val="21"/>
          <w:highlight w:val="none"/>
          <w:lang w:val="en-US" w:eastAsia="zh-CN"/>
        </w:rPr>
        <w:t xml:space="preserve">10个工作日</w:t>
      </w:r>
      <w:r>
        <w:rPr>
          <w:rFonts w:hint="eastAsia" w:ascii="宋体" w:hAnsi="宋体" w:cs="宋体"/>
          <w:color w:val="auto"/>
          <w:szCs w:val="21"/>
          <w:highlight w:val="none"/>
        </w:rPr>
        <w:t xml:space="preserve">内支付合同总价30%的预付款；</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（2）项目所需设备全部交付并经验收合格后，乙方向甲方开具发票，甲方自收到发票之日起</w:t>
      </w:r>
      <w:r>
        <w:rPr>
          <w:rFonts w:hint="eastAsia" w:ascii="宋体" w:hAnsi="宋体" w:cs="宋体"/>
          <w:color w:val="auto"/>
          <w:szCs w:val="21"/>
          <w:highlight w:val="none"/>
          <w:lang w:val="en-US" w:eastAsia="zh-CN"/>
        </w:rPr>
        <w:t xml:space="preserve">10个工作日</w:t>
      </w:r>
      <w:r>
        <w:rPr>
          <w:rFonts w:hint="eastAsia" w:ascii="宋体" w:hAnsi="宋体" w:cs="宋体"/>
          <w:color w:val="auto"/>
          <w:szCs w:val="21"/>
          <w:highlight w:val="none"/>
        </w:rPr>
        <w:t xml:space="preserve">内</w:t>
      </w:r>
      <w:r>
        <w:rPr>
          <w:rFonts w:hint="eastAsia" w:ascii="宋体" w:hAnsi="宋体" w:eastAsia="宋体" w:cs="宋体"/>
          <w:color w:val="auto"/>
          <w:sz w:val="21"/>
          <w:szCs w:val="21"/>
          <w:highlight w:val="none"/>
          <w:lang w:val="en-US" w:eastAsia="zh-CN" w:bidi="ar-SA"/>
        </w:rPr>
        <w:t xml:space="preserve">支付合同总价</w:t>
      </w:r>
      <w:r>
        <w:rPr>
          <w:rFonts w:hint="eastAsia" w:ascii="宋体" w:hAnsi="宋体" w:eastAsia="宋体" w:cs="宋体"/>
          <w:color w:val="auto"/>
          <w:sz w:val="21"/>
          <w:szCs w:val="21"/>
          <w:highlight w:val="none"/>
          <w:lang w:val="zh-CN" w:eastAsia="zh-CN" w:bidi="ar-SA"/>
        </w:rPr>
        <w:t xml:space="preserve">的</w:t>
      </w:r>
      <w:r>
        <w:rPr>
          <w:rFonts w:hint="eastAsia" w:ascii="宋体" w:hAnsi="宋体" w:eastAsia="宋体" w:cs="宋体"/>
          <w:color w:val="auto"/>
          <w:sz w:val="21"/>
          <w:szCs w:val="21"/>
          <w:highlight w:val="none"/>
          <w:lang w:val="en-US" w:eastAsia="zh-CN" w:bidi="ar-SA"/>
        </w:rPr>
        <w:t xml:space="preserve">70%。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如出现不符合采购文件和本合同中要求的事项，则根据采购文件和本合同内容扣除部分费用。</w:t>
      </w:r>
      <w:r/>
    </w:p>
    <w:p>
      <w:pPr>
        <w:ind w:firstLine="422"/>
        <w:spacing w:line="360" w:lineRule="auto"/>
        <w:rPr>
          <w:rFonts w:hAnsi="宋体"/>
          <w:b/>
          <w:bCs/>
          <w:color w:val="auto"/>
          <w:highlight w:val="none"/>
        </w:rPr>
      </w:pPr>
      <w:r>
        <w:rPr>
          <w:rFonts w:hint="eastAsia" w:hAnsi="宋体"/>
          <w:b/>
          <w:bCs/>
          <w:color w:val="auto"/>
          <w:highlight w:val="none"/>
        </w:rPr>
        <w:t xml:space="preserve">十一、税费</w:t>
      </w:r>
      <w:r/>
    </w:p>
    <w:p>
      <w:pPr>
        <w:pStyle w:val="750"/>
        <w:ind w:firstLine="420"/>
        <w:spacing w:before="120" w:after="120" w:line="360" w:lineRule="auto"/>
        <w:rPr>
          <w:rFonts w:hAnsi="宋体"/>
          <w:color w:val="auto"/>
          <w:sz w:val="21"/>
          <w:highlight w:val="none"/>
        </w:rPr>
      </w:pPr>
      <w:r>
        <w:rPr>
          <w:rFonts w:hint="eastAsia" w:hAnsi="宋体"/>
          <w:color w:val="auto"/>
          <w:sz w:val="21"/>
          <w:highlight w:val="none"/>
        </w:rPr>
        <w:t xml:space="preserve">11.1本合同执行中相关的一切税费均由乙方负担。</w:t>
      </w:r>
      <w:r/>
    </w:p>
    <w:p>
      <w:pPr>
        <w:pStyle w:val="75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十二、质量保证及售后服务</w:t>
      </w:r>
      <w:r/>
    </w:p>
    <w:p>
      <w:pPr>
        <w:pStyle w:val="750"/>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乙方应按招标文件规定及响应文件承诺的产品性能、技术要求、质量标准向甲方提供未经使用的全新产品；若技术性能无特殊说明，则按国家有关部门最新颁布的标准及规范为准。</w:t>
      </w:r>
      <w:r/>
    </w:p>
    <w:p>
      <w:pPr>
        <w:pStyle w:val="750"/>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12.2乙方应保证其提供的产品在正常使用和保养条件下，在其使用寿命内具有良好的性能。验收后，在质量保证期内，乙方应对由于设计、工艺或材料的缺陷所发生的任何不足或故障负责，所需费用由乙方承担。</w:t>
      </w:r>
      <w:r/>
    </w:p>
    <w:p>
      <w:pPr>
        <w:pStyle w:val="750"/>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乙方提供的货物及服务在质量期内因服务及产品本身的质量问题发生故障，乙方应负责免费更换。对达不到技术要求者，根据实际情况，经双方协商，可按以下办法处理：</w:t>
      </w:r>
      <w:r/>
    </w:p>
    <w:p>
      <w:pPr>
        <w:pStyle w:val="750"/>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⑴更换：由乙方承担所发生的全部费用。</w:t>
      </w:r>
      <w:r/>
    </w:p>
    <w:p>
      <w:pPr>
        <w:pStyle w:val="750"/>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⑵贬值处理：由甲乙双方合议定价。</w:t>
      </w:r>
      <w:r/>
    </w:p>
    <w:p>
      <w:pPr>
        <w:pStyle w:val="750"/>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⑶退还处理：乙方应退还甲方支付的合同款，同时应承担该货物及服务的直接费用（运输、保险、检验、款项利息及银行手续费等）。</w:t>
      </w:r>
      <w:r/>
    </w:p>
    <w:p>
      <w:pPr>
        <w:pStyle w:val="750"/>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如在使用过程中发生质量问题，乙方在接到甲方通知后在</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小时内到达甲方现场。</w:t>
      </w:r>
      <w:r/>
    </w:p>
    <w:p>
      <w:pPr>
        <w:pStyle w:val="750"/>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在质保期内，乙方应对货物及服务出现的质量及安全问题负责处理解决并承担一切费用。</w:t>
      </w:r>
      <w:r/>
    </w:p>
    <w:p>
      <w:pPr>
        <w:pStyle w:val="750"/>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上述的货物及服务</w:t>
      </w:r>
      <w:r>
        <w:rPr>
          <w:rFonts w:hint="eastAsia" w:ascii="宋体" w:hAnsi="宋体" w:eastAsia="宋体" w:cs="宋体"/>
          <w:color w:val="auto"/>
          <w:sz w:val="21"/>
          <w:szCs w:val="21"/>
          <w:highlight w:val="none"/>
          <w:lang w:eastAsia="zh-CN"/>
        </w:rPr>
        <w:t xml:space="preserve">免费质保（保修）期</w:t>
      </w:r>
      <w:r>
        <w:rPr>
          <w:rFonts w:hint="eastAsia" w:ascii="宋体" w:hAnsi="宋体" w:eastAsia="宋体" w:cs="宋体"/>
          <w:color w:val="auto"/>
          <w:sz w:val="21"/>
          <w:szCs w:val="21"/>
          <w:highlight w:val="none"/>
        </w:rPr>
        <w:t xml:space="preserve">为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年，因人为因素出现的故障不在免费</w:t>
      </w:r>
      <w:r>
        <w:rPr>
          <w:rFonts w:hint="eastAsia" w:ascii="宋体" w:hAnsi="宋体" w:eastAsia="宋体" w:cs="宋体"/>
          <w:color w:val="auto"/>
          <w:sz w:val="21"/>
          <w:szCs w:val="21"/>
          <w:highlight w:val="none"/>
          <w:lang w:eastAsia="zh-CN"/>
        </w:rPr>
        <w:t xml:space="preserve">质保（保修）期</w:t>
      </w:r>
      <w:r>
        <w:rPr>
          <w:rFonts w:hint="eastAsia" w:ascii="宋体" w:hAnsi="宋体" w:eastAsia="宋体" w:cs="宋体"/>
          <w:color w:val="auto"/>
          <w:sz w:val="21"/>
          <w:szCs w:val="21"/>
          <w:highlight w:val="none"/>
        </w:rPr>
        <w:t xml:space="preserve">范围内。</w:t>
      </w:r>
      <w:r>
        <w:rPr>
          <w:rFonts w:hint="eastAsia" w:ascii="宋体" w:hAnsi="宋体" w:eastAsia="宋体" w:cs="宋体"/>
          <w:color w:val="auto"/>
          <w:sz w:val="21"/>
          <w:szCs w:val="21"/>
          <w:highlight w:val="none"/>
          <w:lang w:eastAsia="zh-CN"/>
        </w:rPr>
        <w:t xml:space="preserve">免费质保（保修）期</w:t>
      </w:r>
      <w:r>
        <w:rPr>
          <w:rFonts w:hint="eastAsia" w:ascii="宋体" w:hAnsi="宋体" w:eastAsia="宋体" w:cs="宋体"/>
          <w:color w:val="auto"/>
          <w:sz w:val="21"/>
          <w:szCs w:val="21"/>
          <w:highlight w:val="none"/>
          <w:lang w:val="en-US" w:eastAsia="zh-CN"/>
        </w:rPr>
        <w:t xml:space="preserve">满后，厂家为用户提供终生维修服务，如需更换零部件，一般只收取器件成本费，如果需要厂家工程师上门服务，每次仅收取差旅费和工程师食宿补助，未修复好不收费，对修复好的故障机器保修6个月。</w:t>
      </w:r>
      <w:r/>
    </w:p>
    <w:p>
      <w:pPr>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2.7</w:t>
      </w:r>
      <w:r>
        <w:rPr>
          <w:rFonts w:hint="eastAsia" w:ascii="宋体" w:hAnsi="宋体" w:eastAsia="宋体" w:cs="宋体"/>
          <w:color w:val="auto"/>
          <w:sz w:val="21"/>
          <w:szCs w:val="21"/>
          <w:highlight w:val="none"/>
        </w:rPr>
        <w:t xml:space="preserve"> 因项目质量问题发生争议的，可在国家认可的质量检测机构对质量进行鉴定。符合标准的，鉴定费由甲方承担；不符合质量标准的，鉴定费由乙方承担。</w:t>
      </w:r>
      <w:r/>
    </w:p>
    <w:p>
      <w:pPr>
        <w:pStyle w:val="750"/>
        <w:ind w:firstLine="420"/>
        <w:spacing w:before="120" w:after="120" w:line="360" w:lineRule="auto"/>
        <w:rPr>
          <w:rFonts w:hint="eastAsia" w:hAnsi="宋体" w:eastAsia="宋体" w:cs="宋体"/>
          <w:b w:val="0"/>
          <w:bCs w:val="0"/>
          <w:color w:val="auto"/>
          <w:sz w:val="21"/>
          <w:highlight w:val="none"/>
          <w:lang w:val="en-US" w:eastAsia="zh-CN"/>
        </w:rPr>
      </w:pPr>
      <w:r>
        <w:rPr>
          <w:rFonts w:hint="eastAsia" w:hAnsi="宋体" w:cs="宋体"/>
          <w:b w:val="0"/>
          <w:bCs w:val="0"/>
          <w:color w:val="auto"/>
          <w:sz w:val="21"/>
          <w:highlight w:val="none"/>
          <w:lang w:val="en-US" w:eastAsia="zh-CN"/>
        </w:rPr>
        <w:t xml:space="preserve">12.8乙方须配合并协助甲方完成相关资质认定评审能力项相关申报工作；如未按要求配合不到位或影响评审工作，甲方有权处以相应违约金（5000元/次），由此造成的一切损失由供应商承担。</w:t>
      </w:r>
      <w:r/>
    </w:p>
    <w:p>
      <w:pPr>
        <w:pStyle w:val="75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十三、</w:t>
      </w:r>
      <w:r>
        <w:rPr>
          <w:rFonts w:hint="eastAsia" w:hAnsi="宋体"/>
          <w:b/>
          <w:bCs/>
          <w:color w:val="auto"/>
          <w:sz w:val="21"/>
          <w:highlight w:val="none"/>
          <w:lang w:eastAsia="zh-CN"/>
        </w:rPr>
        <w:t xml:space="preserve">交货、</w:t>
      </w:r>
      <w:r>
        <w:rPr>
          <w:rFonts w:hint="eastAsia" w:hAnsi="宋体"/>
          <w:b/>
          <w:bCs/>
          <w:color w:val="auto"/>
          <w:sz w:val="21"/>
          <w:highlight w:val="none"/>
        </w:rPr>
        <w:t xml:space="preserve">调试和验收</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13.1</w:t>
      </w:r>
      <w:r>
        <w:rPr>
          <w:rFonts w:hint="eastAsia" w:ascii="宋体" w:hAnsi="宋体" w:eastAsia="宋体" w:cs="宋体"/>
          <w:color w:val="auto"/>
          <w:sz w:val="21"/>
          <w:szCs w:val="21"/>
          <w:highlight w:val="none"/>
        </w:rPr>
        <w:t xml:space="preserve"> 乙方所供全部设备须为全新原厂正品、未拆封、未使用、无翻新、无质量瑕疵，符合国家强制性标准及行业规范，具备完整的合格证、出厂检测报告、说明书、质保凭证；进口设备须提供正规报关单据、完税证明、原厂授权文件及中文翻译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乙方应当在合同签订后自接到甲方通知后按承诺的交货期将货物交付</w:t>
      </w:r>
      <w:r>
        <w:rPr>
          <w:rFonts w:hint="eastAsia" w:ascii="宋体" w:hAnsi="宋体" w:eastAsia="宋体" w:cs="宋体"/>
          <w:color w:val="auto"/>
          <w:sz w:val="21"/>
          <w:szCs w:val="21"/>
          <w:highlight w:val="none"/>
          <w:lang w:val="en-US" w:eastAsia="zh-CN"/>
        </w:rPr>
        <w:t xml:space="preserve">给</w:t>
      </w:r>
      <w:r>
        <w:rPr>
          <w:rFonts w:hint="eastAsia" w:ascii="宋体" w:hAnsi="宋体" w:eastAsia="宋体" w:cs="宋体"/>
          <w:color w:val="auto"/>
          <w:sz w:val="21"/>
          <w:szCs w:val="21"/>
          <w:highlight w:val="none"/>
        </w:rPr>
        <w:t xml:space="preserve">甲方，地点由甲方指定，招标文件有约定的，从其约定。在发货前，乙方应对产品作出全面检查和对验收文件进行整理，并列出清单，作为甲方收货初验收和使用的技术条件依据，检验的结果应随货物交甲方。</w:t>
      </w:r>
      <w:r/>
    </w:p>
    <w:p>
      <w:pPr>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乙方按照招标文件要求负责产品安装并培训甲方的使用操作人员，乙方在甲方使用前进行调试，调试直到符合技术要求的甲方才做最终验收。</w:t>
      </w:r>
      <w:r/>
    </w:p>
    <w:p>
      <w:pPr>
        <w:pStyle w:val="750"/>
        <w:ind w:left="0" w:firstLine="420"/>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货物到达安装现场后，</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和</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（或委托方）共同打开包装验货检查货物数量及规格。</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应提供详细装箱单据。如果货物质量或技术规格与合同不符，或货物有明显损坏，</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有权提出索赔。只有经安装调试并且技术性能达到本招标文件所述的技术要求后，</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才能接受全部货物。</w:t>
      </w:r>
      <w:r/>
    </w:p>
    <w:p>
      <w:pPr>
        <w:pStyle w:val="750"/>
        <w:ind w:left="0" w:firstLine="420"/>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在正式验收前，货物存放及保管和因此产生相关费用概由乙方负责。</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甲乙双方关于调试和验收的其他约定：</w:t>
      </w:r>
      <w:r/>
    </w:p>
    <w:p>
      <w:pPr>
        <w:ind w:left="0"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货物到达现场后，乙方应在使用单位人员在场情况下当面开箱，共同清点、检查外观，做出开箱记录，双方签字确认。</w:t>
      </w:r>
      <w:r/>
    </w:p>
    <w:p>
      <w:pPr>
        <w:ind w:left="0"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乙方应保证货物到达采购人所在地完好无损，如有缺漏、损坏，由乙方负责调换、补齐或赔偿。</w:t>
      </w:r>
      <w:r/>
    </w:p>
    <w:p>
      <w:pPr>
        <w:ind w:left="0"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乙方应提供完备的技术资料、装箱单和合格证、检测报告等，并派遣专业技术人员进行现场检验。验收合格条件如下∶</w:t>
      </w:r>
      <w:r/>
    </w:p>
    <w:p>
      <w:pPr>
        <w:ind w:left="0"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①</w:t>
      </w:r>
      <w:r>
        <w:rPr>
          <w:rFonts w:hint="eastAsia" w:ascii="宋体" w:hAnsi="宋体" w:eastAsia="宋体" w:cs="宋体"/>
          <w:color w:val="auto"/>
          <w:sz w:val="21"/>
          <w:szCs w:val="21"/>
          <w:highlight w:val="none"/>
          <w:u w:val="single"/>
        </w:rPr>
        <w:t xml:space="preserve">货物技术参数与采购合同一致，性能指标达到规定的标准。</w:t>
      </w:r>
      <w:r/>
    </w:p>
    <w:p>
      <w:pPr>
        <w:ind w:left="0"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②</w:t>
      </w:r>
      <w:r>
        <w:rPr>
          <w:rFonts w:hint="eastAsia" w:ascii="宋体" w:hAnsi="宋体" w:eastAsia="宋体" w:cs="宋体"/>
          <w:color w:val="auto"/>
          <w:sz w:val="21"/>
          <w:szCs w:val="21"/>
          <w:highlight w:val="none"/>
          <w:u w:val="single"/>
        </w:rPr>
        <w:t xml:space="preserve">货物技术资料、装箱单、合格证等资料齐全。</w:t>
      </w:r>
      <w:r/>
    </w:p>
    <w:p>
      <w:pPr>
        <w:ind w:left="0"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③</w:t>
      </w:r>
      <w:r>
        <w:rPr>
          <w:rFonts w:hint="eastAsia" w:ascii="宋体" w:hAnsi="宋体" w:eastAsia="宋体" w:cs="宋体"/>
          <w:color w:val="auto"/>
          <w:sz w:val="21"/>
          <w:szCs w:val="21"/>
          <w:highlight w:val="none"/>
          <w:u w:val="single"/>
        </w:rPr>
        <w:t xml:space="preserve">在规定时间内完成交货，并经采购人确认。</w:t>
      </w:r>
      <w:r/>
    </w:p>
    <w:p>
      <w:pPr>
        <w:ind w:left="0" w:firstLine="420"/>
        <w:keepLines w:val="0"/>
        <w:keepNext w:val="0"/>
        <w:pageBreakBefore w:val="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lang w:val="en-US" w:eastAsia="zh-CN"/>
        </w:rPr>
        <w:t xml:space="preserve">4</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lang w:eastAsia="zh-CN"/>
        </w:rPr>
        <w:t xml:space="preserve">甲方需要供货商对交付的货物（包括质量、技术参数等）进行确认的，乙方应予以配合，并出具书面意见。</w:t>
      </w:r>
      <w:r/>
    </w:p>
    <w:p>
      <w:pPr>
        <w:ind w:left="0" w:firstLine="420"/>
        <w:keepLines w:val="0"/>
        <w:keepNext w:val="0"/>
        <w:pageBreakBefore w:val="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lang w:val="en-US" w:eastAsia="zh-CN"/>
        </w:rPr>
        <w:t xml:space="preserve">5</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lang w:eastAsia="zh-CN"/>
        </w:rPr>
        <w:t xml:space="preserve">大型或者复杂的采购项目，甲方可以邀请国家认可的质量检测机构参加验收工作，</w:t>
      </w:r>
      <w:r>
        <w:rPr>
          <w:rFonts w:hint="eastAsia" w:ascii="宋体" w:hAnsi="宋体" w:eastAsia="宋体" w:cs="宋体"/>
          <w:color w:val="auto"/>
          <w:sz w:val="21"/>
          <w:szCs w:val="21"/>
          <w:highlight w:val="none"/>
          <w:u w:val="single"/>
          <w:lang w:val="en-US" w:eastAsia="zh-CN"/>
        </w:rPr>
        <w:t xml:space="preserve">由此产生的验收费用由乙方承担</w:t>
      </w:r>
      <w:r>
        <w:rPr>
          <w:rFonts w:hint="eastAsia" w:ascii="宋体" w:hAnsi="宋体" w:eastAsia="宋体" w:cs="宋体"/>
          <w:color w:val="auto"/>
          <w:sz w:val="21"/>
          <w:szCs w:val="21"/>
          <w:highlight w:val="none"/>
          <w:u w:val="single"/>
          <w:lang w:eastAsia="zh-CN"/>
        </w:rPr>
        <w:t xml:space="preserve">。</w:t>
      </w:r>
      <w:r/>
    </w:p>
    <w:p>
      <w:pPr>
        <w:pStyle w:val="750"/>
        <w:ind w:left="0" w:firstLine="420"/>
        <w:keepLines w:val="0"/>
        <w:keepNext w:val="0"/>
        <w:pageBreakBefore w:val="0"/>
        <w:spacing w:before="120" w:after="120" w:line="360" w:lineRule="auto"/>
        <w:rPr>
          <w:rFonts w:hint="eastAsia" w:hAnsi="宋体" w:eastAsia="宋体" w:cs="宋体"/>
          <w:b w:val="0"/>
          <w:bCs w:val="0"/>
          <w:color w:val="auto"/>
          <w:sz w:val="21"/>
          <w:highlight w:val="none"/>
          <w:u w:val="single"/>
          <w:lang w:eastAsia="zh-CN"/>
        </w:rPr>
      </w:pPr>
      <w:r>
        <w:rPr>
          <w:rFonts w:hint="eastAsia" w:hAnsi="宋体" w:cs="宋体"/>
          <w:b w:val="0"/>
          <w:bCs w:val="0"/>
          <w:color w:val="auto"/>
          <w:sz w:val="21"/>
          <w:highlight w:val="none"/>
          <w:u w:val="single"/>
          <w:lang w:eastAsia="zh-CN"/>
        </w:rPr>
        <w:t xml:space="preserve">（</w:t>
      </w:r>
      <w:r>
        <w:rPr>
          <w:rFonts w:hint="eastAsia" w:hAnsi="宋体" w:cs="宋体"/>
          <w:b w:val="0"/>
          <w:bCs w:val="0"/>
          <w:color w:val="auto"/>
          <w:sz w:val="21"/>
          <w:highlight w:val="none"/>
          <w:u w:val="single"/>
          <w:lang w:val="en-US" w:eastAsia="zh-CN"/>
        </w:rPr>
        <w:t xml:space="preserve">6</w:t>
      </w:r>
      <w:r>
        <w:rPr>
          <w:rFonts w:hint="eastAsia" w:hAnsi="宋体" w:cs="宋体"/>
          <w:b w:val="0"/>
          <w:bCs w:val="0"/>
          <w:color w:val="auto"/>
          <w:sz w:val="21"/>
          <w:highlight w:val="none"/>
          <w:u w:val="single"/>
          <w:lang w:eastAsia="zh-CN"/>
        </w:rPr>
        <w:t xml:space="preserve">）调试结束后，乙方需</w:t>
      </w:r>
      <w:r>
        <w:rPr>
          <w:rFonts w:hint="eastAsia" w:hAnsi="宋体" w:cs="宋体"/>
          <w:b w:val="0"/>
          <w:bCs w:val="0"/>
          <w:color w:val="auto"/>
          <w:sz w:val="21"/>
          <w:highlight w:val="none"/>
          <w:u w:val="single"/>
          <w:lang w:val="en-US" w:eastAsia="zh-CN"/>
        </w:rPr>
        <w:t xml:space="preserve">按招标文件要求</w:t>
      </w:r>
      <w:r>
        <w:rPr>
          <w:rFonts w:hint="eastAsia" w:hAnsi="宋体" w:cs="宋体"/>
          <w:b w:val="0"/>
          <w:bCs w:val="0"/>
          <w:color w:val="auto"/>
          <w:sz w:val="21"/>
          <w:highlight w:val="none"/>
          <w:u w:val="single"/>
          <w:lang w:eastAsia="zh-CN"/>
        </w:rPr>
        <w:t xml:space="preserve">向甲方提供</w:t>
      </w:r>
      <w:r>
        <w:rPr>
          <w:rFonts w:hint="eastAsia" w:hAnsi="宋体" w:cs="宋体"/>
          <w:b w:val="0"/>
          <w:bCs w:val="0"/>
          <w:color w:val="auto"/>
          <w:sz w:val="21"/>
          <w:highlight w:val="none"/>
          <w:u w:val="single"/>
          <w:lang w:val="en-US" w:eastAsia="zh-CN"/>
        </w:rPr>
        <w:t xml:space="preserve">所投四种设备（</w:t>
      </w:r>
      <w:r>
        <w:rPr>
          <w:rFonts w:hint="eastAsia" w:hAnsi="宋体" w:cs="宋体"/>
          <w:color w:val="auto"/>
          <w:sz w:val="21"/>
          <w:highlight w:val="none"/>
          <w:u w:val="single"/>
        </w:rPr>
        <w:t xml:space="preserve">便携式气相分子吸收光谱仪</w:t>
      </w:r>
      <w:r>
        <w:rPr>
          <w:rFonts w:hint="eastAsia" w:hAnsi="宋体" w:cs="宋体"/>
          <w:color w:val="auto"/>
          <w:sz w:val="21"/>
          <w:highlight w:val="none"/>
          <w:u w:val="single"/>
          <w:lang w:eastAsia="zh-CN"/>
        </w:rPr>
        <w:t xml:space="preserve">、</w:t>
      </w:r>
      <w:r>
        <w:rPr>
          <w:rFonts w:hint="eastAsia" w:hAnsi="宋体" w:cs="宋体"/>
          <w:color w:val="auto"/>
          <w:sz w:val="21"/>
          <w:highlight w:val="none"/>
          <w:u w:val="single"/>
        </w:rPr>
        <w:t xml:space="preserve">便携式 GC-MS（含便携式顶空进样器+吹扫捕集装置、固相微萃取装置、动态稀释仪）</w:t>
      </w:r>
      <w:r>
        <w:rPr>
          <w:rFonts w:hint="eastAsia" w:hAnsi="宋体" w:cs="宋体"/>
          <w:color w:val="auto"/>
          <w:sz w:val="21"/>
          <w:highlight w:val="none"/>
          <w:u w:val="single"/>
          <w:lang w:eastAsia="zh-CN"/>
        </w:rPr>
        <w:t xml:space="preserve">、</w:t>
      </w:r>
      <w:r>
        <w:rPr>
          <w:rFonts w:hint="eastAsia" w:hAnsi="宋体" w:cs="宋体"/>
          <w:color w:val="auto"/>
          <w:sz w:val="21"/>
          <w:highlight w:val="none"/>
          <w:u w:val="single"/>
        </w:rPr>
        <w:t xml:space="preserve">便携式傅里叶红外分析仪</w:t>
      </w:r>
      <w:r>
        <w:rPr>
          <w:rFonts w:hint="eastAsia" w:hAnsi="宋体" w:cs="宋体"/>
          <w:color w:val="auto"/>
          <w:sz w:val="21"/>
          <w:highlight w:val="none"/>
          <w:u w:val="single"/>
          <w:lang w:eastAsia="zh-CN"/>
        </w:rPr>
        <w:t xml:space="preserve">、</w:t>
      </w:r>
      <w:r>
        <w:rPr>
          <w:rFonts w:hint="eastAsia" w:hAnsi="宋体" w:cs="宋体"/>
          <w:color w:val="auto"/>
          <w:sz w:val="21"/>
          <w:highlight w:val="none"/>
          <w:u w:val="single"/>
        </w:rPr>
        <w:t xml:space="preserve">便携式GC-MS</w:t>
      </w:r>
      <w:r>
        <w:rPr>
          <w:rFonts w:hint="eastAsia" w:hAnsi="宋体" w:cs="宋体"/>
          <w:b w:val="0"/>
          <w:bCs w:val="0"/>
          <w:color w:val="auto"/>
          <w:sz w:val="21"/>
          <w:highlight w:val="none"/>
          <w:u w:val="single"/>
          <w:lang w:val="en-US" w:eastAsia="zh-CN"/>
        </w:rPr>
        <w:t xml:space="preserve">）</w:t>
      </w:r>
      <w:r>
        <w:rPr>
          <w:rFonts w:hint="eastAsia" w:hAnsi="宋体" w:cs="宋体"/>
          <w:b w:val="0"/>
          <w:bCs w:val="0"/>
          <w:color w:val="auto"/>
          <w:sz w:val="21"/>
          <w:highlight w:val="none"/>
          <w:u w:val="single"/>
          <w:lang w:eastAsia="zh-CN"/>
        </w:rPr>
        <w:t xml:space="preserve">的设备检定或计量校准证书，该证书</w:t>
      </w:r>
      <w:r>
        <w:rPr>
          <w:rFonts w:hint="eastAsia" w:hAnsi="宋体" w:cs="宋体"/>
          <w:b w:val="0"/>
          <w:bCs w:val="0"/>
          <w:color w:val="auto"/>
          <w:sz w:val="21"/>
          <w:highlight w:val="none"/>
          <w:u w:val="single"/>
          <w:lang w:val="en-US" w:eastAsia="zh-CN"/>
        </w:rPr>
        <w:t xml:space="preserve">应由</w:t>
      </w:r>
      <w:r>
        <w:rPr>
          <w:rFonts w:hint="eastAsia" w:hAnsi="宋体" w:cs="宋体"/>
          <w:b w:val="0"/>
          <w:bCs w:val="0"/>
          <w:color w:val="auto"/>
          <w:sz w:val="21"/>
          <w:highlight w:val="none"/>
          <w:u w:val="single"/>
          <w:lang w:eastAsia="zh-CN"/>
        </w:rPr>
        <w:t xml:space="preserve">具有法定计量机构授权证书资质的机构出具，作为验收合格的必要材料。</w:t>
      </w:r>
      <w:r/>
    </w:p>
    <w:p>
      <w:pPr>
        <w:pStyle w:val="750"/>
        <w:ind w:left="0" w:firstLine="422"/>
        <w:keepLines w:val="0"/>
        <w:keepNext w:val="0"/>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十四、货物及服务包装、发运及运输</w:t>
      </w:r>
      <w:r/>
    </w:p>
    <w:p>
      <w:pPr>
        <w:pStyle w:val="750"/>
        <w:ind w:left="0" w:firstLine="420"/>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乙方应在货物及服务发运前对其进行满足运输距离、防潮、防震、防锈和防破损装卸等要求包装，以保证货物及服务安全运达甲方指定地点。</w:t>
      </w:r>
      <w:r/>
    </w:p>
    <w:p>
      <w:pPr>
        <w:pStyle w:val="750"/>
        <w:ind w:left="0" w:firstLine="420"/>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使用说明书、质量检验证明书、随配附件和工具以及清单一并交付甲方。</w:t>
      </w:r>
      <w:r/>
    </w:p>
    <w:p>
      <w:pPr>
        <w:pStyle w:val="750"/>
        <w:ind w:left="0" w:firstLine="420"/>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 乙方在货物及服务发运手续办理完毕后24小时内或交付到甲方48小时前通知甲方，以准备接受交付。根据甲方通知的时间和指定的地点，乙方负责安排送货、装卸、清点、堆放，设备初验收合格前的保管工作由乙方负责，费用乙方承担。</w:t>
      </w:r>
      <w:r/>
    </w:p>
    <w:p>
      <w:pPr>
        <w:pStyle w:val="750"/>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 货物在交付甲方前发生的风险均由乙方负责。</w:t>
      </w:r>
      <w:r/>
    </w:p>
    <w:p>
      <w:pPr>
        <w:pStyle w:val="750"/>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 货物及服务在规定的交付期限内由乙方送达甲方指定的地点视为交付，乙方同时需通知甲方货物及服务已送达。</w:t>
      </w:r>
      <w:r/>
    </w:p>
    <w:p>
      <w:pPr>
        <w:ind w:firstLine="420"/>
        <w:spacing w:line="360" w:lineRule="auto"/>
        <w:rPr>
          <w:rFonts w:hint="eastAsia" w:ascii="宋体" w:hAnsi="宋体" w:eastAsia="宋体" w:cs="宋体"/>
          <w:bCs/>
          <w:iCs/>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bCs/>
          <w:iCs/>
          <w:color w:val="auto"/>
          <w:sz w:val="21"/>
          <w:szCs w:val="21"/>
          <w:highlight w:val="none"/>
        </w:rPr>
        <w:t xml:space="preserve">运输要求以国家有关部门或行业最新颁布的标准及规范为准。</w:t>
      </w:r>
      <w:r/>
    </w:p>
    <w:p>
      <w:pPr>
        <w:pStyle w:val="750"/>
        <w:ind w:firstLine="420"/>
        <w:spacing w:before="120" w:after="120" w:line="360" w:lineRule="auto"/>
        <w:rPr>
          <w:rFonts w:hint="eastAsia" w:ascii="宋体" w:hAnsi="宋体" w:eastAsia="宋体" w:cs="宋体"/>
          <w:bCs/>
          <w:iCs/>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bCs/>
          <w:iCs/>
          <w:color w:val="auto"/>
          <w:sz w:val="21"/>
          <w:szCs w:val="21"/>
          <w:highlight w:val="none"/>
        </w:rPr>
        <w:t xml:space="preserve">运输过程中所发生的一切事故的法律责任和经济责任由供应商自行承担。</w:t>
      </w:r>
      <w:r/>
    </w:p>
    <w:p>
      <w:pPr>
        <w:pStyle w:val="75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十五、违约责任</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15.1 甲方无正当理由拒绝初验收和终验收的，应按未付款金额每日万分之五向乙方支付违约金。</w:t>
      </w:r>
      <w:r/>
    </w:p>
    <w:p>
      <w:pPr>
        <w:pStyle w:val="750"/>
        <w:ind w:firstLine="420"/>
        <w:spacing w:before="120" w:after="12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15.2 甲方无故逾期验收和无故逾期办理支付手续的,应按逾期付款金额每日万分之五向乙方支付违约金。</w:t>
      </w:r>
      <w:r/>
    </w:p>
    <w:p>
      <w:pPr>
        <w:pStyle w:val="750"/>
        <w:ind w:firstLine="420"/>
        <w:spacing w:before="120" w:after="120" w:line="360" w:lineRule="auto"/>
        <w:rPr>
          <w:rFonts w:hint="eastAsia" w:ascii="宋体" w:hAnsi="宋体" w:cs="宋体"/>
          <w:color w:val="auto"/>
          <w:sz w:val="21"/>
          <w:szCs w:val="21"/>
          <w:highlight w:val="none"/>
        </w:rPr>
      </w:pPr>
      <w:r>
        <w:rPr>
          <w:rFonts w:hint="eastAsia" w:hAnsi="宋体" w:cs="宋体"/>
          <w:color w:val="auto"/>
          <w:sz w:val="21"/>
          <w:szCs w:val="21"/>
          <w:highlight w:val="none"/>
          <w:lang w:val="en-US" w:eastAsia="zh-CN"/>
        </w:rPr>
        <w:t xml:space="preserve">15.3</w:t>
      </w:r>
      <w:r>
        <w:rPr>
          <w:rFonts w:hint="eastAsia" w:ascii="宋体" w:hAnsi="宋体" w:cs="宋体"/>
          <w:color w:val="auto"/>
          <w:sz w:val="21"/>
          <w:szCs w:val="21"/>
          <w:highlight w:val="none"/>
        </w:rPr>
        <w:t xml:space="preserve">严禁乙方提供翻新机、二手机、窜货机或工程样机。一经查实，甲方有权作退货处理，乙方须在接到甲方通知后一周内更换原厂原装全新产品，同时按该台（套）设备对应合同价的30%向甲方支付惩罚性违约金；若乙方未在规定时限内完成退换货，或退换后产品仍无法履约的，甲方有权单方面解除合同，同时乙方须按合同总价的30%向甲方支付惩罚性违约金。</w:t>
      </w:r>
      <w:r/>
    </w:p>
    <w:p>
      <w:pPr>
        <w:pStyle w:val="750"/>
        <w:ind w:firstLine="420"/>
        <w:spacing w:before="120" w:after="120" w:line="360" w:lineRule="auto"/>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15.4根据《检验检测机构资质认定生态环境监测机构评审补充要求（2025年）》第十二条规定：生态环境监测专用仪器设备应符合生态环境监测国家标准和规范，具备防范篡改、伪造监测数据的相关功能。</w:t>
      </w:r>
      <w:r/>
    </w:p>
    <w:p>
      <w:pPr>
        <w:pStyle w:val="750"/>
        <w:ind w:firstLine="420"/>
        <w:spacing w:before="120" w:after="120" w:line="360" w:lineRule="auto"/>
        <w:rPr>
          <w:rFonts w:hint="eastAsia" w:ascii="宋体" w:hAnsi="宋体" w:cs="宋体"/>
          <w:color w:val="auto"/>
          <w:sz w:val="21"/>
          <w:szCs w:val="21"/>
          <w:highlight w:val="none"/>
        </w:rPr>
      </w:pPr>
      <w:r>
        <w:rPr>
          <w:rFonts w:hint="eastAsia" w:hAnsi="宋体" w:cs="宋体"/>
          <w:color w:val="auto"/>
          <w:sz w:val="21"/>
          <w:szCs w:val="21"/>
          <w:highlight w:val="none"/>
          <w:lang w:val="en-US" w:eastAsia="zh-CN"/>
        </w:rPr>
        <w:t xml:space="preserve">若经甲方核实乙方提供的设备存在监测数据失真、具备伪造或隐瞒真实数据功能及其他违反政策规定情形的，甲方有权单方面解除合同，乙方应全额退还甲方已支付的该设备货款，同时按该台（套）设备对应合同价的30%向甲方支付惩罚性违约金，并承担由此产生的全部直接及间接损失。</w:t>
      </w:r>
      <w:r/>
    </w:p>
    <w:p>
      <w:pPr>
        <w:pStyle w:val="750"/>
        <w:ind w:firstLine="420"/>
        <w:spacing w:before="120" w:after="12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15.5设备安装调试完毕并进入试运行期后，若设备关键性能指标（包括但不限于品种、型号、规格、技术参数、质量标准等）经连续两次整改，仍无法达到合同约定技术规范的，甲方有权选择以下方式处理，乙方不得拒绝：</w:t>
      </w:r>
      <w:r/>
    </w:p>
    <w:p>
      <w:pPr>
        <w:pStyle w:val="750"/>
        <w:ind w:firstLine="420"/>
        <w:spacing w:before="120" w:after="12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① 无条件退货：乙方退还甲方已收取的设备货款，并按该设备对应金额的30%向甲方支付违约金；</w:t>
      </w:r>
      <w:r/>
    </w:p>
    <w:p>
      <w:pPr>
        <w:pStyle w:val="750"/>
        <w:ind w:firstLine="420"/>
        <w:spacing w:before="120" w:after="12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② 无偿换货：乙方在接到甲方通知后一周内，无偿为甲方更换全新合格设备，并按该设备对应金额的30%向甲方支付违约金。</w:t>
      </w:r>
      <w:r/>
    </w:p>
    <w:p>
      <w:pPr>
        <w:pStyle w:val="750"/>
        <w:ind w:firstLine="420"/>
        <w:spacing w:before="120" w:after="12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乙方换货后逾期交货的，按逾期交货相关约定处理；乙方拒绝退货或换货的，甲方有权单方面解除合同，并向乙方收取合同总价30%的违约金。</w:t>
      </w:r>
      <w:r/>
    </w:p>
    <w:p>
      <w:pPr>
        <w:pStyle w:val="750"/>
        <w:ind w:firstLine="420"/>
        <w:spacing w:before="120" w:after="12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15.6乙方发生各类违约情形的，在违约情形消除前，需按合同总额每日万分之五向甲方支付违约金，对应违约金可从甲方待付货款中直接扣除；乙方因逾期交货、虚假承诺、产品经权威部门监测不满足招标文件要求或存在其他违约行为，导致甲方解除合同的，乙方需按合同总价的30%向甲方支付违约金，若实际损失超出违约金金额的，超出部分由乙方继续承担赔偿责任。</w:t>
      </w:r>
      <w:r/>
    </w:p>
    <w:p>
      <w:pPr>
        <w:pStyle w:val="75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十六、不可抗力事件处理</w:t>
      </w:r>
      <w:r/>
    </w:p>
    <w:p>
      <w:pPr>
        <w:pStyle w:val="750"/>
        <w:ind w:firstLine="420"/>
        <w:spacing w:before="120" w:after="120" w:line="360" w:lineRule="auto"/>
        <w:rPr>
          <w:rFonts w:hint="eastAsia" w:hAnsi="宋体" w:eastAsia="宋体"/>
          <w:color w:val="auto"/>
          <w:sz w:val="21"/>
          <w:szCs w:val="21"/>
          <w:highlight w:val="none"/>
          <w:lang w:eastAsia="zh-CN"/>
        </w:rPr>
      </w:pPr>
      <w:r>
        <w:rPr>
          <w:rFonts w:hint="eastAsia" w:hAnsi="宋体"/>
          <w:color w:val="auto"/>
          <w:sz w:val="21"/>
          <w:szCs w:val="21"/>
          <w:highlight w:val="none"/>
        </w:rPr>
        <w:t xml:space="preserve">16.1 在合同有效期内，任何一方因不可抗力事件导致不能履行合同，则合同履行期可延长，其延长期与不可抗力影响期相同。</w:t>
      </w:r>
      <w:r>
        <w:rPr>
          <w:rFonts w:hint="eastAsia" w:ascii="宋体" w:hAnsi="宋体" w:cs="宋体"/>
          <w:color w:val="auto"/>
          <w:sz w:val="21"/>
          <w:szCs w:val="21"/>
          <w:highlight w:val="none"/>
        </w:rPr>
        <w:t xml:space="preserve">不可抗力，是指不能预见、不能避免且不能克服的客观情况，例如战争、严重的地震、洪水等，但一方违约或疏忽导致合同不能履行的不属于不可抗力因素</w:t>
      </w:r>
      <w:r>
        <w:rPr>
          <w:rFonts w:hint="eastAsia" w:ascii="宋体" w:hAnsi="宋体" w:cs="宋体"/>
          <w:color w:val="auto"/>
          <w:sz w:val="21"/>
          <w:szCs w:val="21"/>
          <w:highlight w:val="none"/>
          <w:lang w:eastAsia="zh-CN"/>
        </w:rPr>
        <w:t xml:space="preserve">。</w:t>
      </w:r>
      <w:r/>
    </w:p>
    <w:p>
      <w:pPr>
        <w:pStyle w:val="750"/>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16.2 不可抗力事件发生后，应立即通知对方，并寄送有关权威机构出具的证明。</w:t>
      </w:r>
      <w:r>
        <w:rPr>
          <w:rFonts w:hint="eastAsia" w:ascii="宋体" w:hAnsi="宋体" w:cs="宋体"/>
          <w:color w:val="auto"/>
          <w:sz w:val="21"/>
          <w:szCs w:val="21"/>
          <w:highlight w:val="none"/>
        </w:rPr>
        <w:t xml:space="preserve">除甲方书面另行要求外，乙方应尽实际可能继续履行合同义务，以及寻求采取合理的方案履行不受不可抗力影响的其他事项。</w:t>
      </w:r>
      <w:r/>
    </w:p>
    <w:p>
      <w:pPr>
        <w:pStyle w:val="750"/>
        <w:ind w:firstLine="420"/>
        <w:spacing w:before="120" w:after="120" w:line="360" w:lineRule="auto"/>
        <w:rPr>
          <w:rFonts w:hAnsi="宋体"/>
          <w:color w:val="auto"/>
          <w:sz w:val="21"/>
          <w:highlight w:val="none"/>
        </w:rPr>
      </w:pPr>
      <w:r>
        <w:rPr>
          <w:rFonts w:hint="eastAsia" w:hAnsi="宋体"/>
          <w:color w:val="auto"/>
          <w:sz w:val="21"/>
          <w:szCs w:val="21"/>
          <w:highlight w:val="none"/>
        </w:rPr>
        <w:t xml:space="preserve">16.3 不可抗力事件延续120天以上，双方应通过友好协商，确定是否继续履行合同。</w:t>
      </w:r>
      <w:r/>
    </w:p>
    <w:p>
      <w:pPr>
        <w:pStyle w:val="75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十七、诉讼</w:t>
      </w:r>
      <w:r/>
    </w:p>
    <w:p>
      <w:pPr>
        <w:pStyle w:val="750"/>
        <w:ind w:firstLine="420"/>
        <w:spacing w:before="120" w:after="120" w:line="360" w:lineRule="auto"/>
        <w:rPr>
          <w:rFonts w:hAnsi="宋体"/>
          <w:color w:val="auto"/>
          <w:sz w:val="21"/>
          <w:highlight w:val="none"/>
        </w:rPr>
      </w:pPr>
      <w:r>
        <w:rPr>
          <w:rFonts w:hint="eastAsia" w:hAnsi="宋体"/>
          <w:color w:val="auto"/>
          <w:sz w:val="21"/>
          <w:highlight w:val="none"/>
        </w:rPr>
        <w:t xml:space="preserve">17.1 双方在执行合同中所发生的一切争议，应通过协商解决。如协商不成，可向合同签订地法院起诉，合同签订地在此约定为扬州市邗江区。</w:t>
      </w:r>
      <w:r/>
    </w:p>
    <w:p>
      <w:pPr>
        <w:ind w:firstLine="422"/>
        <w:spacing w:line="360" w:lineRule="auto"/>
        <w:rPr>
          <w:rFonts w:hint="eastAsia" w:ascii="宋体" w:hAnsi="宋体" w:eastAsia="宋体" w:cs="宋体"/>
          <w:bCs/>
          <w:color w:val="auto"/>
          <w:highlight w:val="none"/>
        </w:rPr>
      </w:pPr>
      <w:r>
        <w:rPr>
          <w:rFonts w:hint="eastAsia" w:ascii="宋体" w:hAnsi="宋体"/>
          <w:b/>
          <w:bCs/>
          <w:color w:val="auto"/>
          <w:szCs w:val="21"/>
          <w:highlight w:val="none"/>
        </w:rPr>
        <w:t xml:space="preserve">十八、</w:t>
      </w:r>
      <w:r>
        <w:rPr>
          <w:rFonts w:hint="eastAsia" w:ascii="宋体" w:hAnsi="宋体" w:eastAsia="宋体" w:cs="宋体"/>
          <w:bCs/>
          <w:color w:val="auto"/>
          <w:highlight w:val="none"/>
          <w:lang w:eastAsia="zh-CN"/>
        </w:rPr>
        <w:t xml:space="preserve">为</w:t>
      </w:r>
      <w:r>
        <w:rPr>
          <w:rFonts w:hint="eastAsia" w:ascii="宋体" w:hAnsi="宋体" w:eastAsia="宋体" w:cs="宋体"/>
          <w:bCs/>
          <w:color w:val="auto"/>
          <w:highlight w:val="none"/>
        </w:rPr>
        <w:t xml:space="preserve">落实好政府采购履约资金扶持政策</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lang w:val="en-US" w:eastAsia="zh-CN"/>
        </w:rPr>
        <w:t xml:space="preserve">乙方</w:t>
      </w:r>
      <w:r>
        <w:rPr>
          <w:rFonts w:hint="eastAsia" w:ascii="宋体" w:hAnsi="宋体" w:eastAsia="宋体" w:cs="宋体"/>
          <w:bCs/>
          <w:color w:val="auto"/>
          <w:highlight w:val="none"/>
        </w:rPr>
        <w:t xml:space="preserve">可凭政府采购合同办理融资贷款，详见江苏政府采购网“政采贷”专栏。</w:t>
      </w:r>
      <w:r/>
    </w:p>
    <w:p>
      <w:pPr>
        <w:ind w:firstLine="422"/>
        <w:spacing w:line="360" w:lineRule="auto"/>
        <w:rPr>
          <w:rFonts w:hAnsi="宋体"/>
          <w:b/>
          <w:bCs/>
          <w:color w:val="auto"/>
          <w:sz w:val="21"/>
          <w:highlight w:val="none"/>
        </w:rPr>
      </w:pPr>
      <w:r>
        <w:rPr>
          <w:rFonts w:hint="eastAsia" w:hAnsi="宋体"/>
          <w:b/>
          <w:bCs/>
          <w:color w:val="auto"/>
          <w:sz w:val="21"/>
          <w:highlight w:val="none"/>
        </w:rPr>
        <w:t xml:space="preserve">十九、合同生效及其它</w:t>
      </w:r>
      <w:r/>
    </w:p>
    <w:p>
      <w:pPr>
        <w:pStyle w:val="750"/>
        <w:ind w:firstLine="420"/>
        <w:spacing w:before="120" w:after="120" w:line="360" w:lineRule="auto"/>
        <w:rPr>
          <w:rFonts w:hAnsi="宋体"/>
          <w:color w:val="auto"/>
          <w:sz w:val="21"/>
          <w:highlight w:val="none"/>
        </w:rPr>
      </w:pPr>
      <w:r>
        <w:rPr>
          <w:rFonts w:hint="eastAsia" w:hAnsi="宋体"/>
          <w:color w:val="auto"/>
          <w:sz w:val="21"/>
          <w:highlight w:val="none"/>
        </w:rPr>
        <w:t xml:space="preserve">19.1 </w:t>
      </w:r>
      <w:r>
        <w:rPr>
          <w:rFonts w:hint="eastAsia" w:ascii="Times New Roman" w:hAnsi="Times New Roman" w:cs="宋体"/>
          <w:color w:val="auto"/>
          <w:sz w:val="21"/>
          <w:highlight w:val="none"/>
        </w:rPr>
        <w:t xml:space="preserve">合同经双方法定代表人或授权委托代表人签字并加盖单位公章后生效。</w:t>
      </w:r>
      <w:r/>
    </w:p>
    <w:p>
      <w:pPr>
        <w:pStyle w:val="750"/>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19.2本项目招标文件、乙方投标文件及各项承诺都作为本合同的附件，具有同样法律效力，未尽事宜，遵照《</w:t>
      </w:r>
      <w:r>
        <w:rPr>
          <w:rFonts w:hint="eastAsia" w:hAnsi="宋体"/>
          <w:color w:val="auto"/>
          <w:sz w:val="21"/>
          <w:highlight w:val="none"/>
          <w:lang w:val="en-US" w:eastAsia="zh-CN"/>
        </w:rPr>
        <w:t xml:space="preserve">中华人民共和国</w:t>
      </w:r>
      <w:r>
        <w:rPr>
          <w:rFonts w:hint="eastAsia" w:hAnsi="宋体"/>
          <w:color w:val="auto"/>
          <w:sz w:val="21"/>
          <w:highlight w:val="none"/>
        </w:rPr>
        <w:t xml:space="preserve">民法典》</w:t>
      </w:r>
      <w:r>
        <w:rPr>
          <w:rFonts w:hint="eastAsia" w:ascii="Times New Roman" w:hAnsi="Times New Roman" w:cs="宋体"/>
          <w:color w:val="auto"/>
          <w:sz w:val="21"/>
          <w:highlight w:val="none"/>
        </w:rPr>
        <w:t xml:space="preserve">、《中华人民共和国政府采购法》</w:t>
      </w:r>
      <w:r>
        <w:rPr>
          <w:rFonts w:hint="eastAsia" w:hAnsi="宋体"/>
          <w:color w:val="auto"/>
          <w:sz w:val="21"/>
          <w:highlight w:val="none"/>
        </w:rPr>
        <w:t xml:space="preserve">有关条文执行。</w:t>
      </w:r>
      <w:r/>
    </w:p>
    <w:p>
      <w:pPr>
        <w:pStyle w:val="750"/>
        <w:ind w:firstLine="420"/>
        <w:spacing w:before="120" w:after="120" w:line="360" w:lineRule="auto"/>
        <w:rPr>
          <w:rFonts w:hAnsi="宋体"/>
          <w:color w:val="auto"/>
          <w:sz w:val="21"/>
          <w:highlight w:val="none"/>
        </w:rPr>
      </w:pPr>
      <w:r>
        <w:rPr>
          <w:rFonts w:hint="eastAsia" w:hAnsi="宋体"/>
          <w:color w:val="auto"/>
          <w:sz w:val="21"/>
          <w:highlight w:val="none"/>
        </w:rPr>
        <w:t xml:space="preserve">19.3 本合同正本一式四份，具有同等法律效力，甲方、乙方各执</w:t>
      </w:r>
      <w:r>
        <w:rPr>
          <w:rFonts w:hint="eastAsia" w:hAnsi="宋体"/>
          <w:color w:val="auto"/>
          <w:sz w:val="21"/>
          <w:highlight w:val="none"/>
          <w:lang w:val="en-US" w:eastAsia="zh-CN"/>
        </w:rPr>
        <w:t xml:space="preserve">两</w:t>
      </w:r>
      <w:r>
        <w:rPr>
          <w:rFonts w:hint="eastAsia" w:hAnsi="宋体"/>
          <w:color w:val="auto"/>
          <w:sz w:val="21"/>
          <w:highlight w:val="none"/>
        </w:rPr>
        <w:t xml:space="preserve">份。  </w:t>
      </w:r>
      <w:r/>
    </w:p>
    <w:tbl>
      <w:tblPr>
        <w:tblStyle w:val="742"/>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5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甲方：</w:t>
            </w:r>
            <w:r>
              <w:rPr>
                <w:rFonts w:hint="eastAsia" w:hAnsi="宋体"/>
                <w:color w:val="auto"/>
                <w:sz w:val="21"/>
                <w:highlight w:val="none"/>
                <w:lang w:eastAsia="zh-CN"/>
              </w:rPr>
              <w:t xml:space="preserve">扬州市生态环境监测监控中心</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50"/>
              <w:spacing w:before="120" w:after="120" w:line="360" w:lineRule="auto"/>
              <w:rPr>
                <w:rFonts w:hAnsi="宋体"/>
                <w:color w:val="auto"/>
                <w:sz w:val="21"/>
                <w:highlight w:val="none"/>
              </w:rPr>
            </w:pPr>
            <w:r>
              <w:rPr>
                <w:rFonts w:hint="eastAsia" w:hAnsi="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50"/>
              <w:spacing w:before="120" w:after="120" w:line="360" w:lineRule="auto"/>
              <w:rPr>
                <w:rFonts w:hAnsi="宋体"/>
                <w:color w:val="auto"/>
                <w:sz w:val="21"/>
                <w:highlight w:val="none"/>
              </w:rPr>
            </w:pPr>
            <w:r>
              <w:rPr>
                <w:rFonts w:hint="eastAsia" w:hAnsi="宋体"/>
                <w:color w:val="auto"/>
                <w:sz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50"/>
              <w:spacing w:before="120" w:after="120" w:line="360" w:lineRule="auto"/>
              <w:rPr>
                <w:rFonts w:hAnsi="宋体"/>
                <w:color w:val="auto"/>
                <w:sz w:val="21"/>
                <w:highlight w:val="none"/>
              </w:rPr>
            </w:pPr>
            <w:r>
              <w:rPr>
                <w:rFonts w:hint="eastAsia" w:hAnsi="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50"/>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50"/>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50"/>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50"/>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50"/>
              <w:spacing w:before="120" w:after="120" w:line="360" w:lineRule="auto"/>
              <w:rPr>
                <w:rFonts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50"/>
              <w:spacing w:before="120" w:after="120" w:line="360" w:lineRule="auto"/>
              <w:rPr>
                <w:rFonts w:hAnsi="宋体"/>
                <w:color w:val="auto"/>
                <w:sz w:val="21"/>
                <w:highlight w:val="none"/>
              </w:rPr>
            </w:pPr>
            <w:r>
              <w:rPr>
                <w:rFonts w:hint="eastAsia" w:hAnsi="宋体"/>
                <w:color w:val="auto"/>
                <w:sz w:val="21"/>
                <w:highlight w:val="none"/>
              </w:rPr>
              <w:t xml:space="preserve">日期：      年    月    日</w:t>
            </w:r>
            <w:r/>
          </w:p>
        </w:tc>
      </w:tr>
    </w:tbl>
    <w:p>
      <w:pPr>
        <w:pStyle w:val="750"/>
        <w:ind w:firstLine="420"/>
        <w:spacing w:line="360" w:lineRule="auto"/>
        <w:rPr>
          <w:rFonts w:hint="eastAsia" w:hAnsi="宋体" w:cs="宋体"/>
          <w:color w:val="auto"/>
          <w:sz w:val="21"/>
          <w:highlight w:val="none"/>
        </w:rPr>
      </w:pPr>
      <w:r>
        <w:rPr>
          <w:rFonts w:hint="eastAsia" w:hAnsi="宋体" w:cs="宋体"/>
          <w:color w:val="auto"/>
          <w:sz w:val="21"/>
          <w:highlight w:val="none"/>
        </w:rPr>
      </w:r>
      <w:r/>
    </w:p>
    <w:p>
      <w:pPr>
        <w:pStyle w:val="750"/>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  </w:t>
      </w:r>
      <w:r/>
    </w:p>
    <w:p>
      <w:pPr>
        <w:pStyle w:val="952"/>
        <w:ind w:firstLine="400"/>
        <w:spacing w:line="360" w:lineRule="auto"/>
        <w:rPr>
          <w:rFonts w:hint="eastAsia" w:ascii="宋体" w:hAnsi="宋体" w:cs="宋体"/>
          <w:color w:val="auto"/>
          <w:highlight w:val="none"/>
        </w:rPr>
      </w:pPr>
      <w:r>
        <w:rPr>
          <w:rFonts w:hint="eastAsia" w:hAnsi="宋体"/>
          <w:color w:val="auto"/>
          <w:highlight w:val="none"/>
        </w:rPr>
        <w:br w:type="page" w:clear="all"/>
      </w:r>
      <w:r/>
    </w:p>
    <w:p>
      <w:pPr>
        <w:rPr>
          <w:color w:val="auto"/>
          <w:highlight w:val="none"/>
        </w:rPr>
      </w:pPr>
      <w:r/>
      <w:bookmarkStart w:id="59" w:name="_Toc12506"/>
      <w:r/>
      <w:r/>
    </w:p>
    <w:p>
      <w:pPr>
        <w:pStyle w:val="732"/>
        <w:numPr>
          <w:ilvl w:val="0"/>
          <w:numId w:val="2"/>
        </w:numPr>
        <w:rPr>
          <w:color w:val="auto"/>
          <w:highlight w:val="none"/>
        </w:rPr>
      </w:pPr>
      <w:r>
        <w:rPr>
          <w:rFonts w:hint="eastAsia"/>
          <w:color w:val="auto"/>
          <w:highlight w:val="none"/>
        </w:rPr>
        <w:t xml:space="preserve">项目需求</w:t>
      </w:r>
      <w:bookmarkEnd w:id="59"/>
      <w:r/>
      <w:r/>
    </w:p>
    <w:p>
      <w:pPr>
        <w:ind w:firstLine="422"/>
        <w:spacing w:line="360" w:lineRule="auto"/>
        <w:rPr>
          <w:rFonts w:hint="eastAsia" w:ascii="宋体" w:hAnsi="宋体" w:cs="宋体"/>
          <w:b/>
          <w:bCs/>
          <w:color w:val="auto"/>
          <w:szCs w:val="21"/>
          <w:highlight w:val="none"/>
        </w:rPr>
      </w:pPr>
      <w:r/>
      <w:bookmarkStart w:id="60" w:name="_Toc319408306"/>
      <w:r>
        <w:rPr>
          <w:rFonts w:hint="eastAsia" w:ascii="宋体" w:hAnsi="宋体" w:cs="宋体"/>
          <w:b/>
          <w:bCs/>
          <w:color w:val="auto"/>
          <w:szCs w:val="21"/>
          <w:highlight w:val="none"/>
        </w:rPr>
        <w:t xml:space="preserve">注： 本章内容里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pStyle w:val="747"/>
        <w:ind w:left="0" w:firstLine="422"/>
        <w:spacing w:after="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bookmarkEnd w:id="60"/>
      <w:r/>
      <w:r/>
    </w:p>
    <w:p>
      <w:pPr>
        <w:pStyle w:val="986"/>
        <w:ind w:firstLine="422"/>
        <w:jc w:val="left"/>
        <w:spacing w:line="360" w:lineRule="auto"/>
        <w:rPr>
          <w:rFonts w:hint="eastAsia" w:hAnsi="宋体" w:cs="宋体"/>
          <w:b/>
          <w:bCs/>
          <w:i/>
          <w:iCs/>
          <w:color w:val="auto"/>
          <w:szCs w:val="21"/>
          <w:highlight w:val="none"/>
          <w:u w:val="single"/>
        </w:rPr>
      </w:pPr>
      <w:r/>
      <w:bookmarkStart w:id="61" w:name="_Toc55204181"/>
      <w:r>
        <w:rPr>
          <w:rFonts w:hint="eastAsia" w:hAnsi="宋体" w:cs="宋体"/>
          <w:b/>
          <w:bCs/>
          <w:i/>
          <w:iCs/>
          <w:color w:val="auto"/>
          <w:szCs w:val="21"/>
          <w:highlight w:val="none"/>
          <w:u w:val="single"/>
        </w:rPr>
        <w:t xml:space="preserve">最高限价：</w:t>
      </w:r>
      <w:r>
        <w:rPr>
          <w:rFonts w:hint="eastAsia" w:hAnsi="宋体" w:cs="宋体"/>
          <w:b/>
          <w:bCs/>
          <w:i/>
          <w:iCs/>
          <w:color w:val="auto"/>
          <w:szCs w:val="21"/>
          <w:highlight w:val="none"/>
          <w:u w:val="single"/>
          <w:lang w:eastAsia="zh-CN"/>
        </w:rPr>
        <w:t xml:space="preserve">891.15</w:t>
      </w:r>
      <w:r>
        <w:rPr>
          <w:rFonts w:hint="eastAsia" w:hAnsi="宋体" w:cs="宋体"/>
          <w:b/>
          <w:bCs/>
          <w:i/>
          <w:iCs/>
          <w:color w:val="auto"/>
          <w:szCs w:val="21"/>
          <w:highlight w:val="none"/>
          <w:u w:val="single"/>
        </w:rPr>
        <w:t xml:space="preserve">万元，投标人报价不得高出最高限价，否则做无效投标处理。（提供开标一览表，扫描上传系统）</w:t>
      </w:r>
      <w:r/>
    </w:p>
    <w:p>
      <w:pPr>
        <w:ind w:firstLine="241"/>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项目属性：货物类</w:t>
      </w:r>
      <w:r/>
    </w:p>
    <w:p>
      <w:pPr>
        <w:ind w:firstLine="241"/>
        <w:spacing w:line="360" w:lineRule="auto"/>
        <w:rPr>
          <w:rFonts w:hint="eastAsia" w:ascii="宋体" w:hAnsi="宋体" w:eastAsia="宋体"/>
          <w:b/>
          <w:color w:val="auto"/>
          <w:sz w:val="21"/>
          <w:szCs w:val="21"/>
          <w:highlight w:val="none"/>
          <w:lang w:eastAsia="zh-CN"/>
        </w:rPr>
      </w:pPr>
      <w:r>
        <w:rPr>
          <w:rFonts w:hint="eastAsia" w:ascii="宋体" w:hAnsi="宋体"/>
          <w:b/>
          <w:color w:val="auto"/>
          <w:sz w:val="21"/>
          <w:szCs w:val="21"/>
          <w:highlight w:val="none"/>
        </w:rPr>
        <w:t xml:space="preserve">核心产品：</w:t>
      </w:r>
      <w:r>
        <w:rPr>
          <w:rFonts w:hint="eastAsia" w:ascii="宋体" w:hAnsi="宋体" w:eastAsia="宋体" w:cs="宋体"/>
          <w:b w:val="0"/>
          <w:bCs w:val="0"/>
          <w:color w:val="auto"/>
          <w:sz w:val="21"/>
          <w:szCs w:val="21"/>
          <w:highlight w:val="none"/>
          <w:lang w:val="en-US" w:eastAsia="zh-CN" w:bidi="ar-SA"/>
        </w:rPr>
        <w:t xml:space="preserve">便携式 GC-MS（含便携式顶空进样器+吹扫捕集装置、固相微萃取装置、动态稀释仪）、红外热成像气体检测仪、便携式GC-MS</w:t>
      </w:r>
      <w:r/>
    </w:p>
    <w:p>
      <w:pPr>
        <w:ind w:firstLine="422"/>
        <w:jc w:val="left"/>
        <w:spacing w:line="360" w:lineRule="auto"/>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一、采购标的清单</w:t>
      </w:r>
      <w:r/>
    </w:p>
    <w:tbl>
      <w:tblPr>
        <w:tblStyle w:val="7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3471"/>
      </w:tblGrid>
      <w:tr>
        <w:trPr>
          <w:cantSplit/>
          <w:jc w:val="center"/>
          <w:trHeight w:val="784"/>
        </w:trPr>
        <w:tc>
          <w:tcPr>
            <w:tcW w:w="545" w:type="dxa"/>
            <w:vAlign w:val="top"/>
            <w:textDirection w:val="lrTb"/>
            <w:noWrap w:val="false"/>
          </w:tcPr>
          <w:p>
            <w:pPr>
              <w:jc w:val="center"/>
              <w:spacing w:line="0" w:lineRule="atLeast"/>
              <w:rPr>
                <w:rFonts w:hint="eastAsia" w:ascii="宋体" w:hAnsi="宋体"/>
                <w:color w:val="auto"/>
                <w:szCs w:val="21"/>
                <w:highlight w:val="none"/>
              </w:rPr>
            </w:pPr>
            <w:r>
              <w:rPr>
                <w:rFonts w:hint="eastAsia" w:ascii="宋体" w:hAnsi="宋体"/>
                <w:color w:val="auto"/>
                <w:szCs w:val="21"/>
                <w:highlight w:val="none"/>
              </w:rPr>
              <w:t xml:space="preserve">采购包</w:t>
            </w:r>
            <w:r/>
          </w:p>
        </w:tc>
        <w:tc>
          <w:tcPr>
            <w:tcW w:w="545" w:type="dxa"/>
            <w:vAlign w:val="center"/>
            <w:textDirection w:val="lrTb"/>
            <w:noWrap w:val="false"/>
          </w:tcPr>
          <w:p>
            <w:pPr>
              <w:jc w:val="center"/>
              <w:spacing w:line="0" w:lineRule="atLeast"/>
              <w:rPr>
                <w:rFonts w:hint="eastAsia" w:ascii="宋体" w:hAnsi="宋体"/>
                <w:color w:val="auto"/>
                <w:szCs w:val="21"/>
                <w:highlight w:val="none"/>
              </w:rPr>
            </w:pPr>
            <w:r>
              <w:rPr>
                <w:rFonts w:hint="eastAsia" w:ascii="宋体" w:hAnsi="宋体"/>
                <w:color w:val="auto"/>
                <w:szCs w:val="21"/>
                <w:highlight w:val="none"/>
              </w:rPr>
              <w:t xml:space="preserve">序号</w:t>
            </w:r>
            <w:r/>
          </w:p>
        </w:tc>
        <w:tc>
          <w:tcPr>
            <w:tcW w:w="3291" w:type="dxa"/>
            <w:vAlign w:val="center"/>
            <w:textDirection w:val="lrTb"/>
            <w:noWrap w:val="false"/>
          </w:tcPr>
          <w:p>
            <w:pPr>
              <w:jc w:val="center"/>
              <w:spacing w:line="0" w:lineRule="atLeast"/>
              <w:rPr>
                <w:rFonts w:hint="eastAsia" w:ascii="宋体" w:hAnsi="宋体"/>
                <w:color w:val="auto"/>
                <w:szCs w:val="21"/>
                <w:highlight w:val="none"/>
              </w:rPr>
            </w:pPr>
            <w:r>
              <w:rPr>
                <w:rFonts w:hint="eastAsia" w:ascii="宋体" w:hAnsi="宋体"/>
                <w:color w:val="auto"/>
                <w:szCs w:val="21"/>
                <w:highlight w:val="none"/>
              </w:rPr>
              <w:t xml:space="preserve">采购</w:t>
            </w:r>
            <w:r>
              <w:rPr>
                <w:rFonts w:ascii="宋体" w:hAnsi="宋体"/>
                <w:color w:val="auto"/>
                <w:szCs w:val="21"/>
                <w:highlight w:val="none"/>
              </w:rPr>
              <w:t xml:space="preserve">标的</w:t>
            </w:r>
            <w:r/>
          </w:p>
        </w:tc>
        <w:tc>
          <w:tcPr>
            <w:tcW w:w="3471" w:type="dxa"/>
            <w:vAlign w:val="center"/>
            <w:textDirection w:val="lrTb"/>
            <w:noWrap w:val="false"/>
          </w:tcPr>
          <w:p>
            <w:pPr>
              <w:jc w:val="center"/>
              <w:spacing w:line="0" w:lineRule="atLeast"/>
              <w:rPr>
                <w:rFonts w:hint="eastAsia" w:ascii="宋体" w:hAnsi="宋体"/>
                <w:color w:val="auto"/>
                <w:szCs w:val="21"/>
                <w:highlight w:val="none"/>
              </w:rPr>
            </w:pPr>
            <w:r>
              <w:rPr>
                <w:rFonts w:hint="eastAsia" w:ascii="宋体" w:hAnsi="宋体"/>
                <w:color w:val="auto"/>
                <w:szCs w:val="21"/>
                <w:highlight w:val="none"/>
              </w:rPr>
              <w:t xml:space="preserve">对应中</w:t>
            </w:r>
            <w:r>
              <w:rPr>
                <w:rFonts w:ascii="宋体" w:hAnsi="宋体"/>
                <w:color w:val="auto"/>
                <w:szCs w:val="21"/>
                <w:highlight w:val="none"/>
              </w:rPr>
              <w:t xml:space="preserve">小企业划分标准所属行业</w:t>
            </w:r>
            <w:r/>
          </w:p>
        </w:tc>
      </w:tr>
      <w:tr>
        <w:trPr>
          <w:cantSplit/>
          <w:jc w:val="center"/>
          <w:trHeight w:val="575"/>
        </w:trPr>
        <w:tc>
          <w:tcPr>
            <w:tcW w:w="545" w:type="dxa"/>
            <w:vAlign w:val="top"/>
            <w:textDirection w:val="lrTb"/>
            <w:noWrap w:val="false"/>
          </w:tcPr>
          <w:p>
            <w:pPr>
              <w:jc w:val="center"/>
              <w:spacing w:line="0" w:lineRule="atLeast"/>
              <w:rPr>
                <w:rFonts w:hint="eastAsia" w:ascii="宋体" w:hAnsi="宋体"/>
                <w:color w:val="auto"/>
                <w:szCs w:val="21"/>
                <w:highlight w:val="none"/>
              </w:rPr>
            </w:pPr>
            <w:r>
              <w:rPr>
                <w:rFonts w:hint="eastAsia" w:ascii="宋体" w:hAnsi="宋体"/>
                <w:color w:val="auto"/>
                <w:szCs w:val="21"/>
                <w:highlight w:val="none"/>
              </w:rPr>
              <w:t xml:space="preserve">1</w:t>
            </w:r>
            <w:r/>
          </w:p>
        </w:tc>
        <w:tc>
          <w:tcPr>
            <w:tcW w:w="545" w:type="dxa"/>
            <w:vAlign w:val="top"/>
            <w:textDirection w:val="lrTb"/>
            <w:noWrap w:val="false"/>
          </w:tcPr>
          <w:p>
            <w:pPr>
              <w:jc w:val="center"/>
              <w:spacing w:line="0" w:lineRule="atLeast"/>
              <w:rPr>
                <w:rFonts w:hint="eastAsia" w:ascii="宋体" w:hAnsi="宋体"/>
                <w:color w:val="auto"/>
                <w:szCs w:val="21"/>
                <w:highlight w:val="none"/>
              </w:rPr>
            </w:pPr>
            <w:r>
              <w:rPr>
                <w:rFonts w:hint="eastAsia" w:ascii="宋体" w:hAnsi="宋体"/>
                <w:color w:val="auto"/>
                <w:szCs w:val="21"/>
                <w:highlight w:val="none"/>
              </w:rPr>
              <w:t xml:space="preserve">1</w:t>
            </w:r>
            <w:r/>
          </w:p>
        </w:tc>
        <w:tc>
          <w:tcPr>
            <w:tcW w:w="3291" w:type="dxa"/>
            <w:vAlign w:val="top"/>
            <w:textDirection w:val="lrTb"/>
            <w:noWrap w:val="false"/>
          </w:tcPr>
          <w:p>
            <w:pPr>
              <w:jc w:val="center"/>
              <w:spacing w:line="0" w:lineRule="atLeast"/>
              <w:tabs>
                <w:tab w:val="left" w:pos="2020" w:leader="none"/>
              </w:tabs>
              <w:rPr>
                <w:rFonts w:hint="eastAsia" w:ascii="宋体" w:hAnsi="宋体" w:eastAsia="宋体"/>
                <w:color w:val="auto"/>
                <w:szCs w:val="21"/>
                <w:highlight w:val="none"/>
                <w:lang w:val="en-US" w:eastAsia="zh-CN"/>
              </w:rPr>
            </w:pPr>
            <w:r>
              <w:rPr>
                <w:rFonts w:hint="eastAsia" w:ascii="宋体" w:hAnsi="宋体" w:eastAsia="宋体" w:cs="宋体"/>
                <w:color w:val="auto"/>
                <w:highlight w:val="none"/>
                <w:lang w:eastAsia="zh-CN"/>
              </w:rPr>
              <w:t xml:space="preserve">应急检测设备</w:t>
            </w:r>
            <w:r/>
          </w:p>
        </w:tc>
        <w:tc>
          <w:tcPr>
            <w:tcW w:w="3471" w:type="dxa"/>
            <w:vAlign w:val="top"/>
            <w:textDirection w:val="lrTb"/>
            <w:noWrap w:val="false"/>
          </w:tcPr>
          <w:p>
            <w:pPr>
              <w:jc w:val="center"/>
              <w:spacing w:line="0" w:lineRule="atLeast"/>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工业</w:t>
            </w:r>
            <w:r/>
          </w:p>
        </w:tc>
      </w:tr>
    </w:tbl>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p>
      <w:pPr>
        <w:ind w:firstLine="422"/>
        <w:jc w:val="left"/>
        <w:spacing w:line="360" w:lineRule="auto"/>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二、政府采购中实施本国产品标准及相关政策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1.本项目对采购本国产品给予政策支持，具体内容见招标文件“第五章 评标方法与评标标准”。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hAnsi="宋体" w:cs="宋体"/>
          <w:b/>
          <w:bCs/>
          <w:i/>
          <w:iCs/>
          <w:color w:val="auto"/>
          <w:szCs w:val="21"/>
          <w:highlight w:val="none"/>
          <w:u w:val="single"/>
        </w:rPr>
      </w:pPr>
      <w:r>
        <w:rPr>
          <w:rFonts w:hint="eastAsia" w:ascii="宋体" w:hAnsi="宋体" w:cs="宋体"/>
          <w:bCs/>
          <w:color w:val="auto"/>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jc w:val="left"/>
        <w:spacing w:line="360" w:lineRule="auto"/>
        <w:rPr>
          <w:rFonts w:hint="eastAsia" w:ascii="宋体" w:hAnsi="宋体" w:eastAsia="宋体" w:cs="宋体"/>
          <w:b/>
          <w:color w:val="auto"/>
          <w:szCs w:val="21"/>
          <w:highlight w:val="none"/>
          <w:lang w:eastAsia="zh-CN"/>
        </w:rPr>
      </w:pPr>
      <w:r/>
      <w:bookmarkStart w:id="62" w:name="_Toc29995"/>
      <w:r>
        <w:rPr>
          <w:rFonts w:hint="eastAsia" w:ascii="宋体" w:hAnsi="宋体" w:cs="宋体"/>
          <w:b/>
          <w:color w:val="auto"/>
          <w:szCs w:val="21"/>
          <w:highlight w:val="none"/>
          <w:lang w:val="en-US" w:eastAsia="zh-CN"/>
        </w:rPr>
        <w:t xml:space="preserve">三</w:t>
      </w:r>
      <w:r>
        <w:rPr>
          <w:rFonts w:hint="eastAsia" w:ascii="宋体" w:hAnsi="宋体" w:cs="宋体"/>
          <w:b/>
          <w:color w:val="auto"/>
          <w:szCs w:val="21"/>
          <w:highlight w:val="none"/>
        </w:rPr>
        <w:t xml:space="preserve">、</w:t>
      </w:r>
      <w:r>
        <w:rPr>
          <w:rFonts w:hint="eastAsia" w:ascii="宋体" w:hAnsi="宋体" w:cs="宋体"/>
          <w:b/>
          <w:color w:val="auto"/>
          <w:szCs w:val="21"/>
          <w:highlight w:val="none"/>
          <w:lang w:eastAsia="zh-CN"/>
        </w:rPr>
        <w:t xml:space="preserve">项目简介</w:t>
      </w:r>
      <w:r/>
    </w:p>
    <w:p>
      <w:pPr>
        <w:ind w:firstLine="420"/>
        <w:jc w:val="left"/>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为提升扬州市生态环境监测监控中心应急监测能力，拟购置</w:t>
      </w:r>
      <w:r>
        <w:rPr>
          <w:rFonts w:hint="eastAsia" w:ascii="宋体" w:hAnsi="宋体" w:eastAsia="宋体" w:cs="宋体"/>
          <w:color w:val="auto"/>
          <w:highlight w:val="none"/>
          <w:lang w:val="en-US" w:eastAsia="zh-CN"/>
        </w:rPr>
        <w:t xml:space="preserve">一批</w:t>
      </w:r>
      <w:r>
        <w:rPr>
          <w:rFonts w:hint="eastAsia" w:ascii="宋体" w:hAnsi="宋体" w:eastAsia="宋体" w:cs="宋体"/>
          <w:color w:val="auto"/>
          <w:highlight w:val="none"/>
          <w:lang w:eastAsia="zh-CN"/>
        </w:rPr>
        <w:t xml:space="preserve">应急检测设备。具体详见采购清单，包含供货、安装、调试等，直至验收合格后交付采购人使用。</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w:t>
      </w:r>
      <w:r>
        <w:rPr>
          <w:rFonts w:hint="eastAsia" w:ascii="宋体" w:hAnsi="宋体" w:cs="宋体"/>
          <w:color w:val="auto"/>
          <w:highlight w:val="none"/>
          <w:u w:val="single"/>
          <w:lang w:eastAsia="zh-CN"/>
        </w:rPr>
        <w:t xml:space="preserve">便携式傅里叶红外分析仪(无机气体监测)</w:t>
      </w:r>
      <w:r>
        <w:rPr>
          <w:rFonts w:hint="eastAsia" w:ascii="宋体" w:hAnsi="宋体" w:eastAsia="宋体" w:cs="宋体"/>
          <w:color w:val="auto"/>
          <w:sz w:val="21"/>
          <w:szCs w:val="21"/>
          <w:highlight w:val="none"/>
        </w:rPr>
        <w:t xml:space="preserve">】</w:t>
      </w:r>
      <w:r>
        <w:rPr>
          <w:rFonts w:hint="eastAsia" w:ascii="宋体" w:hAnsi="宋体" w:eastAsia="宋体" w:cs="宋体"/>
          <w:i/>
          <w:color w:val="auto"/>
          <w:sz w:val="21"/>
          <w:szCs w:val="21"/>
          <w:highlight w:val="none"/>
          <w:u w:val="single"/>
        </w:rPr>
        <w:t xml:space="preserve"> </w:t>
      </w:r>
      <w:r>
        <w:rPr>
          <w:rFonts w:hint="eastAsia" w:ascii="宋体" w:hAnsi="宋体" w:eastAsia="宋体" w:cs="宋体"/>
          <w:b w:val="0"/>
          <w:bCs/>
          <w:i/>
          <w:color w:val="auto"/>
          <w:sz w:val="21"/>
          <w:szCs w:val="21"/>
          <w:highlight w:val="none"/>
          <w:u w:val="single"/>
        </w:rPr>
        <w:t xml:space="preserve">接受</w:t>
      </w:r>
      <w:r>
        <w:rPr>
          <w:rFonts w:hint="eastAsia" w:ascii="宋体" w:hAnsi="宋体" w:eastAsia="宋体" w:cs="宋体"/>
          <w:i/>
          <w:color w:val="auto"/>
          <w:sz w:val="21"/>
          <w:szCs w:val="21"/>
          <w:highlight w:val="none"/>
          <w:u w:val="single"/>
        </w:rPr>
        <w:t xml:space="preserve"> </w:t>
      </w:r>
      <w:r>
        <w:rPr>
          <w:rFonts w:hint="eastAsia" w:ascii="宋体" w:hAnsi="宋体" w:eastAsia="宋体" w:cs="宋体"/>
          <w:color w:val="auto"/>
          <w:sz w:val="21"/>
          <w:szCs w:val="21"/>
          <w:highlight w:val="none"/>
        </w:rPr>
        <w:t xml:space="preserve">进口产品投标</w:t>
      </w:r>
      <w:r>
        <w:rPr>
          <w:rFonts w:hint="eastAsia" w:ascii="宋体" w:hAnsi="宋体" w:eastAsia="宋体" w:cs="宋体"/>
          <w:b w:val="0"/>
          <w:bCs/>
          <w:color w:val="auto"/>
          <w:sz w:val="21"/>
          <w:szCs w:val="21"/>
          <w:highlight w:val="none"/>
        </w:rPr>
        <w:t xml:space="preserve">（已取得扬州市政府采购进口产品审核批复）</w:t>
      </w:r>
      <w:r/>
    </w:p>
    <w:p>
      <w:pPr>
        <w:ind w:firstLine="422"/>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四</w:t>
      </w:r>
      <w:r>
        <w:rPr>
          <w:rFonts w:hint="eastAsia" w:ascii="宋体" w:hAnsi="宋体" w:cs="宋体"/>
          <w:b/>
          <w:color w:val="auto"/>
          <w:szCs w:val="21"/>
          <w:highlight w:val="none"/>
        </w:rPr>
        <w:t xml:space="preserve">、</w:t>
      </w:r>
      <w:r>
        <w:rPr>
          <w:rFonts w:hint="eastAsia" w:ascii="宋体" w:hAnsi="宋体" w:cs="宋体"/>
          <w:b/>
          <w:color w:val="auto"/>
          <w:szCs w:val="21"/>
          <w:highlight w:val="none"/>
          <w:lang w:eastAsia="zh-CN"/>
        </w:rPr>
        <w:t xml:space="preserve">采购</w:t>
      </w:r>
      <w:r>
        <w:rPr>
          <w:rFonts w:hint="eastAsia" w:ascii="宋体" w:hAnsi="宋体" w:cs="宋体"/>
          <w:b/>
          <w:color w:val="auto"/>
          <w:szCs w:val="21"/>
          <w:highlight w:val="none"/>
        </w:rPr>
        <w:t xml:space="preserve">清单</w:t>
      </w:r>
      <w:r/>
    </w:p>
    <w:tbl>
      <w:tblPr>
        <w:tblStyle w:val="766"/>
        <w:tblW w:w="91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537"/>
        <w:gridCol w:w="3750"/>
        <w:gridCol w:w="1088"/>
        <w:gridCol w:w="965"/>
        <w:gridCol w:w="965"/>
      </w:tblGrid>
      <w:tr>
        <w:trPr>
          <w:jc w:val="center"/>
          <w:trHeight w:val="692"/>
          <w:tblHeader/>
        </w:trPr>
        <w:tc>
          <w:tcPr>
            <w:tcW w:w="813"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序号</w:t>
            </w:r>
            <w:r/>
          </w:p>
        </w:tc>
        <w:tc>
          <w:tcPr>
            <w:tcW w:w="1537"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用途</w:t>
            </w:r>
            <w:r/>
          </w:p>
        </w:tc>
        <w:tc>
          <w:tcPr>
            <w:tcW w:w="3750"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设备名称</w:t>
            </w:r>
            <w:r/>
          </w:p>
        </w:tc>
        <w:tc>
          <w:tcPr>
            <w:tcW w:w="1088"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数量</w:t>
            </w:r>
            <w:r/>
          </w:p>
          <w:p>
            <w:pPr>
              <w:ind w:firstLine="0"/>
              <w:jc w:val="center"/>
              <w:keepLines w:val="0"/>
              <w:keepNext w:val="0"/>
              <w:pageBreakBefore w:val="0"/>
              <w:spacing w:line="52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（台/套）</w:t>
            </w:r>
            <w:r/>
          </w:p>
        </w:tc>
        <w:tc>
          <w:tcPr>
            <w:tcW w:w="965" w:type="dxa"/>
            <w:vAlign w:val="center"/>
            <w:textDirection w:val="lrTb"/>
            <w:noWrap w:val="false"/>
          </w:tcPr>
          <w:p>
            <w:pPr>
              <w:ind w:firstLine="0"/>
              <w:jc w:val="center"/>
              <w:keepLines w:val="0"/>
              <w:keepNext w:val="0"/>
              <w:pageBreakBefore w:val="0"/>
              <w:spacing w:line="520" w:lineRule="exact"/>
              <w:widowControl w:val="off"/>
              <w:rPr>
                <w:rFonts w:hint="default"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质保期</w:t>
            </w:r>
            <w:r/>
          </w:p>
        </w:tc>
        <w:tc>
          <w:tcPr>
            <w:tcW w:w="965"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备注</w:t>
            </w:r>
            <w:r/>
          </w:p>
        </w:tc>
      </w:tr>
      <w:tr>
        <w:trPr>
          <w:jc w:val="center"/>
          <w:trHeight w:val="0"/>
        </w:trPr>
        <w:tc>
          <w:tcPr>
            <w:tcW w:w="813"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1</w:t>
            </w:r>
            <w:r/>
          </w:p>
        </w:tc>
        <w:tc>
          <w:tcPr>
            <w:tcW w:w="1537"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水质常规项目</w:t>
            </w:r>
            <w:r/>
          </w:p>
        </w:tc>
        <w:tc>
          <w:tcPr>
            <w:tcW w:w="3750"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便携式气相分子吸收光谱仪</w:t>
            </w:r>
            <w:r/>
          </w:p>
        </w:tc>
        <w:tc>
          <w:tcPr>
            <w:tcW w:w="1088"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p>
        </w:tc>
        <w:tc>
          <w:tcPr>
            <w:tcW w:w="965"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年</w:t>
            </w:r>
            <w:r/>
          </w:p>
        </w:tc>
        <w:tc>
          <w:tcPr>
            <w:tcW w:w="965"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r>
      <w:tr>
        <w:trPr>
          <w:jc w:val="center"/>
          <w:trHeight w:val="697"/>
        </w:trPr>
        <w:tc>
          <w:tcPr>
            <w:tcW w:w="813"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2</w:t>
            </w:r>
            <w:r/>
          </w:p>
        </w:tc>
        <w:tc>
          <w:tcPr>
            <w:tcW w:w="1537" w:type="dxa"/>
            <w:vAlign w:val="center"/>
            <w:vMerge w:val="restart"/>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水质重金属</w:t>
            </w:r>
            <w:r/>
          </w:p>
        </w:tc>
        <w:tc>
          <w:tcPr>
            <w:tcW w:w="3750"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便携式测汞仪</w:t>
            </w:r>
            <w:r/>
          </w:p>
        </w:tc>
        <w:tc>
          <w:tcPr>
            <w:tcW w:w="1088"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p>
        </w:tc>
        <w:tc>
          <w:tcPr>
            <w:tcW w:w="965"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年</w:t>
            </w:r>
            <w:r/>
          </w:p>
        </w:tc>
        <w:tc>
          <w:tcPr>
            <w:tcW w:w="965"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r>
      <w:tr>
        <w:trPr>
          <w:jc w:val="center"/>
          <w:trHeight w:val="764"/>
        </w:trPr>
        <w:tc>
          <w:tcPr>
            <w:tcW w:w="813"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3</w:t>
            </w:r>
            <w:r/>
          </w:p>
        </w:tc>
        <w:tc>
          <w:tcPr>
            <w:tcW w:w="1537" w:type="dxa"/>
            <w:vAlign w:val="center"/>
            <w:vMerge w:val="continue"/>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tcW w:w="3750"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车载 ICP-MS</w:t>
            </w:r>
            <w:r/>
          </w:p>
        </w:tc>
        <w:tc>
          <w:tcPr>
            <w:tcW w:w="1088"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p>
        </w:tc>
        <w:tc>
          <w:tcPr>
            <w:tcW w:w="965"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年</w:t>
            </w:r>
            <w:r/>
          </w:p>
        </w:tc>
        <w:tc>
          <w:tcPr>
            <w:tcW w:w="965"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r>
      <w:tr>
        <w:trPr>
          <w:jc w:val="center"/>
          <w:trHeight w:val="1169"/>
        </w:trPr>
        <w:tc>
          <w:tcPr>
            <w:tcW w:w="813"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4</w:t>
            </w:r>
            <w:r/>
          </w:p>
        </w:tc>
        <w:tc>
          <w:tcPr>
            <w:tcW w:w="1537"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水质有机项目</w:t>
            </w:r>
            <w:r/>
          </w:p>
        </w:tc>
        <w:tc>
          <w:tcPr>
            <w:tcW w:w="3750" w:type="dxa"/>
            <w:vAlign w:val="center"/>
            <w:textDirection w:val="lrTb"/>
            <w:noWrap w:val="false"/>
          </w:tcPr>
          <w:p>
            <w:pPr>
              <w:ind w:firstLine="0"/>
              <w:jc w:val="both"/>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便携式 GC-MS（含便携式顶空进样器+吹扫捕集装置、固相微萃取装置、动态稀释仪）</w:t>
            </w:r>
            <w:r/>
          </w:p>
        </w:tc>
        <w:tc>
          <w:tcPr>
            <w:tcW w:w="1088"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p>
        </w:tc>
        <w:tc>
          <w:tcPr>
            <w:tcW w:w="965"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年</w:t>
            </w:r>
            <w:r/>
          </w:p>
        </w:tc>
        <w:tc>
          <w:tcPr>
            <w:tcW w:w="965"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核心产品</w:t>
            </w:r>
            <w:r/>
          </w:p>
        </w:tc>
      </w:tr>
      <w:tr>
        <w:trPr>
          <w:jc w:val="center"/>
          <w:trHeight w:val="0"/>
        </w:trPr>
        <w:tc>
          <w:tcPr>
            <w:tcW w:w="813"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5</w:t>
            </w:r>
            <w:r/>
          </w:p>
        </w:tc>
        <w:tc>
          <w:tcPr>
            <w:tcW w:w="1537" w:type="dxa"/>
            <w:vAlign w:val="center"/>
            <w:vMerge w:val="restart"/>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空气常规项目</w:t>
            </w:r>
            <w:r/>
          </w:p>
        </w:tc>
        <w:tc>
          <w:tcPr>
            <w:tcW w:w="3750"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便携式傅里叶红外分析仪</w:t>
            </w:r>
            <w:r/>
          </w:p>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(无机气体监测)</w:t>
            </w:r>
            <w:r/>
          </w:p>
        </w:tc>
        <w:tc>
          <w:tcPr>
            <w:tcW w:w="1088"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p>
        </w:tc>
        <w:tc>
          <w:tcPr>
            <w:tcW w:w="965"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年</w:t>
            </w:r>
            <w:r/>
          </w:p>
        </w:tc>
        <w:tc>
          <w:tcPr>
            <w:tcW w:w="965"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r>
      <w:tr>
        <w:trPr>
          <w:jc w:val="center"/>
          <w:trHeight w:val="0"/>
        </w:trPr>
        <w:tc>
          <w:tcPr>
            <w:tcW w:w="813"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6</w:t>
            </w:r>
            <w:r/>
          </w:p>
        </w:tc>
        <w:tc>
          <w:tcPr>
            <w:tcW w:w="1537" w:type="dxa"/>
            <w:vAlign w:val="center"/>
            <w:vMerge w:val="continue"/>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tcW w:w="3750"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红外热成像气体检测仪</w:t>
            </w:r>
            <w:r/>
          </w:p>
        </w:tc>
        <w:tc>
          <w:tcPr>
            <w:tcW w:w="1088"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p>
        </w:tc>
        <w:tc>
          <w:tcPr>
            <w:tcW w:w="965"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年</w:t>
            </w:r>
            <w:r/>
          </w:p>
        </w:tc>
        <w:tc>
          <w:tcPr>
            <w:tcW w:w="965"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核心产品</w:t>
            </w:r>
            <w:r/>
          </w:p>
        </w:tc>
      </w:tr>
      <w:tr>
        <w:trPr>
          <w:jc w:val="center"/>
          <w:trHeight w:val="0"/>
        </w:trPr>
        <w:tc>
          <w:tcPr>
            <w:tcW w:w="813"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7</w:t>
            </w:r>
            <w:r/>
          </w:p>
        </w:tc>
        <w:tc>
          <w:tcPr>
            <w:tcW w:w="1537"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空气有机项目</w:t>
            </w:r>
            <w:r/>
          </w:p>
        </w:tc>
        <w:tc>
          <w:tcPr>
            <w:tcW w:w="3750"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便携式GC-MS</w:t>
            </w:r>
            <w:r/>
          </w:p>
        </w:tc>
        <w:tc>
          <w:tcPr>
            <w:tcW w:w="1088"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p>
        </w:tc>
        <w:tc>
          <w:tcPr>
            <w:tcW w:w="965"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年</w:t>
            </w:r>
            <w:r/>
          </w:p>
        </w:tc>
        <w:tc>
          <w:tcPr>
            <w:tcW w:w="965"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核心产品</w:t>
            </w:r>
            <w:r/>
          </w:p>
        </w:tc>
      </w:tr>
      <w:tr>
        <w:trPr>
          <w:jc w:val="center"/>
          <w:trHeight w:val="0"/>
        </w:trPr>
        <w:tc>
          <w:tcPr>
            <w:tcW w:w="813"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8</w:t>
            </w:r>
            <w:r/>
          </w:p>
        </w:tc>
        <w:tc>
          <w:tcPr>
            <w:tcW w:w="1537"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土壤采样设备</w:t>
            </w:r>
            <w:r/>
          </w:p>
        </w:tc>
        <w:tc>
          <w:tcPr>
            <w:tcW w:w="3750"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土壤采样相关装备（带动力）</w:t>
            </w:r>
            <w:r/>
          </w:p>
        </w:tc>
        <w:tc>
          <w:tcPr>
            <w:tcW w:w="1088"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p>
        </w:tc>
        <w:tc>
          <w:tcPr>
            <w:tcW w:w="965"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年</w:t>
            </w:r>
            <w:r/>
          </w:p>
        </w:tc>
        <w:tc>
          <w:tcPr>
            <w:tcW w:w="965"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r>
      <w:tr>
        <w:trPr>
          <w:jc w:val="center"/>
          <w:trHeight w:val="0"/>
        </w:trPr>
        <w:tc>
          <w:tcPr>
            <w:tcW w:w="813"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t xml:space="preserve">9</w:t>
            </w:r>
            <w:r/>
          </w:p>
        </w:tc>
        <w:tc>
          <w:tcPr>
            <w:tcW w:w="1537"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应急执法设备</w:t>
            </w:r>
            <w:r/>
          </w:p>
        </w:tc>
        <w:tc>
          <w:tcPr>
            <w:tcW w:w="3750"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现场执法记录仪</w:t>
            </w:r>
            <w:r/>
          </w:p>
        </w:tc>
        <w:tc>
          <w:tcPr>
            <w:tcW w:w="1088"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w:t>
            </w:r>
            <w:r/>
          </w:p>
        </w:tc>
        <w:tc>
          <w:tcPr>
            <w:tcW w:w="965"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年</w:t>
            </w:r>
            <w:r/>
          </w:p>
        </w:tc>
        <w:tc>
          <w:tcPr>
            <w:tcW w:w="965"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r>
      <w:tr>
        <w:trPr>
          <w:jc w:val="center"/>
          <w:trHeight w:val="0"/>
        </w:trPr>
        <w:tc>
          <w:tcPr>
            <w:tcW w:w="813"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t xml:space="preserve">10</w:t>
            </w:r>
            <w:r/>
          </w:p>
        </w:tc>
        <w:tc>
          <w:tcPr>
            <w:tcW w:w="1537"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水质监测设备</w:t>
            </w:r>
            <w:r/>
          </w:p>
        </w:tc>
        <w:tc>
          <w:tcPr>
            <w:tcW w:w="3750"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便携式流速测量仪</w:t>
            </w:r>
            <w:r/>
          </w:p>
        </w:tc>
        <w:tc>
          <w:tcPr>
            <w:tcW w:w="1088"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p>
        </w:tc>
        <w:tc>
          <w:tcPr>
            <w:tcW w:w="965"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年</w:t>
            </w:r>
            <w:r/>
          </w:p>
        </w:tc>
        <w:tc>
          <w:tcPr>
            <w:tcW w:w="965"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r>
      <w:tr>
        <w:trPr>
          <w:jc w:val="center"/>
          <w:trHeight w:val="0"/>
        </w:trPr>
        <w:tc>
          <w:tcPr>
            <w:tcW w:w="813"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t xml:space="preserve">11</w:t>
            </w:r>
            <w:r/>
          </w:p>
        </w:tc>
        <w:tc>
          <w:tcPr>
            <w:tcW w:w="1537"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水质生物指标</w:t>
            </w:r>
            <w:r/>
          </w:p>
        </w:tc>
        <w:tc>
          <w:tcPr>
            <w:tcW w:w="3750"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细菌快速检测仪</w:t>
            </w:r>
            <w:r/>
          </w:p>
        </w:tc>
        <w:tc>
          <w:tcPr>
            <w:tcW w:w="1088"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p>
        </w:tc>
        <w:tc>
          <w:tcPr>
            <w:tcW w:w="965"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年</w:t>
            </w:r>
            <w:r/>
          </w:p>
        </w:tc>
        <w:tc>
          <w:tcPr>
            <w:tcW w:w="965"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r>
      <w:tr>
        <w:trPr>
          <w:jc w:val="center"/>
          <w:trHeight w:val="0"/>
        </w:trPr>
        <w:tc>
          <w:tcPr>
            <w:gridSpan w:val="3"/>
            <w:tcW w:w="6100" w:type="dxa"/>
            <w:vAlign w:val="center"/>
            <w:textDirection w:val="lrTb"/>
            <w:noWrap w:val="false"/>
          </w:tcPr>
          <w:p>
            <w:pPr>
              <w:ind w:firstLine="0"/>
              <w:jc w:val="center"/>
              <w:keepLines w:val="0"/>
              <w:keepNext w:val="0"/>
              <w:pageBreakBefore w:val="0"/>
              <w:spacing w:line="520" w:lineRule="exact"/>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合计</w:t>
            </w:r>
            <w:r/>
          </w:p>
        </w:tc>
        <w:tc>
          <w:tcPr>
            <w:tcW w:w="1088" w:type="dxa"/>
            <w:vAlign w:val="center"/>
            <w:textDirection w:val="lrTb"/>
            <w:noWrap w:val="false"/>
          </w:tcPr>
          <w:p>
            <w:pPr>
              <w:ind w:firstLine="0"/>
              <w:jc w:val="center"/>
              <w:keepLines w:val="0"/>
              <w:keepNext w:val="0"/>
              <w:pageBreakBefore w:val="0"/>
              <w:spacing w:line="520" w:lineRule="exact"/>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14</w:t>
            </w:r>
            <w:r/>
          </w:p>
        </w:tc>
        <w:tc>
          <w:tcPr>
            <w:tcW w:w="965"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tcW w:w="965"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r>
    </w:tbl>
    <w:p>
      <w:pPr>
        <w:ind w:firstLine="422"/>
        <w:jc w:val="both"/>
        <w:spacing w:line="360" w:lineRule="auto"/>
        <w:rPr>
          <w:rFonts w:hint="eastAsia" w:ascii="宋体" w:hAnsi="宋体" w:cs="宋体"/>
          <w:b/>
          <w:color w:val="auto"/>
          <w:szCs w:val="21"/>
          <w:highlight w:val="none"/>
        </w:rPr>
      </w:pPr>
      <w:r>
        <w:rPr>
          <w:rFonts w:hint="eastAsia" w:ascii="宋体" w:hAnsi="宋体" w:cs="宋体"/>
          <w:b/>
          <w:bCs/>
          <w:color w:val="auto"/>
          <w:szCs w:val="21"/>
          <w:highlight w:val="none"/>
        </w:rPr>
        <w:t xml:space="preserve">注：</w:t>
      </w:r>
      <w:r>
        <w:rPr>
          <w:rFonts w:hint="eastAsia" w:ascii="宋体" w:hAnsi="宋体" w:cs="宋体"/>
          <w:b/>
          <w:bCs/>
          <w:i/>
          <w:iCs/>
          <w:color w:val="auto"/>
          <w:szCs w:val="21"/>
          <w:highlight w:val="none"/>
          <w:u w:val="single"/>
          <w:lang w:val="en-US" w:eastAsia="zh-CN"/>
        </w:rPr>
        <w:t xml:space="preserve">采购清单内的质保期为最低要求，不接受负偏离，否则为无效投标，具体以投标人填报的质保期为准。</w:t>
      </w:r>
      <w:r>
        <w:rPr>
          <w:rFonts w:hint="eastAsia" w:ascii="宋体" w:hAnsi="宋体" w:cs="宋体"/>
          <w:b/>
          <w:bCs/>
          <w:color w:val="auto"/>
          <w:szCs w:val="21"/>
          <w:highlight w:val="none"/>
          <w:lang w:eastAsia="zh-CN"/>
        </w:rPr>
        <w:t xml:space="preserve">每套设备的配置要求以“</w:t>
      </w:r>
      <w:r>
        <w:rPr>
          <w:rFonts w:hint="eastAsia" w:ascii="宋体" w:hAnsi="宋体" w:cs="宋体"/>
          <w:b/>
          <w:bCs/>
          <w:color w:val="auto"/>
          <w:szCs w:val="21"/>
          <w:highlight w:val="none"/>
          <w:lang w:val="en-US" w:eastAsia="zh-CN"/>
        </w:rPr>
        <w:t xml:space="preserve">五</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 w:val="21"/>
          <w:szCs w:val="21"/>
          <w:highlight w:val="none"/>
          <w:lang w:eastAsia="zh-CN"/>
        </w:rPr>
        <w:t xml:space="preserve">详细技术要求</w:t>
      </w:r>
      <w:r>
        <w:rPr>
          <w:rFonts w:hint="eastAsia" w:ascii="宋体" w:hAnsi="宋体" w:cs="宋体"/>
          <w:b/>
          <w:bCs/>
          <w:color w:val="auto"/>
          <w:szCs w:val="21"/>
          <w:highlight w:val="none"/>
          <w:lang w:eastAsia="zh-CN"/>
        </w:rPr>
        <w:t xml:space="preserve">”内容为准</w:t>
      </w:r>
      <w:r>
        <w:rPr>
          <w:rFonts w:hint="eastAsia" w:ascii="宋体" w:hAnsi="宋体" w:cs="宋体"/>
          <w:b/>
          <w:bCs/>
          <w:color w:val="auto"/>
          <w:szCs w:val="21"/>
          <w:highlight w:val="none"/>
        </w:rPr>
        <w:t xml:space="preserve">。</w:t>
      </w:r>
      <w:r/>
    </w:p>
    <w:p>
      <w:pPr>
        <w:ind w:firstLine="422"/>
        <w:jc w:val="left"/>
        <w:keepLines/>
        <w:keepNext/>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eastAsia="zh-CN"/>
        </w:rPr>
        <w:t xml:space="preserve">详细技术要求</w:t>
      </w:r>
      <w:r/>
    </w:p>
    <w:p>
      <w:pPr>
        <w:ind w:firstLine="422"/>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bookmarkStart w:id="63" w:name="_Hlk85100652"/>
      <w:r>
        <w:rPr>
          <w:rFonts w:hint="eastAsia" w:ascii="宋体" w:hAnsi="宋体" w:eastAsia="宋体" w:cs="宋体"/>
          <w:b/>
          <w:bCs/>
          <w:color w:val="auto"/>
          <w:sz w:val="21"/>
          <w:szCs w:val="21"/>
          <w:highlight w:val="none"/>
          <w:lang w:val="en-US" w:eastAsia="zh-CN"/>
        </w:rPr>
        <w:t xml:space="preserve">（一）便携式气相分子吸收光谱仪</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1、用途描述</w:t>
      </w:r>
      <w:r/>
    </w:p>
    <w:p>
      <w:pPr>
        <w:ind w:firstLine="48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用于测定各种水质样品中的氨氮、总氮、硫化物项目的检测。</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2、执行标准</w:t>
      </w:r>
      <w:r/>
    </w:p>
    <w:p>
      <w:pPr>
        <w:ind w:firstLine="48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符合HJ195-2023、HJ199-2023、HJ200-2023等标准。</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3、便携性要求</w:t>
      </w:r>
      <w:r/>
    </w:p>
    <w:p>
      <w:pPr>
        <w:ind w:firstLine="48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3.1 便携要求：在一个主机内集成仪器正常工作需要全部功能，主机包含进样及反应控制系统、气液分离系统、氨氮在线氧化系统、总氮在线消解系统、光源光学及检测系统，配备电脑输出控制系统。主机配有带轮便携箱，便于携带、野外使用。</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3.2 供电要求：配备移动电源及220V交流接口，适用于野外及实验室多种应用场景。使用移动电源可以满足所有项目检测时间≥4h。</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3.3 气源要求：主机内置气源可独立完成检测所需，同时支持使用外供载气。</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4、工作站（软件）</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4.1软件开机测定前可自动对通讯口、波长、泵转速等进行检测；</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4.2软件具备数据图谱显示功能，可对同一样品的平行峰形进行对比，以便于用户对数据进行比较分析。</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4.3软件具备紧急添加样品功能，可在样品测量过程中随时添加样品并优先检测。</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5、自动进样系统</w:t>
      </w:r>
      <w:r/>
    </w:p>
    <w:p>
      <w:pPr>
        <w:ind w:firstLine="480"/>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5.1进样器要求：配有带轮便携箱的便携一体式自动进样器，满足野外转移过程中的抗震要求，样品位不少于40位，充分满足不同检测场景需求。</w:t>
      </w:r>
      <w:r>
        <w:rPr>
          <w:rFonts w:hint="eastAsia" w:ascii="宋体" w:hAnsi="宋体" w:eastAsia="宋体" w:cs="宋体"/>
          <w:b/>
          <w:bCs/>
          <w:color w:val="auto"/>
          <w:sz w:val="21"/>
          <w:szCs w:val="21"/>
          <w:highlight w:val="none"/>
          <w:lang w:val="en-US" w:eastAsia="zh-CN"/>
        </w:rPr>
        <w:t xml:space="preserve">（提供不少于40位带轮便携箱的便携一体式自动进样器实物照片，扫描上传）</w:t>
      </w:r>
      <w:r/>
    </w:p>
    <w:p>
      <w:pPr>
        <w:pStyle w:val="1006"/>
        <w:ind w:firstLine="48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cs="宋体"/>
          <w:color w:val="auto"/>
          <w:sz w:val="24"/>
          <w:highlight w:val="none"/>
        </w:rPr>
        <w:t xml:space="preserve">▲</w:t>
      </w:r>
      <w:r>
        <w:rPr>
          <w:rFonts w:hint="eastAsia" w:ascii="宋体" w:hAnsi="宋体" w:eastAsia="宋体" w:cs="宋体"/>
          <w:bCs w:val="0"/>
          <w:color w:val="auto"/>
          <w:sz w:val="21"/>
          <w:szCs w:val="21"/>
          <w:highlight w:val="none"/>
          <w:lang w:val="en-US" w:eastAsia="zh-CN" w:bidi="ar-SA"/>
        </w:rPr>
        <w:t xml:space="preserve">5.2配备一体化同步吹扫均质系统，软件上可设置在清洗过程、进样前及进样过程中进行吹扫，避免取样过程中样品中的絮凝物或颗粒物不断沉淀，造成取样不准。</w:t>
      </w:r>
      <w:r>
        <w:rPr>
          <w:rFonts w:hint="eastAsia" w:ascii="宋体" w:hAnsi="宋体" w:eastAsia="宋体" w:cs="宋体"/>
          <w:b/>
          <w:bCs/>
          <w:color w:val="auto"/>
          <w:sz w:val="21"/>
          <w:szCs w:val="21"/>
          <w:highlight w:val="none"/>
          <w:lang w:val="en-US" w:eastAsia="zh-CN" w:bidi="ar-SA"/>
        </w:rPr>
        <w:t xml:space="preserve">（提供相关证明文件，扫描上传）</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5.3程序控制流动洗针池：可根据进样针污染情况软件设置洗针纯水流量。</w:t>
      </w:r>
      <w:r/>
    </w:p>
    <w:p>
      <w:pPr>
        <w:pStyle w:val="1006"/>
        <w:ind w:firstLine="48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cs="宋体"/>
          <w:color w:val="auto"/>
          <w:sz w:val="24"/>
          <w:highlight w:val="none"/>
        </w:rPr>
        <w:t xml:space="preserve">▲</w:t>
      </w:r>
      <w:r>
        <w:rPr>
          <w:rFonts w:hint="eastAsia" w:ascii="宋体" w:hAnsi="宋体" w:eastAsia="宋体" w:cs="宋体"/>
          <w:bCs w:val="0"/>
          <w:color w:val="auto"/>
          <w:sz w:val="21"/>
          <w:szCs w:val="21"/>
          <w:highlight w:val="none"/>
          <w:lang w:val="en-US" w:eastAsia="zh-CN" w:bidi="ar-SA"/>
        </w:rPr>
        <w:t xml:space="preserve">5.4主机泵管系统不少于七个蠕动泵，蠕动泵布置在仪器的外部一侧，方便后续泵管的维护和更换。</w:t>
      </w:r>
      <w:r>
        <w:rPr>
          <w:rFonts w:hint="eastAsia" w:ascii="宋体" w:hAnsi="宋体" w:eastAsia="宋体" w:cs="宋体"/>
          <w:b/>
          <w:bCs/>
          <w:color w:val="auto"/>
          <w:sz w:val="21"/>
          <w:szCs w:val="21"/>
          <w:highlight w:val="none"/>
          <w:lang w:val="en-US" w:eastAsia="zh-CN" w:bidi="ar-SA"/>
        </w:rPr>
        <w:t xml:space="preserve">（提供实物图片，扫描上传）</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6、光学系统</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6.1光电系统：满足HJ195-2023、HJ/T197-2005、HJ/T198-2005、HJ199-2023、HJ200-2023等中华人民共和国环境保护行业标准对光学系统测定稳定性要求。</w:t>
      </w:r>
      <w:r/>
    </w:p>
    <w:p>
      <w:pPr>
        <w:ind w:firstLine="48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Cs w:val="0"/>
          <w:color w:val="auto"/>
          <w:sz w:val="21"/>
          <w:szCs w:val="21"/>
          <w:highlight w:val="none"/>
          <w:lang w:val="en-US" w:eastAsia="zh-CN" w:bidi="ar-SA"/>
        </w:rPr>
        <w:t xml:space="preserve">6.2检测器：配备PMT或CCD检测器</w:t>
      </w:r>
      <w:r>
        <w:rPr>
          <w:rFonts w:hint="eastAsia" w:ascii="宋体" w:hAnsi="宋体" w:eastAsia="宋体" w:cs="宋体"/>
          <w:b/>
          <w:bCs/>
          <w:color w:val="auto"/>
          <w:sz w:val="21"/>
          <w:szCs w:val="21"/>
          <w:highlight w:val="none"/>
          <w:lang w:val="en-US" w:eastAsia="zh-CN" w:bidi="ar-SA"/>
        </w:rPr>
        <w:t xml:space="preserve">（提供实物图片，扫描上传）</w:t>
      </w:r>
      <w:r>
        <w:rPr>
          <w:rFonts w:hint="eastAsia" w:ascii="宋体" w:hAnsi="宋体" w:eastAsia="宋体" w:cs="宋体"/>
          <w:b w:val="0"/>
          <w:bCs w:val="0"/>
          <w:color w:val="auto"/>
          <w:sz w:val="21"/>
          <w:szCs w:val="21"/>
          <w:highlight w:val="none"/>
          <w:lang w:val="en-US" w:eastAsia="zh-CN"/>
        </w:rPr>
        <w:t xml:space="preserve">。</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6.3配备自动波长调控系统，开机后可自动对波长进行校准，保障数据检测的准确性。</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6.4光源需采用连续光源，固定灯位，光路稳定。</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6.5配备光源温度调节系统和光源寿命监测系统，当光源进入低能量状态时能够及时通知用户更换光源。</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7、气液分离系统</w:t>
      </w:r>
      <w:r/>
    </w:p>
    <w:p>
      <w:pPr>
        <w:ind w:firstLine="48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7.1 配备半导体恒温除湿系统，除湿系统温度实时显示，分析全过程中完全不使用任何干燥剂。</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7.2气液分离器采用螺旋管分离方式，避免分离过程中的死角，能够均匀的将反应液混匀并将产生的待测气体带出反应分离器。</w:t>
      </w:r>
      <w:r/>
    </w:p>
    <w:p>
      <w:pPr>
        <w:ind w:firstLine="480"/>
        <w:jc w:val="left"/>
        <w:keepLines w:val="0"/>
        <w:keepNext w:val="0"/>
        <w:pageBreakBefore w:val="0"/>
        <w:spacing w:line="360" w:lineRule="auto"/>
        <w:widowControl/>
        <w:rPr>
          <w:rFonts w:hint="eastAsia" w:ascii="宋体" w:hAnsi="宋体" w:eastAsia="宋体" w:cs="宋体"/>
          <w:b w:val="0"/>
          <w:bCs w:val="0"/>
          <w:i/>
          <w:iCs/>
          <w:color w:val="auto"/>
          <w:sz w:val="21"/>
          <w:szCs w:val="21"/>
          <w:highlight w:val="none"/>
          <w:u w:val="single"/>
          <w:lang w:val="en-US" w:eastAsia="zh-CN"/>
        </w:rPr>
      </w:pPr>
      <w:r>
        <w:rPr>
          <w:rFonts w:hint="eastAsia" w:ascii="宋体" w:hAnsi="宋体" w:cs="宋体"/>
          <w:i/>
          <w:iCs/>
          <w:color w:val="auto"/>
          <w:sz w:val="24"/>
          <w:highlight w:val="none"/>
          <w:u w:val="single"/>
          <w:lang w:val="en-US" w:eastAsia="zh-CN"/>
        </w:rPr>
        <w:t xml:space="preserve">★</w:t>
      </w:r>
      <w:r>
        <w:rPr>
          <w:rFonts w:hint="eastAsia" w:ascii="宋体" w:hAnsi="宋体" w:eastAsia="宋体" w:cs="宋体"/>
          <w:b w:val="0"/>
          <w:bCs w:val="0"/>
          <w:i/>
          <w:iCs/>
          <w:color w:val="auto"/>
          <w:sz w:val="21"/>
          <w:szCs w:val="21"/>
          <w:highlight w:val="none"/>
          <w:u w:val="single"/>
          <w:lang w:val="en-US" w:eastAsia="zh-CN"/>
        </w:rPr>
        <w:t xml:space="preserve">7.3  配备气源监测报警系统：具备压力、流量双重监控功能，软件界面实时显示载气流量值，当载气流量异常自动蜂鸣报警并自动关闭进样及加热系统，同时锁定软件并自动保存已测定数据</w:t>
      </w:r>
      <w:r>
        <w:rPr>
          <w:rFonts w:hint="eastAsia" w:ascii="宋体" w:hAnsi="宋体" w:eastAsia="宋体" w:cs="宋体"/>
          <w:b/>
          <w:bCs/>
          <w:i/>
          <w:iCs/>
          <w:color w:val="auto"/>
          <w:sz w:val="21"/>
          <w:szCs w:val="21"/>
          <w:highlight w:val="none"/>
          <w:u w:val="single"/>
          <w:lang w:val="en-US" w:eastAsia="zh-CN"/>
        </w:rPr>
        <w:t xml:space="preserve">（提供实物照片及系统截图，扫描上传）</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8、基线稳定性</w:t>
      </w:r>
      <w:r/>
    </w:p>
    <w:p>
      <w:pPr>
        <w:ind w:firstLine="48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8.1 基线漂移：±0.0002Abs（预热2h，连续测试1h）。</w:t>
      </w:r>
      <w:r/>
    </w:p>
    <w:p>
      <w:pPr>
        <w:ind w:firstLine="48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8.2 噪声：0.0002Abs，具备测量全程基线实时显示功能。</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9、分析项目的技术指标</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9.1氨氮项目：</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9.1.1精密度要求（连续测定6次）：0.1mg/L，RSD&lt; 5％；0.2mg/L，RSD&lt; 3％；0.5mg/L，RSD&lt; 2％。</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9.1.2线性要求：根据设定自动配置标准曲线浓度，相关性系数r≥0.9995。</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9.1.3检出限要求：检出限&lt;0.01mg/L。</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i/>
          <w:iCs/>
          <w:color w:val="auto"/>
          <w:sz w:val="21"/>
          <w:szCs w:val="21"/>
          <w:highlight w:val="none"/>
          <w:u w:val="single"/>
          <w:lang w:val="en-US" w:eastAsia="zh-CN"/>
        </w:rPr>
        <w:t xml:space="preserve">★9.1.4 为了应对野外复杂样品各种干扰因素，仪器必须具备一定的抗干扰能力：向1mg/L氨氮标准溶液中，加入150mg/L的亚铁离子时，检测结果偏差≤3%（</w:t>
      </w:r>
      <w:r>
        <w:rPr>
          <w:rFonts w:hint="eastAsia" w:ascii="宋体" w:hAnsi="宋体" w:eastAsia="宋体" w:cs="宋体"/>
          <w:b/>
          <w:bCs/>
          <w:i/>
          <w:iCs/>
          <w:color w:val="auto"/>
          <w:sz w:val="21"/>
          <w:szCs w:val="21"/>
          <w:highlight w:val="none"/>
          <w:u w:val="single"/>
          <w:lang w:val="en-US" w:eastAsia="zh-CN"/>
        </w:rPr>
        <w:t xml:space="preserve">提供检测报告，扫描上传</w:t>
      </w:r>
      <w:r>
        <w:rPr>
          <w:rFonts w:hint="eastAsia" w:ascii="宋体" w:hAnsi="宋体" w:eastAsia="宋体" w:cs="宋体"/>
          <w:b w:val="0"/>
          <w:bCs w:val="0"/>
          <w:color w:val="auto"/>
          <w:sz w:val="21"/>
          <w:szCs w:val="21"/>
          <w:highlight w:val="none"/>
          <w:lang w:val="en-US" w:eastAsia="zh-CN"/>
        </w:rPr>
        <w:t xml:space="preserve">）；</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9.2硫化物项目：</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9.2.1精密度要求（连续测定6次）：0.1mg/L，RSD&lt; 5％；0.2mg/L，RSD&lt; 3％；0.5mg/L，RSD&lt; 2％。</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9.2.2线性要求：根据设定自动配置标准曲线浓度，相关性系数r≥0.9995。</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9.2.3检出限要求：检出限&lt;0.005mg/L。</w:t>
      </w:r>
      <w:r/>
    </w:p>
    <w:p>
      <w:pPr>
        <w:pStyle w:val="1006"/>
        <w:ind w:firstLine="420"/>
        <w:keepLines w:val="0"/>
        <w:keepNext w:val="0"/>
        <w:pageBreakBefore w:val="0"/>
        <w:spacing w:line="360" w:lineRule="auto"/>
        <w:widowControl w:val="off"/>
        <w:rPr>
          <w:rFonts w:hint="eastAsia" w:ascii="宋体" w:hAnsi="宋体" w:eastAsia="宋体" w:cs="宋体"/>
          <w:bCs w:val="0"/>
          <w:color w:val="auto"/>
          <w:sz w:val="21"/>
          <w:szCs w:val="21"/>
          <w:highlight w:val="none"/>
          <w:lang w:val="en-US" w:eastAsia="zh-CN" w:bidi="ar-SA"/>
        </w:rPr>
      </w:pPr>
      <w:r>
        <w:rPr>
          <w:rFonts w:hint="eastAsia" w:ascii="宋体" w:hAnsi="宋体" w:eastAsia="宋体" w:cs="宋体"/>
          <w:bCs w:val="0"/>
          <w:color w:val="auto"/>
          <w:sz w:val="21"/>
          <w:szCs w:val="21"/>
          <w:highlight w:val="none"/>
          <w:lang w:val="en-US" w:eastAsia="zh-CN" w:bidi="ar-SA"/>
        </w:rPr>
        <w:t xml:space="preserve">9.3总氮项目：</w:t>
      </w:r>
      <w:r/>
    </w:p>
    <w:p>
      <w:pPr>
        <w:pStyle w:val="1006"/>
        <w:ind w:firstLine="420"/>
        <w:keepLines w:val="0"/>
        <w:keepNext w:val="0"/>
        <w:pageBreakBefore w:val="0"/>
        <w:spacing w:line="360" w:lineRule="auto"/>
        <w:widowControl w:val="off"/>
        <w:rPr>
          <w:rFonts w:hint="eastAsia" w:ascii="宋体" w:hAnsi="宋体" w:eastAsia="宋体" w:cs="宋体"/>
          <w:bCs w:val="0"/>
          <w:color w:val="auto"/>
          <w:sz w:val="21"/>
          <w:szCs w:val="21"/>
          <w:highlight w:val="none"/>
          <w:lang w:val="en-US" w:eastAsia="zh-CN" w:bidi="ar-SA"/>
        </w:rPr>
      </w:pPr>
      <w:r>
        <w:rPr>
          <w:rFonts w:hint="eastAsia" w:ascii="宋体" w:hAnsi="宋体" w:eastAsia="宋体" w:cs="宋体"/>
          <w:bCs w:val="0"/>
          <w:color w:val="auto"/>
          <w:sz w:val="21"/>
          <w:szCs w:val="21"/>
          <w:highlight w:val="none"/>
          <w:lang w:val="en-US" w:eastAsia="zh-CN" w:bidi="ar-SA"/>
        </w:rPr>
        <w:t xml:space="preserve">9.3.1 消解器集成于主机内部，主机功能完整性高。</w:t>
      </w:r>
      <w:r/>
    </w:p>
    <w:p>
      <w:pPr>
        <w:pStyle w:val="1006"/>
        <w:ind w:firstLine="480"/>
        <w:keepLines w:val="0"/>
        <w:keepNext w:val="0"/>
        <w:pageBreakBefore w:val="0"/>
        <w:spacing w:line="360" w:lineRule="auto"/>
        <w:widowControl w:val="off"/>
        <w:rPr>
          <w:rFonts w:hint="eastAsia" w:ascii="宋体" w:hAnsi="宋体" w:eastAsia="宋体" w:cs="宋体"/>
          <w:bCs w:val="0"/>
          <w:color w:val="auto"/>
          <w:sz w:val="21"/>
          <w:szCs w:val="21"/>
          <w:highlight w:val="none"/>
          <w:lang w:val="en-US" w:eastAsia="zh-CN" w:bidi="ar-SA"/>
        </w:rPr>
      </w:pPr>
      <w:r>
        <w:rPr>
          <w:rFonts w:hint="eastAsia" w:ascii="宋体" w:hAnsi="宋体" w:cs="宋体"/>
          <w:color w:val="auto"/>
          <w:sz w:val="24"/>
          <w:highlight w:val="none"/>
        </w:rPr>
        <w:t xml:space="preserve">▲</w:t>
      </w:r>
      <w:r>
        <w:rPr>
          <w:rFonts w:hint="eastAsia" w:ascii="宋体" w:hAnsi="宋体" w:eastAsia="宋体" w:cs="宋体"/>
          <w:bCs w:val="0"/>
          <w:color w:val="auto"/>
          <w:sz w:val="21"/>
          <w:szCs w:val="21"/>
          <w:highlight w:val="none"/>
          <w:lang w:val="en-US" w:eastAsia="zh-CN" w:bidi="ar-SA"/>
        </w:rPr>
        <w:t xml:space="preserve">9.3.2消解器功率小于100w。</w:t>
      </w:r>
      <w:r/>
    </w:p>
    <w:p>
      <w:pPr>
        <w:pStyle w:val="1006"/>
        <w:ind w:firstLine="420"/>
        <w:keepLines w:val="0"/>
        <w:keepNext w:val="0"/>
        <w:pageBreakBefore w:val="0"/>
        <w:spacing w:line="360" w:lineRule="auto"/>
        <w:widowControl w:val="off"/>
        <w:rPr>
          <w:rFonts w:hint="eastAsia" w:ascii="宋体" w:hAnsi="宋体" w:eastAsia="宋体" w:cs="宋体"/>
          <w:bCs w:val="0"/>
          <w:color w:val="auto"/>
          <w:sz w:val="21"/>
          <w:szCs w:val="21"/>
          <w:highlight w:val="none"/>
          <w:lang w:val="en-US" w:eastAsia="zh-CN" w:bidi="ar-SA"/>
        </w:rPr>
      </w:pPr>
      <w:r>
        <w:rPr>
          <w:rFonts w:hint="eastAsia" w:ascii="宋体" w:hAnsi="宋体" w:eastAsia="宋体" w:cs="宋体"/>
          <w:bCs w:val="0"/>
          <w:color w:val="auto"/>
          <w:sz w:val="21"/>
          <w:szCs w:val="21"/>
          <w:highlight w:val="none"/>
          <w:lang w:val="en-US" w:eastAsia="zh-CN" w:bidi="ar-SA"/>
        </w:rPr>
        <w:t xml:space="preserve">9.3.3单个样品测量含消解时间小于5min。</w:t>
      </w:r>
      <w:r/>
    </w:p>
    <w:p>
      <w:pPr>
        <w:pStyle w:val="1006"/>
        <w:ind w:firstLine="420"/>
        <w:keepLines w:val="0"/>
        <w:keepNext w:val="0"/>
        <w:pageBreakBefore w:val="0"/>
        <w:spacing w:line="360" w:lineRule="auto"/>
        <w:widowControl w:val="off"/>
        <w:rPr>
          <w:rFonts w:hint="eastAsia" w:ascii="宋体" w:hAnsi="宋体" w:eastAsia="宋体" w:cs="宋体"/>
          <w:bCs w:val="0"/>
          <w:color w:val="auto"/>
          <w:sz w:val="21"/>
          <w:szCs w:val="21"/>
          <w:highlight w:val="none"/>
          <w:lang w:val="en-US" w:eastAsia="zh-CN" w:bidi="ar-SA"/>
        </w:rPr>
      </w:pPr>
      <w:r>
        <w:rPr>
          <w:rFonts w:hint="eastAsia" w:ascii="宋体" w:hAnsi="宋体" w:eastAsia="宋体" w:cs="宋体"/>
          <w:bCs w:val="0"/>
          <w:color w:val="auto"/>
          <w:sz w:val="21"/>
          <w:szCs w:val="21"/>
          <w:highlight w:val="none"/>
          <w:lang w:val="en-US" w:eastAsia="zh-CN" w:bidi="ar-SA"/>
        </w:rPr>
        <w:t xml:space="preserve">9.3.4精密度要求（连续测定6次）：0.2mg/L，RSD&lt; 5％；0.5mg/L，RSD&lt; 3％；1.0mg/L，RSD&lt; 2％。</w:t>
      </w:r>
      <w:r/>
    </w:p>
    <w:p>
      <w:pPr>
        <w:pStyle w:val="1006"/>
        <w:ind w:firstLine="420"/>
        <w:keepLines w:val="0"/>
        <w:keepNext w:val="0"/>
        <w:pageBreakBefore w:val="0"/>
        <w:spacing w:line="360" w:lineRule="auto"/>
        <w:widowControl w:val="off"/>
        <w:rPr>
          <w:rFonts w:hint="eastAsia" w:ascii="宋体" w:hAnsi="宋体" w:eastAsia="宋体" w:cs="宋体"/>
          <w:bCs w:val="0"/>
          <w:color w:val="auto"/>
          <w:sz w:val="21"/>
          <w:szCs w:val="21"/>
          <w:highlight w:val="none"/>
          <w:lang w:val="en-US" w:eastAsia="zh-CN" w:bidi="ar-SA"/>
        </w:rPr>
      </w:pPr>
      <w:r>
        <w:rPr>
          <w:rFonts w:hint="eastAsia" w:ascii="宋体" w:hAnsi="宋体" w:eastAsia="宋体" w:cs="宋体"/>
          <w:bCs w:val="0"/>
          <w:i/>
          <w:iCs/>
          <w:color w:val="auto"/>
          <w:sz w:val="21"/>
          <w:szCs w:val="21"/>
          <w:highlight w:val="none"/>
          <w:u w:val="single"/>
          <w:lang w:val="en-US" w:eastAsia="zh-CN" w:bidi="ar-SA"/>
        </w:rPr>
        <w:t xml:space="preserve">★9.3.5为了野外应急检测的效率，仪器需要能够连续分析不少于40个样品，中间无需停止样品检测清洗管路</w:t>
      </w:r>
      <w:r>
        <w:rPr>
          <w:rFonts w:hint="eastAsia" w:ascii="宋体" w:hAnsi="宋体" w:eastAsia="宋体" w:cs="宋体"/>
          <w:b/>
          <w:bCs/>
          <w:i/>
          <w:iCs/>
          <w:color w:val="auto"/>
          <w:sz w:val="21"/>
          <w:szCs w:val="21"/>
          <w:highlight w:val="none"/>
          <w:u w:val="single"/>
          <w:lang w:val="en-US" w:eastAsia="zh-CN" w:bidi="ar-SA"/>
        </w:rPr>
        <w:t xml:space="preserve">（</w:t>
      </w:r>
      <w:r>
        <w:rPr>
          <w:rFonts w:hint="eastAsia" w:ascii="宋体" w:hAnsi="宋体" w:eastAsia="宋体" w:cs="宋体"/>
          <w:b/>
          <w:bCs/>
          <w:i/>
          <w:iCs/>
          <w:color w:val="auto"/>
          <w:sz w:val="21"/>
          <w:szCs w:val="21"/>
          <w:highlight w:val="none"/>
          <w:u w:val="single"/>
          <w:lang w:val="en-US" w:eastAsia="zh-CN"/>
        </w:rPr>
        <w:t xml:space="preserve">提供检测报告，扫描上传</w:t>
      </w:r>
      <w:r>
        <w:rPr>
          <w:rFonts w:hint="eastAsia" w:ascii="宋体" w:hAnsi="宋体" w:eastAsia="宋体" w:cs="宋体"/>
          <w:b/>
          <w:bCs/>
          <w:i/>
          <w:iCs/>
          <w:color w:val="auto"/>
          <w:sz w:val="21"/>
          <w:szCs w:val="21"/>
          <w:highlight w:val="none"/>
          <w:u w:val="single"/>
          <w:lang w:val="en-US" w:eastAsia="zh-CN" w:bidi="ar-SA"/>
        </w:rPr>
        <w:t xml:space="preserve">）</w:t>
      </w:r>
      <w:r>
        <w:rPr>
          <w:rFonts w:hint="eastAsia" w:ascii="宋体" w:hAnsi="宋体" w:eastAsia="宋体" w:cs="宋体"/>
          <w:bCs w:val="0"/>
          <w:color w:val="auto"/>
          <w:sz w:val="21"/>
          <w:szCs w:val="21"/>
          <w:highlight w:val="none"/>
          <w:lang w:val="en-US" w:eastAsia="zh-CN" w:bidi="ar-SA"/>
        </w:rPr>
        <w:t xml:space="preserve">；</w:t>
      </w:r>
      <w:r/>
    </w:p>
    <w:p>
      <w:pPr>
        <w:pStyle w:val="1006"/>
        <w:ind w:firstLine="420"/>
        <w:keepLines w:val="0"/>
        <w:keepNext w:val="0"/>
        <w:pageBreakBefore w:val="0"/>
        <w:spacing w:line="360" w:lineRule="auto"/>
        <w:widowControl w:val="off"/>
        <w:rPr>
          <w:rFonts w:hint="eastAsia" w:ascii="宋体" w:hAnsi="宋体" w:eastAsia="宋体" w:cs="宋体"/>
          <w:bCs w:val="0"/>
          <w:color w:val="auto"/>
          <w:sz w:val="21"/>
          <w:szCs w:val="21"/>
          <w:highlight w:val="none"/>
          <w:lang w:val="en-US" w:eastAsia="zh-CN" w:bidi="ar-SA"/>
        </w:rPr>
      </w:pPr>
      <w:r>
        <w:rPr>
          <w:rFonts w:hint="eastAsia" w:ascii="宋体" w:hAnsi="宋体" w:eastAsia="宋体" w:cs="宋体"/>
          <w:bCs w:val="0"/>
          <w:color w:val="auto"/>
          <w:sz w:val="21"/>
          <w:szCs w:val="21"/>
          <w:highlight w:val="none"/>
          <w:lang w:val="en-US" w:eastAsia="zh-CN" w:bidi="ar-SA"/>
        </w:rPr>
        <w:t xml:space="preserve">9.3.</w:t>
      </w:r>
      <w:r>
        <w:rPr>
          <w:rFonts w:hint="eastAsia" w:cs="宋体"/>
          <w:bCs w:val="0"/>
          <w:color w:val="auto"/>
          <w:sz w:val="21"/>
          <w:szCs w:val="21"/>
          <w:highlight w:val="none"/>
          <w:lang w:val="en-US" w:eastAsia="zh-CN" w:bidi="ar-SA"/>
        </w:rPr>
        <w:t xml:space="preserve">6</w:t>
      </w:r>
      <w:r>
        <w:rPr>
          <w:rFonts w:hint="eastAsia" w:ascii="宋体" w:hAnsi="宋体" w:eastAsia="宋体" w:cs="宋体"/>
          <w:bCs w:val="0"/>
          <w:color w:val="auto"/>
          <w:sz w:val="21"/>
          <w:szCs w:val="21"/>
          <w:highlight w:val="none"/>
          <w:lang w:val="en-US" w:eastAsia="zh-CN" w:bidi="ar-SA"/>
        </w:rPr>
        <w:t xml:space="preserve">线性要求：根据设定自动配置标准曲线浓度，相关性系数r≥0.9995。</w:t>
      </w:r>
      <w:r/>
    </w:p>
    <w:p>
      <w:pPr>
        <w:pStyle w:val="1006"/>
        <w:ind w:firstLine="420"/>
        <w:keepLines w:val="0"/>
        <w:keepNext w:val="0"/>
        <w:pageBreakBefore w:val="0"/>
        <w:spacing w:line="360" w:lineRule="auto"/>
        <w:widowControl w:val="off"/>
        <w:rPr>
          <w:rFonts w:hint="eastAsia" w:ascii="宋体" w:hAnsi="宋体" w:eastAsia="宋体" w:cs="宋体"/>
          <w:bCs w:val="0"/>
          <w:color w:val="auto"/>
          <w:sz w:val="21"/>
          <w:szCs w:val="21"/>
          <w:highlight w:val="none"/>
          <w:lang w:val="en-US" w:eastAsia="zh-CN" w:bidi="ar-SA"/>
        </w:rPr>
      </w:pPr>
      <w:r>
        <w:rPr>
          <w:rFonts w:hint="eastAsia" w:ascii="宋体" w:hAnsi="宋体" w:eastAsia="宋体" w:cs="宋体"/>
          <w:bCs w:val="0"/>
          <w:color w:val="auto"/>
          <w:sz w:val="21"/>
          <w:szCs w:val="21"/>
          <w:highlight w:val="none"/>
          <w:lang w:val="en-US" w:eastAsia="zh-CN" w:bidi="ar-SA"/>
        </w:rPr>
        <w:t xml:space="preserve">9.3.</w:t>
      </w:r>
      <w:r>
        <w:rPr>
          <w:rFonts w:hint="eastAsia" w:cs="宋体"/>
          <w:bCs w:val="0"/>
          <w:color w:val="auto"/>
          <w:sz w:val="21"/>
          <w:szCs w:val="21"/>
          <w:highlight w:val="none"/>
          <w:lang w:val="en-US" w:eastAsia="zh-CN" w:bidi="ar-SA"/>
        </w:rPr>
        <w:t xml:space="preserve">7</w:t>
      </w:r>
      <w:r>
        <w:rPr>
          <w:rFonts w:hint="eastAsia" w:ascii="宋体" w:hAnsi="宋体" w:eastAsia="宋体" w:cs="宋体"/>
          <w:bCs w:val="0"/>
          <w:color w:val="auto"/>
          <w:sz w:val="21"/>
          <w:szCs w:val="21"/>
          <w:highlight w:val="none"/>
          <w:lang w:val="en-US" w:eastAsia="zh-CN" w:bidi="ar-SA"/>
        </w:rPr>
        <w:t xml:space="preserve">检出限要求：检出限&lt;0.05mg/L。</w:t>
      </w:r>
      <w:r/>
    </w:p>
    <w:p>
      <w:pPr>
        <w:ind w:firstLine="420"/>
        <w:jc w:val="left"/>
        <w:keepLines w:val="0"/>
        <w:keepNext w:val="0"/>
        <w:pageBreakBefore w:val="0"/>
        <w:spacing w:line="360" w:lineRule="auto"/>
        <w:widowControl/>
        <w:rPr>
          <w:rFonts w:hint="eastAsia" w:ascii="宋体" w:hAnsi="宋体" w:eastAsia="宋体" w:cs="宋体"/>
          <w:b w:val="0"/>
          <w:bCs w:val="0"/>
          <w:strike/>
          <w:color w:val="auto"/>
          <w:sz w:val="21"/>
          <w:szCs w:val="21"/>
          <w:highlight w:val="none"/>
          <w:lang w:val="en-US" w:eastAsia="zh-CN"/>
        </w:rPr>
      </w:pPr>
      <w:r>
        <w:rPr>
          <w:rFonts w:hint="eastAsia" w:ascii="宋体" w:hAnsi="宋体" w:eastAsia="宋体" w:cs="宋体"/>
          <w:bCs w:val="0"/>
          <w:color w:val="auto"/>
          <w:sz w:val="21"/>
          <w:szCs w:val="21"/>
          <w:highlight w:val="none"/>
          <w:lang w:val="en-US" w:eastAsia="zh-CN" w:bidi="ar-SA"/>
        </w:rPr>
        <w:t xml:space="preserve">9.</w:t>
      </w:r>
      <w:r>
        <w:rPr>
          <w:rFonts w:hint="eastAsia" w:ascii="宋体" w:hAnsi="宋体" w:cs="宋体"/>
          <w:bCs w:val="0"/>
          <w:color w:val="auto"/>
          <w:sz w:val="21"/>
          <w:szCs w:val="21"/>
          <w:highlight w:val="none"/>
          <w:lang w:val="en-US" w:eastAsia="zh-CN" w:bidi="ar-SA"/>
        </w:rPr>
        <w:t xml:space="preserve">3.8</w:t>
      </w:r>
      <w:r>
        <w:rPr>
          <w:rFonts w:hint="eastAsia" w:ascii="宋体" w:hAnsi="宋体" w:eastAsia="宋体" w:cs="宋体"/>
          <w:bCs w:val="0"/>
          <w:color w:val="auto"/>
          <w:sz w:val="21"/>
          <w:szCs w:val="21"/>
          <w:highlight w:val="none"/>
          <w:lang w:val="en-US" w:eastAsia="zh-CN" w:bidi="ar-SA"/>
        </w:rPr>
        <w:t xml:space="preserve">管路切换采用免维护电磁阀，减少日常维护难度</w:t>
      </w:r>
      <w:r>
        <w:rPr>
          <w:rFonts w:hint="eastAsia" w:ascii="宋体" w:hAnsi="宋体" w:cs="宋体"/>
          <w:bCs w:val="0"/>
          <w:color w:val="auto"/>
          <w:sz w:val="21"/>
          <w:szCs w:val="21"/>
          <w:highlight w:val="none"/>
          <w:lang w:val="en-US" w:eastAsia="zh-CN" w:bidi="ar-SA"/>
        </w:rPr>
        <w:t xml:space="preserve">。</w:t>
      </w:r>
      <w:r/>
    </w:p>
    <w:p>
      <w:pPr>
        <w:numPr>
          <w:ilvl w:val="0"/>
          <w:numId w:val="0"/>
        </w:numPr>
        <w:ind w:firstLine="422"/>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（二）</w:t>
      </w:r>
      <w:r>
        <w:rPr>
          <w:rFonts w:hint="eastAsia" w:ascii="宋体" w:hAnsi="宋体" w:eastAsia="宋体" w:cs="宋体"/>
          <w:b/>
          <w:bCs/>
          <w:color w:val="auto"/>
          <w:sz w:val="21"/>
          <w:szCs w:val="21"/>
          <w:highlight w:val="none"/>
          <w:lang w:val="en-US" w:eastAsia="zh-CN"/>
        </w:rPr>
        <w:t xml:space="preserve">便携式测汞仪</w:t>
      </w:r>
      <w:r/>
    </w:p>
    <w:p>
      <w:pPr>
        <w:ind w:firstLine="420"/>
        <w:jc w:val="left"/>
        <w:keepLines w:val="0"/>
        <w:keepNext w:val="0"/>
        <w:pageBreakBefore w:val="0"/>
        <w:spacing w:line="360" w:lineRule="auto"/>
        <w:widowControl/>
        <w:rPr>
          <w:rFonts w:hint="eastAsia" w:ascii="宋体" w:hAnsi="宋体" w:eastAsia="宋体" w:cs="宋体"/>
          <w:i/>
          <w:iCs/>
          <w:color w:val="auto"/>
          <w:sz w:val="21"/>
          <w:szCs w:val="21"/>
          <w:highlight w:val="none"/>
          <w:u w:val="single"/>
          <w:lang w:val="en-US" w:eastAsia="zh-CN"/>
        </w:rPr>
      </w:pPr>
      <w:r>
        <w:rPr>
          <w:rFonts w:hint="eastAsia" w:ascii="宋体" w:hAnsi="宋体" w:eastAsia="宋体" w:cs="宋体"/>
          <w:i/>
          <w:iCs/>
          <w:color w:val="auto"/>
          <w:sz w:val="21"/>
          <w:szCs w:val="21"/>
          <w:highlight w:val="none"/>
          <w:u w:val="single"/>
          <w:lang w:val="en-US" w:eastAsia="zh-CN"/>
        </w:rPr>
        <w:t xml:space="preserve">★1、便携式实时定量分析工作环境气体、废气、地表水、废水等中的汞含量，并符合国家环境相关标准。</w:t>
      </w:r>
      <w:r>
        <w:rPr>
          <w:rFonts w:hint="eastAsia" w:ascii="宋体" w:hAnsi="宋体" w:eastAsia="宋体" w:cs="宋体"/>
          <w:b/>
          <w:bCs/>
          <w:i/>
          <w:iCs/>
          <w:color w:val="auto"/>
          <w:sz w:val="21"/>
          <w:szCs w:val="21"/>
          <w:highlight w:val="none"/>
          <w:u w:val="single"/>
          <w:lang w:val="en-US" w:eastAsia="zh-CN"/>
        </w:rPr>
        <w:t xml:space="preserve">（</w:t>
      </w:r>
      <w:r>
        <w:rPr>
          <w:rFonts w:hint="eastAsia" w:ascii="宋体" w:hAnsi="宋体" w:eastAsia="宋体" w:cs="宋体"/>
          <w:b/>
          <w:bCs/>
          <w:i/>
          <w:iCs/>
          <w:strike w:val="0"/>
          <w:color w:val="auto"/>
          <w:sz w:val="21"/>
          <w:szCs w:val="21"/>
          <w:highlight w:val="none"/>
          <w:u w:val="single"/>
          <w:lang w:val="en-US" w:eastAsia="zh-CN"/>
        </w:rPr>
        <w:t xml:space="preserve">提供产品介绍或说明书等证明材料，扫描上传</w:t>
      </w:r>
      <w:r>
        <w:rPr>
          <w:rFonts w:hint="eastAsia" w:ascii="宋体" w:hAnsi="宋体" w:eastAsia="宋体" w:cs="宋体"/>
          <w:b/>
          <w:bCs/>
          <w:i/>
          <w:iCs/>
          <w:color w:val="auto"/>
          <w:sz w:val="21"/>
          <w:szCs w:val="21"/>
          <w:highlight w:val="none"/>
          <w:u w:val="single"/>
          <w:lang w:val="en-US" w:eastAsia="zh-CN"/>
        </w:rPr>
        <w:t xml:space="preserve">）</w:t>
      </w:r>
      <w:r/>
    </w:p>
    <w:p>
      <w:pPr>
        <w:pStyle w:val="825"/>
        <w:numPr>
          <w:ilvl w:val="0"/>
          <w:numId w:val="0"/>
        </w:num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color w:val="auto"/>
          <w:sz w:val="21"/>
          <w:szCs w:val="21"/>
          <w:highlight w:val="none"/>
          <w:lang w:val="en-US" w:eastAsia="zh-CN"/>
        </w:rPr>
        <w:t xml:space="preserve">2、测量原理：非色散双光束冷原子吸收光谱测定法。</w:t>
      </w:r>
      <w:r/>
    </w:p>
    <w:p>
      <w:pPr>
        <w:pStyle w:val="825"/>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3、光源：低压汞灯。</w:t>
      </w:r>
      <w:r/>
    </w:p>
    <w:p>
      <w:pPr>
        <w:pStyle w:val="825"/>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4、检测器：半导体探测器（带254nm带通滤波器）。</w:t>
      </w:r>
      <w:r/>
    </w:p>
    <w:p>
      <w:pPr>
        <w:pStyle w:val="825"/>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5、主机技术参数</w:t>
      </w:r>
      <w:r/>
    </w:p>
    <w:p>
      <w:pPr>
        <w:pStyle w:val="745"/>
        <w:ind w:firstLine="480"/>
        <w:rPr>
          <w:rFonts w:hint="eastAsia" w:ascii="宋体" w:hAnsi="宋体" w:eastAsia="宋体" w:cs="宋体"/>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color w:val="auto"/>
          <w:sz w:val="21"/>
          <w:szCs w:val="21"/>
          <w:highlight w:val="none"/>
          <w:lang w:val="en-US" w:eastAsia="zh-CN"/>
        </w:rPr>
        <w:t xml:space="preserve">5.1  气体测量范围： 0-2000μg/Nm3；0.01至20.0 mg/m3（高汞模式可选，在同一台主机扩展）；检测限：</w:t>
      </w:r>
      <w:r>
        <w:rPr>
          <w:rFonts w:hint="default" w:ascii="Arial" w:hAnsi="Arial" w:cs="Arial"/>
          <w:color w:val="auto"/>
          <w:highlight w:val="none"/>
        </w:rPr>
        <w:t xml:space="preserve">≤</w:t>
      </w:r>
      <w:r>
        <w:rPr>
          <w:rFonts w:hint="eastAsia" w:ascii="宋体" w:hAnsi="宋体" w:eastAsia="宋体" w:cs="宋体"/>
          <w:color w:val="auto"/>
          <w:sz w:val="21"/>
          <w:szCs w:val="21"/>
          <w:highlight w:val="none"/>
          <w:lang w:val="en-US" w:eastAsia="zh-CN"/>
        </w:rPr>
        <w:t xml:space="preserve">0.1μg/Nm3。</w:t>
      </w:r>
      <w:r/>
    </w:p>
    <w:p>
      <w:pPr>
        <w:pStyle w:val="825"/>
        <w:numPr>
          <w:ilvl w:val="0"/>
          <w:numId w:val="0"/>
        </w:num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color w:val="auto"/>
          <w:sz w:val="21"/>
          <w:szCs w:val="21"/>
          <w:highlight w:val="none"/>
          <w:lang w:val="en-US" w:eastAsia="zh-CN"/>
        </w:rPr>
        <w:t xml:space="preserve">5.2  液体测量范围： 0-15ug/L；检测限：0.01μg/L。</w:t>
      </w:r>
      <w:r/>
    </w:p>
    <w:p>
      <w:pPr>
        <w:pStyle w:val="825"/>
        <w:numPr>
          <w:ilvl w:val="0"/>
          <w:numId w:val="0"/>
        </w:num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color w:val="auto"/>
          <w:sz w:val="21"/>
          <w:szCs w:val="21"/>
          <w:highlight w:val="none"/>
          <w:lang w:val="en-US" w:eastAsia="zh-CN"/>
        </w:rPr>
        <w:t xml:space="preserve">5.3  测量时流速：0.1-1升/分钟。</w:t>
      </w:r>
      <w:r/>
    </w:p>
    <w:p>
      <w:pPr>
        <w:pStyle w:val="825"/>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5.4  精度： RSD ≤3%（2μg/Nm3）。</w:t>
      </w:r>
      <w:r/>
    </w:p>
    <w:p>
      <w:pPr>
        <w:pStyle w:val="825"/>
        <w:numPr>
          <w:ilvl w:val="0"/>
          <w:numId w:val="0"/>
        </w:num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color w:val="auto"/>
          <w:sz w:val="21"/>
          <w:szCs w:val="21"/>
          <w:highlight w:val="none"/>
          <w:lang w:val="en-US" w:eastAsia="zh-CN"/>
        </w:rPr>
        <w:t xml:space="preserve">5.5  响应时间：5秒内。</w:t>
      </w:r>
      <w:r/>
    </w:p>
    <w:p>
      <w:pPr>
        <w:pStyle w:val="825"/>
        <w:numPr>
          <w:ilvl w:val="0"/>
          <w:numId w:val="0"/>
        </w:num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color w:val="auto"/>
          <w:sz w:val="21"/>
          <w:szCs w:val="21"/>
          <w:highlight w:val="none"/>
          <w:lang w:val="en-US" w:eastAsia="zh-CN"/>
        </w:rPr>
        <w:t xml:space="preserve">5.6 校正：自动零校正。</w:t>
      </w:r>
      <w:r/>
    </w:p>
    <w:p>
      <w:pPr>
        <w:pStyle w:val="825"/>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5.7 分辨率：静态模式0.1μg/Nm3，动态模式1μg/Nm3。</w:t>
      </w:r>
      <w:r/>
    </w:p>
    <w:p>
      <w:pPr>
        <w:ind w:firstLine="420"/>
        <w:jc w:val="left"/>
        <w:keepLines w:val="0"/>
        <w:keepNext w:val="0"/>
        <w:pageBreakBefore w:val="0"/>
        <w:spacing w:line="360" w:lineRule="auto"/>
        <w:widowControl/>
        <w:rPr>
          <w:rFonts w:hint="eastAsia" w:ascii="宋体" w:hAnsi="宋体" w:eastAsia="宋体" w:cs="宋体"/>
          <w:i/>
          <w:iCs/>
          <w:color w:val="auto"/>
          <w:sz w:val="21"/>
          <w:szCs w:val="21"/>
          <w:highlight w:val="none"/>
          <w:u w:val="single"/>
          <w:lang w:val="en-US" w:eastAsia="zh-CN"/>
        </w:rPr>
      </w:pPr>
      <w:r>
        <w:rPr>
          <w:rFonts w:hint="eastAsia" w:ascii="宋体" w:hAnsi="宋体" w:eastAsia="宋体" w:cs="宋体"/>
          <w:i/>
          <w:iCs/>
          <w:color w:val="auto"/>
          <w:sz w:val="21"/>
          <w:szCs w:val="21"/>
          <w:highlight w:val="none"/>
          <w:u w:val="single"/>
          <w:lang w:val="en-US" w:eastAsia="zh-CN"/>
        </w:rPr>
        <w:t xml:space="preserve">★5.8 操作：LCD彩色触摸屏控制，屏幕尺寸≥4.3英寸，无需单独配置PAD或电脑，可视化程度高，操作便捷。</w:t>
      </w:r>
      <w:r>
        <w:rPr>
          <w:rFonts w:hint="eastAsia" w:ascii="宋体" w:hAnsi="宋体" w:eastAsia="宋体" w:cs="宋体"/>
          <w:b/>
          <w:bCs/>
          <w:i/>
          <w:iCs/>
          <w:color w:val="auto"/>
          <w:sz w:val="21"/>
          <w:szCs w:val="21"/>
          <w:highlight w:val="none"/>
          <w:u w:val="single"/>
          <w:lang w:val="en-US" w:eastAsia="zh-CN"/>
        </w:rPr>
        <w:t xml:space="preserve">（</w:t>
      </w:r>
      <w:r>
        <w:rPr>
          <w:rFonts w:hint="eastAsia" w:ascii="宋体" w:hAnsi="宋体" w:eastAsia="宋体" w:cs="宋体"/>
          <w:b/>
          <w:bCs/>
          <w:i/>
          <w:iCs/>
          <w:strike w:val="0"/>
          <w:color w:val="auto"/>
          <w:sz w:val="21"/>
          <w:szCs w:val="21"/>
          <w:highlight w:val="none"/>
          <w:u w:val="single"/>
          <w:lang w:val="en-US" w:eastAsia="zh-CN"/>
        </w:rPr>
        <w:t xml:space="preserve">提供产品介绍或说明书等证明材料，扫描上传</w:t>
      </w:r>
      <w:r>
        <w:rPr>
          <w:rFonts w:hint="eastAsia" w:ascii="宋体" w:hAnsi="宋体" w:eastAsia="宋体" w:cs="宋体"/>
          <w:b/>
          <w:bCs/>
          <w:i/>
          <w:iCs/>
          <w:color w:val="auto"/>
          <w:sz w:val="21"/>
          <w:szCs w:val="21"/>
          <w:highlight w:val="none"/>
          <w:u w:val="single"/>
          <w:lang w:val="en-US" w:eastAsia="zh-CN"/>
        </w:rPr>
        <w:t xml:space="preserve">）</w:t>
      </w:r>
      <w:r/>
    </w:p>
    <w:p>
      <w:pPr>
        <w:pStyle w:val="825"/>
        <w:numPr>
          <w:ilvl w:val="0"/>
          <w:numId w:val="0"/>
        </w:num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color w:val="auto"/>
          <w:sz w:val="21"/>
          <w:szCs w:val="21"/>
          <w:highlight w:val="none"/>
          <w:lang w:val="en-US" w:eastAsia="zh-CN"/>
        </w:rPr>
        <w:t xml:space="preserve">5.9 数据显示：实时值、平均值、最大值、汞浓度趋势、浓度级别。</w:t>
      </w:r>
      <w:r/>
    </w:p>
    <w:p>
      <w:pPr>
        <w:pStyle w:val="825"/>
        <w:numPr>
          <w:ilvl w:val="0"/>
          <w:numId w:val="0"/>
        </w:num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color w:val="auto"/>
          <w:sz w:val="21"/>
          <w:szCs w:val="21"/>
          <w:highlight w:val="none"/>
          <w:lang w:val="en-US" w:eastAsia="zh-CN"/>
        </w:rPr>
        <w:t xml:space="preserve">5.10 数据记录：保存在CSV文件或内存中（保留约15000小时以上）。</w:t>
      </w:r>
      <w:r/>
    </w:p>
    <w:p>
      <w:pPr>
        <w:pStyle w:val="825"/>
        <w:numPr>
          <w:ilvl w:val="0"/>
          <w:numId w:val="0"/>
        </w:num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color w:val="auto"/>
          <w:sz w:val="21"/>
          <w:szCs w:val="21"/>
          <w:highlight w:val="none"/>
          <w:lang w:val="en-US" w:eastAsia="zh-CN"/>
        </w:rPr>
        <w:t xml:space="preserve">5.11数据输出：USB闪存。</w:t>
      </w:r>
      <w:r/>
    </w:p>
    <w:p>
      <w:pPr>
        <w:pStyle w:val="825"/>
        <w:numPr>
          <w:ilvl w:val="0"/>
          <w:numId w:val="0"/>
        </w:num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color w:val="auto"/>
          <w:sz w:val="21"/>
          <w:szCs w:val="21"/>
          <w:highlight w:val="none"/>
          <w:lang w:val="en-US" w:eastAsia="zh-CN"/>
        </w:rPr>
        <w:t xml:space="preserve">5.12 温度补偿功能：有 。</w:t>
      </w:r>
      <w:r/>
    </w:p>
    <w:p>
      <w:pPr>
        <w:pStyle w:val="825"/>
        <w:numPr>
          <w:ilvl w:val="0"/>
          <w:numId w:val="0"/>
        </w:num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color w:val="auto"/>
          <w:sz w:val="21"/>
          <w:szCs w:val="21"/>
          <w:highlight w:val="none"/>
          <w:lang w:val="en-US" w:eastAsia="zh-CN"/>
        </w:rPr>
        <w:t xml:space="preserve">5.13 压力补偿功能：有 。</w:t>
      </w:r>
      <w:r/>
    </w:p>
    <w:p>
      <w:pPr>
        <w:pStyle w:val="825"/>
        <w:numPr>
          <w:ilvl w:val="0"/>
          <w:numId w:val="0"/>
        </w:num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color w:val="auto"/>
          <w:sz w:val="21"/>
          <w:szCs w:val="21"/>
          <w:highlight w:val="none"/>
          <w:lang w:val="en-US" w:eastAsia="zh-CN"/>
        </w:rPr>
        <w:t xml:space="preserve">5.14 标准曲线可设定：可根据不同种类、不同样品浓度而设定（非固定校准浓度点）。</w:t>
      </w:r>
      <w:r/>
    </w:p>
    <w:p>
      <w:pPr>
        <w:pStyle w:val="825"/>
        <w:numPr>
          <w:ilvl w:val="0"/>
          <w:numId w:val="0"/>
        </w:numPr>
        <w:ind w:left="420"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5.15 信息记录功能：有定位功能，可记录时间、测量数值、经度、纬度等信息。</w:t>
      </w:r>
      <w:r/>
    </w:p>
    <w:p>
      <w:pPr>
        <w:pStyle w:val="825"/>
        <w:numPr>
          <w:ilvl w:val="0"/>
          <w:numId w:val="0"/>
        </w:numPr>
        <w:ind w:left="420"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5.16 配备集成的干扰/零滤波器，便于即时验证和确认。</w:t>
      </w:r>
      <w:r/>
    </w:p>
    <w:p>
      <w:pPr>
        <w:ind w:firstLine="420"/>
        <w:jc w:val="left"/>
        <w:keepLines w:val="0"/>
        <w:keepNext w:val="0"/>
        <w:pageBreakBefore w:val="0"/>
        <w:spacing w:line="360" w:lineRule="auto"/>
        <w:widowControl/>
        <w:rPr>
          <w:rFonts w:hint="eastAsia" w:ascii="宋体" w:hAnsi="宋体" w:eastAsia="宋体" w:cs="宋体"/>
          <w:i/>
          <w:iCs/>
          <w:color w:val="auto"/>
          <w:sz w:val="21"/>
          <w:szCs w:val="21"/>
          <w:highlight w:val="none"/>
          <w:u w:val="single"/>
          <w:lang w:val="en-US" w:eastAsia="zh-CN"/>
        </w:rPr>
      </w:pPr>
      <w:r>
        <w:rPr>
          <w:rFonts w:hint="eastAsia" w:ascii="宋体" w:hAnsi="宋体" w:eastAsia="宋体" w:cs="宋体"/>
          <w:i/>
          <w:iCs/>
          <w:color w:val="auto"/>
          <w:sz w:val="21"/>
          <w:szCs w:val="21"/>
          <w:highlight w:val="none"/>
          <w:u w:val="single"/>
          <w:lang w:val="en-US" w:eastAsia="zh-CN"/>
        </w:rPr>
        <w:t xml:space="preserve">★5.17 电源：镍氢电池，随时更换，更换方便，单块充满电可持续工作</w:t>
      </w:r>
      <w:r>
        <w:rPr>
          <w:rFonts w:hint="eastAsia"/>
          <w:i/>
          <w:iCs/>
          <w:color w:val="auto"/>
          <w:highlight w:val="none"/>
          <w:u w:val="single"/>
          <w:lang w:val="en-US" w:eastAsia="zh-CN"/>
        </w:rPr>
        <w:t xml:space="preserve">4小时以上</w:t>
      </w:r>
      <w:r>
        <w:rPr>
          <w:rFonts w:hint="eastAsia" w:ascii="宋体" w:hAnsi="宋体" w:eastAsia="宋体" w:cs="宋体"/>
          <w:i/>
          <w:iCs/>
          <w:color w:val="auto"/>
          <w:sz w:val="21"/>
          <w:szCs w:val="21"/>
          <w:highlight w:val="none"/>
          <w:u w:val="single"/>
          <w:lang w:val="en-US" w:eastAsia="zh-CN"/>
        </w:rPr>
        <w:t xml:space="preserve">。</w:t>
      </w:r>
      <w:r>
        <w:rPr>
          <w:rFonts w:hint="eastAsia" w:ascii="宋体" w:hAnsi="宋体" w:eastAsia="宋体" w:cs="宋体"/>
          <w:b/>
          <w:bCs/>
          <w:i/>
          <w:iCs/>
          <w:color w:val="auto"/>
          <w:sz w:val="21"/>
          <w:szCs w:val="21"/>
          <w:highlight w:val="none"/>
          <w:u w:val="single"/>
          <w:lang w:val="en-US" w:eastAsia="zh-CN"/>
        </w:rPr>
        <w:t xml:space="preserve">（</w:t>
      </w:r>
      <w:r>
        <w:rPr>
          <w:rFonts w:hint="eastAsia" w:ascii="宋体" w:hAnsi="宋体" w:eastAsia="宋体" w:cs="宋体"/>
          <w:b/>
          <w:bCs/>
          <w:i/>
          <w:iCs/>
          <w:strike w:val="0"/>
          <w:color w:val="auto"/>
          <w:sz w:val="21"/>
          <w:szCs w:val="21"/>
          <w:highlight w:val="none"/>
          <w:u w:val="single"/>
          <w:lang w:val="en-US" w:eastAsia="zh-CN"/>
        </w:rPr>
        <w:t xml:space="preserve">提供产品介绍或说明书等证明材料，扫描上传</w:t>
      </w:r>
      <w:r>
        <w:rPr>
          <w:rFonts w:hint="eastAsia" w:ascii="宋体" w:hAnsi="宋体" w:eastAsia="宋体" w:cs="宋体"/>
          <w:b/>
          <w:bCs/>
          <w:i/>
          <w:iCs/>
          <w:color w:val="auto"/>
          <w:sz w:val="21"/>
          <w:szCs w:val="21"/>
          <w:highlight w:val="none"/>
          <w:u w:val="single"/>
          <w:lang w:val="en-US" w:eastAsia="zh-CN"/>
        </w:rPr>
        <w:t xml:space="preserve">）</w:t>
      </w:r>
      <w:r/>
    </w:p>
    <w:p>
      <w:pPr>
        <w:pStyle w:val="825"/>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5.18 可随机携带或托运。</w:t>
      </w:r>
      <w:r/>
    </w:p>
    <w:p>
      <w:pPr>
        <w:pStyle w:val="825"/>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5.19 监视：连续监视，实时显示汞含量。</w:t>
      </w:r>
      <w:r/>
    </w:p>
    <w:p>
      <w:pPr>
        <w:pStyle w:val="825"/>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5.20 功能设定、参数设定、模块切换等设置都在触摸屏幕操作。</w:t>
      </w:r>
      <w:r/>
    </w:p>
    <w:p>
      <w:pPr>
        <w:pStyle w:val="825"/>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6、还原法附件技术参数</w:t>
      </w:r>
      <w:r/>
    </w:p>
    <w:p>
      <w:pPr>
        <w:pStyle w:val="825"/>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6.1 测量方法：氯化亚锡还原气化（分析液体的模式）。</w:t>
      </w:r>
      <w:r/>
    </w:p>
    <w:p>
      <w:pPr>
        <w:pStyle w:val="825"/>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6.2 测量流速：0.1-1.0L/min。</w:t>
      </w:r>
      <w:r/>
    </w:p>
    <w:p>
      <w:pPr>
        <w:pStyle w:val="825"/>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6.3 测量范围：0.01-15ppb/20ml。</w:t>
      </w:r>
      <w:r/>
    </w:p>
    <w:p>
      <w:pPr>
        <w:pStyle w:val="825"/>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6.4 测量精度：C.V.＜10%@0.5ppb。</w:t>
      </w:r>
      <w:r/>
    </w:p>
    <w:p>
      <w:pPr>
        <w:pStyle w:val="825"/>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6.5 样品量：最大到20ml。</w:t>
      </w:r>
      <w:r/>
    </w:p>
    <w:p>
      <w:pPr>
        <w:pStyle w:val="825"/>
        <w:numPr>
          <w:ilvl w:val="0"/>
          <w:numId w:val="0"/>
        </w:num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color w:val="auto"/>
          <w:sz w:val="21"/>
          <w:szCs w:val="21"/>
          <w:highlight w:val="none"/>
          <w:lang w:val="en-US" w:eastAsia="zh-CN"/>
        </w:rPr>
        <w:t xml:space="preserve">6.6 测量时间：</w:t>
      </w:r>
      <w:r>
        <w:rPr>
          <w:rFonts w:hint="default" w:ascii="Arial" w:hAnsi="Arial" w:eastAsia="宋体" w:cs="Arial"/>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60s。</w:t>
      </w:r>
      <w:r/>
    </w:p>
    <w:p>
      <w:pPr>
        <w:pStyle w:val="825"/>
        <w:numPr>
          <w:ilvl w:val="0"/>
          <w:numId w:val="0"/>
        </w:num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color w:val="auto"/>
          <w:sz w:val="21"/>
          <w:szCs w:val="21"/>
          <w:highlight w:val="none"/>
          <w:lang w:val="en-US" w:eastAsia="zh-CN"/>
        </w:rPr>
        <w:t xml:space="preserve">6.7 汞的进气系统：无需额外携带载气，采用环境空气经过金汞齐吸附后的除汞气体作为载气。</w:t>
      </w:r>
      <w:r/>
    </w:p>
    <w:p>
      <w:pPr>
        <w:pStyle w:val="825"/>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6.8 汞废气去除过系统：化学处理过的活性炭吸附后，再次排放到环境中。</w:t>
      </w:r>
      <w:r/>
    </w:p>
    <w:p>
      <w:pPr>
        <w:pStyle w:val="825"/>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6.9 显示：峰形，校准曲线方程，样品数量和汞含量。</w:t>
      </w:r>
      <w:r/>
    </w:p>
    <w:p>
      <w:pPr>
        <w:pStyle w:val="825"/>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 携带设施：提供精巧与轻便的肩带和腰带，及整体设备运输的便携ABS箱。实现真正的、便携式操作。</w:t>
      </w:r>
      <w:r/>
    </w:p>
    <w:p>
      <w:pPr>
        <w:pStyle w:val="825"/>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8、符合人体工程学设计的支架。</w:t>
      </w:r>
      <w:r/>
    </w:p>
    <w:p>
      <w:pPr>
        <w:pStyle w:val="825"/>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9、采用ABS材料，坚固、抗冲击、防锈。</w:t>
      </w:r>
      <w:r/>
    </w:p>
    <w:p>
      <w:pPr>
        <w:pStyle w:val="825"/>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10、重量：小于2kg（含电池）。</w:t>
      </w:r>
      <w:r/>
    </w:p>
    <w:p>
      <w:pPr>
        <w:ind w:firstLine="422"/>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（三）车载ICP-MS分析系统</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1、总体要求</w:t>
      </w:r>
      <w:r/>
    </w:p>
    <w:p>
      <w:pPr>
        <w:pStyle w:val="825"/>
        <w:ind w:firstLine="420"/>
        <w:spacing w:line="360" w:lineRule="auto"/>
        <w:rPr>
          <w:rFonts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★（1）车载ICP-MS分析系统满足车载移动使用要求，实现地表水、地下水、废水中重金属元素的现场快速、准确监测功能。</w:t>
      </w:r>
      <w:r/>
    </w:p>
    <w:p>
      <w:pPr>
        <w:pStyle w:val="825"/>
        <w:ind w:firstLine="480"/>
        <w:spacing w:line="360" w:lineRule="auto"/>
        <w:rPr>
          <w:rFonts w:ascii="宋体" w:hAnsi="宋体" w:eastAsia="宋体" w:cs="宋体"/>
          <w:b/>
          <w:bCs/>
          <w:color w:val="auto"/>
          <w:sz w:val="21"/>
          <w:szCs w:val="21"/>
          <w:highlight w:val="none"/>
        </w:rPr>
      </w:pPr>
      <w:r>
        <w:rPr>
          <w:rFonts w:hint="eastAsia" w:ascii="宋体" w:hAnsi="宋体" w:cs="宋体"/>
          <w:color w:val="auto"/>
          <w:sz w:val="24"/>
          <w:highlight w:val="none"/>
        </w:rPr>
        <w:t xml:space="preserve">▲</w:t>
      </w:r>
      <w:r>
        <w:rPr>
          <w:rFonts w:hint="eastAsia" w:ascii="宋体" w:hAnsi="宋体" w:eastAsia="宋体" w:cs="宋体"/>
          <w:color w:val="auto"/>
          <w:sz w:val="21"/>
          <w:szCs w:val="21"/>
          <w:highlight w:val="none"/>
        </w:rPr>
        <w:t xml:space="preserve">（2）系统具有专用减震设计，应对各种复杂路况，保证抵达现场后正常开机运行。</w:t>
      </w: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第三方检测机构</w:t>
      </w:r>
      <w:r>
        <w:rPr>
          <w:rFonts w:hint="eastAsia" w:ascii="宋体" w:hAnsi="宋体" w:eastAsia="宋体" w:cs="宋体"/>
          <w:b/>
          <w:bCs/>
          <w:color w:val="auto"/>
          <w:sz w:val="21"/>
          <w:szCs w:val="21"/>
          <w:highlight w:val="none"/>
        </w:rPr>
        <w:t xml:space="preserve">出具的振动冲击试验报告，原件扫描上传）</w:t>
      </w:r>
      <w:r/>
    </w:p>
    <w:p>
      <w:pPr>
        <w:pStyle w:val="825"/>
        <w:ind w:firstLine="480"/>
        <w:spacing w:line="360" w:lineRule="auto"/>
        <w:rPr>
          <w:rFonts w:ascii="宋体" w:hAnsi="宋体" w:eastAsia="宋体" w:cs="宋体"/>
          <w:b/>
          <w:bCs/>
          <w:color w:val="auto"/>
          <w:sz w:val="21"/>
          <w:szCs w:val="21"/>
          <w:highlight w:val="none"/>
        </w:rPr>
      </w:pPr>
      <w:r>
        <w:rPr>
          <w:rFonts w:hint="eastAsia" w:ascii="宋体" w:hAnsi="宋体" w:cs="宋体"/>
          <w:color w:val="auto"/>
          <w:sz w:val="24"/>
          <w:highlight w:val="none"/>
        </w:rPr>
        <w:t xml:space="preserve">▲</w:t>
      </w:r>
      <w:r>
        <w:rPr>
          <w:rFonts w:hint="eastAsia" w:ascii="宋体" w:hAnsi="宋体" w:eastAsia="宋体" w:cs="宋体"/>
          <w:color w:val="auto"/>
          <w:sz w:val="21"/>
          <w:szCs w:val="21"/>
          <w:highlight w:val="none"/>
        </w:rPr>
        <w:t xml:space="preserve">（3）采用分体式循环冷却水机，制冷功率≥2.5KW ,满足仪器制冷要求，提高实验舱内部环境的舒适性，延长车辆供电系统续航时间。</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提供第三方检测机构出具的检测报告</w:t>
      </w:r>
      <w:r>
        <w:rPr>
          <w:rFonts w:hint="eastAsia" w:ascii="宋体" w:hAnsi="宋体" w:eastAsia="宋体" w:cs="宋体"/>
          <w:b/>
          <w:bCs/>
          <w:color w:val="auto"/>
          <w:sz w:val="21"/>
          <w:szCs w:val="21"/>
          <w:highlight w:val="none"/>
        </w:rPr>
        <w:t xml:space="preserve">，原件扫描上传）</w:t>
      </w:r>
      <w:r/>
    </w:p>
    <w:p>
      <w:pPr>
        <w:pStyle w:val="825"/>
        <w:ind w:firstLine="480"/>
        <w:spacing w:line="360" w:lineRule="auto"/>
        <w:rPr>
          <w:rFonts w:ascii="宋体" w:hAnsi="宋体" w:eastAsia="宋体" w:cs="宋体"/>
          <w:color w:val="auto"/>
          <w:sz w:val="21"/>
          <w:szCs w:val="21"/>
          <w:highlight w:val="none"/>
        </w:rPr>
      </w:pPr>
      <w:r>
        <w:rPr>
          <w:rFonts w:hint="eastAsia" w:ascii="宋体" w:hAnsi="宋体" w:cs="宋体"/>
          <w:color w:val="auto"/>
          <w:sz w:val="24"/>
          <w:highlight w:val="none"/>
        </w:rPr>
        <w:t xml:space="preserve">▲</w:t>
      </w:r>
      <w:r>
        <w:rPr>
          <w:rFonts w:hint="eastAsia" w:ascii="宋体" w:hAnsi="宋体" w:eastAsia="宋体" w:cs="宋体"/>
          <w:color w:val="auto"/>
          <w:sz w:val="21"/>
          <w:szCs w:val="21"/>
          <w:highlight w:val="none"/>
        </w:rPr>
        <w:t xml:space="preserve">（4）系统在到达指定应急监测点位后，开机抽真空应在 15min 内完成并达到分析标准。</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提供第三方检测机构出具的检测报告</w:t>
      </w:r>
      <w:r>
        <w:rPr>
          <w:rFonts w:hint="eastAsia" w:ascii="宋体" w:hAnsi="宋体" w:eastAsia="宋体" w:cs="宋体"/>
          <w:b/>
          <w:bCs/>
          <w:color w:val="auto"/>
          <w:sz w:val="21"/>
          <w:szCs w:val="21"/>
          <w:highlight w:val="none"/>
        </w:rPr>
        <w:t xml:space="preserve">，原件扫描上传）</w:t>
      </w:r>
      <w:r/>
    </w:p>
    <w:p>
      <w:pPr>
        <w:pStyle w:val="825"/>
        <w:ind w:firstLine="480"/>
        <w:spacing w:line="360" w:lineRule="auto"/>
        <w:rPr>
          <w:rFonts w:ascii="宋体" w:hAnsi="宋体" w:eastAsia="宋体" w:cs="宋体"/>
          <w:color w:val="auto"/>
          <w:sz w:val="21"/>
          <w:szCs w:val="21"/>
          <w:highlight w:val="none"/>
        </w:rPr>
      </w:pPr>
      <w:r>
        <w:rPr>
          <w:rFonts w:hint="eastAsia" w:ascii="宋体" w:hAnsi="宋体" w:cs="宋体"/>
          <w:color w:val="auto"/>
          <w:sz w:val="24"/>
          <w:highlight w:val="none"/>
        </w:rPr>
        <w:t xml:space="preserve">▲</w:t>
      </w:r>
      <w:r>
        <w:rPr>
          <w:rFonts w:hint="eastAsia" w:ascii="宋体" w:hAnsi="宋体" w:eastAsia="宋体" w:cs="宋体"/>
          <w:color w:val="auto"/>
          <w:sz w:val="21"/>
          <w:szCs w:val="21"/>
          <w:highlight w:val="none"/>
        </w:rPr>
        <w:t xml:space="preserve">（5）系统配置自动快速进样系统，检测时间≤60s/样，提高应急监测效率。</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提供第三方检测机构出具的检测报告</w:t>
      </w:r>
      <w:r>
        <w:rPr>
          <w:rFonts w:hint="eastAsia" w:ascii="宋体" w:hAnsi="宋体" w:eastAsia="宋体" w:cs="宋体"/>
          <w:b/>
          <w:bCs/>
          <w:color w:val="auto"/>
          <w:sz w:val="21"/>
          <w:szCs w:val="21"/>
          <w:highlight w:val="none"/>
        </w:rPr>
        <w:t xml:space="preserve">，原件扫描上传）</w:t>
      </w:r>
      <w:r/>
    </w:p>
    <w:p>
      <w:pPr>
        <w:pStyle w:val="825"/>
        <w:ind w:firstLine="480"/>
        <w:spacing w:line="360" w:lineRule="auto"/>
        <w:rPr>
          <w:rFonts w:ascii="宋体" w:hAnsi="宋体" w:eastAsia="宋体" w:cs="宋体"/>
          <w:color w:val="auto"/>
          <w:sz w:val="21"/>
          <w:szCs w:val="21"/>
          <w:highlight w:val="none"/>
        </w:rPr>
      </w:pPr>
      <w:r>
        <w:rPr>
          <w:rFonts w:hint="eastAsia" w:ascii="宋体" w:hAnsi="宋体" w:cs="宋体"/>
          <w:color w:val="auto"/>
          <w:sz w:val="24"/>
          <w:highlight w:val="none"/>
        </w:rPr>
        <w:t xml:space="preserve">▲</w:t>
      </w:r>
      <w:r>
        <w:rPr>
          <w:rFonts w:hint="eastAsia" w:ascii="宋体" w:hAnsi="宋体" w:eastAsia="宋体" w:cs="宋体"/>
          <w:color w:val="auto"/>
          <w:sz w:val="21"/>
          <w:szCs w:val="21"/>
          <w:highlight w:val="none"/>
        </w:rPr>
        <w:t xml:space="preserve">（6）系统具备低功率和低氩气消耗待机模式，待机条件下功率小于500W，氩气用量小于5L/min。</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提供第三方检测机构出具的检测报告</w:t>
      </w:r>
      <w:r>
        <w:rPr>
          <w:rFonts w:hint="eastAsia" w:ascii="宋体" w:hAnsi="宋体" w:eastAsia="宋体" w:cs="宋体"/>
          <w:b/>
          <w:bCs/>
          <w:color w:val="auto"/>
          <w:sz w:val="21"/>
          <w:szCs w:val="21"/>
          <w:highlight w:val="none"/>
        </w:rPr>
        <w:t xml:space="preserve">和待机功率和氩气消耗软件截图，原件扫描上传）</w:t>
      </w:r>
      <w:r/>
    </w:p>
    <w:p>
      <w:pPr>
        <w:pStyle w:val="825"/>
        <w:ind w:firstLine="480"/>
        <w:spacing w:line="360" w:lineRule="auto"/>
        <w:rPr>
          <w:rFonts w:ascii="宋体" w:hAnsi="宋体" w:eastAsia="宋体" w:cs="宋体"/>
          <w:b/>
          <w:bCs/>
          <w:color w:val="auto"/>
          <w:sz w:val="21"/>
          <w:szCs w:val="21"/>
          <w:highlight w:val="none"/>
        </w:rPr>
      </w:pPr>
      <w:r>
        <w:rPr>
          <w:rFonts w:hint="eastAsia" w:ascii="宋体" w:hAnsi="宋体" w:cs="宋体"/>
          <w:color w:val="auto"/>
          <w:sz w:val="24"/>
          <w:highlight w:val="none"/>
        </w:rPr>
        <w:t xml:space="preserve">▲</w:t>
      </w:r>
      <w:r>
        <w:rPr>
          <w:rFonts w:hint="eastAsia" w:ascii="宋体" w:hAnsi="宋体" w:eastAsia="宋体" w:cs="宋体"/>
          <w:color w:val="auto"/>
          <w:sz w:val="21"/>
          <w:szCs w:val="21"/>
          <w:highlight w:val="none"/>
        </w:rPr>
        <w:t xml:space="preserve">（7）系统使用在一些特殊应急现场，为确保地理信息与现场数据的安全性与保密性，软件系统为国产自主开发。</w:t>
      </w:r>
      <w:r>
        <w:rPr>
          <w:rFonts w:hint="eastAsia" w:ascii="宋体" w:hAnsi="宋体" w:eastAsia="宋体" w:cs="宋体"/>
          <w:b/>
          <w:bCs/>
          <w:color w:val="auto"/>
          <w:sz w:val="21"/>
          <w:szCs w:val="21"/>
          <w:highlight w:val="none"/>
        </w:rPr>
        <w:t xml:space="preserve">（提供国产软件著作权证明材料，扫描上传）</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2、ICP-MS主机技术要求</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2.1离子源：</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（1）应采用自激式全固态ICP离子源，频率不小于27 MHz，功率范围为700-1600W，功率稳定性&lt;±0.1%，频率稳定性&lt;±0.01%。</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（2）射频线圈应使用水冷技术，可自动匹配等离子体负载变化。</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（3）应采用虚拟接地，减少离子动能色散，降低二次离子产生，无需屏蔽圈等额外消耗品就可消除锥口二次电弧放电，延长锥使用寿命。</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2.2接口：</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（1）采样锥和截取锥应为镍材质，采样锥孔径≤1.1mm，截取锥孔径≤0.5mm。</w:t>
      </w:r>
      <w:r/>
    </w:p>
    <w:p>
      <w:pPr>
        <w:pStyle w:val="825"/>
        <w:ind w:firstLine="480"/>
        <w:spacing w:line="360" w:lineRule="auto"/>
        <w:rPr>
          <w:rFonts w:ascii="宋体" w:hAnsi="宋体" w:eastAsia="宋体" w:cs="宋体"/>
          <w:color w:val="auto"/>
          <w:sz w:val="21"/>
          <w:szCs w:val="21"/>
          <w:highlight w:val="none"/>
        </w:rPr>
      </w:pPr>
      <w:r>
        <w:rPr>
          <w:rFonts w:hint="eastAsia" w:ascii="宋体" w:hAnsi="宋体" w:cs="宋体"/>
          <w:color w:val="auto"/>
          <w:sz w:val="24"/>
          <w:highlight w:val="none"/>
        </w:rPr>
        <w:t xml:space="preserve">▲</w:t>
      </w:r>
      <w:r>
        <w:rPr>
          <w:rFonts w:hint="eastAsia" w:ascii="宋体" w:hAnsi="宋体" w:eastAsia="宋体" w:cs="宋体"/>
          <w:color w:val="auto"/>
          <w:sz w:val="21"/>
          <w:szCs w:val="21"/>
          <w:highlight w:val="none"/>
        </w:rPr>
        <w:t xml:space="preserve">（2）为保证应急现场简便的换锥维护，具备无需泄真空和移开离子源条件下进行换锥操作的能力。</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提供第三方检测机构出具的检测报告</w:t>
      </w:r>
      <w:r>
        <w:rPr>
          <w:rFonts w:hint="eastAsia" w:ascii="宋体" w:hAnsi="宋体" w:eastAsia="宋体" w:cs="宋体"/>
          <w:b/>
          <w:bCs/>
          <w:color w:val="auto"/>
          <w:sz w:val="21"/>
          <w:szCs w:val="21"/>
          <w:highlight w:val="none"/>
        </w:rPr>
        <w:t xml:space="preserve">和换锥系统详细设计方案证明材料，扫描上传）</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2.3提取透镜：提取透镜上应可使用零电压、负电压和正电压等多种提取模式， 免除维护清洗。</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2.4离子传输系统：采用离轴二次离子偏转传输系统（可消除中性粒子、光子的背景噪音）。</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2.5碰撞反应池：采用六极杆碰撞反应池系统，提高碰撞效率，提升灵敏度。</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 四级杆质量分析器：采用高精度纯Mo材料四极杆，驱动频率≥2.0MHz，获得更宽的分析范围和更优异的质量轴稳定性。</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2.7检测器：采用脉冲/模拟双模式检测电子倍增器，可在模拟和脉冲模式之间实现自动切换。</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2.8等离子体可视系统：具有带电磁屏蔽的等离子体实时观测功能，可以通过工作站软件实时监控等离子体状态，实时全彩监测等离子体、锥口和中心管状态，便于样品分析和维护确认。</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2.9进样系统要求：</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（1）雾化器：提供石英材质同心雾化器。</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（2）小体积旋流型雾化室，配TEC制冷模块，制冷温度&lt;-10℃。</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（3）分体设计的可拆卸式石英炬管，方便日常更换维护而无需拆卸气体管路。</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（4）中心管：提供石英材质中心管。</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（5）配置至少5路高精度数字型MFC气路控制器，控制精度&lt;0.5%。</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2.10软件要求：</w:t>
      </w:r>
      <w:r>
        <w:rPr>
          <w:rFonts w:hint="eastAsia" w:ascii="宋体" w:hAnsi="宋体" w:eastAsia="宋体" w:cs="宋体"/>
          <w:color w:val="auto"/>
          <w:sz w:val="21"/>
          <w:szCs w:val="21"/>
          <w:highlight w:val="none"/>
        </w:rPr>
        <w:tab/>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（1）操作系统：品牌商用电脑，多用户系统软件</w:t>
      </w:r>
      <w:bookmarkStart w:id="64" w:name="OLE_LINK3"/>
      <w:r>
        <w:rPr>
          <w:rFonts w:hint="eastAsia" w:ascii="宋体" w:hAnsi="宋体" w:eastAsia="宋体" w:cs="宋体"/>
          <w:color w:val="auto"/>
          <w:sz w:val="21"/>
          <w:szCs w:val="21"/>
          <w:highlight w:val="none"/>
        </w:rPr>
        <w:t xml:space="preserve">，激光打印输出</w:t>
      </w:r>
      <w:bookmarkEnd w:id="64"/>
      <w:r>
        <w:rPr>
          <w:rFonts w:hint="eastAsia" w:ascii="宋体" w:hAnsi="宋体" w:eastAsia="宋体" w:cs="宋体"/>
          <w:color w:val="auto"/>
          <w:sz w:val="21"/>
          <w:szCs w:val="21"/>
          <w:highlight w:val="none"/>
        </w:rPr>
        <w:t xml:space="preserve">设备，具有复印、自动双面打印、自动单双面扫描、无线打印、平板和进纸器复印/扫描功能。</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（2）自动化分析功能（仪器形象化界面、自动调谐、自动诊断、定制化用户报告、启动关闭真空，炬位调整，等离子体参数\离子透镜电压优化，标准\碰撞池工作模式切换等）。</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（3）实时数据显示和实时报告显示。</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（4）其他智能化功能包括：动态调整进样时间和冲洗时间，用户方法库管理，QC功能可以满足EPA方法的QC要求。</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（5）ICP-MS操作软件可以离线数据处理并生成报告。</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2.11性能要求：</w:t>
      </w:r>
      <w:r/>
    </w:p>
    <w:p>
      <w:pPr>
        <w:pStyle w:val="825"/>
        <w:ind w:firstLine="480"/>
        <w:spacing w:line="360" w:lineRule="auto"/>
        <w:rPr>
          <w:rFonts w:ascii="宋体" w:hAnsi="宋体" w:eastAsia="宋体" w:cs="宋体"/>
          <w:color w:val="auto"/>
          <w:sz w:val="21"/>
          <w:szCs w:val="21"/>
          <w:highlight w:val="none"/>
        </w:rPr>
      </w:pPr>
      <w:r>
        <w:rPr>
          <w:rFonts w:hint="eastAsia" w:ascii="宋体" w:hAnsi="宋体" w:cs="宋体"/>
          <w:color w:val="auto"/>
          <w:sz w:val="24"/>
          <w:highlight w:val="none"/>
        </w:rPr>
        <w:t xml:space="preserve">▲</w:t>
      </w:r>
      <w:r>
        <w:rPr>
          <w:rFonts w:hint="eastAsia" w:ascii="宋体" w:hAnsi="宋体" w:eastAsia="宋体" w:cs="宋体"/>
          <w:color w:val="auto"/>
          <w:sz w:val="21"/>
          <w:szCs w:val="21"/>
          <w:highlight w:val="none"/>
        </w:rPr>
        <w:t xml:space="preserve">（1）质量范围：2-260 amu；</w:t>
      </w:r>
      <w:r/>
    </w:p>
    <w:p>
      <w:pPr>
        <w:pStyle w:val="825"/>
        <w:ind w:firstLine="480"/>
        <w:spacing w:line="360" w:lineRule="auto"/>
        <w:rPr>
          <w:rFonts w:ascii="宋体" w:hAnsi="宋体" w:eastAsia="宋体" w:cs="宋体"/>
          <w:color w:val="auto"/>
          <w:sz w:val="21"/>
          <w:szCs w:val="21"/>
          <w:highlight w:val="none"/>
        </w:rPr>
      </w:pPr>
      <w:r>
        <w:rPr>
          <w:rFonts w:hint="eastAsia" w:ascii="宋体" w:hAnsi="宋体" w:cs="宋体"/>
          <w:color w:val="auto"/>
          <w:sz w:val="24"/>
          <w:highlight w:val="none"/>
        </w:rPr>
        <w:t xml:space="preserve">▲</w:t>
      </w:r>
      <w:r>
        <w:rPr>
          <w:rFonts w:hint="eastAsia" w:ascii="宋体" w:hAnsi="宋体" w:eastAsia="宋体" w:cs="宋体"/>
          <w:color w:val="auto"/>
          <w:sz w:val="21"/>
          <w:szCs w:val="21"/>
          <w:highlight w:val="none"/>
        </w:rPr>
        <w:t xml:space="preserve">（2） 质量分辨率：具有高分辨和标准分辨率两种模式，调节范围0.3-2.0amu。连续可调，可以在一次方法分析过程中同时使用两种模式，以便通过变化分辨率扩大样品分析应用范围；</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线性动态范围：≥9个数量级；</w:t>
      </w:r>
      <w:r/>
    </w:p>
    <w:p>
      <w:pPr>
        <w:pStyle w:val="825"/>
        <w:ind w:firstLine="480"/>
        <w:spacing w:line="360" w:lineRule="auto"/>
        <w:rPr>
          <w:rFonts w:ascii="宋体" w:hAnsi="宋体" w:eastAsia="宋体" w:cs="宋体"/>
          <w:color w:val="auto"/>
          <w:sz w:val="21"/>
          <w:szCs w:val="21"/>
          <w:highlight w:val="none"/>
        </w:rPr>
      </w:pPr>
      <w:r>
        <w:rPr>
          <w:rFonts w:hint="eastAsia" w:ascii="宋体" w:hAnsi="宋体" w:cs="宋体"/>
          <w:color w:val="auto"/>
          <w:sz w:val="24"/>
          <w:highlight w:val="none"/>
        </w:rPr>
        <w:t xml:space="preserve">▲</w:t>
      </w:r>
      <w:r>
        <w:rPr>
          <w:rFonts w:hint="eastAsia" w:ascii="宋体" w:hAnsi="宋体" w:eastAsia="宋体" w:cs="宋体"/>
          <w:color w:val="auto"/>
          <w:sz w:val="21"/>
          <w:szCs w:val="21"/>
          <w:highlight w:val="none"/>
        </w:rPr>
        <w:t xml:space="preserve">（4）背景稳定性：定义为5amu处背景信号的平均值≤ 0.5cps；</w:t>
      </w:r>
      <w:r/>
    </w:p>
    <w:p>
      <w:pPr>
        <w:pStyle w:val="825"/>
        <w:ind w:firstLine="480"/>
        <w:spacing w:line="360" w:lineRule="auto"/>
        <w:rPr>
          <w:rFonts w:ascii="宋体" w:hAnsi="宋体" w:eastAsia="宋体" w:cs="宋体"/>
          <w:color w:val="auto"/>
          <w:sz w:val="21"/>
          <w:szCs w:val="21"/>
          <w:highlight w:val="none"/>
        </w:rPr>
      </w:pPr>
      <w:r>
        <w:rPr>
          <w:rFonts w:hint="eastAsia" w:ascii="宋体" w:hAnsi="宋体" w:cs="宋体"/>
          <w:color w:val="auto"/>
          <w:sz w:val="24"/>
          <w:highlight w:val="none"/>
        </w:rPr>
        <w:t xml:space="preserve">▲</w:t>
      </w:r>
      <w:r>
        <w:rPr>
          <w:rFonts w:hint="eastAsia" w:ascii="宋体" w:hAnsi="宋体" w:eastAsia="宋体" w:cs="宋体"/>
          <w:color w:val="auto"/>
          <w:sz w:val="21"/>
          <w:szCs w:val="21"/>
          <w:highlight w:val="none"/>
        </w:rPr>
        <w:t xml:space="preserve">（5） 短期稳定性：20分钟稳定性RSD均≤2%；</w:t>
      </w:r>
      <w:r/>
    </w:p>
    <w:p>
      <w:pPr>
        <w:pStyle w:val="825"/>
        <w:ind w:firstLine="480"/>
        <w:spacing w:line="360" w:lineRule="auto"/>
        <w:rPr>
          <w:rFonts w:ascii="宋体" w:hAnsi="宋体" w:eastAsia="宋体" w:cs="宋体"/>
          <w:color w:val="auto"/>
          <w:sz w:val="21"/>
          <w:szCs w:val="21"/>
          <w:highlight w:val="none"/>
        </w:rPr>
      </w:pPr>
      <w:r>
        <w:rPr>
          <w:rFonts w:hint="eastAsia" w:ascii="宋体" w:hAnsi="宋体" w:cs="宋体"/>
          <w:color w:val="auto"/>
          <w:sz w:val="24"/>
          <w:highlight w:val="none"/>
        </w:rPr>
        <w:t xml:space="preserve">▲</w:t>
      </w:r>
      <w:r>
        <w:rPr>
          <w:rFonts w:hint="eastAsia" w:ascii="宋体" w:hAnsi="宋体" w:eastAsia="宋体" w:cs="宋体"/>
          <w:color w:val="auto"/>
          <w:sz w:val="21"/>
          <w:szCs w:val="21"/>
          <w:highlight w:val="none"/>
        </w:rPr>
        <w:t xml:space="preserve">（6）长期稳定性：2小时稳定性RSD均≤3%；</w:t>
      </w:r>
      <w:r/>
    </w:p>
    <w:p>
      <w:pPr>
        <w:pStyle w:val="825"/>
        <w:ind w:firstLine="480"/>
        <w:spacing w:line="360" w:lineRule="auto"/>
        <w:rPr>
          <w:rFonts w:ascii="宋体" w:hAnsi="宋体" w:eastAsia="宋体" w:cs="宋体"/>
          <w:color w:val="auto"/>
          <w:sz w:val="21"/>
          <w:szCs w:val="21"/>
          <w:highlight w:val="none"/>
        </w:rPr>
      </w:pPr>
      <w:r>
        <w:rPr>
          <w:rFonts w:hint="eastAsia" w:ascii="宋体" w:hAnsi="宋体" w:cs="宋体"/>
          <w:color w:val="auto"/>
          <w:sz w:val="24"/>
          <w:highlight w:val="none"/>
        </w:rPr>
        <w:t xml:space="preserve">▲</w:t>
      </w:r>
      <w:r>
        <w:rPr>
          <w:rFonts w:hint="eastAsia" w:ascii="宋体" w:hAnsi="宋体" w:eastAsia="宋体" w:cs="宋体"/>
          <w:color w:val="auto"/>
          <w:sz w:val="21"/>
          <w:szCs w:val="21"/>
          <w:highlight w:val="none"/>
        </w:rPr>
        <w:t xml:space="preserve">（7）灵敏度：在同样一个仪器条件下， Li的灵敏度应在20 Mcps/ppm 以上，In的灵敏度应在180 Mcps/ppm 以上， U的灵敏度应在200 Mcps/ppm 以上；</w:t>
      </w:r>
      <w:r/>
    </w:p>
    <w:p>
      <w:pPr>
        <w:pStyle w:val="825"/>
        <w:ind w:firstLine="480"/>
        <w:spacing w:line="360" w:lineRule="auto"/>
        <w:rPr>
          <w:rFonts w:ascii="宋体" w:hAnsi="宋体" w:eastAsia="宋体" w:cs="宋体"/>
          <w:color w:val="auto"/>
          <w:sz w:val="21"/>
          <w:szCs w:val="21"/>
          <w:highlight w:val="none"/>
        </w:rPr>
      </w:pPr>
      <w:r>
        <w:rPr>
          <w:rFonts w:hint="eastAsia" w:ascii="宋体" w:hAnsi="宋体" w:cs="宋体"/>
          <w:color w:val="auto"/>
          <w:sz w:val="24"/>
          <w:highlight w:val="none"/>
        </w:rPr>
        <w:t xml:space="preserve">▲</w:t>
      </w:r>
      <w:r>
        <w:rPr>
          <w:rFonts w:hint="eastAsia" w:ascii="宋体" w:hAnsi="宋体" w:eastAsia="宋体" w:cs="宋体"/>
          <w:color w:val="auto"/>
          <w:sz w:val="21"/>
          <w:szCs w:val="21"/>
          <w:highlight w:val="none"/>
        </w:rPr>
        <w:t xml:space="preserve">（8） 双电荷离子和氧化物离子: Ce++/Ce+≤3％，CeO+/Ce+≤2.5％；</w:t>
      </w:r>
      <w:r/>
    </w:p>
    <w:p>
      <w:pPr>
        <w:pStyle w:val="825"/>
        <w:ind w:firstLine="420"/>
        <w:spacing w:line="360" w:lineRule="auto"/>
        <w:rPr>
          <w:rFonts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★（9） 检出限：Li的检出限≤2ppt, In的检出限≤0.1ppt, U的检出限≤0.1ppt；</w:t>
      </w:r>
      <w:r/>
    </w:p>
    <w:p>
      <w:pPr>
        <w:pStyle w:val="825"/>
        <w:ind w:firstLine="480"/>
        <w:spacing w:line="360" w:lineRule="auto"/>
        <w:rPr>
          <w:rFonts w:ascii="宋体" w:hAnsi="宋体" w:eastAsia="宋体" w:cs="宋体"/>
          <w:color w:val="auto"/>
          <w:sz w:val="21"/>
          <w:szCs w:val="21"/>
          <w:highlight w:val="none"/>
        </w:rPr>
      </w:pPr>
      <w:r>
        <w:rPr>
          <w:rFonts w:hint="eastAsia" w:ascii="宋体" w:hAnsi="宋体" w:cs="宋体"/>
          <w:color w:val="auto"/>
          <w:sz w:val="24"/>
          <w:highlight w:val="none"/>
        </w:rPr>
        <w:t xml:space="preserve">▲</w:t>
      </w:r>
      <w:r>
        <w:rPr>
          <w:rFonts w:hint="eastAsia" w:ascii="宋体" w:hAnsi="宋体" w:eastAsia="宋体" w:cs="宋体"/>
          <w:color w:val="auto"/>
          <w:sz w:val="21"/>
          <w:szCs w:val="21"/>
          <w:highlight w:val="none"/>
        </w:rPr>
        <w:t xml:space="preserve">（10）丰度灵敏度：低质量端: 1×10-6；高质量端: 5×10-7；</w:t>
      </w:r>
      <w:r/>
    </w:p>
    <w:p>
      <w:pPr>
        <w:pStyle w:val="825"/>
        <w:ind w:firstLine="480"/>
        <w:spacing w:line="360" w:lineRule="auto"/>
        <w:rPr>
          <w:rFonts w:ascii="宋体" w:hAnsi="宋体" w:eastAsia="宋体" w:cs="宋体"/>
          <w:color w:val="auto"/>
          <w:sz w:val="21"/>
          <w:szCs w:val="21"/>
          <w:highlight w:val="none"/>
        </w:rPr>
      </w:pPr>
      <w:r>
        <w:rPr>
          <w:rFonts w:hint="eastAsia" w:ascii="宋体" w:hAnsi="宋体" w:cs="宋体"/>
          <w:color w:val="auto"/>
          <w:sz w:val="24"/>
          <w:highlight w:val="none"/>
        </w:rPr>
        <w:t xml:space="preserve">▲</w:t>
      </w:r>
      <w:r>
        <w:rPr>
          <w:rFonts w:hint="eastAsia" w:ascii="宋体" w:hAnsi="宋体" w:eastAsia="宋体" w:cs="宋体"/>
          <w:color w:val="auto"/>
          <w:sz w:val="21"/>
          <w:szCs w:val="21"/>
          <w:highlight w:val="none"/>
        </w:rPr>
        <w:t xml:space="preserve">（11）质量轴稳定性: ≤0.05 amu/24h；</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（12）同位素比精密度: ≤0.2% (107Ag/109Ag)。</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3、ICP-MS辅件技术要求</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3.1车载快速进样系统</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（1）进样重复性：RSD&lt;3%，线性：&gt;0.999；</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（2）采用间隔载流冲洗技术，载流持续清洗进样管路；</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（3）阀件及管路应，耐各种强酸和其他试剂，且低残留、无溶出；</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（4）与主机联用后检测速度≤1min/样品。</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3.2车载专用减震平台</w:t>
      </w:r>
      <w:r/>
    </w:p>
    <w:p>
      <w:pPr>
        <w:pStyle w:val="825"/>
        <w:ind w:firstLine="420"/>
        <w:spacing w:line="360" w:lineRule="auto"/>
        <w:rPr>
          <w:rFonts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★车载ICP-MS主机底部需设置有车载专用减震平台，减震平台需拆卸方便、安装牢固。</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3.3车载前级泵（带专用减震模块）</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（1）抽速:≥40m3/h </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（2）泄漏率:≤1×10-3 mbar L/s </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（3）电压：230V±10%  50 Hz</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（4）噪声值:≤59 dB（A）</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3.4车载分体式循环冷却水机</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（1）散热量：≥3000W。</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（2）控温精度：±0.1℃。</w:t>
      </w:r>
      <w:r/>
    </w:p>
    <w:p>
      <w:pPr>
        <w:pStyle w:val="82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4、车载应用性能要求</w:t>
      </w:r>
      <w:r/>
    </w:p>
    <w:p>
      <w:pPr>
        <w:pStyle w:val="825"/>
        <w:ind w:firstLine="480"/>
        <w:spacing w:line="360" w:lineRule="auto"/>
        <w:rPr>
          <w:rFonts w:ascii="宋体" w:hAnsi="宋体" w:eastAsia="宋体" w:cs="宋体"/>
          <w:b/>
          <w:bCs/>
          <w:color w:val="auto"/>
          <w:sz w:val="21"/>
          <w:szCs w:val="21"/>
          <w:highlight w:val="none"/>
        </w:rPr>
      </w:pPr>
      <w:r>
        <w:rPr>
          <w:rFonts w:hint="eastAsia" w:ascii="宋体" w:hAnsi="宋体" w:cs="宋体"/>
          <w:color w:val="auto"/>
          <w:sz w:val="24"/>
          <w:highlight w:val="none"/>
        </w:rPr>
        <w:t xml:space="preserve">▲</w:t>
      </w:r>
      <w:r>
        <w:rPr>
          <w:rFonts w:hint="eastAsia" w:ascii="宋体" w:hAnsi="宋体" w:eastAsia="宋体" w:cs="宋体"/>
          <w:color w:val="auto"/>
          <w:sz w:val="21"/>
          <w:szCs w:val="21"/>
          <w:highlight w:val="none"/>
        </w:rPr>
        <w:t xml:space="preserve">4.1检出限：</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提供第三方检测机构出具的检测报告</w:t>
      </w:r>
      <w:r>
        <w:rPr>
          <w:rFonts w:hint="eastAsia" w:ascii="宋体" w:hAnsi="宋体" w:eastAsia="宋体" w:cs="宋体"/>
          <w:b/>
          <w:bCs/>
          <w:color w:val="auto"/>
          <w:sz w:val="21"/>
          <w:szCs w:val="21"/>
          <w:highlight w:val="none"/>
        </w:rPr>
        <w:t xml:space="preserve">，原件扫描上传）</w:t>
      </w:r>
      <w:r/>
    </w:p>
    <w:tbl>
      <w:tblPr>
        <w:tblStyle w:val="7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57" w:type="dxa"/>
          <w:right w:w="108" w:type="dxa"/>
          <w:bottom w:w="57" w:type="dxa"/>
        </w:tblCellMar>
        <w:tblLook w:val="04A0" w:firstRow="1" w:lastRow="0" w:firstColumn="1" w:lastColumn="0" w:noHBand="0" w:noVBand="1"/>
      </w:tblPr>
      <w:tblGrid>
        <w:gridCol w:w="929"/>
        <w:gridCol w:w="1892"/>
        <w:gridCol w:w="802"/>
        <w:gridCol w:w="1890"/>
        <w:gridCol w:w="803"/>
        <w:gridCol w:w="1995"/>
      </w:tblGrid>
      <w:tr>
        <w:trPr>
          <w:jc w:val="center"/>
        </w:trPr>
        <w:tc>
          <w:tcPr>
            <w:tcBorders>
              <w:top w:val="single" w:color="auto" w:sz="4" w:space="0"/>
              <w:left w:val="single" w:color="auto" w:sz="4" w:space="0"/>
              <w:bottom w:val="single" w:color="auto" w:sz="4" w:space="0"/>
              <w:right w:val="single" w:color="auto" w:sz="4" w:space="0"/>
            </w:tcBorders>
            <w:tcW w:w="929" w:type="dxa"/>
            <w:vAlign w:val="top"/>
            <w:textDirection w:val="lrTb"/>
            <w:noWrap w:val="false"/>
          </w:tcPr>
          <w:p>
            <w:pPr>
              <w:pStyle w:val="82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w:t>
            </w:r>
            <w:r/>
          </w:p>
        </w:tc>
        <w:tc>
          <w:tcPr>
            <w:tcBorders>
              <w:top w:val="single" w:color="auto" w:sz="4" w:space="0"/>
              <w:left w:val="single" w:color="auto" w:sz="4" w:space="0"/>
              <w:bottom w:val="single" w:color="auto" w:sz="4" w:space="0"/>
              <w:right w:val="single" w:color="auto" w:sz="4" w:space="0"/>
            </w:tcBorders>
            <w:tcW w:w="1892" w:type="dxa"/>
            <w:vAlign w:val="top"/>
            <w:textDirection w:val="lrTb"/>
            <w:noWrap w:val="false"/>
          </w:tcPr>
          <w:p>
            <w:pPr>
              <w:pStyle w:val="82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检出限</w:t>
            </w:r>
            <w:r/>
          </w:p>
        </w:tc>
        <w:tc>
          <w:tcPr>
            <w:tcBorders>
              <w:top w:val="single" w:color="auto" w:sz="4" w:space="0"/>
              <w:left w:val="single" w:color="auto" w:sz="4" w:space="0"/>
              <w:bottom w:val="single" w:color="auto" w:sz="4" w:space="0"/>
              <w:right w:val="single" w:color="auto" w:sz="4" w:space="0"/>
            </w:tcBorders>
            <w:tcW w:w="802" w:type="dxa"/>
            <w:vAlign w:val="top"/>
            <w:textDirection w:val="lrTb"/>
            <w:noWrap w:val="false"/>
          </w:tcPr>
          <w:p>
            <w:pPr>
              <w:pStyle w:val="82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w:t>
            </w:r>
            <w:r/>
          </w:p>
        </w:tc>
        <w:tc>
          <w:tcPr>
            <w:tcBorders>
              <w:top w:val="single" w:color="auto" w:sz="4" w:space="0"/>
              <w:left w:val="single" w:color="auto" w:sz="4" w:space="0"/>
              <w:bottom w:val="single" w:color="auto" w:sz="4" w:space="0"/>
              <w:right w:val="single" w:color="auto" w:sz="4" w:space="0"/>
            </w:tcBorders>
            <w:tcW w:w="1890" w:type="dxa"/>
            <w:vAlign w:val="top"/>
            <w:textDirection w:val="lrTb"/>
            <w:noWrap w:val="false"/>
          </w:tcPr>
          <w:p>
            <w:pPr>
              <w:pStyle w:val="82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检出限</w:t>
            </w:r>
            <w:r/>
          </w:p>
        </w:tc>
        <w:tc>
          <w:tcPr>
            <w:tcBorders>
              <w:top w:val="single" w:color="auto" w:sz="4" w:space="0"/>
              <w:left w:val="single" w:color="auto" w:sz="4" w:space="0"/>
              <w:bottom w:val="single" w:color="auto" w:sz="4" w:space="0"/>
              <w:right w:val="single" w:color="auto" w:sz="4" w:space="0"/>
            </w:tcBorders>
            <w:tcW w:w="803" w:type="dxa"/>
            <w:vAlign w:val="top"/>
            <w:textDirection w:val="lrTb"/>
            <w:noWrap w:val="false"/>
          </w:tcPr>
          <w:p>
            <w:pPr>
              <w:pStyle w:val="82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w:t>
            </w:r>
            <w:r/>
          </w:p>
        </w:tc>
        <w:tc>
          <w:tcPr>
            <w:tcBorders>
              <w:top w:val="single" w:color="auto" w:sz="4" w:space="0"/>
              <w:left w:val="single" w:color="auto" w:sz="4" w:space="0"/>
              <w:bottom w:val="single" w:color="auto" w:sz="4" w:space="0"/>
              <w:right w:val="single" w:color="auto" w:sz="4" w:space="0"/>
            </w:tcBorders>
            <w:tcW w:w="1995" w:type="dxa"/>
            <w:vAlign w:val="top"/>
            <w:textDirection w:val="lrTb"/>
            <w:noWrap w:val="false"/>
          </w:tcPr>
          <w:p>
            <w:pPr>
              <w:pStyle w:val="82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检出限</w:t>
            </w:r>
            <w:r/>
          </w:p>
        </w:tc>
      </w:tr>
      <w:tr>
        <w:trPr>
          <w:jc w:val="center"/>
        </w:trPr>
        <w:tc>
          <w:tcPr>
            <w:tcBorders>
              <w:top w:val="single" w:color="auto" w:sz="4" w:space="0"/>
              <w:left w:val="single" w:color="auto" w:sz="4" w:space="0"/>
              <w:bottom w:val="single" w:color="auto" w:sz="4" w:space="0"/>
              <w:right w:val="single" w:color="auto" w:sz="4" w:space="0"/>
            </w:tcBorders>
            <w:tcW w:w="929"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Cu</w:t>
            </w:r>
            <w:r/>
          </w:p>
        </w:tc>
        <w:tc>
          <w:tcPr>
            <w:tcBorders>
              <w:top w:val="single" w:color="auto" w:sz="4" w:space="0"/>
              <w:left w:val="single" w:color="auto" w:sz="4" w:space="0"/>
              <w:bottom w:val="single" w:color="auto" w:sz="4" w:space="0"/>
              <w:right w:val="single" w:color="auto" w:sz="4" w:space="0"/>
            </w:tcBorders>
            <w:tcW w:w="1892"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0.08μg/L</w:t>
            </w:r>
            <w:r/>
          </w:p>
        </w:tc>
        <w:tc>
          <w:tcPr>
            <w:tcBorders>
              <w:top w:val="single" w:color="auto" w:sz="4" w:space="0"/>
              <w:left w:val="single" w:color="auto" w:sz="4" w:space="0"/>
              <w:bottom w:val="single" w:color="auto" w:sz="4" w:space="0"/>
              <w:right w:val="single" w:color="auto" w:sz="4" w:space="0"/>
            </w:tcBorders>
            <w:tcW w:w="802"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Zn</w:t>
            </w:r>
            <w:r/>
          </w:p>
        </w:tc>
        <w:tc>
          <w:tcPr>
            <w:tcBorders>
              <w:top w:val="single" w:color="auto" w:sz="4" w:space="0"/>
              <w:left w:val="single" w:color="auto" w:sz="4" w:space="0"/>
              <w:bottom w:val="single" w:color="auto" w:sz="4" w:space="0"/>
              <w:right w:val="single" w:color="auto" w:sz="4" w:space="0"/>
            </w:tcBorders>
            <w:tcW w:w="1890"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0.67μg/L</w:t>
            </w:r>
            <w:r/>
          </w:p>
        </w:tc>
        <w:tc>
          <w:tcPr>
            <w:tcBorders>
              <w:top w:val="single" w:color="auto" w:sz="4" w:space="0"/>
              <w:left w:val="single" w:color="auto" w:sz="4" w:space="0"/>
              <w:bottom w:val="single" w:color="auto" w:sz="4" w:space="0"/>
              <w:right w:val="single" w:color="auto" w:sz="4" w:space="0"/>
            </w:tcBorders>
            <w:tcW w:w="803"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Se</w:t>
            </w:r>
            <w:r/>
          </w:p>
        </w:tc>
        <w:tc>
          <w:tcPr>
            <w:tcBorders>
              <w:top w:val="single" w:color="auto" w:sz="4" w:space="0"/>
              <w:left w:val="single" w:color="auto" w:sz="4" w:space="0"/>
              <w:bottom w:val="single" w:color="auto" w:sz="4" w:space="0"/>
              <w:right w:val="single" w:color="auto" w:sz="4" w:space="0"/>
            </w:tcBorders>
            <w:tcW w:w="1995"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0.41μg/L</w:t>
            </w:r>
            <w:r/>
          </w:p>
        </w:tc>
      </w:tr>
      <w:tr>
        <w:trPr>
          <w:jc w:val="center"/>
        </w:trPr>
        <w:tc>
          <w:tcPr>
            <w:tcBorders>
              <w:top w:val="single" w:color="auto" w:sz="4" w:space="0"/>
              <w:left w:val="single" w:color="auto" w:sz="4" w:space="0"/>
              <w:bottom w:val="single" w:color="auto" w:sz="4" w:space="0"/>
              <w:right w:val="single" w:color="auto" w:sz="4" w:space="0"/>
            </w:tcBorders>
            <w:tcW w:w="929"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As</w:t>
            </w:r>
            <w:r/>
          </w:p>
        </w:tc>
        <w:tc>
          <w:tcPr>
            <w:tcBorders>
              <w:top w:val="single" w:color="auto" w:sz="4" w:space="0"/>
              <w:left w:val="single" w:color="auto" w:sz="4" w:space="0"/>
              <w:bottom w:val="single" w:color="auto" w:sz="4" w:space="0"/>
              <w:right w:val="single" w:color="auto" w:sz="4" w:space="0"/>
            </w:tcBorders>
            <w:tcW w:w="1892"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0.12μg/L</w:t>
            </w:r>
            <w:r/>
          </w:p>
        </w:tc>
        <w:tc>
          <w:tcPr>
            <w:tcBorders>
              <w:top w:val="single" w:color="auto" w:sz="4" w:space="0"/>
              <w:left w:val="single" w:color="auto" w:sz="4" w:space="0"/>
              <w:bottom w:val="single" w:color="auto" w:sz="4" w:space="0"/>
              <w:right w:val="single" w:color="auto" w:sz="4" w:space="0"/>
            </w:tcBorders>
            <w:tcW w:w="802"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Hg</w:t>
            </w:r>
            <w:r/>
          </w:p>
        </w:tc>
        <w:tc>
          <w:tcPr>
            <w:tcBorders>
              <w:top w:val="single" w:color="auto" w:sz="4" w:space="0"/>
              <w:left w:val="single" w:color="auto" w:sz="4" w:space="0"/>
              <w:bottom w:val="single" w:color="auto" w:sz="4" w:space="0"/>
              <w:right w:val="single" w:color="auto" w:sz="4" w:space="0"/>
            </w:tcBorders>
            <w:tcW w:w="1890"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0.05μg/L</w:t>
            </w:r>
            <w:r/>
          </w:p>
        </w:tc>
        <w:tc>
          <w:tcPr>
            <w:tcBorders>
              <w:top w:val="single" w:color="auto" w:sz="4" w:space="0"/>
              <w:left w:val="single" w:color="auto" w:sz="4" w:space="0"/>
              <w:bottom w:val="single" w:color="auto" w:sz="4" w:space="0"/>
              <w:right w:val="single" w:color="auto" w:sz="4" w:space="0"/>
            </w:tcBorders>
            <w:tcW w:w="803"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Cd</w:t>
            </w:r>
            <w:r/>
          </w:p>
        </w:tc>
        <w:tc>
          <w:tcPr>
            <w:tcBorders>
              <w:top w:val="single" w:color="auto" w:sz="4" w:space="0"/>
              <w:left w:val="single" w:color="auto" w:sz="4" w:space="0"/>
              <w:bottom w:val="single" w:color="auto" w:sz="4" w:space="0"/>
              <w:right w:val="single" w:color="auto" w:sz="4" w:space="0"/>
            </w:tcBorders>
            <w:tcW w:w="1995"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0.05μg/L</w:t>
            </w:r>
            <w:r/>
          </w:p>
        </w:tc>
      </w:tr>
      <w:tr>
        <w:trPr>
          <w:jc w:val="center"/>
        </w:trPr>
        <w:tc>
          <w:tcPr>
            <w:tcBorders>
              <w:top w:val="single" w:color="auto" w:sz="4" w:space="0"/>
              <w:left w:val="single" w:color="auto" w:sz="4" w:space="0"/>
              <w:bottom w:val="single" w:color="auto" w:sz="4" w:space="0"/>
              <w:right w:val="single" w:color="auto" w:sz="4" w:space="0"/>
            </w:tcBorders>
            <w:tcW w:w="929"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Cr</w:t>
            </w:r>
            <w:r/>
          </w:p>
        </w:tc>
        <w:tc>
          <w:tcPr>
            <w:tcBorders>
              <w:top w:val="single" w:color="auto" w:sz="4" w:space="0"/>
              <w:left w:val="single" w:color="auto" w:sz="4" w:space="0"/>
              <w:bottom w:val="single" w:color="auto" w:sz="4" w:space="0"/>
              <w:right w:val="single" w:color="auto" w:sz="4" w:space="0"/>
            </w:tcBorders>
            <w:tcW w:w="1892"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0.11μg/L</w:t>
            </w:r>
            <w:r/>
          </w:p>
        </w:tc>
        <w:tc>
          <w:tcPr>
            <w:tcBorders>
              <w:top w:val="single" w:color="auto" w:sz="4" w:space="0"/>
              <w:left w:val="single" w:color="auto" w:sz="4" w:space="0"/>
              <w:bottom w:val="single" w:color="auto" w:sz="4" w:space="0"/>
              <w:right w:val="single" w:color="auto" w:sz="4" w:space="0"/>
            </w:tcBorders>
            <w:tcW w:w="802"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Pb</w:t>
            </w:r>
            <w:r/>
          </w:p>
        </w:tc>
        <w:tc>
          <w:tcPr>
            <w:tcBorders>
              <w:top w:val="single" w:color="auto" w:sz="4" w:space="0"/>
              <w:left w:val="single" w:color="auto" w:sz="4" w:space="0"/>
              <w:bottom w:val="single" w:color="auto" w:sz="4" w:space="0"/>
              <w:right w:val="single" w:color="auto" w:sz="4" w:space="0"/>
            </w:tcBorders>
            <w:tcW w:w="1890"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0.09μg/L</w:t>
            </w:r>
            <w:r/>
          </w:p>
        </w:tc>
        <w:tc>
          <w:tcPr>
            <w:tcBorders>
              <w:top w:val="single" w:color="auto" w:sz="4" w:space="0"/>
              <w:left w:val="single" w:color="auto" w:sz="4" w:space="0"/>
              <w:bottom w:val="single" w:color="auto" w:sz="4" w:space="0"/>
              <w:right w:val="single" w:color="auto" w:sz="4" w:space="0"/>
            </w:tcBorders>
            <w:tcW w:w="803"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Fe</w:t>
            </w:r>
            <w:r/>
          </w:p>
        </w:tc>
        <w:tc>
          <w:tcPr>
            <w:tcBorders>
              <w:top w:val="single" w:color="auto" w:sz="4" w:space="0"/>
              <w:left w:val="single" w:color="auto" w:sz="4" w:space="0"/>
              <w:bottom w:val="single" w:color="auto" w:sz="4" w:space="0"/>
              <w:right w:val="single" w:color="auto" w:sz="4" w:space="0"/>
            </w:tcBorders>
            <w:tcW w:w="1995"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0.82μg/L</w:t>
            </w:r>
            <w:r/>
          </w:p>
        </w:tc>
      </w:tr>
      <w:tr>
        <w:trPr>
          <w:jc w:val="center"/>
          <w:trHeight w:val="147"/>
        </w:trPr>
        <w:tc>
          <w:tcPr>
            <w:tcBorders>
              <w:top w:val="single" w:color="auto" w:sz="4" w:space="0"/>
              <w:left w:val="single" w:color="auto" w:sz="4" w:space="0"/>
              <w:bottom w:val="single" w:color="auto" w:sz="4" w:space="0"/>
              <w:right w:val="single" w:color="auto" w:sz="4" w:space="0"/>
            </w:tcBorders>
            <w:tcW w:w="929"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Mn</w:t>
            </w:r>
            <w:r/>
          </w:p>
        </w:tc>
        <w:tc>
          <w:tcPr>
            <w:tcBorders>
              <w:top w:val="single" w:color="auto" w:sz="4" w:space="0"/>
              <w:left w:val="single" w:color="auto" w:sz="4" w:space="0"/>
              <w:bottom w:val="single" w:color="auto" w:sz="4" w:space="0"/>
              <w:right w:val="single" w:color="auto" w:sz="4" w:space="0"/>
            </w:tcBorders>
            <w:tcW w:w="1892"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0.12μg/L</w:t>
            </w:r>
            <w:r/>
          </w:p>
        </w:tc>
        <w:tc>
          <w:tcPr>
            <w:tcBorders>
              <w:top w:val="single" w:color="auto" w:sz="4" w:space="0"/>
              <w:left w:val="single" w:color="auto" w:sz="4" w:space="0"/>
              <w:bottom w:val="single" w:color="auto" w:sz="4" w:space="0"/>
              <w:right w:val="single" w:color="auto" w:sz="4" w:space="0"/>
            </w:tcBorders>
            <w:tcW w:w="802"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Mo</w:t>
            </w:r>
            <w:r/>
          </w:p>
        </w:tc>
        <w:tc>
          <w:tcPr>
            <w:tcBorders>
              <w:top w:val="single" w:color="auto" w:sz="4" w:space="0"/>
              <w:left w:val="single" w:color="auto" w:sz="4" w:space="0"/>
              <w:bottom w:val="single" w:color="auto" w:sz="4" w:space="0"/>
              <w:right w:val="single" w:color="auto" w:sz="4" w:space="0"/>
            </w:tcBorders>
            <w:tcW w:w="1890"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0.06μg/L</w:t>
            </w:r>
            <w:r/>
          </w:p>
        </w:tc>
        <w:tc>
          <w:tcPr>
            <w:tcBorders>
              <w:top w:val="single" w:color="auto" w:sz="4" w:space="0"/>
              <w:left w:val="single" w:color="auto" w:sz="4" w:space="0"/>
              <w:bottom w:val="single" w:color="auto" w:sz="4" w:space="0"/>
              <w:right w:val="single" w:color="auto" w:sz="4" w:space="0"/>
            </w:tcBorders>
            <w:tcW w:w="803"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Co</w:t>
            </w:r>
            <w:r/>
          </w:p>
        </w:tc>
        <w:tc>
          <w:tcPr>
            <w:tcBorders>
              <w:top w:val="single" w:color="auto" w:sz="4" w:space="0"/>
              <w:left w:val="single" w:color="auto" w:sz="4" w:space="0"/>
              <w:bottom w:val="single" w:color="auto" w:sz="4" w:space="0"/>
              <w:right w:val="single" w:color="auto" w:sz="4" w:space="0"/>
            </w:tcBorders>
            <w:tcW w:w="1995"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0.03μg/L</w:t>
            </w:r>
            <w:r/>
          </w:p>
        </w:tc>
      </w:tr>
      <w:tr>
        <w:trPr>
          <w:jc w:val="center"/>
        </w:trPr>
        <w:tc>
          <w:tcPr>
            <w:tcBorders>
              <w:top w:val="single" w:color="auto" w:sz="4" w:space="0"/>
              <w:left w:val="single" w:color="auto" w:sz="4" w:space="0"/>
              <w:bottom w:val="single" w:color="auto" w:sz="4" w:space="0"/>
              <w:right w:val="single" w:color="auto" w:sz="4" w:space="0"/>
            </w:tcBorders>
            <w:tcW w:w="929"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Be</w:t>
            </w:r>
            <w:r/>
          </w:p>
        </w:tc>
        <w:tc>
          <w:tcPr>
            <w:tcBorders>
              <w:top w:val="single" w:color="auto" w:sz="4" w:space="0"/>
              <w:left w:val="single" w:color="auto" w:sz="4" w:space="0"/>
              <w:bottom w:val="single" w:color="auto" w:sz="4" w:space="0"/>
              <w:right w:val="single" w:color="auto" w:sz="4" w:space="0"/>
            </w:tcBorders>
            <w:tcW w:w="1892"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0.04μg/L</w:t>
            </w:r>
            <w:r/>
          </w:p>
        </w:tc>
        <w:tc>
          <w:tcPr>
            <w:tcBorders>
              <w:top w:val="single" w:color="auto" w:sz="4" w:space="0"/>
              <w:left w:val="single" w:color="auto" w:sz="4" w:space="0"/>
              <w:bottom w:val="single" w:color="auto" w:sz="4" w:space="0"/>
              <w:right w:val="single" w:color="auto" w:sz="4" w:space="0"/>
            </w:tcBorders>
            <w:tcW w:w="802"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w:t>
            </w:r>
            <w:r/>
          </w:p>
        </w:tc>
        <w:tc>
          <w:tcPr>
            <w:tcBorders>
              <w:top w:val="single" w:color="auto" w:sz="4" w:space="0"/>
              <w:left w:val="single" w:color="auto" w:sz="4" w:space="0"/>
              <w:bottom w:val="single" w:color="auto" w:sz="4" w:space="0"/>
              <w:right w:val="single" w:color="auto" w:sz="4" w:space="0"/>
            </w:tcBorders>
            <w:tcW w:w="1890"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1.25μg/L</w:t>
            </w:r>
            <w:r/>
          </w:p>
        </w:tc>
        <w:tc>
          <w:tcPr>
            <w:tcBorders>
              <w:top w:val="single" w:color="auto" w:sz="4" w:space="0"/>
              <w:left w:val="single" w:color="auto" w:sz="4" w:space="0"/>
              <w:bottom w:val="single" w:color="auto" w:sz="4" w:space="0"/>
              <w:right w:val="single" w:color="auto" w:sz="4" w:space="0"/>
            </w:tcBorders>
            <w:tcW w:w="803"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Sb</w:t>
            </w:r>
            <w:r/>
          </w:p>
        </w:tc>
        <w:tc>
          <w:tcPr>
            <w:tcBorders>
              <w:top w:val="single" w:color="auto" w:sz="4" w:space="0"/>
              <w:left w:val="single" w:color="auto" w:sz="4" w:space="0"/>
              <w:bottom w:val="single" w:color="auto" w:sz="4" w:space="0"/>
              <w:right w:val="single" w:color="auto" w:sz="4" w:space="0"/>
            </w:tcBorders>
            <w:tcW w:w="1995"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≤0.15μg/L</w:t>
            </w:r>
            <w:r/>
          </w:p>
        </w:tc>
      </w:tr>
      <w:tr>
        <w:trPr>
          <w:jc w:val="center"/>
        </w:trPr>
        <w:tc>
          <w:tcPr>
            <w:tcBorders>
              <w:top w:val="single" w:color="auto" w:sz="4" w:space="0"/>
              <w:left w:val="single" w:color="auto" w:sz="4" w:space="0"/>
              <w:bottom w:val="single" w:color="auto" w:sz="4" w:space="0"/>
              <w:right w:val="single" w:color="auto" w:sz="4" w:space="0"/>
            </w:tcBorders>
            <w:tcW w:w="929"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Ni</w:t>
            </w:r>
            <w:r/>
          </w:p>
        </w:tc>
        <w:tc>
          <w:tcPr>
            <w:tcBorders>
              <w:top w:val="single" w:color="auto" w:sz="4" w:space="0"/>
              <w:left w:val="single" w:color="auto" w:sz="4" w:space="0"/>
              <w:bottom w:val="single" w:color="auto" w:sz="4" w:space="0"/>
              <w:right w:val="single" w:color="auto" w:sz="4" w:space="0"/>
            </w:tcBorders>
            <w:tcW w:w="1892"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0.06μg/L</w:t>
            </w:r>
            <w:r/>
          </w:p>
        </w:tc>
        <w:tc>
          <w:tcPr>
            <w:tcBorders>
              <w:top w:val="single" w:color="auto" w:sz="4" w:space="0"/>
              <w:left w:val="single" w:color="auto" w:sz="4" w:space="0"/>
              <w:bottom w:val="single" w:color="auto" w:sz="4" w:space="0"/>
              <w:right w:val="single" w:color="auto" w:sz="4" w:space="0"/>
            </w:tcBorders>
            <w:tcW w:w="802"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Ba</w:t>
            </w:r>
            <w:r/>
          </w:p>
        </w:tc>
        <w:tc>
          <w:tcPr>
            <w:tcBorders>
              <w:top w:val="single" w:color="auto" w:sz="4" w:space="0"/>
              <w:left w:val="single" w:color="auto" w:sz="4" w:space="0"/>
              <w:bottom w:val="single" w:color="auto" w:sz="4" w:space="0"/>
              <w:right w:val="single" w:color="auto" w:sz="4" w:space="0"/>
            </w:tcBorders>
            <w:tcW w:w="1890"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0.20μg/L</w:t>
            </w:r>
            <w:r/>
          </w:p>
        </w:tc>
        <w:tc>
          <w:tcPr>
            <w:tcBorders>
              <w:top w:val="single" w:color="auto" w:sz="4" w:space="0"/>
              <w:left w:val="single" w:color="auto" w:sz="4" w:space="0"/>
              <w:bottom w:val="single" w:color="auto" w:sz="4" w:space="0"/>
              <w:right w:val="single" w:color="auto" w:sz="4" w:space="0"/>
            </w:tcBorders>
            <w:tcW w:w="803"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V</w:t>
            </w:r>
            <w:r/>
          </w:p>
        </w:tc>
        <w:tc>
          <w:tcPr>
            <w:tcBorders>
              <w:top w:val="single" w:color="auto" w:sz="4" w:space="0"/>
              <w:left w:val="single" w:color="auto" w:sz="4" w:space="0"/>
              <w:bottom w:val="single" w:color="auto" w:sz="4" w:space="0"/>
              <w:right w:val="single" w:color="auto" w:sz="4" w:space="0"/>
            </w:tcBorders>
            <w:tcW w:w="1995"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0.08μg/L</w:t>
            </w:r>
            <w:r/>
          </w:p>
        </w:tc>
      </w:tr>
      <w:tr>
        <w:trPr>
          <w:jc w:val="center"/>
        </w:trPr>
        <w:tc>
          <w:tcPr>
            <w:tcBorders>
              <w:top w:val="single" w:color="auto" w:sz="4" w:space="0"/>
              <w:left w:val="single" w:color="auto" w:sz="4" w:space="0"/>
              <w:bottom w:val="single" w:color="auto" w:sz="4" w:space="0"/>
              <w:right w:val="single" w:color="auto" w:sz="4" w:space="0"/>
            </w:tcBorders>
            <w:tcW w:w="929"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Ti</w:t>
            </w:r>
            <w:r/>
          </w:p>
        </w:tc>
        <w:tc>
          <w:tcPr>
            <w:tcBorders>
              <w:top w:val="single" w:color="auto" w:sz="4" w:space="0"/>
              <w:left w:val="single" w:color="auto" w:sz="4" w:space="0"/>
              <w:bottom w:val="single" w:color="auto" w:sz="4" w:space="0"/>
              <w:right w:val="single" w:color="auto" w:sz="4" w:space="0"/>
            </w:tcBorders>
            <w:tcW w:w="1892"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≤0.46μg/L</w:t>
            </w:r>
            <w:r/>
          </w:p>
        </w:tc>
        <w:tc>
          <w:tcPr>
            <w:tcBorders>
              <w:top w:val="single" w:color="auto" w:sz="4" w:space="0"/>
              <w:left w:val="single" w:color="auto" w:sz="4" w:space="0"/>
              <w:bottom w:val="single" w:color="auto" w:sz="4" w:space="0"/>
              <w:right w:val="single" w:color="auto" w:sz="4" w:space="0"/>
            </w:tcBorders>
            <w:tcW w:w="802"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Tl</w:t>
            </w:r>
            <w:r/>
          </w:p>
        </w:tc>
        <w:tc>
          <w:tcPr>
            <w:tcBorders>
              <w:top w:val="single" w:color="auto" w:sz="4" w:space="0"/>
              <w:left w:val="single" w:color="auto" w:sz="4" w:space="0"/>
              <w:bottom w:val="single" w:color="auto" w:sz="4" w:space="0"/>
              <w:right w:val="single" w:color="auto" w:sz="4" w:space="0"/>
            </w:tcBorders>
            <w:tcW w:w="1890"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0.02μg/L</w:t>
            </w:r>
            <w:r/>
          </w:p>
        </w:tc>
        <w:tc>
          <w:tcPr>
            <w:tcBorders>
              <w:top w:val="single" w:color="auto" w:sz="4" w:space="0"/>
              <w:left w:val="single" w:color="auto" w:sz="4" w:space="0"/>
              <w:bottom w:val="single" w:color="auto" w:sz="4" w:space="0"/>
              <w:right w:val="single" w:color="auto" w:sz="4" w:space="0"/>
            </w:tcBorders>
            <w:tcW w:w="803"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95" w:type="dxa"/>
            <w:vAlign w:val="top"/>
            <w:textDirection w:val="lrTb"/>
            <w:noWrap w:val="false"/>
          </w:tcPr>
          <w:p>
            <w:pPr>
              <w:pStyle w:val="825"/>
              <w:jc w:val="lef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pStyle w:val="825"/>
        <w:ind w:firstLine="420"/>
        <w:spacing w:line="360" w:lineRule="auto"/>
        <w:rPr>
          <w:rFonts w:ascii="宋体" w:hAnsi="宋体" w:eastAsia="宋体" w:cs="宋体"/>
          <w:strike/>
          <w:color w:val="auto"/>
          <w:sz w:val="21"/>
          <w:szCs w:val="21"/>
          <w:highlight w:val="none"/>
        </w:rPr>
      </w:pPr>
      <w:r>
        <w:rPr>
          <w:rFonts w:hint="eastAsia" w:ascii="宋体" w:hAnsi="宋体" w:eastAsia="宋体" w:cs="宋体"/>
          <w:color w:val="auto"/>
          <w:sz w:val="21"/>
          <w:szCs w:val="21"/>
          <w:highlight w:val="none"/>
        </w:rPr>
        <w:t xml:space="preserve">4.2示值误差：≤±10%；</w:t>
      </w:r>
      <w:r/>
    </w:p>
    <w:p>
      <w:pPr>
        <w:pStyle w:val="825"/>
        <w:ind w:firstLine="420"/>
        <w:spacing w:line="360" w:lineRule="auto"/>
        <w:rPr>
          <w:rFonts w:hint="eastAsia" w:ascii="宋体" w:hAnsi="宋体" w:eastAsia="宋体" w:cs="宋体"/>
          <w:b/>
          <w:bCs/>
          <w:strike/>
          <w:color w:val="auto"/>
          <w:sz w:val="21"/>
          <w:szCs w:val="21"/>
          <w:highlight w:val="none"/>
        </w:rPr>
      </w:pPr>
      <w:r>
        <w:rPr>
          <w:rFonts w:hint="eastAsia" w:ascii="宋体" w:hAnsi="宋体" w:eastAsia="宋体" w:cs="宋体"/>
          <w:color w:val="auto"/>
          <w:sz w:val="21"/>
          <w:szCs w:val="21"/>
          <w:highlight w:val="none"/>
        </w:rPr>
        <w:t xml:space="preserve">4.3精密度：RSD ≤5%；</w:t>
      </w:r>
      <w:r/>
    </w:p>
    <w:p>
      <w:pPr>
        <w:ind w:firstLine="422"/>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（四）便携式GC-MS</w:t>
      </w:r>
      <w:r>
        <w:rPr>
          <w:rFonts w:hint="eastAsia"/>
          <w:b/>
          <w:bCs/>
          <w:color w:val="auto"/>
          <w:highlight w:val="none"/>
        </w:rPr>
        <w:t xml:space="preserve">（含便携式顶空进样器+吹扫捕集装置、固相微萃取装置、动态稀释仪）</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1、设备用途</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主要用于应急监测中现场快速测定空气/水中挥发性有机物。主要功能需求包括仪器便携，单人可操作；稳定抗震，可实现边走边测；现场可直接富集解析，可在5至20分钟内得到定性和半定量结果；需配置气体采样探头监测空气挥发性有机物，配置顶空进样器监测水中挥发性有机物；应具备数据采集与分析、样品定性和定量测定、报告制作、实时显示、谱库建立和检索等功能。</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2、技术参数要求</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所投产品需提供相关认证资料，如环境适应性认证、防震性测试认证证明材料等。</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2.1性能参数要求</w:t>
      </w:r>
      <w:r/>
    </w:p>
    <w:p>
      <w:pPr>
        <w:ind w:firstLine="48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2.1.1空气样品测定：硬件上应具有热脱附功能，针对空气中的VOCs进行富集浓缩解析进入GCMS，软件上内置TO15的65组分的定量标准曲线，可进行精确的定性定量分析，且符合HJ1223-2021《环境空气 挥发性有机物应急测定 便携式气相色谱-质谱法》等国标方法的要求。</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水质样品测定：硬件上须具备做水样必需的动静态顶空进样器及相关的备品备件，软件上内置EPA8260中水中54项VOCs的定量标准曲线，可进行精确的定性定量分析，且符合HJ1227-2021《水质 挥发性有机物的测定 便携式顶空气相色谱-质谱法》的要求。</w:t>
      </w:r>
      <w:r/>
    </w:p>
    <w:p>
      <w:pPr>
        <w:ind w:firstLine="480"/>
        <w:jc w:val="left"/>
        <w:keepLines w:val="0"/>
        <w:keepNext w:val="0"/>
        <w:pageBreakBefore w:val="0"/>
        <w:spacing w:line="360" w:lineRule="auto"/>
        <w:widowControl/>
        <w:rPr>
          <w:rFonts w:hint="eastAsia" w:ascii="宋体" w:hAnsi="宋体" w:eastAsia="宋体" w:cs="宋体"/>
          <w:b/>
          <w:bCs/>
          <w:i/>
          <w:iCs/>
          <w:color w:val="auto"/>
          <w:sz w:val="21"/>
          <w:szCs w:val="21"/>
          <w:highlight w:val="none"/>
          <w:u w:val="single"/>
          <w:lang w:val="en-US" w:eastAsia="zh-CN"/>
        </w:rPr>
      </w:pPr>
      <w:r>
        <w:rPr>
          <w:rFonts w:hint="eastAsia" w:ascii="宋体" w:hAnsi="宋体" w:cs="宋体"/>
          <w:i/>
          <w:iCs/>
          <w:color w:val="auto"/>
          <w:sz w:val="24"/>
          <w:highlight w:val="none"/>
          <w:u w:val="single"/>
          <w:lang w:val="en-US" w:eastAsia="zh-CN"/>
        </w:rPr>
        <w:t xml:space="preserve">★</w:t>
      </w:r>
      <w:r>
        <w:rPr>
          <w:rFonts w:hint="eastAsia" w:ascii="宋体" w:hAnsi="宋体" w:eastAsia="宋体" w:cs="宋体"/>
          <w:b w:val="0"/>
          <w:bCs w:val="0"/>
          <w:i/>
          <w:iCs/>
          <w:color w:val="auto"/>
          <w:sz w:val="21"/>
          <w:szCs w:val="21"/>
          <w:highlight w:val="none"/>
          <w:u w:val="single"/>
          <w:lang w:val="en-US" w:eastAsia="zh-CN"/>
        </w:rPr>
        <w:t xml:space="preserve">2.1.2具备单质谱直接进样模式和气相色谱质谱联用分析模式：单质谱直接进样模式为样品可不通过气相色谱直接进入质谱分析，可快速判断现场污染状况；直接进样质谱模式分析时间≤5s。气相色谱质谱联用分析模式为样品进入内置复合吸附剂的捕集阱吸附浓缩再热解析进入气相色谱质谱分析，气质联用模式分析时间≤15min。</w:t>
      </w:r>
      <w:r>
        <w:rPr>
          <w:rFonts w:hint="eastAsia" w:ascii="宋体" w:hAnsi="宋体" w:eastAsia="宋体" w:cs="宋体"/>
          <w:b/>
          <w:bCs/>
          <w:i/>
          <w:iCs/>
          <w:color w:val="auto"/>
          <w:sz w:val="21"/>
          <w:szCs w:val="21"/>
          <w:highlight w:val="none"/>
          <w:u w:val="single"/>
          <w:lang w:val="en-US" w:eastAsia="zh-CN"/>
        </w:rPr>
        <w:t xml:space="preserve">（提供产品介绍或仪器说明书等证明材料，扫描上传）</w:t>
      </w:r>
      <w:r/>
    </w:p>
    <w:p>
      <w:pPr>
        <w:ind w:firstLine="480"/>
        <w:jc w:val="left"/>
        <w:keepLines w:val="0"/>
        <w:keepNext w:val="0"/>
        <w:pageBreakBefore w:val="0"/>
        <w:spacing w:line="360" w:lineRule="auto"/>
        <w:widowControl/>
        <w:rPr>
          <w:rFonts w:hint="eastAsia" w:ascii="宋体" w:hAnsi="宋体" w:eastAsia="宋体" w:cs="宋体"/>
          <w:b/>
          <w:bCs/>
          <w:i/>
          <w:iCs/>
          <w:color w:val="auto"/>
          <w:sz w:val="24"/>
          <w:highlight w:val="none"/>
          <w:u w:val="single"/>
          <w:lang w:val="en-US" w:eastAsia="zh-CN"/>
        </w:rPr>
      </w:pPr>
      <w:r>
        <w:rPr>
          <w:rFonts w:hint="eastAsia" w:ascii="宋体" w:hAnsi="宋体" w:eastAsia="宋体" w:cs="宋体"/>
          <w:i/>
          <w:iCs/>
          <w:color w:val="auto"/>
          <w:sz w:val="24"/>
          <w:highlight w:val="none"/>
          <w:u w:val="single"/>
          <w:lang w:val="en-US" w:eastAsia="zh-CN"/>
        </w:rPr>
        <w:t xml:space="preserve">★</w:t>
      </w:r>
      <w:r>
        <w:rPr>
          <w:rFonts w:hint="eastAsia" w:ascii="宋体" w:hAnsi="宋体" w:eastAsia="宋体" w:cs="宋体"/>
          <w:b w:val="0"/>
          <w:bCs w:val="0"/>
          <w:i/>
          <w:iCs/>
          <w:color w:val="auto"/>
          <w:sz w:val="21"/>
          <w:szCs w:val="21"/>
          <w:highlight w:val="none"/>
          <w:u w:val="single"/>
          <w:lang w:val="en-US" w:eastAsia="zh-CN"/>
        </w:rPr>
        <w:t xml:space="preserve">2.1.3真空系统：采用非机械泵，真空系统适应震动、高尘、高湿等各种恶劣环境，关机状态下保持高真空状态（真空满足质谱工作状态），针对应急响应无需等待抽真空。</w:t>
      </w:r>
      <w:r>
        <w:rPr>
          <w:rFonts w:hint="eastAsia" w:ascii="宋体" w:hAnsi="宋体" w:eastAsia="宋体" w:cs="宋体"/>
          <w:b/>
          <w:bCs/>
          <w:i/>
          <w:iCs/>
          <w:color w:val="auto"/>
          <w:sz w:val="21"/>
          <w:szCs w:val="21"/>
          <w:highlight w:val="none"/>
          <w:u w:val="single"/>
          <w:lang w:val="en-US" w:eastAsia="zh-CN"/>
        </w:rPr>
        <w:t xml:space="preserve">（提供产品介绍</w:t>
      </w:r>
      <w:r>
        <w:rPr>
          <w:rFonts w:hint="eastAsia" w:ascii="宋体" w:hAnsi="宋体" w:cs="宋体"/>
          <w:b/>
          <w:bCs/>
          <w:i/>
          <w:iCs/>
          <w:color w:val="auto"/>
          <w:sz w:val="21"/>
          <w:szCs w:val="21"/>
          <w:highlight w:val="none"/>
          <w:u w:val="single"/>
          <w:lang w:val="en-US" w:eastAsia="zh-CN"/>
        </w:rPr>
        <w:t xml:space="preserve">（</w:t>
      </w:r>
      <w:r>
        <w:rPr>
          <w:rFonts w:hint="eastAsia" w:ascii="宋体" w:hAnsi="宋体" w:eastAsia="宋体" w:cs="宋体"/>
          <w:b/>
          <w:bCs/>
          <w:i/>
          <w:iCs/>
          <w:color w:val="auto"/>
          <w:sz w:val="21"/>
          <w:szCs w:val="21"/>
          <w:highlight w:val="none"/>
          <w:u w:val="single"/>
          <w:lang w:val="en-US" w:eastAsia="zh-CN"/>
        </w:rPr>
        <w:t xml:space="preserve">或说明书</w:t>
      </w:r>
      <w:r>
        <w:rPr>
          <w:rFonts w:hint="eastAsia" w:ascii="宋体" w:hAnsi="宋体" w:cs="宋体"/>
          <w:b/>
          <w:bCs/>
          <w:i/>
          <w:iCs/>
          <w:color w:val="auto"/>
          <w:sz w:val="21"/>
          <w:szCs w:val="21"/>
          <w:highlight w:val="none"/>
          <w:u w:val="single"/>
          <w:lang w:val="en-US" w:eastAsia="zh-CN"/>
        </w:rPr>
        <w:t xml:space="preserve">）及</w:t>
      </w:r>
      <w:bookmarkStart w:id="100" w:name="_GoBack"/>
      <w:r/>
      <w:bookmarkEnd w:id="100"/>
      <w:r>
        <w:rPr>
          <w:rFonts w:hint="eastAsia" w:ascii="宋体" w:hAnsi="宋体" w:eastAsia="宋体" w:cs="宋体"/>
          <w:b/>
          <w:bCs/>
          <w:i/>
          <w:iCs/>
          <w:color w:val="auto"/>
          <w:sz w:val="21"/>
          <w:szCs w:val="21"/>
          <w:highlight w:val="none"/>
          <w:u w:val="single"/>
          <w:lang w:val="en-US" w:eastAsia="zh-CN"/>
        </w:rPr>
        <w:t xml:space="preserve">环境适应性认证、防震性测试认证等证明材料，扫描上传）</w:t>
      </w:r>
      <w:r/>
    </w:p>
    <w:p>
      <w:pPr>
        <w:ind w:firstLine="480"/>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cs="宋体"/>
          <w:i/>
          <w:iCs/>
          <w:color w:val="auto"/>
          <w:sz w:val="24"/>
          <w:highlight w:val="none"/>
          <w:u w:val="single"/>
          <w:lang w:val="en-US" w:eastAsia="zh-CN"/>
        </w:rPr>
        <w:t xml:space="preserve">★</w:t>
      </w:r>
      <w:r>
        <w:rPr>
          <w:rFonts w:hint="eastAsia" w:ascii="宋体" w:hAnsi="宋体" w:eastAsia="宋体" w:cs="宋体"/>
          <w:b w:val="0"/>
          <w:bCs w:val="0"/>
          <w:i/>
          <w:iCs/>
          <w:color w:val="auto"/>
          <w:sz w:val="21"/>
          <w:szCs w:val="21"/>
          <w:highlight w:val="none"/>
          <w:u w:val="single"/>
          <w:lang w:val="en-US" w:eastAsia="zh-CN"/>
        </w:rPr>
        <w:t xml:space="preserve">2.1.4质量分析器：可精准匹配NIST谱库的四极杆质量分析器。</w:t>
      </w:r>
      <w:r>
        <w:rPr>
          <w:rFonts w:hint="eastAsia" w:ascii="宋体" w:hAnsi="宋体" w:eastAsia="宋体" w:cs="宋体"/>
          <w:b/>
          <w:bCs/>
          <w:i/>
          <w:iCs/>
          <w:color w:val="auto"/>
          <w:sz w:val="21"/>
          <w:szCs w:val="21"/>
          <w:highlight w:val="none"/>
          <w:u w:val="single"/>
          <w:lang w:val="en-US" w:eastAsia="zh-CN"/>
        </w:rPr>
        <w:t xml:space="preserve">（</w:t>
      </w:r>
      <w:r>
        <w:rPr>
          <w:rFonts w:hint="eastAsia" w:ascii="宋体" w:hAnsi="宋体" w:eastAsia="宋体" w:cs="宋体"/>
          <w:b/>
          <w:bCs/>
          <w:i/>
          <w:iCs/>
          <w:strike w:val="0"/>
          <w:color w:val="auto"/>
          <w:sz w:val="21"/>
          <w:szCs w:val="21"/>
          <w:highlight w:val="none"/>
          <w:u w:val="single"/>
          <w:lang w:val="en-US" w:eastAsia="zh-CN"/>
        </w:rPr>
        <w:t xml:space="preserve">提供产品介绍或说明书等证明材料，扫描上传</w:t>
      </w:r>
      <w:r>
        <w:rPr>
          <w:rFonts w:hint="eastAsia" w:ascii="宋体" w:hAnsi="宋体" w:eastAsia="宋体" w:cs="宋体"/>
          <w:b/>
          <w:bCs/>
          <w:i/>
          <w:iCs/>
          <w:color w:val="auto"/>
          <w:sz w:val="21"/>
          <w:szCs w:val="21"/>
          <w:highlight w:val="none"/>
          <w:u w:val="single"/>
          <w:lang w:val="en-US" w:eastAsia="zh-CN"/>
        </w:rPr>
        <w:t xml:space="preserve">）</w:t>
      </w:r>
      <w:r/>
    </w:p>
    <w:p>
      <w:pPr>
        <w:ind w:firstLine="480"/>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2.1.5仪器集成度满足应急监测需求，电池、载气瓶、内标气瓶、色谱、质谱及真空系统内置于同一机箱内。</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strike w:val="0"/>
          <w:color w:val="auto"/>
          <w:sz w:val="21"/>
          <w:szCs w:val="21"/>
          <w:highlight w:val="none"/>
          <w:lang w:val="en-US" w:eastAsia="zh-CN"/>
        </w:rPr>
        <w:t xml:space="preserve">提供产品介绍或说明书</w:t>
      </w:r>
      <w:r>
        <w:rPr>
          <w:rFonts w:hint="eastAsia" w:ascii="宋体" w:hAnsi="宋体" w:eastAsia="宋体" w:cs="宋体"/>
          <w:b/>
          <w:bCs/>
          <w:color w:val="auto"/>
          <w:szCs w:val="21"/>
          <w:highlight w:val="none"/>
          <w:shd w:val="clear" w:color="auto" w:fill="ffffff"/>
          <w:lang w:val="en-US"/>
        </w:rPr>
        <w:t xml:space="preserve">及仪器</w:t>
      </w:r>
      <w:r>
        <w:rPr>
          <w:rFonts w:hint="eastAsia" w:ascii="宋体" w:hAnsi="宋体" w:eastAsia="宋体" w:cs="宋体"/>
          <w:b/>
          <w:bCs/>
          <w:color w:val="auto"/>
          <w:szCs w:val="21"/>
          <w:highlight w:val="none"/>
          <w:shd w:val="clear" w:color="auto" w:fill="ffffff"/>
          <w:lang w:val="en-US" w:eastAsia="zh-CN"/>
        </w:rPr>
        <w:t xml:space="preserve">实物图片</w:t>
      </w:r>
      <w:r>
        <w:rPr>
          <w:rFonts w:hint="eastAsia" w:ascii="宋体" w:hAnsi="宋体" w:eastAsia="宋体" w:cs="宋体"/>
          <w:b/>
          <w:bCs/>
          <w:color w:val="auto"/>
          <w:szCs w:val="21"/>
          <w:highlight w:val="none"/>
          <w:shd w:val="clear" w:color="auto" w:fill="ffffff"/>
          <w:lang w:val="en-US"/>
        </w:rPr>
        <w:t xml:space="preserve">等证明材料</w:t>
      </w:r>
      <w:r>
        <w:rPr>
          <w:rFonts w:hint="eastAsia" w:ascii="宋体" w:hAnsi="宋体" w:eastAsia="宋体" w:cs="宋体"/>
          <w:b/>
          <w:bCs/>
          <w:color w:val="auto"/>
          <w:szCs w:val="21"/>
          <w:highlight w:val="none"/>
          <w:shd w:val="clear" w:color="auto" w:fill="ffffff"/>
          <w:lang w:val="en-US" w:eastAsia="zh-CN"/>
        </w:rPr>
        <w:t xml:space="preserve">，扫描上传</w:t>
      </w:r>
      <w:r>
        <w:rPr>
          <w:rFonts w:hint="eastAsia" w:ascii="宋体" w:hAnsi="宋体" w:eastAsia="宋体" w:cs="宋体"/>
          <w:b/>
          <w:bCs/>
          <w:color w:val="auto"/>
          <w:sz w:val="21"/>
          <w:szCs w:val="21"/>
          <w:highlight w:val="none"/>
          <w:lang w:val="en-US" w:eastAsia="zh-CN"/>
        </w:rPr>
        <w:t xml:space="preserve">）</w:t>
      </w:r>
      <w:r/>
    </w:p>
    <w:p>
      <w:pPr>
        <w:ind w:firstLine="48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2.1.6温度可编程的GC柱，长度不低于10米，可兼容市售毛细柱；温度范围：不低于200℃；升温速率不低于20℃/分钟。</w:t>
      </w:r>
      <w:r/>
    </w:p>
    <w:p>
      <w:pPr>
        <w:ind w:firstLine="48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2.1.7内置碳分子筛或TENAX吸附剂的捕集阱浓缩器。</w:t>
      </w:r>
      <w:r/>
    </w:p>
    <w:p>
      <w:pPr>
        <w:ind w:firstLine="48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2.1.8电离模式：70eV EI。</w:t>
      </w:r>
      <w:r/>
    </w:p>
    <w:p>
      <w:pPr>
        <w:ind w:firstLine="48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2.1.9检测器：电子倍增器。</w:t>
      </w:r>
      <w:r/>
    </w:p>
    <w:p>
      <w:pPr>
        <w:ind w:firstLine="48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2.1.10质量范围：45-300AMU。</w:t>
      </w:r>
      <w:r/>
    </w:p>
    <w:p>
      <w:pPr>
        <w:ind w:firstLine="48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2.1.11质量分辨率：≤1AMU。</w:t>
      </w:r>
      <w:r/>
    </w:p>
    <w:p>
      <w:pPr>
        <w:ind w:firstLine="48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2.1.12扫描速度：≥1000AMU/秒。</w:t>
      </w:r>
      <w:r/>
    </w:p>
    <w:p>
      <w:pPr>
        <w:ind w:firstLine="48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2.1.13动态范围：≥7个量级。</w:t>
      </w:r>
      <w:r/>
    </w:p>
    <w:p>
      <w:pPr>
        <w:ind w:firstLine="48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2.1.14仪器检出限：＜1ppb（二氯甲烷、二氯乙烯、氯仿、苯、甲苯、氯苯、四氯乙烯、二甲苯、苯乙烯、三氯苯等分析物）。</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2.2实用性要求</w:t>
      </w:r>
      <w:r/>
    </w:p>
    <w:p>
      <w:pPr>
        <w:ind w:firstLine="480"/>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2.2.1</w:t>
      </w:r>
      <w:r>
        <w:rPr>
          <w:rFonts w:hint="eastAsia"/>
          <w:color w:val="auto"/>
          <w:highlight w:val="none"/>
        </w:rPr>
        <w:t xml:space="preserve">主机具备防水、防尘，通过</w:t>
      </w:r>
      <w:r>
        <w:rPr>
          <w:rFonts w:hint="eastAsia"/>
          <w:color w:val="auto"/>
          <w:highlight w:val="none"/>
          <w:lang w:val="en-US" w:eastAsia="zh-CN"/>
        </w:rPr>
        <w:t xml:space="preserve">第三方检测机构</w:t>
      </w:r>
      <w:r>
        <w:rPr>
          <w:rFonts w:hint="eastAsia"/>
          <w:color w:val="auto"/>
          <w:highlight w:val="none"/>
        </w:rPr>
        <w:t xml:space="preserve">的IP55认证。</w:t>
      </w:r>
      <w:r>
        <w:rPr>
          <w:rFonts w:hint="eastAsia"/>
          <w:b/>
          <w:bCs/>
          <w:color w:val="auto"/>
          <w:highlight w:val="none"/>
        </w:rPr>
        <w:t xml:space="preserve">（提供相关证明材料，扫描上传）</w:t>
      </w:r>
      <w:r/>
    </w:p>
    <w:p>
      <w:pPr>
        <w:ind w:firstLine="480"/>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2.2.2 主机具有防震功能、低温环境下运行功能，在复杂路况条件下远程运输过程中应不易发生损坏，保证抵达现场后正常开机运行，可在多种恶劣环境下正常工作。</w:t>
      </w:r>
      <w:r>
        <w:rPr>
          <w:rFonts w:hint="eastAsia" w:ascii="宋体" w:hAnsi="宋体" w:eastAsia="宋体" w:cs="宋体"/>
          <w:b/>
          <w:bCs/>
          <w:color w:val="auto"/>
          <w:sz w:val="21"/>
          <w:szCs w:val="21"/>
          <w:highlight w:val="none"/>
          <w:lang w:val="en-US" w:eastAsia="zh-CN"/>
        </w:rPr>
        <w:t xml:space="preserve">（提供具备检测能力机构的检测报告，须对无外包装的主机进行）</w:t>
      </w:r>
      <w:r/>
    </w:p>
    <w:p>
      <w:pPr>
        <w:ind w:firstLine="420"/>
        <w:jc w:val="left"/>
        <w:keepLines w:val="0"/>
        <w:keepNext w:val="0"/>
        <w:pageBreakBefore w:val="0"/>
        <w:spacing w:line="360" w:lineRule="auto"/>
        <w:widowControl/>
        <w:rPr>
          <w:rFonts w:hint="eastAsia" w:ascii="宋体" w:hAnsi="宋体" w:eastAsia="宋体" w:cs="宋体"/>
          <w:b w:val="0"/>
          <w:bCs w:val="0"/>
          <w:i/>
          <w:iCs/>
          <w:color w:val="auto"/>
          <w:sz w:val="21"/>
          <w:szCs w:val="21"/>
          <w:highlight w:val="none"/>
          <w:u w:val="single"/>
          <w:lang w:val="en-US" w:eastAsia="zh-CN"/>
        </w:rPr>
      </w:pPr>
      <w:r>
        <w:rPr>
          <w:rFonts w:hint="eastAsia" w:ascii="宋体" w:hAnsi="宋体" w:eastAsia="宋体" w:cs="宋体"/>
          <w:b w:val="0"/>
          <w:bCs w:val="0"/>
          <w:i/>
          <w:iCs/>
          <w:color w:val="auto"/>
          <w:sz w:val="21"/>
          <w:szCs w:val="21"/>
          <w:highlight w:val="none"/>
          <w:u w:val="single"/>
          <w:lang w:val="en-US" w:eastAsia="zh-CN"/>
        </w:rPr>
        <w:t xml:space="preserve">★2.2.3仪器应满足应急监测需求，具备开机自动调谐功能。</w:t>
      </w:r>
      <w:r>
        <w:rPr>
          <w:rFonts w:hint="eastAsia" w:ascii="宋体" w:hAnsi="宋体" w:eastAsia="宋体" w:cs="宋体"/>
          <w:b/>
          <w:bCs/>
          <w:i/>
          <w:iCs/>
          <w:color w:val="auto"/>
          <w:sz w:val="21"/>
          <w:szCs w:val="21"/>
          <w:highlight w:val="none"/>
          <w:u w:val="single"/>
          <w:lang w:val="en-US" w:eastAsia="zh-CN"/>
        </w:rPr>
        <w:t xml:space="preserve">(提供开机自动调谐界面截图证明材料</w:t>
      </w:r>
      <w:r>
        <w:rPr>
          <w:rFonts w:hint="eastAsia" w:ascii="宋体" w:hAnsi="宋体" w:cs="宋体"/>
          <w:b/>
          <w:bCs/>
          <w:i/>
          <w:iCs/>
          <w:color w:val="auto"/>
          <w:sz w:val="21"/>
          <w:szCs w:val="21"/>
          <w:highlight w:val="none"/>
          <w:u w:val="single"/>
          <w:lang w:val="en-US" w:eastAsia="zh-CN"/>
        </w:rPr>
        <w:t xml:space="preserve">）</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2.2.4工作温度：0～40℃。</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2.2.5工作湿度：≤85%。</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2.2.6主机电源供应：可用内置充电电池和交流电两种供电模式。</w:t>
      </w:r>
      <w:r/>
    </w:p>
    <w:p>
      <w:pPr>
        <w:ind w:firstLine="480"/>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2.2.7内部功耗：≤40瓦（正常工作条件下）</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strike w:val="0"/>
          <w:color w:val="auto"/>
          <w:sz w:val="21"/>
          <w:szCs w:val="21"/>
          <w:highlight w:val="none"/>
          <w:lang w:val="en-US" w:eastAsia="zh-CN"/>
        </w:rPr>
        <w:t xml:space="preserve">提供产品介绍或说明书等证明材料，扫描上传</w:t>
      </w:r>
      <w:r>
        <w:rPr>
          <w:rFonts w:hint="eastAsia" w:ascii="宋体" w:hAnsi="宋体" w:eastAsia="宋体" w:cs="宋体"/>
          <w:b/>
          <w:bCs/>
          <w:color w:val="auto"/>
          <w:sz w:val="21"/>
          <w:szCs w:val="21"/>
          <w:highlight w:val="none"/>
          <w:lang w:val="en-US" w:eastAsia="zh-CN"/>
        </w:rPr>
        <w:t xml:space="preserve">）。</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2.2.8主机整体重量：＜20kg（包括电池、内标气和载气瓶等）。</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2.2.9动静态顶空进样器与便携式GC/MS通过控温传输管线联机使用。</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2.2.10动静态顶空进样器可用内置充电电池和交流电两种供电模式。</w:t>
      </w:r>
      <w:r/>
    </w:p>
    <w:p>
      <w:pPr>
        <w:ind w:firstLine="480"/>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2.2.11动静态顶空进样器加热位：≥5位。</w:t>
      </w:r>
      <w:r>
        <w:rPr>
          <w:rFonts w:hint="eastAsia" w:ascii="宋体" w:hAnsi="宋体" w:eastAsia="宋体" w:cs="宋体"/>
          <w:b/>
          <w:bCs/>
          <w:color w:val="auto"/>
          <w:sz w:val="21"/>
          <w:szCs w:val="21"/>
          <w:highlight w:val="none"/>
          <w:lang w:val="en-US" w:eastAsia="zh-CN"/>
        </w:rPr>
        <w:t xml:space="preserve">（提供产品介绍或说明书等证明材料，同时需提供实物图片，扫描上传）</w:t>
      </w:r>
      <w:r/>
    </w:p>
    <w:p>
      <w:pPr>
        <w:ind w:firstLine="420"/>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2.2.12动静态顶空进样器重量：＜10公斤。</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2.2.13动静态顶空进样器加热温度范围：室温至80℃。</w:t>
      </w:r>
      <w:r/>
    </w:p>
    <w:p>
      <w:pPr>
        <w:ind w:firstLine="480"/>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2.2.14动静态顶空进样器能够</w:t>
      </w:r>
      <w:r>
        <w:rPr>
          <w:rFonts w:hint="eastAsia" w:ascii="宋体" w:hAnsi="宋体" w:cs="宋体"/>
          <w:b w:val="0"/>
          <w:bCs w:val="0"/>
          <w:color w:val="auto"/>
          <w:sz w:val="21"/>
          <w:szCs w:val="21"/>
          <w:highlight w:val="none"/>
          <w:lang w:val="en-US" w:eastAsia="zh-CN"/>
        </w:rPr>
        <w:t xml:space="preserve">具有提示功能</w:t>
      </w:r>
      <w:r>
        <w:rPr>
          <w:rFonts w:hint="eastAsia" w:ascii="宋体" w:hAnsi="宋体" w:eastAsia="宋体" w:cs="宋体"/>
          <w:b w:val="0"/>
          <w:bCs w:val="0"/>
          <w:color w:val="auto"/>
          <w:sz w:val="21"/>
          <w:szCs w:val="21"/>
          <w:highlight w:val="none"/>
          <w:lang w:val="en-US" w:eastAsia="zh-CN"/>
        </w:rPr>
        <w:t xml:space="preserve">，提醒用户进行每一步操作。</w:t>
      </w:r>
      <w:r>
        <w:rPr>
          <w:rFonts w:hint="eastAsia" w:ascii="宋体" w:hAnsi="宋体" w:eastAsia="宋体" w:cs="宋体"/>
          <w:b/>
          <w:bCs/>
          <w:color w:val="auto"/>
          <w:sz w:val="21"/>
          <w:szCs w:val="21"/>
          <w:highlight w:val="none"/>
          <w:lang w:val="en-US" w:eastAsia="zh-CN"/>
        </w:rPr>
        <w:t xml:space="preserve">（提供产品介绍或说明书等证明材料，同时需提供实物图片，扫描上传）</w:t>
      </w:r>
      <w:r/>
    </w:p>
    <w:p>
      <w:pPr>
        <w:ind w:firstLine="480"/>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2.2.15动静态顶空进样器也可做到质谱直接进样，从而预估样品浓度，指导用户选择合适的方法。</w:t>
      </w:r>
      <w:r>
        <w:rPr>
          <w:rFonts w:hint="eastAsia" w:ascii="宋体" w:hAnsi="宋体" w:eastAsia="宋体" w:cs="宋体"/>
          <w:b/>
          <w:bCs/>
          <w:color w:val="auto"/>
          <w:sz w:val="21"/>
          <w:szCs w:val="21"/>
          <w:highlight w:val="none"/>
          <w:lang w:val="en-US" w:eastAsia="zh-CN"/>
        </w:rPr>
        <w:t xml:space="preserve">（提供产品介绍或说明书等证明材料，同时需提供实物图片，扫描上传）</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2.2.16 固相微萃取仪，配合主机使用，可用于水中和土壤中挥发性及半挥发性有机物的前处理。</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2.2.17固相微萃取仪能与便携式GC/MS配套，无信号及能源传输障碍。</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2.2.18固相微萃取仪无需另外配备能源装置，由便携GC/MS提供能源供给。</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2.2.19固相微萃取仪取针解析温度：100~280℃。</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2.2.20固相微萃取仪便携式设计，易携带。</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2.2.21固相微萃取仪SPME衬垫：去活性不锈钢带镀层的2微米以上微粒过滤器，可移除/可更换。</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2.2.22 固相微萃取仪SPME纤维密封寿命不少于200次注入。</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2.3数据库配置及传输要求。</w:t>
      </w:r>
      <w:r/>
    </w:p>
    <w:p>
      <w:pPr>
        <w:pStyle w:val="745"/>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2.3.1监测数据准确匹配NIST谱库，针对TO 14大部分物质匹配度能达90%以上。</w:t>
      </w:r>
      <w:r/>
    </w:p>
    <w:p>
      <w:pPr>
        <w:pStyle w:val="745"/>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2.3.2主机和数据处理系统均内置标准谱库（NIST）；自动质谱图解卷积和鉴定系（AMDIS）；化学品安全数据库（NIOSH）。均须为原装正版数据库，遇到数据库升级时，终身免费升级至最新原装正版版本。</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2.4高精度动态稀释仪性能要求</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2.4.1可与便携式气质联用仪直接连接，稀释好的标气可直接进样分析，中间无需存储容器；</w:t>
      </w:r>
      <w:r/>
    </w:p>
    <w:p>
      <w:pPr>
        <w:ind w:firstLine="420"/>
        <w:jc w:val="left"/>
        <w:keepLines w:val="0"/>
        <w:keepNext w:val="0"/>
        <w:pageBreakBefore w:val="0"/>
        <w:spacing w:line="360" w:lineRule="auto"/>
        <w:widowControl/>
        <w:rPr>
          <w:rFonts w:hint="eastAsia" w:ascii="宋体" w:hAnsi="宋体" w:eastAsia="宋体" w:cs="宋体"/>
          <w:i/>
          <w:iCs/>
          <w:color w:val="auto"/>
          <w:sz w:val="21"/>
          <w:szCs w:val="21"/>
          <w:highlight w:val="none"/>
          <w:u w:val="single"/>
          <w:lang w:val="en-US" w:eastAsia="zh-CN"/>
        </w:rPr>
      </w:pPr>
      <w:r>
        <w:rPr>
          <w:rFonts w:hint="eastAsia" w:ascii="宋体" w:hAnsi="宋体" w:eastAsia="宋体" w:cs="宋体"/>
          <w:i/>
          <w:iCs/>
          <w:color w:val="auto"/>
          <w:sz w:val="21"/>
          <w:szCs w:val="21"/>
          <w:highlight w:val="none"/>
          <w:u w:val="single"/>
          <w:lang w:val="en-US" w:eastAsia="zh-CN"/>
        </w:rPr>
        <w:t xml:space="preserve">★2.4.2为了避免高沸点物质残留，避免硫化物，醛酮类物质吸附，整个气路系统不使用质量流量计，可实现气体经过的全部管路都经过惰性涂覆</w:t>
      </w:r>
      <w:r>
        <w:rPr>
          <w:rFonts w:hint="eastAsia" w:ascii="宋体" w:hAnsi="宋体" w:eastAsia="宋体" w:cs="宋体"/>
          <w:b/>
          <w:bCs/>
          <w:i/>
          <w:iCs/>
          <w:color w:val="auto"/>
          <w:sz w:val="21"/>
          <w:szCs w:val="21"/>
          <w:highlight w:val="none"/>
          <w:u w:val="single"/>
          <w:lang w:val="en-US" w:eastAsia="zh-CN"/>
        </w:rPr>
        <w:t xml:space="preserve">（投标时需提供产品介绍或仪器说明书等证明材料）</w:t>
      </w:r>
      <w:r>
        <w:rPr>
          <w:rFonts w:hint="eastAsia" w:ascii="宋体" w:hAnsi="宋体" w:eastAsia="宋体" w:cs="宋体"/>
          <w:i/>
          <w:iCs/>
          <w:color w:val="auto"/>
          <w:sz w:val="21"/>
          <w:szCs w:val="21"/>
          <w:highlight w:val="none"/>
          <w:u w:val="single"/>
          <w:lang w:val="en-US" w:eastAsia="zh-CN"/>
        </w:rPr>
        <w:t xml:space="preserve">；</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2.4.3采用高精度压力控制单元对限流气阻前端压力进行闭环调节的射流稀释原理，过程采用背压式控制方案，可使标准气体完全不经过压力控制单元，从源头避免标气与控制组件直接接触；</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2.4.4稀释精度小于0.5%；</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2.4.5避免外界温差的影响，流量控制通道具有温度控制功能，温度控制精度小于0.1℃；</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2.4.6一体化触屏软件设计，集成度更高，操作简单，序列编辑完全集成在仪器控制软件中，便于操作。稀释过程自动计算，稀释的计算过程已经集成在操作界面，稀释流量、稀释倍数输入方便直观。</w:t>
      </w:r>
      <w:r/>
    </w:p>
    <w:p>
      <w:pPr>
        <w:numPr>
          <w:ilvl w:val="0"/>
          <w:numId w:val="0"/>
        </w:numPr>
        <w:ind w:firstLine="211"/>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（五）便携式傅里叶红外分析仪(无机气体监测)</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 符合《固定污染源废气气态污染物(SO2、NO、NO2、CO、CO2)的测定 便携式傅立叶变换红外光谱法》HJ 1240-2021、《固定污染源废气氨和氯化氢的测定便携式傅立叶变换红外光谱法》HJ 1330-2023。</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2、技术性能指标</w:t>
      </w:r>
      <w:r/>
    </w:p>
    <w:p>
      <w:pPr>
        <w:ind w:firstLine="420"/>
        <w:spacing w:line="360" w:lineRule="auto"/>
        <w:shd w:val="clear" w:color="auto" w:fil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2.1 原理：傅立叶变换红外分析原理</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2.2 便携式傅立叶变换红外气体分析仪主机</w:t>
      </w:r>
      <w:r/>
    </w:p>
    <w:p>
      <w:pPr>
        <w:ind w:firstLine="420"/>
        <w:spacing w:line="360" w:lineRule="auto"/>
        <w:shd w:val="clear" w:color="auto" w:fill="auto"/>
        <w:rPr>
          <w:rFonts w:hint="eastAsia" w:ascii="宋体" w:hAnsi="宋体" w:eastAsia="宋体" w:cs="宋体"/>
          <w:b/>
          <w:bCs w:val="0"/>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2.2.1 检测器：碲镉汞(MCT)</w:t>
      </w:r>
      <w:r>
        <w:rPr>
          <w:rFonts w:hint="eastAsia" w:ascii="宋体" w:hAnsi="宋体" w:eastAsia="宋体" w:cs="宋体"/>
          <w:b/>
          <w:bCs w:val="0"/>
          <w:color w:val="auto"/>
          <w:sz w:val="21"/>
          <w:szCs w:val="21"/>
          <w:highlight w:val="none"/>
          <w:lang w:val="en-US" w:eastAsia="zh-CN"/>
        </w:rPr>
        <w:t xml:space="preserve"> (提供软件读取硬件属性的截图佐证，扫描上传)</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2.2.2 分束器：采用防潮窗口材料</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2.2.3 波数范围至少包括900cm-1~4000cm-1</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2.2.4 样品室加热温度：不低于180℃</w:t>
      </w:r>
      <w:r/>
    </w:p>
    <w:p>
      <w:pPr>
        <w:ind w:firstLine="420"/>
        <w:spacing w:line="360" w:lineRule="auto"/>
        <w:shd w:val="clear" w:color="auto" w:fill="auto"/>
        <w:rPr>
          <w:rFonts w:hint="eastAsia" w:ascii="宋体" w:hAnsi="宋体" w:eastAsia="宋体" w:cs="宋体"/>
          <w:b/>
          <w:bCs w:val="0"/>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2.2.5 光程总长度不小于4.5米</w:t>
      </w:r>
      <w:r>
        <w:rPr>
          <w:rFonts w:hint="eastAsia" w:ascii="宋体" w:hAnsi="宋体" w:eastAsia="宋体" w:cs="宋体"/>
          <w:b/>
          <w:bCs w:val="0"/>
          <w:color w:val="auto"/>
          <w:sz w:val="21"/>
          <w:szCs w:val="21"/>
          <w:highlight w:val="none"/>
          <w:lang w:val="en-US" w:eastAsia="zh-CN"/>
        </w:rPr>
        <w:t xml:space="preserve">(提供软件读取硬件属性的截图佐证，扫描上传)</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2.2.6 样气室体积小于1.0升</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2.2.7 样气室内壁、反射镜内壁有抗腐蚀涂层，防止腐蚀性气体的侵蚀，能用于测量高温、高湿、腐蚀性强的气体</w:t>
      </w:r>
      <w:r/>
    </w:p>
    <w:p>
      <w:pPr>
        <w:ind w:firstLine="420"/>
        <w:spacing w:line="360" w:lineRule="auto"/>
        <w:shd w:val="clear" w:color="auto" w:fill="auto"/>
        <w:rPr>
          <w:rFonts w:hint="eastAsia" w:ascii="宋体" w:hAnsi="宋体" w:eastAsia="宋体" w:cs="宋体"/>
          <w:b/>
          <w:bCs w:val="0"/>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2.2.8 扫描次数不小于5次/秒</w:t>
      </w:r>
      <w:r>
        <w:rPr>
          <w:rFonts w:hint="eastAsia" w:ascii="宋体" w:hAnsi="宋体" w:eastAsia="宋体" w:cs="宋体"/>
          <w:b/>
          <w:bCs w:val="0"/>
          <w:color w:val="auto"/>
          <w:sz w:val="21"/>
          <w:szCs w:val="21"/>
          <w:highlight w:val="none"/>
          <w:lang w:val="en-US" w:eastAsia="zh-CN"/>
        </w:rPr>
        <w:t xml:space="preserve">(提供软件读取硬件属性的截图佐证，扫描上传)</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2.2.9 光谱分辨率不超过8cm-1</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2.3 软件分析系统</w:t>
      </w:r>
      <w:r/>
    </w:p>
    <w:p>
      <w:pPr>
        <w:ind w:firstLine="420"/>
        <w:spacing w:line="360" w:lineRule="auto"/>
        <w:shd w:val="clear" w:color="auto" w:fill="auto"/>
        <w:rPr>
          <w:rFonts w:hint="eastAsia" w:ascii="宋体" w:hAnsi="宋体" w:eastAsia="宋体" w:cs="宋体"/>
          <w:b/>
          <w:bCs w:val="0"/>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2.3.1 可查询干涉图高度、光源强度以及样品室温度等参数。</w:t>
      </w:r>
      <w:r>
        <w:rPr>
          <w:rFonts w:hint="eastAsia" w:ascii="宋体" w:hAnsi="宋体" w:eastAsia="宋体" w:cs="宋体"/>
          <w:b/>
          <w:bCs w:val="0"/>
          <w:color w:val="auto"/>
          <w:sz w:val="21"/>
          <w:szCs w:val="21"/>
          <w:highlight w:val="none"/>
          <w:lang w:val="en-US" w:eastAsia="zh-CN"/>
        </w:rPr>
        <w:t xml:space="preserve">(提供查看界面截图佐证，扫描上传)</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2.3.2  全中文分析软件，气体组分名称显示为中文。</w:t>
      </w:r>
      <w:r>
        <w:rPr>
          <w:rFonts w:hint="eastAsia" w:ascii="宋体" w:hAnsi="宋体" w:eastAsia="宋体" w:cs="宋体"/>
          <w:b/>
          <w:bCs w:val="0"/>
          <w:color w:val="auto"/>
          <w:sz w:val="21"/>
          <w:szCs w:val="21"/>
          <w:highlight w:val="none"/>
          <w:lang w:val="en-US" w:eastAsia="zh-CN"/>
        </w:rPr>
        <w:t xml:space="preserve">(提供软件截图佐证，扫描上传)</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2.3.3根据测量要求可调整气体浓度单位。（ppm、mg/m3）</w:t>
      </w:r>
      <w:r/>
    </w:p>
    <w:p>
      <w:pPr>
        <w:ind w:firstLine="420"/>
        <w:spacing w:line="360" w:lineRule="auto"/>
        <w:shd w:val="clear" w:color="auto" w:fill="auto"/>
        <w:rPr>
          <w:rFonts w:hint="eastAsia" w:ascii="宋体" w:hAnsi="宋体" w:eastAsia="宋体" w:cs="宋体"/>
          <w:b/>
          <w:bCs w:val="0"/>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2.3.4 对测量结果可进行干、湿浓度的转换。</w:t>
      </w:r>
      <w:r>
        <w:rPr>
          <w:rFonts w:hint="eastAsia" w:ascii="宋体" w:hAnsi="宋体" w:eastAsia="宋体" w:cs="宋体"/>
          <w:b/>
          <w:bCs w:val="0"/>
          <w:color w:val="auto"/>
          <w:sz w:val="21"/>
          <w:szCs w:val="21"/>
          <w:highlight w:val="none"/>
          <w:lang w:val="en-US" w:eastAsia="zh-CN"/>
        </w:rPr>
        <w:t xml:space="preserve">(提供软件截图佐证，扫描上传)</w:t>
      </w:r>
      <w:r/>
    </w:p>
    <w:p>
      <w:pPr>
        <w:ind w:firstLine="420"/>
        <w:spacing w:line="360" w:lineRule="auto"/>
        <w:shd w:val="clear" w:color="auto" w:fill="auto"/>
        <w:rPr>
          <w:rFonts w:hint="eastAsia" w:ascii="宋体" w:hAnsi="宋体" w:eastAsia="宋体" w:cs="宋体"/>
          <w:b/>
          <w:bCs w:val="0"/>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2.3.5 可按分钟保存测定数据，其他分析时间可选。</w:t>
      </w:r>
      <w:r>
        <w:rPr>
          <w:rFonts w:hint="eastAsia" w:ascii="宋体" w:hAnsi="宋体" w:eastAsia="宋体" w:cs="宋体"/>
          <w:b/>
          <w:bCs w:val="0"/>
          <w:color w:val="auto"/>
          <w:sz w:val="21"/>
          <w:szCs w:val="21"/>
          <w:highlight w:val="none"/>
          <w:lang w:val="en-US" w:eastAsia="zh-CN"/>
        </w:rPr>
        <w:t xml:space="preserve"> (提供软件截图佐证，扫描上传)</w:t>
      </w:r>
      <w:r/>
    </w:p>
    <w:p>
      <w:pPr>
        <w:ind w:firstLine="420"/>
        <w:spacing w:line="360" w:lineRule="auto"/>
        <w:shd w:val="clear" w:color="auto" w:fill="auto"/>
        <w:rPr>
          <w:rFonts w:hint="eastAsia" w:ascii="宋体" w:hAnsi="宋体" w:eastAsia="宋体" w:cs="宋体"/>
          <w:b/>
          <w:bCs w:val="0"/>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2.3.6可进行压力、温度补偿。</w:t>
      </w:r>
      <w:r>
        <w:rPr>
          <w:rFonts w:hint="eastAsia" w:ascii="宋体" w:hAnsi="宋体" w:eastAsia="宋体" w:cs="宋体"/>
          <w:b/>
          <w:bCs w:val="0"/>
          <w:color w:val="auto"/>
          <w:sz w:val="21"/>
          <w:szCs w:val="21"/>
          <w:highlight w:val="none"/>
          <w:lang w:val="en-US" w:eastAsia="zh-CN"/>
        </w:rPr>
        <w:t xml:space="preserve">(提供软件界面截图佐证，扫描上传)</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2.3.7 可进行连续现场记录存储，自动存储测量光谱图，并能显示浓度-时间趋势图，可以回放已保存的光谱，方便日后对光谱进行分析。</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2.3.8 分析结果须储存为Excel可以打开的格式，便于用户编制分析报告。</w:t>
      </w:r>
      <w:r/>
    </w:p>
    <w:p>
      <w:pPr>
        <w:ind w:firstLine="420"/>
        <w:spacing w:line="360" w:lineRule="auto"/>
        <w:shd w:val="clear" w:color="auto" w:fill="auto"/>
        <w:rPr>
          <w:rFonts w:hint="eastAsia" w:ascii="宋体" w:hAnsi="宋体" w:eastAsia="宋体" w:cs="宋体"/>
          <w:b/>
          <w:bCs w:val="0"/>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2.3.9 配置手持式蓝牙打印机，打印内容至少包括单位名称、时间、仪器型号、仪器编号、化合物名称、分析光谱、化合物浓度及单位，具备指定指标连续分钟数据平均值计算功能，具备分钟数据、平均数据打印功能。</w:t>
      </w:r>
      <w:r>
        <w:rPr>
          <w:rFonts w:hint="eastAsia" w:ascii="宋体" w:hAnsi="宋体" w:eastAsia="宋体" w:cs="宋体"/>
          <w:b/>
          <w:bCs w:val="0"/>
          <w:color w:val="auto"/>
          <w:sz w:val="21"/>
          <w:szCs w:val="21"/>
          <w:highlight w:val="none"/>
          <w:lang w:val="en-US" w:eastAsia="zh-CN"/>
        </w:rPr>
        <w:t xml:space="preserve">(提供实物图片及近期测试打印条（含分钟值和平均值）佐证材料，扫描上传)</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2.3.10 具有一键创建求助文件的功能，方便用户发送至售后工程师分析仪器使用状态。</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2.4 便携式全程加热采样系统</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2.4.1 独立的便携式全程加热采样系统，加热温度不低于180℃。</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2.4.2 采样流量不低于3升/分钟。</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2.4.3 泵抽力不小于80KPa。</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2.4.4 过滤要求：至少三级除尘过滤系统，材质耐高温度、防腐蚀、不吸附，至少能过滤（0.5～5）μm粒径的颗粒物。</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2.4.5 全程加热不低于180℃，恒温控制。全程加热包括：采样探针、采样手柄、导气管、采样器、采样泵、样品室。</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2.4.6 不少于5米长的加热导气管、不少于1米长的加热导气管，加热温度不低于180℃。</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2.4.7 能显示加热导气管的温度。</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2.4.8 不少于1米长加热采样探针，加热温度不低于180℃，探针前端须安装粉尘过滤器。</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2.5 气体组分及相关性能指标要求</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2.5.1 出厂气体标定组分、量程（物质名称、分子式、量程）。</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2.5.1.1二氧化硫：SO2</w:t>
      </w:r>
      <w:r>
        <w:rPr>
          <w:rFonts w:hint="eastAsia" w:ascii="宋体" w:hAnsi="宋体" w:eastAsia="宋体" w:cs="宋体"/>
          <w:bCs/>
          <w:color w:val="auto"/>
          <w:sz w:val="21"/>
          <w:szCs w:val="21"/>
          <w:highlight w:val="none"/>
          <w:lang w:val="en-US" w:eastAsia="zh-CN"/>
        </w:rPr>
        <w:tab/>
      </w:r>
      <w:r>
        <w:rPr>
          <w:rFonts w:hint="eastAsia" w:ascii="宋体" w:hAnsi="宋体" w:eastAsia="宋体" w:cs="宋体"/>
          <w:bCs/>
          <w:color w:val="auto"/>
          <w:sz w:val="21"/>
          <w:szCs w:val="21"/>
          <w:highlight w:val="none"/>
          <w:lang w:val="en-US" w:eastAsia="zh-CN"/>
        </w:rPr>
        <w:t xml:space="preserve">0-1000ppm。</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2.5.1.2一氧化氮：NO</w:t>
      </w:r>
      <w:r>
        <w:rPr>
          <w:rFonts w:hint="eastAsia" w:ascii="宋体" w:hAnsi="宋体" w:eastAsia="宋体" w:cs="宋体"/>
          <w:bCs/>
          <w:color w:val="auto"/>
          <w:sz w:val="21"/>
          <w:szCs w:val="21"/>
          <w:highlight w:val="none"/>
          <w:lang w:val="en-US" w:eastAsia="zh-CN"/>
        </w:rPr>
        <w:tab/>
      </w:r>
      <w:r>
        <w:rPr>
          <w:rFonts w:hint="eastAsia" w:ascii="宋体" w:hAnsi="宋体" w:eastAsia="宋体" w:cs="宋体"/>
          <w:bCs/>
          <w:color w:val="auto"/>
          <w:sz w:val="21"/>
          <w:szCs w:val="21"/>
          <w:highlight w:val="none"/>
          <w:lang w:val="en-US" w:eastAsia="zh-CN"/>
        </w:rPr>
        <w:t xml:space="preserve">   0-2000ppm。</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2.5.1.3二氧化氮：NO2</w:t>
      </w:r>
      <w:r>
        <w:rPr>
          <w:rFonts w:hint="eastAsia" w:ascii="宋体" w:hAnsi="宋体" w:eastAsia="宋体" w:cs="宋体"/>
          <w:bCs/>
          <w:color w:val="auto"/>
          <w:sz w:val="21"/>
          <w:szCs w:val="21"/>
          <w:highlight w:val="none"/>
          <w:lang w:val="en-US" w:eastAsia="zh-CN"/>
        </w:rPr>
        <w:tab/>
      </w:r>
      <w:r>
        <w:rPr>
          <w:rFonts w:hint="eastAsia" w:ascii="宋体" w:hAnsi="宋体" w:eastAsia="宋体" w:cs="宋体"/>
          <w:bCs/>
          <w:color w:val="auto"/>
          <w:sz w:val="21"/>
          <w:szCs w:val="21"/>
          <w:highlight w:val="none"/>
          <w:lang w:val="en-US" w:eastAsia="zh-CN"/>
        </w:rPr>
        <w:t xml:space="preserve">0-500ppm。</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2.5.1.4一氧化碳：CO</w:t>
      </w:r>
      <w:r>
        <w:rPr>
          <w:rFonts w:hint="eastAsia" w:ascii="宋体" w:hAnsi="宋体" w:eastAsia="宋体" w:cs="宋体"/>
          <w:bCs/>
          <w:color w:val="auto"/>
          <w:sz w:val="21"/>
          <w:szCs w:val="21"/>
          <w:highlight w:val="none"/>
          <w:lang w:val="en-US" w:eastAsia="zh-CN"/>
        </w:rPr>
        <w:tab/>
      </w:r>
      <w:r>
        <w:rPr>
          <w:rFonts w:hint="eastAsia" w:ascii="宋体" w:hAnsi="宋体" w:eastAsia="宋体" w:cs="宋体"/>
          <w:bCs/>
          <w:color w:val="auto"/>
          <w:sz w:val="21"/>
          <w:szCs w:val="21"/>
          <w:highlight w:val="none"/>
          <w:lang w:val="en-US" w:eastAsia="zh-CN"/>
        </w:rPr>
        <w:t xml:space="preserve">0-5000ppm。</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2.5.1.5二氧化碳：CO2</w:t>
      </w:r>
      <w:r>
        <w:rPr>
          <w:rFonts w:hint="eastAsia" w:ascii="宋体" w:hAnsi="宋体" w:eastAsia="宋体" w:cs="宋体"/>
          <w:bCs/>
          <w:color w:val="auto"/>
          <w:sz w:val="21"/>
          <w:szCs w:val="21"/>
          <w:highlight w:val="none"/>
          <w:lang w:val="en-US" w:eastAsia="zh-CN"/>
        </w:rPr>
        <w:tab/>
      </w:r>
      <w:r>
        <w:rPr>
          <w:rFonts w:hint="eastAsia" w:ascii="宋体" w:hAnsi="宋体" w:eastAsia="宋体" w:cs="宋体"/>
          <w:bCs/>
          <w:color w:val="auto"/>
          <w:sz w:val="21"/>
          <w:szCs w:val="21"/>
          <w:highlight w:val="none"/>
          <w:lang w:val="en-US" w:eastAsia="zh-CN"/>
        </w:rPr>
        <w:t xml:space="preserve">0-85%。</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2.5.1.6氨：NH3</w:t>
      </w:r>
      <w:r>
        <w:rPr>
          <w:rFonts w:hint="eastAsia" w:ascii="宋体" w:hAnsi="宋体" w:eastAsia="宋体" w:cs="宋体"/>
          <w:bCs/>
          <w:color w:val="auto"/>
          <w:sz w:val="21"/>
          <w:szCs w:val="21"/>
          <w:highlight w:val="none"/>
          <w:lang w:val="en-US" w:eastAsia="zh-CN"/>
        </w:rPr>
        <w:tab/>
      </w:r>
      <w:r>
        <w:rPr>
          <w:rFonts w:hint="eastAsia" w:ascii="宋体" w:hAnsi="宋体" w:eastAsia="宋体" w:cs="宋体"/>
          <w:bCs/>
          <w:color w:val="auto"/>
          <w:sz w:val="21"/>
          <w:szCs w:val="21"/>
          <w:highlight w:val="none"/>
          <w:lang w:val="en-US" w:eastAsia="zh-CN"/>
        </w:rPr>
        <w:t xml:space="preserve"> 0-500ppm。</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2.5.1.7氯化氢：HCl </w:t>
      </w:r>
      <w:r>
        <w:rPr>
          <w:rFonts w:hint="eastAsia" w:ascii="宋体" w:hAnsi="宋体" w:eastAsia="宋体" w:cs="宋体"/>
          <w:bCs/>
          <w:color w:val="auto"/>
          <w:sz w:val="21"/>
          <w:szCs w:val="21"/>
          <w:highlight w:val="none"/>
          <w:lang w:val="en-US" w:eastAsia="zh-CN"/>
        </w:rPr>
        <w:tab/>
      </w:r>
      <w:r>
        <w:rPr>
          <w:rFonts w:hint="eastAsia" w:ascii="宋体" w:hAnsi="宋体" w:eastAsia="宋体" w:cs="宋体"/>
          <w:bCs/>
          <w:color w:val="auto"/>
          <w:sz w:val="21"/>
          <w:szCs w:val="21"/>
          <w:highlight w:val="none"/>
          <w:lang w:val="en-US" w:eastAsia="zh-CN"/>
        </w:rPr>
        <w:t xml:space="preserve">0-200ppm。</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2.5.1.8水蒸气：H2O</w:t>
      </w:r>
      <w:r>
        <w:rPr>
          <w:rFonts w:hint="eastAsia" w:ascii="宋体" w:hAnsi="宋体" w:eastAsia="宋体" w:cs="宋体"/>
          <w:bCs/>
          <w:color w:val="auto"/>
          <w:sz w:val="21"/>
          <w:szCs w:val="21"/>
          <w:highlight w:val="none"/>
          <w:lang w:val="en-US" w:eastAsia="zh-CN"/>
        </w:rPr>
        <w:tab/>
      </w:r>
      <w:r>
        <w:rPr>
          <w:rFonts w:hint="eastAsia" w:ascii="宋体" w:hAnsi="宋体" w:eastAsia="宋体" w:cs="宋体"/>
          <w:bCs/>
          <w:color w:val="auto"/>
          <w:sz w:val="21"/>
          <w:szCs w:val="21"/>
          <w:highlight w:val="none"/>
          <w:lang w:val="en-US" w:eastAsia="zh-CN"/>
        </w:rPr>
        <w:t xml:space="preserve"> 0-30%。</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2.5.1.9一氧化二氮：N2O 0-500ppm。</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2.5.1.10甲烷：CH4</w:t>
      </w:r>
      <w:r>
        <w:rPr>
          <w:rFonts w:hint="eastAsia" w:ascii="宋体" w:hAnsi="宋体" w:eastAsia="宋体" w:cs="宋体"/>
          <w:bCs/>
          <w:color w:val="auto"/>
          <w:sz w:val="21"/>
          <w:szCs w:val="21"/>
          <w:highlight w:val="none"/>
          <w:lang w:val="en-US" w:eastAsia="zh-CN"/>
        </w:rPr>
        <w:tab/>
      </w:r>
      <w:r>
        <w:rPr>
          <w:rFonts w:hint="eastAsia" w:ascii="宋体" w:hAnsi="宋体" w:eastAsia="宋体" w:cs="宋体"/>
          <w:bCs/>
          <w:color w:val="auto"/>
          <w:sz w:val="21"/>
          <w:szCs w:val="21"/>
          <w:highlight w:val="none"/>
          <w:lang w:val="en-US" w:eastAsia="zh-CN"/>
        </w:rPr>
        <w:t xml:space="preserve">0-2000ppm。</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2.5.1.11氟化氢：HF</w:t>
      </w:r>
      <w:r>
        <w:rPr>
          <w:rFonts w:hint="eastAsia" w:ascii="宋体" w:hAnsi="宋体" w:eastAsia="宋体" w:cs="宋体"/>
          <w:bCs/>
          <w:color w:val="auto"/>
          <w:sz w:val="21"/>
          <w:szCs w:val="21"/>
          <w:highlight w:val="none"/>
          <w:lang w:val="en-US" w:eastAsia="zh-CN"/>
        </w:rPr>
        <w:tab/>
      </w:r>
      <w:r>
        <w:rPr>
          <w:rFonts w:hint="eastAsia" w:ascii="宋体" w:hAnsi="宋体" w:eastAsia="宋体" w:cs="宋体"/>
          <w:bCs/>
          <w:color w:val="auto"/>
          <w:sz w:val="21"/>
          <w:szCs w:val="21"/>
          <w:highlight w:val="none"/>
          <w:lang w:val="en-US" w:eastAsia="zh-CN"/>
        </w:rPr>
        <w:t xml:space="preserve">0-100ppm。</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2.5.1.12 氧：0-21%。</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2.5.2 示值误差要求：CO2相对误差在±5%以内，其他物质在校准量程＞60μmol/mol时，相对误差在±5%以内，校准量程≤60μmol/mol时，绝对误差在±3μmol/mol以内。</w:t>
      </w:r>
      <w:r/>
    </w:p>
    <w:p>
      <w:pPr>
        <w:ind w:firstLine="420"/>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2.5.3 系统误差要求：CO2相对误差在±5%以内，其他物质在校准量程＞60μmol/mol时，相对误差在±5%以内，校准量程≤60μmol/mol时，绝对误差在±3μmol/mol以内。</w:t>
      </w:r>
      <w:r/>
    </w:p>
    <w:p>
      <w:pPr>
        <w:ind w:firstLine="422"/>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（六）红外热成像气体检测仪</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1、环境条件</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1.1 防爆工作温度：﹣20~＋50℃。</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1.2存储温度：﹣40~＋70℃。</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1.3相对湿度：95%以下不冷凝。</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2、技术参数</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2.1 检测项目：成像挥发性有机物气体泄漏和排放。</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2.2满足ISO9001产品质量体系要求。</w:t>
      </w:r>
      <w:r/>
    </w:p>
    <w:p>
      <w:pPr>
        <w:ind w:firstLine="480"/>
        <w:jc w:val="left"/>
        <w:spacing w:line="360" w:lineRule="auto"/>
        <w:widowControl/>
        <w:rPr>
          <w:rFonts w:ascii="宋体" w:hAnsi="宋体" w:cs="宋体"/>
          <w:color w:val="auto"/>
          <w:szCs w:val="21"/>
          <w:highlight w:val="none"/>
        </w:rPr>
      </w:pPr>
      <w:r>
        <w:rPr>
          <w:rFonts w:hint="eastAsia" w:ascii="宋体" w:hAnsi="宋体" w:cs="宋体"/>
          <w:color w:val="auto"/>
          <w:sz w:val="24"/>
          <w:highlight w:val="none"/>
        </w:rPr>
        <w:t xml:space="preserve">▲</w:t>
      </w:r>
      <w:r>
        <w:rPr>
          <w:rFonts w:hint="eastAsia" w:ascii="宋体" w:hAnsi="宋体" w:cs="宋体"/>
          <w:color w:val="auto"/>
          <w:szCs w:val="21"/>
          <w:highlight w:val="none"/>
        </w:rPr>
        <w:t xml:space="preserve">2.3 仪器是在有潜在易燃易爆气体的危险性环境中操作，应具有防爆安全性，至少具有防爆等级: Ex ic nA nC IIC T6 Gc</w:t>
      </w:r>
      <w:r>
        <w:rPr>
          <w:rFonts w:hint="eastAsia" w:ascii="宋体" w:hAnsi="宋体" w:cs="宋体"/>
          <w:b/>
          <w:bCs/>
          <w:color w:val="auto"/>
          <w:szCs w:val="21"/>
          <w:highlight w:val="none"/>
        </w:rPr>
        <w:t xml:space="preserve">（提供相关权威认证证书，扫描上传）</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2.4 镜头考虑防爆安全性，可以在危险区域现场更换</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2.5 仪器成熟可靠，在同类工况有实际应用</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2.6 成像模式：可见光模式，标准红外模式，增强红外模式。</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2.7 仪器内置中文操作系统。</w:t>
      </w:r>
      <w:r/>
    </w:p>
    <w:p>
      <w:pPr>
        <w:ind w:firstLine="480"/>
        <w:jc w:val="left"/>
        <w:spacing w:line="360" w:lineRule="auto"/>
        <w:widowControl/>
        <w:rPr>
          <w:rFonts w:ascii="宋体" w:hAnsi="宋体" w:cs="宋体"/>
          <w:color w:val="auto"/>
          <w:szCs w:val="21"/>
          <w:highlight w:val="none"/>
        </w:rPr>
      </w:pPr>
      <w:r>
        <w:rPr>
          <w:rFonts w:hint="eastAsia" w:ascii="宋体" w:hAnsi="宋体" w:cs="宋体"/>
          <w:color w:val="auto"/>
          <w:sz w:val="24"/>
          <w:highlight w:val="none"/>
        </w:rPr>
        <w:t xml:space="preserve">▲</w:t>
      </w:r>
      <w:r>
        <w:rPr>
          <w:rFonts w:hint="eastAsia" w:ascii="宋体" w:hAnsi="宋体" w:cs="宋体"/>
          <w:color w:val="auto"/>
          <w:szCs w:val="21"/>
          <w:highlight w:val="none"/>
        </w:rPr>
        <w:t xml:space="preserve">2.8 高灵敏度碲镉汞（MCT）检测器，光谱范围3.1-4.3μm</w:t>
      </w:r>
      <w:r>
        <w:rPr>
          <w:rFonts w:hint="eastAsia" w:ascii="宋体" w:hAnsi="宋体" w:cs="宋体"/>
          <w:b/>
          <w:bCs/>
          <w:color w:val="auto"/>
          <w:szCs w:val="21"/>
          <w:highlight w:val="none"/>
        </w:rPr>
        <w:t xml:space="preserve">（提供相关证明材料，扫描上传）</w:t>
      </w:r>
      <w:r>
        <w:rPr>
          <w:rFonts w:hint="eastAsia" w:ascii="宋体" w:hAnsi="宋体" w:cs="宋体"/>
          <w:color w:val="auto"/>
          <w:szCs w:val="21"/>
          <w:highlight w:val="none"/>
        </w:rPr>
        <w:t xml:space="preserve">。</w:t>
      </w:r>
      <w:r/>
    </w:p>
    <w:p>
      <w:pPr>
        <w:ind w:firstLine="420"/>
        <w:jc w:val="left"/>
        <w:spacing w:line="360" w:lineRule="auto"/>
        <w:widowControl/>
        <w:rPr>
          <w:rFonts w:ascii="宋体" w:hAnsi="宋体" w:cs="宋体"/>
          <w:i/>
          <w:iCs/>
          <w:color w:val="auto"/>
          <w:szCs w:val="21"/>
          <w:highlight w:val="none"/>
          <w:u w:val="single"/>
        </w:rPr>
      </w:pPr>
      <w:r>
        <w:rPr>
          <w:rFonts w:hint="eastAsia" w:ascii="宋体" w:hAnsi="宋体" w:cs="宋体"/>
          <w:color w:val="auto"/>
          <w:szCs w:val="21"/>
          <w:highlight w:val="none"/>
        </w:rPr>
        <w:t xml:space="preserve">▲2.9 防水防尘等级≥IP65，可以全天候使用</w:t>
      </w:r>
      <w:r>
        <w:rPr>
          <w:rFonts w:hint="eastAsia" w:ascii="宋体" w:hAnsi="宋体" w:cs="宋体"/>
          <w:b/>
          <w:bCs/>
          <w:color w:val="auto"/>
          <w:szCs w:val="21"/>
          <w:highlight w:val="none"/>
        </w:rPr>
        <w:t xml:space="preserve">（提供相关证明材料，扫描上传）</w:t>
      </w:r>
      <w:r>
        <w:rPr>
          <w:rFonts w:hint="eastAsia" w:ascii="宋体" w:hAnsi="宋体" w:cs="宋体"/>
          <w:color w:val="auto"/>
          <w:szCs w:val="21"/>
          <w:highlight w:val="none"/>
        </w:rPr>
        <w:t xml:space="preserve">。</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2.10 仪器可以显示便携式VOCs检测仪传输的实时数据，图像上显示PID 和FID数值，对于不可达点，仪器提供红外检测实时排放浓度。</w:t>
      </w:r>
      <w:r/>
    </w:p>
    <w:p>
      <w:pPr>
        <w:ind w:firstLine="480"/>
        <w:jc w:val="left"/>
        <w:spacing w:line="360" w:lineRule="auto"/>
        <w:widowControl/>
        <w:rPr>
          <w:rFonts w:ascii="宋体" w:hAnsi="宋体" w:cs="宋体"/>
          <w:color w:val="auto"/>
          <w:szCs w:val="21"/>
          <w:highlight w:val="none"/>
        </w:rPr>
      </w:pPr>
      <w:r>
        <w:rPr>
          <w:rFonts w:hint="eastAsia" w:ascii="宋体" w:hAnsi="宋体" w:cs="宋体"/>
          <w:color w:val="auto"/>
          <w:sz w:val="24"/>
          <w:highlight w:val="none"/>
        </w:rPr>
        <w:t xml:space="preserve">▲</w:t>
      </w:r>
      <w:r>
        <w:rPr>
          <w:rFonts w:hint="eastAsia" w:ascii="宋体" w:hAnsi="宋体" w:cs="宋体"/>
          <w:color w:val="auto"/>
          <w:szCs w:val="21"/>
          <w:highlight w:val="none"/>
        </w:rPr>
        <w:t xml:space="preserve">2.11 视频存储器64GB以上，选用安全可靠的固态硬盘存储方式。</w:t>
      </w:r>
      <w:r/>
    </w:p>
    <w:p>
      <w:pPr>
        <w:ind w:firstLine="480"/>
        <w:jc w:val="left"/>
        <w:spacing w:line="360" w:lineRule="auto"/>
        <w:widowControl/>
        <w:rPr>
          <w:rFonts w:ascii="宋体" w:hAnsi="宋体" w:cs="宋体"/>
          <w:color w:val="auto"/>
          <w:szCs w:val="21"/>
          <w:highlight w:val="none"/>
        </w:rPr>
      </w:pPr>
      <w:r>
        <w:rPr>
          <w:rFonts w:hint="eastAsia" w:ascii="宋体" w:hAnsi="宋体" w:cs="宋体"/>
          <w:color w:val="auto"/>
          <w:sz w:val="24"/>
          <w:highlight w:val="none"/>
        </w:rPr>
        <w:t xml:space="preserve">▲</w:t>
      </w:r>
      <w:r>
        <w:rPr>
          <w:rFonts w:hint="eastAsia" w:ascii="宋体" w:hAnsi="宋体" w:cs="宋体"/>
          <w:color w:val="auto"/>
          <w:szCs w:val="21"/>
          <w:highlight w:val="none"/>
        </w:rPr>
        <w:t xml:space="preserve">2.12 内置WIFI，防爆手机或者电脑可以通过WIFI实时同步查看成像视频。</w:t>
      </w:r>
      <w:r/>
    </w:p>
    <w:p>
      <w:pPr>
        <w:ind w:firstLine="480"/>
        <w:jc w:val="left"/>
        <w:spacing w:line="360" w:lineRule="auto"/>
        <w:widowControl/>
        <w:rPr>
          <w:rFonts w:ascii="宋体" w:hAnsi="宋体" w:cs="宋体"/>
          <w:color w:val="auto"/>
          <w:szCs w:val="21"/>
          <w:highlight w:val="none"/>
        </w:rPr>
      </w:pPr>
      <w:r>
        <w:rPr>
          <w:rFonts w:hint="eastAsia" w:ascii="宋体" w:hAnsi="宋体" w:cs="宋体"/>
          <w:color w:val="auto"/>
          <w:sz w:val="24"/>
          <w:highlight w:val="none"/>
        </w:rPr>
        <w:t xml:space="preserve">▲</w:t>
      </w:r>
      <w:r>
        <w:rPr>
          <w:rFonts w:hint="eastAsia" w:ascii="宋体" w:hAnsi="宋体" w:cs="宋体"/>
          <w:color w:val="auto"/>
          <w:szCs w:val="21"/>
          <w:highlight w:val="none"/>
        </w:rPr>
        <w:t xml:space="preserve">2.13热灵敏度&lt;10mk@25℃</w:t>
      </w:r>
      <w:r>
        <w:rPr>
          <w:rFonts w:hint="eastAsia" w:ascii="宋体" w:hAnsi="宋体" w:cs="宋体"/>
          <w:b/>
          <w:bCs/>
          <w:color w:val="auto"/>
          <w:szCs w:val="21"/>
          <w:highlight w:val="none"/>
        </w:rPr>
        <w:t xml:space="preserve">（提供相关证明材料，扫描上传）</w:t>
      </w:r>
      <w:r>
        <w:rPr>
          <w:rFonts w:hint="eastAsia" w:ascii="宋体" w:hAnsi="宋体" w:cs="宋体"/>
          <w:color w:val="auto"/>
          <w:szCs w:val="21"/>
          <w:highlight w:val="none"/>
        </w:rPr>
        <w:t xml:space="preserve">。</w:t>
      </w:r>
      <w:r/>
    </w:p>
    <w:p>
      <w:pPr>
        <w:ind w:firstLine="480"/>
        <w:jc w:val="left"/>
        <w:spacing w:line="360" w:lineRule="auto"/>
        <w:widowControl/>
        <w:rPr>
          <w:rFonts w:ascii="宋体" w:hAnsi="宋体" w:cs="宋体"/>
          <w:color w:val="auto"/>
          <w:szCs w:val="21"/>
          <w:highlight w:val="none"/>
        </w:rPr>
      </w:pPr>
      <w:r>
        <w:rPr>
          <w:rFonts w:hint="eastAsia" w:ascii="宋体" w:hAnsi="宋体" w:cs="宋体"/>
          <w:color w:val="auto"/>
          <w:sz w:val="24"/>
          <w:highlight w:val="none"/>
        </w:rPr>
        <w:t xml:space="preserve">▲</w:t>
      </w:r>
      <w:r>
        <w:rPr>
          <w:rFonts w:hint="eastAsia" w:ascii="宋体" w:hAnsi="宋体" w:cs="宋体"/>
          <w:color w:val="auto"/>
          <w:szCs w:val="21"/>
          <w:highlight w:val="none"/>
        </w:rPr>
        <w:t xml:space="preserve">2.14电池：仪器正常工作时，单块电池连续使用4.5小时以上@25℃。电池具有正负极电极和安全判断电极，不连通仪器不供电</w:t>
      </w:r>
      <w:r>
        <w:rPr>
          <w:rFonts w:hint="eastAsia" w:ascii="宋体" w:hAnsi="宋体" w:cs="宋体"/>
          <w:b/>
          <w:bCs/>
          <w:color w:val="auto"/>
          <w:szCs w:val="21"/>
          <w:highlight w:val="none"/>
        </w:rPr>
        <w:t xml:space="preserve">（提供相关证明材料，扫描上传）</w:t>
      </w:r>
      <w:r>
        <w:rPr>
          <w:rFonts w:hint="eastAsia" w:ascii="宋体" w:hAnsi="宋体" w:cs="宋体"/>
          <w:color w:val="auto"/>
          <w:szCs w:val="21"/>
          <w:highlight w:val="none"/>
        </w:rPr>
        <w:t xml:space="preserve">。</w:t>
      </w:r>
      <w:r/>
    </w:p>
    <w:p>
      <w:pPr>
        <w:ind w:firstLine="480"/>
        <w:jc w:val="left"/>
        <w:spacing w:line="360" w:lineRule="auto"/>
        <w:widowControl/>
        <w:rPr>
          <w:rFonts w:ascii="宋体" w:hAnsi="宋体" w:cs="宋体"/>
          <w:color w:val="auto"/>
          <w:szCs w:val="21"/>
          <w:highlight w:val="none"/>
        </w:rPr>
      </w:pPr>
      <w:r>
        <w:rPr>
          <w:rFonts w:hint="eastAsia" w:ascii="宋体" w:hAnsi="宋体" w:cs="宋体"/>
          <w:color w:val="auto"/>
          <w:sz w:val="24"/>
          <w:highlight w:val="none"/>
        </w:rPr>
        <w:t xml:space="preserve">▲</w:t>
      </w:r>
      <w:r>
        <w:rPr>
          <w:rFonts w:hint="eastAsia" w:ascii="宋体" w:hAnsi="宋体" w:cs="宋体"/>
          <w:color w:val="auto"/>
          <w:szCs w:val="21"/>
          <w:highlight w:val="none"/>
        </w:rPr>
        <w:t xml:space="preserve">2.15 红外检测器像素：</w:t>
      </w:r>
      <w:r>
        <w:rPr>
          <w:rFonts w:ascii="Arial" w:hAnsi="Arial" w:cs="Arial"/>
          <w:color w:val="auto"/>
          <w:szCs w:val="21"/>
          <w:highlight w:val="none"/>
        </w:rPr>
        <w:t xml:space="preserve">≥</w:t>
      </w:r>
      <w:r>
        <w:rPr>
          <w:rFonts w:hint="eastAsia" w:ascii="宋体" w:hAnsi="宋体" w:cs="宋体"/>
          <w:color w:val="auto"/>
          <w:szCs w:val="21"/>
          <w:highlight w:val="none"/>
        </w:rPr>
        <w:t xml:space="preserve">320×240。</w:t>
      </w:r>
      <w:r/>
    </w:p>
    <w:p>
      <w:pPr>
        <w:pStyle w:val="745"/>
        <w:ind w:firstLine="480"/>
        <w:rPr>
          <w:rFonts w:ascii="宋体" w:hAnsi="宋体" w:cs="宋体"/>
          <w:color w:val="auto"/>
          <w:szCs w:val="21"/>
          <w:highlight w:val="none"/>
        </w:rPr>
      </w:pPr>
      <w:r>
        <w:rPr>
          <w:rFonts w:hint="eastAsia" w:ascii="宋体" w:hAnsi="宋体" w:cs="宋体"/>
          <w:color w:val="auto"/>
          <w:sz w:val="24"/>
          <w:highlight w:val="none"/>
        </w:rPr>
        <w:t xml:space="preserve">▲</w:t>
      </w:r>
      <w:r>
        <w:rPr>
          <w:rFonts w:hint="eastAsia" w:ascii="宋体" w:hAnsi="宋体" w:cs="宋体"/>
          <w:color w:val="auto"/>
          <w:szCs w:val="21"/>
          <w:highlight w:val="none"/>
        </w:rPr>
        <w:t xml:space="preserve">2.16 显示器：内置彩色液晶显示屏，</w:t>
      </w:r>
      <w:r>
        <w:rPr>
          <w:rFonts w:ascii="Arial" w:hAnsi="Arial" w:cs="Arial"/>
          <w:color w:val="auto"/>
          <w:szCs w:val="21"/>
          <w:highlight w:val="none"/>
        </w:rPr>
        <w:t xml:space="preserve">≥</w:t>
      </w:r>
      <w:r>
        <w:rPr>
          <w:rFonts w:hint="eastAsia" w:ascii="宋体" w:hAnsi="宋体" w:cs="宋体"/>
          <w:color w:val="auto"/>
          <w:szCs w:val="21"/>
          <w:highlight w:val="none"/>
        </w:rPr>
        <w:t xml:space="preserve">640×480像素。</w:t>
      </w:r>
      <w:r/>
    </w:p>
    <w:p>
      <w:pPr>
        <w:ind w:firstLine="480"/>
        <w:jc w:val="left"/>
        <w:spacing w:line="360" w:lineRule="auto"/>
        <w:widowControl/>
        <w:rPr>
          <w:rFonts w:ascii="宋体" w:hAnsi="宋体" w:cs="宋体"/>
          <w:color w:val="auto"/>
          <w:szCs w:val="21"/>
          <w:highlight w:val="none"/>
        </w:rPr>
      </w:pPr>
      <w:r>
        <w:rPr>
          <w:rFonts w:hint="eastAsia" w:ascii="宋体" w:hAnsi="宋体" w:cs="宋体"/>
          <w:color w:val="auto"/>
          <w:sz w:val="24"/>
          <w:highlight w:val="none"/>
        </w:rPr>
        <w:t xml:space="preserve">▲</w:t>
      </w:r>
      <w:r>
        <w:rPr>
          <w:rFonts w:hint="eastAsia" w:ascii="宋体" w:hAnsi="宋体" w:cs="宋体"/>
          <w:color w:val="auto"/>
          <w:szCs w:val="21"/>
          <w:highlight w:val="none"/>
        </w:rPr>
        <w:t xml:space="preserve">2.17 防爆使用温度范围：-20℃至+50℃。</w:t>
      </w:r>
      <w:r/>
    </w:p>
    <w:p>
      <w:pPr>
        <w:ind w:firstLine="480"/>
        <w:jc w:val="left"/>
        <w:spacing w:line="360" w:lineRule="auto"/>
        <w:widowControl/>
        <w:rPr>
          <w:rFonts w:ascii="宋体" w:hAnsi="宋体" w:cs="宋体"/>
          <w:color w:val="auto"/>
          <w:szCs w:val="21"/>
          <w:highlight w:val="none"/>
        </w:rPr>
      </w:pPr>
      <w:r>
        <w:rPr>
          <w:rFonts w:hint="eastAsia" w:ascii="宋体" w:hAnsi="宋体" w:cs="宋体"/>
          <w:color w:val="auto"/>
          <w:sz w:val="24"/>
          <w:highlight w:val="none"/>
        </w:rPr>
        <w:t xml:space="preserve">▲</w:t>
      </w:r>
      <w:r>
        <w:rPr>
          <w:rFonts w:hint="eastAsia" w:ascii="宋体" w:hAnsi="宋体" w:cs="宋体"/>
          <w:color w:val="auto"/>
          <w:szCs w:val="21"/>
          <w:highlight w:val="none"/>
        </w:rPr>
        <w:t xml:space="preserve">2.18 可检测气体至少包括：甲烷，乙酸，苯，丁二烯，丁烯，丁烷，二甲基苯，乙烷，乙烯，乙苯，环氧乙烷，己烷，庚烷，异丁烯，异丙醇，异戊二烯，甲醇，甲基乙基酮，辛烷，戊烯，丙烷，丙醛等挥发性有机物。</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2.19 测温范围：-20~+350℃。</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2.20 测温准确度：最大值±1˚C（0–100˚C）、±2%（&gt;100˚C）、±2˚C（-20 - 0˚C）。</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2.21 镜头：f/1.1；18°×14°；30mm镜头；手动调焦。</w:t>
      </w:r>
      <w:r/>
    </w:p>
    <w:p>
      <w:pPr>
        <w:ind w:firstLine="480"/>
        <w:jc w:val="left"/>
        <w:spacing w:line="360" w:lineRule="auto"/>
        <w:widowControl/>
        <w:rPr>
          <w:rFonts w:ascii="宋体" w:hAnsi="宋体" w:cs="宋体"/>
          <w:i/>
          <w:iCs/>
          <w:color w:val="auto"/>
          <w:szCs w:val="21"/>
          <w:highlight w:val="none"/>
          <w:u w:val="single"/>
        </w:rPr>
      </w:pPr>
      <w:r>
        <w:rPr>
          <w:rFonts w:ascii="微软雅黑" w:hAnsi="微软雅黑" w:eastAsia="微软雅黑" w:cs="Segoe UI Symbol"/>
          <w:i/>
          <w:iCs/>
          <w:color w:val="auto"/>
          <w:sz w:val="24"/>
          <w:highlight w:val="none"/>
          <w:u w:val="single"/>
        </w:rPr>
        <w:t xml:space="preserve">★</w:t>
      </w:r>
      <w:r>
        <w:rPr>
          <w:rFonts w:hint="eastAsia" w:ascii="宋体" w:hAnsi="宋体" w:cs="宋体"/>
          <w:i/>
          <w:iCs/>
          <w:color w:val="auto"/>
          <w:szCs w:val="21"/>
          <w:highlight w:val="none"/>
          <w:u w:val="single"/>
        </w:rPr>
        <w:t xml:space="preserve">2.22 重量：≤2.8kg</w:t>
      </w:r>
      <w:r>
        <w:rPr>
          <w:rFonts w:hint="eastAsia" w:ascii="宋体" w:hAnsi="宋体" w:cs="宋体"/>
          <w:b/>
          <w:bCs/>
          <w:i/>
          <w:iCs/>
          <w:color w:val="auto"/>
          <w:szCs w:val="21"/>
          <w:highlight w:val="none"/>
          <w:u w:val="single"/>
        </w:rPr>
        <w:t xml:space="preserve">（提供相关证明材料，扫描上传）</w:t>
      </w:r>
      <w:r>
        <w:rPr>
          <w:rFonts w:hint="eastAsia" w:ascii="宋体" w:hAnsi="宋体" w:cs="宋体"/>
          <w:i/>
          <w:iCs/>
          <w:color w:val="auto"/>
          <w:szCs w:val="21"/>
          <w:highlight w:val="none"/>
          <w:u w:val="single"/>
        </w:rPr>
        <w:t xml:space="preserve">。</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2.23 GPS：内置。</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2.24 录像文件格式：ts高清格式。</w:t>
      </w:r>
      <w:r/>
    </w:p>
    <w:p>
      <w:pPr>
        <w:ind w:firstLine="480"/>
        <w:jc w:val="left"/>
        <w:spacing w:line="360" w:lineRule="auto"/>
        <w:widowControl/>
        <w:rPr>
          <w:rFonts w:ascii="宋体" w:hAnsi="宋体" w:cs="宋体"/>
          <w:color w:val="auto"/>
          <w:szCs w:val="21"/>
          <w:highlight w:val="none"/>
        </w:rPr>
      </w:pPr>
      <w:r>
        <w:rPr>
          <w:rFonts w:hint="eastAsia" w:ascii="宋体" w:hAnsi="宋体" w:cs="宋体"/>
          <w:color w:val="auto"/>
          <w:sz w:val="24"/>
          <w:highlight w:val="none"/>
        </w:rPr>
        <w:t xml:space="preserve">▲</w:t>
      </w:r>
      <w:r>
        <w:rPr>
          <w:rFonts w:hint="eastAsia" w:ascii="宋体" w:hAnsi="宋体" w:cs="宋体"/>
          <w:color w:val="auto"/>
          <w:szCs w:val="21"/>
          <w:highlight w:val="none"/>
        </w:rPr>
        <w:t xml:space="preserve">2.25 仪器主机一体化设计，屏幕不可旋转或翻转。 </w:t>
      </w:r>
      <w:r>
        <w:rPr>
          <w:rFonts w:hint="eastAsia" w:ascii="宋体" w:hAnsi="宋体" w:cs="宋体"/>
          <w:b/>
          <w:bCs/>
          <w:color w:val="auto"/>
          <w:szCs w:val="21"/>
          <w:highlight w:val="none"/>
        </w:rPr>
        <w:t xml:space="preserve">（提供实物照片证明）</w:t>
      </w:r>
      <w:r/>
    </w:p>
    <w:p>
      <w:pPr>
        <w:ind w:firstLine="422"/>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（七）便携式GC-MS分析仪</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1、设备用途</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主要用于应急监测中现场快速测定空气/水中挥发性有机物。主要功能需求包括仪器便携，单人可操作；稳定抗震，可实现边走边测；现场可直接富集解析，可在5至20分钟内得到定性和半定量结果；需配置气体采样探头监测空气挥发性有机物，配置顶空进样器监测水中挥发性有机物；应具备数据采集与分析、样品定性和定量测定、报告制作、实时显示、谱库建立和检索等功能。</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2、技术参数要求</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所投产品需提供相关认证资料，如环境适应性认证、防震性测试认证证明材料等。</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2.1性能参数要求</w:t>
      </w:r>
      <w:r/>
    </w:p>
    <w:p>
      <w:pPr>
        <w:ind w:firstLine="48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2.1.1空气样品测定：硬件上应具有热脱附功能，针对空气中的VOCs进行富集浓缩解析进入GCMS，软件上内置TO15的65组分的定量标准曲线，可进行精确的定性定量分析，且符合HJ1223-2021《环境空气 挥发性有机物应急测定 便携式气相色谱-质谱法》等国标方法的要求。</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水质样品测定：硬件上须具备做水样必需的动静态顶空进样器及相关的备品备件，软件上内置EPA8260中水中54项VOCs的定量标准曲线，可进行精确的定性定量分析，且符合HJ1227-2021《水质挥发性有机物的测定 便携式顶空气相色谱-质谱法》的要求。</w:t>
      </w:r>
      <w:r/>
    </w:p>
    <w:p>
      <w:pPr>
        <w:ind w:firstLine="480"/>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cs="宋体"/>
          <w:i/>
          <w:iCs/>
          <w:color w:val="auto"/>
          <w:sz w:val="24"/>
          <w:highlight w:val="none"/>
          <w:u w:val="single"/>
          <w:lang w:val="en-US" w:eastAsia="zh-CN"/>
        </w:rPr>
        <w:t xml:space="preserve">★</w:t>
      </w:r>
      <w:r>
        <w:rPr>
          <w:rFonts w:hint="eastAsia" w:ascii="宋体" w:hAnsi="宋体" w:eastAsia="宋体" w:cs="宋体"/>
          <w:b w:val="0"/>
          <w:bCs w:val="0"/>
          <w:i/>
          <w:iCs/>
          <w:color w:val="auto"/>
          <w:sz w:val="21"/>
          <w:szCs w:val="21"/>
          <w:highlight w:val="none"/>
          <w:u w:val="single"/>
          <w:lang w:val="en-US" w:eastAsia="zh-CN"/>
        </w:rPr>
        <w:t xml:space="preserve">2.1.2具备单质谱直接进样模式和气相色谱质谱联用分析模式：单质谱直接进样模式为样品可不通过气相色谱直接进入质谱分析，可快速判断现场污染状况；直接进样质谱模式分析时间≤5s。气相色谱质谱联用分析模式为样品进入内置复合吸附剂的捕集阱吸附浓缩再热解析进入气相色谱质谱分析，气质联用模式分析时间≤15min。</w:t>
      </w:r>
      <w:r>
        <w:rPr>
          <w:rFonts w:hint="eastAsia" w:ascii="宋体" w:hAnsi="宋体" w:eastAsia="宋体" w:cs="宋体"/>
          <w:b/>
          <w:bCs/>
          <w:i/>
          <w:iCs/>
          <w:color w:val="auto"/>
          <w:sz w:val="21"/>
          <w:szCs w:val="21"/>
          <w:highlight w:val="none"/>
          <w:u w:val="single"/>
          <w:lang w:val="en-US" w:eastAsia="zh-CN"/>
        </w:rPr>
        <w:t xml:space="preserve">（提供产品介绍或仪器说明书等证明材料，扫描上传）</w:t>
      </w:r>
      <w:r/>
    </w:p>
    <w:p>
      <w:pPr>
        <w:ind w:firstLine="480"/>
        <w:jc w:val="left"/>
        <w:keepLines w:val="0"/>
        <w:keepNext w:val="0"/>
        <w:pageBreakBefore w:val="0"/>
        <w:spacing w:line="360" w:lineRule="auto"/>
        <w:widowControl/>
        <w:rPr>
          <w:rFonts w:hint="eastAsia" w:ascii="宋体" w:hAnsi="宋体" w:eastAsia="宋体" w:cs="宋体"/>
          <w:b/>
          <w:bCs/>
          <w:i/>
          <w:iCs/>
          <w:color w:val="auto"/>
          <w:sz w:val="21"/>
          <w:szCs w:val="21"/>
          <w:highlight w:val="none"/>
          <w:u w:val="single"/>
          <w:lang w:val="en-US" w:eastAsia="zh-CN"/>
        </w:rPr>
      </w:pPr>
      <w:r>
        <w:rPr>
          <w:rFonts w:hint="eastAsia" w:ascii="宋体" w:hAnsi="宋体" w:cs="宋体"/>
          <w:i/>
          <w:iCs/>
          <w:color w:val="auto"/>
          <w:sz w:val="24"/>
          <w:highlight w:val="none"/>
          <w:u w:val="single"/>
          <w:lang w:val="en-US" w:eastAsia="zh-CN"/>
        </w:rPr>
        <w:t xml:space="preserve">★</w:t>
      </w:r>
      <w:r>
        <w:rPr>
          <w:rFonts w:hint="eastAsia" w:ascii="宋体" w:hAnsi="宋体" w:eastAsia="宋体" w:cs="宋体"/>
          <w:b w:val="0"/>
          <w:bCs w:val="0"/>
          <w:i/>
          <w:iCs/>
          <w:color w:val="auto"/>
          <w:sz w:val="21"/>
          <w:szCs w:val="21"/>
          <w:highlight w:val="none"/>
          <w:u w:val="single"/>
          <w:lang w:val="en-US" w:eastAsia="zh-CN"/>
        </w:rPr>
        <w:t xml:space="preserve">2.1.3真空系统：采用非</w:t>
      </w:r>
      <w:r>
        <w:rPr>
          <w:rFonts w:hint="eastAsia" w:ascii="宋体" w:hAnsi="宋体" w:cs="宋体"/>
          <w:b w:val="0"/>
          <w:bCs w:val="0"/>
          <w:i/>
          <w:iCs/>
          <w:color w:val="auto"/>
          <w:sz w:val="21"/>
          <w:szCs w:val="21"/>
          <w:highlight w:val="none"/>
          <w:u w:val="single"/>
          <w:lang w:val="en-US" w:eastAsia="zh-CN"/>
        </w:rPr>
        <w:t xml:space="preserve">机械</w:t>
      </w:r>
      <w:r>
        <w:rPr>
          <w:rFonts w:hint="eastAsia" w:ascii="宋体" w:hAnsi="宋体" w:eastAsia="宋体" w:cs="宋体"/>
          <w:b w:val="0"/>
          <w:bCs w:val="0"/>
          <w:i/>
          <w:iCs/>
          <w:color w:val="auto"/>
          <w:sz w:val="21"/>
          <w:szCs w:val="21"/>
          <w:highlight w:val="none"/>
          <w:u w:val="single"/>
          <w:lang w:val="en-US" w:eastAsia="zh-CN"/>
        </w:rPr>
        <w:t xml:space="preserve">泵，真空系统适应震动、高尘、高湿等各种恶劣环境，关机状态下保持高真空状态（真空满足质谱工作状态），针对应急响应无需等待抽真空。</w:t>
      </w:r>
      <w:r>
        <w:rPr>
          <w:rFonts w:hint="eastAsia" w:ascii="宋体" w:hAnsi="宋体" w:eastAsia="宋体" w:cs="宋体"/>
          <w:b/>
          <w:bCs/>
          <w:i/>
          <w:iCs/>
          <w:color w:val="auto"/>
          <w:sz w:val="21"/>
          <w:szCs w:val="21"/>
          <w:highlight w:val="none"/>
          <w:u w:val="single"/>
          <w:lang w:val="en-US" w:eastAsia="zh-CN"/>
        </w:rPr>
        <w:t xml:space="preserve">（</w:t>
      </w:r>
      <w:r>
        <w:rPr>
          <w:rFonts w:hint="eastAsia" w:ascii="宋体" w:hAnsi="宋体" w:eastAsia="宋体" w:cs="宋体"/>
          <w:b/>
          <w:bCs/>
          <w:i/>
          <w:iCs/>
          <w:strike w:val="0"/>
          <w:color w:val="auto"/>
          <w:sz w:val="21"/>
          <w:szCs w:val="21"/>
          <w:highlight w:val="none"/>
          <w:u w:val="single"/>
          <w:lang w:val="en-US" w:eastAsia="zh-CN"/>
        </w:rPr>
        <w:t xml:space="preserve">提供产品介绍</w:t>
      </w:r>
      <w:r>
        <w:rPr>
          <w:rFonts w:hint="eastAsia" w:ascii="宋体" w:hAnsi="宋体" w:cs="宋体"/>
          <w:b/>
          <w:bCs/>
          <w:i/>
          <w:iCs/>
          <w:strike w:val="0"/>
          <w:color w:val="auto"/>
          <w:sz w:val="21"/>
          <w:szCs w:val="21"/>
          <w:highlight w:val="none"/>
          <w:u w:val="single"/>
          <w:lang w:val="en-US" w:eastAsia="zh-CN"/>
        </w:rPr>
        <w:t xml:space="preserve">（</w:t>
      </w:r>
      <w:r>
        <w:rPr>
          <w:rFonts w:hint="eastAsia" w:ascii="宋体" w:hAnsi="宋体" w:eastAsia="宋体" w:cs="宋体"/>
          <w:b/>
          <w:bCs/>
          <w:i/>
          <w:iCs/>
          <w:strike w:val="0"/>
          <w:color w:val="auto"/>
          <w:sz w:val="21"/>
          <w:szCs w:val="21"/>
          <w:highlight w:val="none"/>
          <w:u w:val="single"/>
          <w:lang w:val="en-US" w:eastAsia="zh-CN"/>
        </w:rPr>
        <w:t xml:space="preserve">或说明书</w:t>
      </w:r>
      <w:r>
        <w:rPr>
          <w:rFonts w:hint="eastAsia" w:ascii="宋体" w:hAnsi="宋体" w:cs="宋体"/>
          <w:b/>
          <w:bCs/>
          <w:i/>
          <w:iCs/>
          <w:strike w:val="0"/>
          <w:color w:val="auto"/>
          <w:sz w:val="21"/>
          <w:szCs w:val="21"/>
          <w:highlight w:val="none"/>
          <w:u w:val="single"/>
          <w:lang w:val="en-US" w:eastAsia="zh-CN"/>
        </w:rPr>
        <w:t xml:space="preserve">）</w:t>
      </w:r>
      <w:r>
        <w:rPr>
          <w:rFonts w:hint="eastAsia" w:ascii="宋体" w:hAnsi="宋体" w:eastAsia="宋体" w:cs="宋体"/>
          <w:b/>
          <w:bCs/>
          <w:i/>
          <w:iCs/>
          <w:strike w:val="0"/>
          <w:color w:val="auto"/>
          <w:sz w:val="21"/>
          <w:szCs w:val="21"/>
          <w:highlight w:val="none"/>
          <w:u w:val="single"/>
          <w:lang w:val="en-US" w:eastAsia="zh-CN"/>
        </w:rPr>
        <w:t xml:space="preserve">及环境适应性认证、防震性测试认证等证明材料，扫描上传</w:t>
      </w:r>
      <w:r>
        <w:rPr>
          <w:rFonts w:hint="eastAsia" w:ascii="宋体" w:hAnsi="宋体" w:eastAsia="宋体" w:cs="宋体"/>
          <w:b/>
          <w:bCs/>
          <w:i/>
          <w:iCs/>
          <w:color w:val="auto"/>
          <w:sz w:val="21"/>
          <w:szCs w:val="21"/>
          <w:highlight w:val="none"/>
          <w:u w:val="single"/>
          <w:lang w:val="en-US" w:eastAsia="zh-CN"/>
        </w:rPr>
        <w:t xml:space="preserve">）</w:t>
      </w:r>
      <w:r/>
    </w:p>
    <w:p>
      <w:pPr>
        <w:ind w:firstLine="480"/>
        <w:jc w:val="left"/>
        <w:keepLines w:val="0"/>
        <w:keepNext w:val="0"/>
        <w:pageBreakBefore w:val="0"/>
        <w:spacing w:line="360" w:lineRule="auto"/>
        <w:widowControl/>
        <w:rPr>
          <w:rFonts w:hint="eastAsia" w:ascii="宋体" w:hAnsi="宋体" w:eastAsia="宋体" w:cs="宋体"/>
          <w:b/>
          <w:bCs/>
          <w:i/>
          <w:iCs/>
          <w:color w:val="auto"/>
          <w:sz w:val="21"/>
          <w:szCs w:val="21"/>
          <w:highlight w:val="none"/>
          <w:u w:val="single"/>
          <w:lang w:val="en-US" w:eastAsia="zh-CN"/>
        </w:rPr>
      </w:pPr>
      <w:r>
        <w:rPr>
          <w:rFonts w:hint="eastAsia" w:ascii="宋体" w:hAnsi="宋体" w:cs="宋体"/>
          <w:i/>
          <w:iCs/>
          <w:color w:val="auto"/>
          <w:sz w:val="24"/>
          <w:highlight w:val="none"/>
          <w:u w:val="single"/>
          <w:lang w:val="en-US" w:eastAsia="zh-CN"/>
        </w:rPr>
        <w:t xml:space="preserve">★</w:t>
      </w:r>
      <w:r>
        <w:rPr>
          <w:rFonts w:hint="eastAsia" w:ascii="宋体" w:hAnsi="宋体" w:eastAsia="宋体" w:cs="宋体"/>
          <w:b w:val="0"/>
          <w:bCs w:val="0"/>
          <w:i/>
          <w:iCs/>
          <w:color w:val="auto"/>
          <w:sz w:val="21"/>
          <w:szCs w:val="21"/>
          <w:highlight w:val="none"/>
          <w:u w:val="single"/>
          <w:lang w:val="en-US" w:eastAsia="zh-CN"/>
        </w:rPr>
        <w:t xml:space="preserve">2.1.4质量分析器：可精准匹配NIST谱库的四极杆质量分析器。</w:t>
      </w:r>
      <w:r>
        <w:rPr>
          <w:rFonts w:hint="eastAsia" w:ascii="宋体" w:hAnsi="宋体" w:eastAsia="宋体" w:cs="宋体"/>
          <w:b/>
          <w:bCs/>
          <w:i/>
          <w:iCs/>
          <w:color w:val="auto"/>
          <w:sz w:val="21"/>
          <w:szCs w:val="21"/>
          <w:highlight w:val="none"/>
          <w:u w:val="single"/>
          <w:lang w:val="en-US" w:eastAsia="zh-CN"/>
        </w:rPr>
        <w:t xml:space="preserve">（</w:t>
      </w:r>
      <w:r>
        <w:rPr>
          <w:rFonts w:hint="eastAsia" w:ascii="宋体" w:hAnsi="宋体" w:eastAsia="宋体" w:cs="宋体"/>
          <w:b/>
          <w:bCs/>
          <w:i/>
          <w:iCs/>
          <w:strike w:val="0"/>
          <w:color w:val="auto"/>
          <w:sz w:val="21"/>
          <w:szCs w:val="21"/>
          <w:highlight w:val="none"/>
          <w:u w:val="single"/>
          <w:lang w:val="en-US" w:eastAsia="zh-CN"/>
        </w:rPr>
        <w:t xml:space="preserve">提供产品介绍或说明书等证明材料，扫描上传</w:t>
      </w:r>
      <w:r>
        <w:rPr>
          <w:rFonts w:hint="eastAsia" w:ascii="宋体" w:hAnsi="宋体" w:eastAsia="宋体" w:cs="宋体"/>
          <w:b/>
          <w:bCs/>
          <w:i/>
          <w:iCs/>
          <w:color w:val="auto"/>
          <w:sz w:val="21"/>
          <w:szCs w:val="21"/>
          <w:highlight w:val="none"/>
          <w:u w:val="single"/>
          <w:lang w:val="en-US" w:eastAsia="zh-CN"/>
        </w:rPr>
        <w:t xml:space="preserve">）</w:t>
      </w:r>
      <w:r/>
    </w:p>
    <w:p>
      <w:pPr>
        <w:ind w:firstLine="480"/>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2.1.5仪器集成度满足应急监测需求，电池、载气瓶、内标气瓶、色谱、质谱及真空系统内置于同一机箱内。</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strike w:val="0"/>
          <w:color w:val="auto"/>
          <w:sz w:val="21"/>
          <w:szCs w:val="21"/>
          <w:highlight w:val="none"/>
          <w:lang w:val="en-US" w:eastAsia="zh-CN"/>
        </w:rPr>
        <w:t xml:space="preserve">提供产品介绍或说明书</w:t>
      </w:r>
      <w:r>
        <w:rPr>
          <w:rFonts w:hint="eastAsia" w:ascii="宋体" w:hAnsi="宋体" w:eastAsia="宋体" w:cs="宋体"/>
          <w:b/>
          <w:bCs/>
          <w:color w:val="auto"/>
          <w:szCs w:val="21"/>
          <w:highlight w:val="none"/>
          <w:shd w:val="clear" w:color="auto" w:fill="ffffff"/>
          <w:lang w:val="en-US"/>
        </w:rPr>
        <w:t xml:space="preserve">及仪器</w:t>
      </w:r>
      <w:r>
        <w:rPr>
          <w:rFonts w:hint="eastAsia" w:ascii="宋体" w:hAnsi="宋体" w:eastAsia="宋体" w:cs="宋体"/>
          <w:b/>
          <w:bCs/>
          <w:color w:val="auto"/>
          <w:szCs w:val="21"/>
          <w:highlight w:val="none"/>
          <w:shd w:val="clear" w:color="auto" w:fill="ffffff"/>
          <w:lang w:val="en-US" w:eastAsia="zh-CN"/>
        </w:rPr>
        <w:t xml:space="preserve">实物图片</w:t>
      </w:r>
      <w:r>
        <w:rPr>
          <w:rFonts w:hint="eastAsia" w:ascii="宋体" w:hAnsi="宋体" w:eastAsia="宋体" w:cs="宋体"/>
          <w:b/>
          <w:bCs/>
          <w:color w:val="auto"/>
          <w:szCs w:val="21"/>
          <w:highlight w:val="none"/>
          <w:shd w:val="clear" w:color="auto" w:fill="ffffff"/>
          <w:lang w:val="en-US"/>
        </w:rPr>
        <w:t xml:space="preserve">等证明材料</w:t>
      </w:r>
      <w:r>
        <w:rPr>
          <w:rFonts w:hint="eastAsia" w:ascii="宋体" w:hAnsi="宋体" w:eastAsia="宋体" w:cs="宋体"/>
          <w:b/>
          <w:bCs/>
          <w:color w:val="auto"/>
          <w:szCs w:val="21"/>
          <w:highlight w:val="none"/>
          <w:shd w:val="clear" w:color="auto" w:fill="ffffff"/>
          <w:lang w:val="en-US" w:eastAsia="zh-CN"/>
        </w:rPr>
        <w:t xml:space="preserve">，扫描上传</w:t>
      </w:r>
      <w:r>
        <w:rPr>
          <w:rFonts w:hint="eastAsia" w:ascii="宋体" w:hAnsi="宋体" w:eastAsia="宋体" w:cs="宋体"/>
          <w:b/>
          <w:bCs/>
          <w:color w:val="auto"/>
          <w:sz w:val="21"/>
          <w:szCs w:val="21"/>
          <w:highlight w:val="none"/>
          <w:lang w:val="en-US" w:eastAsia="zh-CN"/>
        </w:rPr>
        <w:t xml:space="preserve">）</w:t>
      </w:r>
      <w:r/>
    </w:p>
    <w:p>
      <w:pPr>
        <w:ind w:firstLine="48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2.1.6温度可编程的GC柱，长度不低于10米，可兼容市售毛细柱；温度范围：不低于200℃；升温速率不低于20℃/分钟。</w:t>
      </w:r>
      <w:r/>
    </w:p>
    <w:p>
      <w:pPr>
        <w:ind w:firstLine="48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2.1.7内置碳分子筛或TENAX吸附剂的捕集阱浓缩器。</w:t>
      </w:r>
      <w:r/>
    </w:p>
    <w:p>
      <w:pPr>
        <w:ind w:firstLine="48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2.1.8电离模式：70eV EI。</w:t>
      </w:r>
      <w:r/>
    </w:p>
    <w:p>
      <w:pPr>
        <w:ind w:firstLine="48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2.1.9检测器：电子倍增器。</w:t>
      </w:r>
      <w:r/>
    </w:p>
    <w:p>
      <w:pPr>
        <w:ind w:firstLine="48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2.1.10质量范围：45-300AMU。</w:t>
      </w:r>
      <w:r/>
    </w:p>
    <w:p>
      <w:pPr>
        <w:ind w:firstLine="48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2.1.11质量分辨率：≤1AMU。</w:t>
      </w:r>
      <w:r/>
    </w:p>
    <w:p>
      <w:pPr>
        <w:ind w:firstLine="48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2.1.12扫描速度：≥1000AMU/秒。</w:t>
      </w:r>
      <w:r/>
    </w:p>
    <w:p>
      <w:pPr>
        <w:ind w:firstLine="48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2.1.13动态范围：≥7个量级。</w:t>
      </w:r>
      <w:r/>
    </w:p>
    <w:p>
      <w:pPr>
        <w:ind w:firstLine="48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2.1.14仪器检出限：＜1ppb（二氯甲烷、二氯乙烯、氯仿、苯、甲苯、氯苯、四氯乙烯、二甲苯、苯乙烯、三氯苯等分析物）。</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2.2实用性要求</w:t>
      </w:r>
      <w:r/>
    </w:p>
    <w:p>
      <w:pPr>
        <w:ind w:firstLine="480"/>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2.2.1</w:t>
      </w:r>
      <w:r>
        <w:rPr>
          <w:rFonts w:hint="eastAsia"/>
          <w:color w:val="auto"/>
          <w:highlight w:val="none"/>
        </w:rPr>
        <w:t xml:space="preserve">主机具备防水、防尘，通过</w:t>
      </w:r>
      <w:r>
        <w:rPr>
          <w:rFonts w:hint="eastAsia"/>
          <w:color w:val="auto"/>
          <w:highlight w:val="none"/>
          <w:lang w:val="en-US" w:eastAsia="zh-CN"/>
        </w:rPr>
        <w:t xml:space="preserve">第三方检测机构</w:t>
      </w:r>
      <w:r>
        <w:rPr>
          <w:rFonts w:hint="eastAsia"/>
          <w:color w:val="auto"/>
          <w:highlight w:val="none"/>
        </w:rPr>
        <w:t xml:space="preserve">的IP55认证。</w:t>
      </w:r>
      <w:r>
        <w:rPr>
          <w:rFonts w:hint="eastAsia"/>
          <w:b/>
          <w:bCs/>
          <w:color w:val="auto"/>
          <w:highlight w:val="none"/>
        </w:rPr>
        <w:t xml:space="preserve">（提供相关证明材料，扫描上传）</w:t>
      </w:r>
      <w:r/>
    </w:p>
    <w:p>
      <w:pPr>
        <w:ind w:firstLine="480"/>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2.2.2 主机具有防震功能、低温环境下运行功能，在复杂路况条件下远程运输过程中应不易发生损坏，保证抵达现场后正常开机运行，可在多种恶劣环境下正常工作。</w:t>
      </w:r>
      <w:r>
        <w:rPr>
          <w:rFonts w:hint="eastAsia" w:ascii="宋体" w:hAnsi="宋体" w:eastAsia="宋体" w:cs="宋体"/>
          <w:b/>
          <w:bCs/>
          <w:color w:val="auto"/>
          <w:sz w:val="21"/>
          <w:szCs w:val="21"/>
          <w:highlight w:val="none"/>
          <w:lang w:val="en-US" w:eastAsia="zh-CN"/>
        </w:rPr>
        <w:t xml:space="preserve">（提供具备检测能力机构的检测报告，须对无外包装的主机进行）</w:t>
      </w:r>
      <w:r/>
    </w:p>
    <w:p>
      <w:pPr>
        <w:ind w:firstLine="420"/>
        <w:jc w:val="left"/>
        <w:keepLines w:val="0"/>
        <w:keepNext w:val="0"/>
        <w:pageBreakBefore w:val="0"/>
        <w:spacing w:line="360" w:lineRule="auto"/>
        <w:widowControl/>
        <w:rPr>
          <w:rFonts w:hint="eastAsia" w:ascii="宋体" w:hAnsi="宋体" w:eastAsia="宋体" w:cs="宋体"/>
          <w:b w:val="0"/>
          <w:bCs w:val="0"/>
          <w:i/>
          <w:iCs/>
          <w:color w:val="auto"/>
          <w:sz w:val="21"/>
          <w:szCs w:val="21"/>
          <w:highlight w:val="none"/>
          <w:u w:val="single"/>
          <w:lang w:val="en-US" w:eastAsia="zh-CN"/>
        </w:rPr>
      </w:pPr>
      <w:r>
        <w:rPr>
          <w:rFonts w:hint="eastAsia" w:ascii="宋体" w:hAnsi="宋体" w:eastAsia="宋体" w:cs="宋体"/>
          <w:b w:val="0"/>
          <w:bCs w:val="0"/>
          <w:i/>
          <w:iCs/>
          <w:color w:val="auto"/>
          <w:sz w:val="21"/>
          <w:szCs w:val="21"/>
          <w:highlight w:val="none"/>
          <w:u w:val="single"/>
          <w:lang w:val="en-US" w:eastAsia="zh-CN"/>
        </w:rPr>
        <w:t xml:space="preserve">★2.2.3仪器应满足应急监测需求，具备开机自动调谐功能。</w:t>
      </w:r>
      <w:r>
        <w:rPr>
          <w:rFonts w:hint="eastAsia" w:ascii="宋体" w:hAnsi="宋体" w:eastAsia="宋体" w:cs="宋体"/>
          <w:b/>
          <w:bCs/>
          <w:i/>
          <w:iCs/>
          <w:color w:val="auto"/>
          <w:sz w:val="21"/>
          <w:szCs w:val="21"/>
          <w:highlight w:val="none"/>
          <w:u w:val="single"/>
          <w:lang w:val="en-US" w:eastAsia="zh-CN"/>
        </w:rPr>
        <w:t xml:space="preserve">(提供开机自动调谐界面截图证明材料</w:t>
      </w:r>
      <w:r>
        <w:rPr>
          <w:rFonts w:hint="eastAsia" w:ascii="宋体" w:hAnsi="宋体" w:cs="宋体"/>
          <w:b/>
          <w:bCs/>
          <w:i/>
          <w:iCs/>
          <w:color w:val="auto"/>
          <w:sz w:val="21"/>
          <w:szCs w:val="21"/>
          <w:highlight w:val="none"/>
          <w:u w:val="single"/>
          <w:lang w:val="en-US" w:eastAsia="zh-CN"/>
        </w:rPr>
        <w:t xml:space="preserve">）</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2.2.4工作温度：0～40℃。</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2.2.5工作湿度：≤85%。</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2.2.6主机电源供应：可用内置充电电池和交流电两种供电模式。</w:t>
      </w:r>
      <w:r/>
    </w:p>
    <w:p>
      <w:pPr>
        <w:ind w:firstLine="480"/>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2.2.7内部功耗：≤40瓦（正常工作条件下）</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strike w:val="0"/>
          <w:color w:val="auto"/>
          <w:sz w:val="21"/>
          <w:szCs w:val="21"/>
          <w:highlight w:val="none"/>
          <w:lang w:val="en-US" w:eastAsia="zh-CN"/>
        </w:rPr>
        <w:t xml:space="preserve">提供产品介绍或说明书等证明材料，扫描上传</w:t>
      </w:r>
      <w:r>
        <w:rPr>
          <w:rFonts w:hint="eastAsia" w:ascii="宋体" w:hAnsi="宋体" w:eastAsia="宋体" w:cs="宋体"/>
          <w:b/>
          <w:bCs/>
          <w:color w:val="auto"/>
          <w:sz w:val="21"/>
          <w:szCs w:val="21"/>
          <w:highlight w:val="none"/>
          <w:lang w:val="en-US" w:eastAsia="zh-CN"/>
        </w:rPr>
        <w:t xml:space="preserve">）。</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2.2.8主机整体重量：＜20kg（包括电池、内标气和载气瓶等）。</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2.2.9动静态顶空进样器与便携式GC/MS通过控温传输管线联机使用。</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2.2.10动静态顶空进样器可用内置充电电池和交流电两种供电模式。</w:t>
      </w:r>
      <w:r/>
    </w:p>
    <w:p>
      <w:pPr>
        <w:ind w:firstLine="480"/>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2.2.11动静态顶空进样器加热位：≥5位。</w:t>
      </w:r>
      <w:r>
        <w:rPr>
          <w:rFonts w:hint="eastAsia" w:ascii="宋体" w:hAnsi="宋体" w:eastAsia="宋体" w:cs="宋体"/>
          <w:b/>
          <w:bCs/>
          <w:color w:val="auto"/>
          <w:sz w:val="21"/>
          <w:szCs w:val="21"/>
          <w:highlight w:val="none"/>
          <w:lang w:val="en-US" w:eastAsia="zh-CN"/>
        </w:rPr>
        <w:t xml:space="preserve">（提供产品介绍或说明书等证明材料，同时需提供实物图片，扫描上传）</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2.2.12动静态顶空进样器重量：＜10公斤。</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2.2.13动静态顶空进样器加热温度范围：室温至80℃。</w:t>
      </w:r>
      <w:r/>
    </w:p>
    <w:p>
      <w:pPr>
        <w:ind w:firstLine="480"/>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2.2.14动静态顶空进样器能够</w:t>
      </w:r>
      <w:r>
        <w:rPr>
          <w:rFonts w:hint="eastAsia" w:ascii="宋体" w:hAnsi="宋体" w:cs="宋体"/>
          <w:b w:val="0"/>
          <w:bCs w:val="0"/>
          <w:color w:val="auto"/>
          <w:sz w:val="21"/>
          <w:szCs w:val="21"/>
          <w:highlight w:val="none"/>
          <w:lang w:val="en-US" w:eastAsia="zh-CN"/>
        </w:rPr>
        <w:t xml:space="preserve">具有提示功能</w:t>
      </w:r>
      <w:r>
        <w:rPr>
          <w:rFonts w:hint="eastAsia" w:ascii="宋体" w:hAnsi="宋体" w:eastAsia="宋体" w:cs="宋体"/>
          <w:b w:val="0"/>
          <w:bCs w:val="0"/>
          <w:color w:val="auto"/>
          <w:sz w:val="21"/>
          <w:szCs w:val="21"/>
          <w:highlight w:val="none"/>
          <w:lang w:val="en-US" w:eastAsia="zh-CN"/>
        </w:rPr>
        <w:t xml:space="preserve">，提醒用户进行每一步操作。</w:t>
      </w:r>
      <w:r>
        <w:rPr>
          <w:rFonts w:hint="eastAsia" w:ascii="宋体" w:hAnsi="宋体" w:eastAsia="宋体" w:cs="宋体"/>
          <w:b/>
          <w:bCs/>
          <w:color w:val="auto"/>
          <w:sz w:val="21"/>
          <w:szCs w:val="21"/>
          <w:highlight w:val="none"/>
          <w:lang w:val="en-US" w:eastAsia="zh-CN"/>
        </w:rPr>
        <w:t xml:space="preserve">（提供产品介绍或说明书等证明材料，同时需提供实物图片，扫描上传）</w:t>
      </w:r>
      <w:r/>
    </w:p>
    <w:p>
      <w:pPr>
        <w:ind w:firstLine="480"/>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2.2.15动静态顶空进样器也可做到质谱直接进样，从而预估样品浓度，指导用户选择合适的方法。</w:t>
      </w:r>
      <w:r>
        <w:rPr>
          <w:rFonts w:hint="eastAsia" w:ascii="宋体" w:hAnsi="宋体" w:eastAsia="宋体" w:cs="宋体"/>
          <w:b/>
          <w:bCs/>
          <w:color w:val="auto"/>
          <w:sz w:val="21"/>
          <w:szCs w:val="21"/>
          <w:highlight w:val="none"/>
          <w:lang w:val="en-US" w:eastAsia="zh-CN"/>
        </w:rPr>
        <w:t xml:space="preserve">（提供产品介绍或说明书等证明材料，同时需提供实物图片，扫描上传）</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2.2.16 固相微萃取仪，配合主机使用，可用于水中和土壤中挥发性及半挥发性有机物的前处理。</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2.2.17固相微萃取仪能与便携式GC/MS配套，无信号及能源传输障碍。</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2.2.18固相微萃取仪无需另外配备能源装置，由便携GC/MS提供能源供给。</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2.2.19固相微萃取仪取针解析温度：100~280℃。</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2.2.20固相微萃取仪便携式设计，易携带。</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2.2.21固相微萃取仪SPME衬垫：去活性不锈钢带镀层的2微米以上微粒过滤器，可移除/可更换。</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2.2.22 固相微萃取仪SPME纤维密封寿命不少于200次注入。</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2.3数据库配置及传输要求。</w:t>
      </w:r>
      <w:r/>
    </w:p>
    <w:p>
      <w:pPr>
        <w:pStyle w:val="745"/>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2.3.1监测数据准确匹配NIST谱库，针对TO 14大部分物质匹配度能达90%以上。</w:t>
      </w:r>
      <w:r/>
    </w:p>
    <w:p>
      <w:pPr>
        <w:pStyle w:val="745"/>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2.3.2主机和数据处理系统均内置标准谱库（NIST）；自动质谱图解卷积和鉴定系（AMDIS）；化学品安全数据库（NIOSH）。均须为原装正版数据库，遇到数据库升级时，终身免费升级至最新原装正版版本。</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2.4高精度动态稀释仪性能要求</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2.4.1可与便携式气质联用仪直接连接，稀释好的标气可直接进样分析，中间无需存储容器；</w:t>
      </w:r>
      <w:r/>
    </w:p>
    <w:p>
      <w:pPr>
        <w:ind w:firstLine="48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i/>
          <w:iCs/>
          <w:color w:val="auto"/>
          <w:sz w:val="24"/>
          <w:highlight w:val="none"/>
          <w:u w:val="single"/>
          <w:lang w:val="en-US" w:eastAsia="zh-CN"/>
        </w:rPr>
        <w:t xml:space="preserve">★</w:t>
      </w:r>
      <w:r>
        <w:rPr>
          <w:rFonts w:hint="eastAsia" w:ascii="宋体" w:hAnsi="宋体" w:eastAsia="宋体" w:cs="宋体"/>
          <w:b w:val="0"/>
          <w:bCs w:val="0"/>
          <w:i/>
          <w:iCs/>
          <w:color w:val="auto"/>
          <w:sz w:val="21"/>
          <w:szCs w:val="21"/>
          <w:highlight w:val="none"/>
          <w:u w:val="single"/>
          <w:lang w:val="en-US" w:eastAsia="zh-CN"/>
        </w:rPr>
        <w:t xml:space="preserve">2.4.2为了避免高沸点物质残留，避免硫化物，醛酮类物质吸附，整个气路系统不使用质量流量计，可实现气体经过的全部管路都经过惰性涂覆</w:t>
      </w:r>
      <w:r>
        <w:rPr>
          <w:rFonts w:hint="eastAsia" w:ascii="宋体" w:hAnsi="宋体" w:eastAsia="宋体" w:cs="宋体"/>
          <w:b/>
          <w:bCs/>
          <w:i/>
          <w:iCs/>
          <w:color w:val="auto"/>
          <w:sz w:val="21"/>
          <w:szCs w:val="21"/>
          <w:highlight w:val="none"/>
          <w:u w:val="single"/>
          <w:lang w:val="en-US" w:eastAsia="zh-CN"/>
        </w:rPr>
        <w:t xml:space="preserve">（投标时需提供产品介绍</w:t>
      </w:r>
      <w:r>
        <w:rPr>
          <w:rFonts w:hint="eastAsia" w:ascii="宋体" w:hAnsi="宋体" w:cs="宋体"/>
          <w:b/>
          <w:bCs/>
          <w:i/>
          <w:iCs/>
          <w:color w:val="auto"/>
          <w:sz w:val="21"/>
          <w:szCs w:val="21"/>
          <w:highlight w:val="none"/>
          <w:u w:val="single"/>
          <w:lang w:val="en-US" w:eastAsia="zh-CN"/>
        </w:rPr>
        <w:t xml:space="preserve">或</w:t>
      </w:r>
      <w:r>
        <w:rPr>
          <w:rFonts w:hint="eastAsia" w:ascii="宋体" w:hAnsi="宋体" w:eastAsia="宋体" w:cs="宋体"/>
          <w:b/>
          <w:bCs/>
          <w:i/>
          <w:iCs/>
          <w:color w:val="auto"/>
          <w:sz w:val="21"/>
          <w:szCs w:val="21"/>
          <w:highlight w:val="none"/>
          <w:u w:val="single"/>
          <w:lang w:val="en-US" w:eastAsia="zh-CN"/>
        </w:rPr>
        <w:t xml:space="preserve">仪器说明书等证明材料）</w:t>
      </w:r>
      <w:r>
        <w:rPr>
          <w:rFonts w:hint="eastAsia" w:ascii="宋体" w:hAnsi="宋体" w:eastAsia="宋体" w:cs="宋体"/>
          <w:b w:val="0"/>
          <w:bCs w:val="0"/>
          <w:color w:val="auto"/>
          <w:sz w:val="21"/>
          <w:szCs w:val="21"/>
          <w:highlight w:val="none"/>
          <w:lang w:val="en-US" w:eastAsia="zh-CN"/>
        </w:rPr>
        <w:t xml:space="preserve">；</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2.4.3采用高精度压力控制单元对限流气阻前端压力进行闭环调节的射流稀释原理，过程采用背压式控制方案，可使标准气体完全不经过压力控制单元，从源头避免标气与控制组件直接接触；</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2.4.4稀释精度小于0.5%；</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2.4.5避免外界温差的影响，流量控制通道具有温度控制功能，温度控制精度小于0.1℃；</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2.4.6一体化触屏软件设计，集成度更高，操作简单，序列编辑完全集成在仪器控制软件中，便于操作。稀释过程自动计算，稀释的计算过程已经集成在操作界面，稀释流量、稀释倍数输入方便直观。</w:t>
      </w:r>
      <w:r/>
    </w:p>
    <w:p>
      <w:pPr>
        <w:numPr>
          <w:ilvl w:val="0"/>
          <w:numId w:val="0"/>
        </w:numPr>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（八）土壤采样相关装备（带动力）</w:t>
      </w:r>
      <w:r/>
    </w:p>
    <w:p>
      <w:pPr>
        <w:ind w:firstLine="48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4"/>
          <w:highlight w:val="none"/>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发动机：冲击能:40-50焦耳,冲击频率:500-1500次/min</w:t>
      </w:r>
      <w:r>
        <w:rPr>
          <w:rFonts w:hint="eastAsia" w:ascii="宋体" w:hAnsi="宋体" w:eastAsia="宋体" w:cs="宋体"/>
          <w:color w:val="auto"/>
          <w:sz w:val="21"/>
          <w:szCs w:val="21"/>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4"/>
          <w:highlight w:val="none"/>
        </w:rPr>
        <w:t xml:space="preserve">▲</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动力源：90#以上无铅汽油</w:t>
      </w:r>
      <w:r>
        <w:rPr>
          <w:rFonts w:hint="eastAsia" w:ascii="宋体" w:hAnsi="宋体" w:eastAsia="宋体" w:cs="宋体"/>
          <w:color w:val="auto"/>
          <w:sz w:val="21"/>
          <w:szCs w:val="21"/>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4"/>
          <w:highlight w:val="none"/>
        </w:rPr>
        <w:t xml:space="preserve">▲</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油箱容量：</w:t>
      </w:r>
      <w:r>
        <w:rPr>
          <w:rFonts w:hint="default" w:ascii="Arial" w:hAnsi="Arial" w:eastAsia="宋体" w:cs="Arial"/>
          <w:color w:val="auto"/>
          <w:sz w:val="21"/>
          <w:szCs w:val="21"/>
          <w:highlight w:val="none"/>
        </w:rPr>
        <w:t xml:space="preserve">≥</w:t>
      </w:r>
      <w:r>
        <w:rPr>
          <w:rFonts w:hint="eastAsia" w:ascii="宋体" w:hAnsi="宋体" w:eastAsia="宋体" w:cs="宋体"/>
          <w:color w:val="auto"/>
          <w:sz w:val="21"/>
          <w:szCs w:val="21"/>
          <w:highlight w:val="none"/>
        </w:rPr>
        <w:t xml:space="preserve">1.3L</w:t>
      </w:r>
      <w:r>
        <w:rPr>
          <w:rFonts w:hint="eastAsia" w:ascii="宋体" w:hAnsi="宋体" w:eastAsia="宋体" w:cs="宋体"/>
          <w:color w:val="auto"/>
          <w:sz w:val="21"/>
          <w:szCs w:val="21"/>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4"/>
          <w:highlight w:val="none"/>
        </w:rPr>
        <w:t xml:space="preserve">▲</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延长杆：内径</w:t>
      </w:r>
      <w:r>
        <w:rPr>
          <w:rFonts w:hint="default" w:ascii="Arial" w:hAnsi="Arial" w:eastAsia="宋体" w:cs="Arial"/>
          <w:color w:val="auto"/>
          <w:sz w:val="21"/>
          <w:szCs w:val="21"/>
          <w:highlight w:val="none"/>
        </w:rPr>
        <w:t xml:space="preserve">≤</w:t>
      </w:r>
      <w:r>
        <w:rPr>
          <w:rFonts w:hint="eastAsia" w:ascii="宋体" w:hAnsi="宋体" w:eastAsia="宋体" w:cs="宋体"/>
          <w:color w:val="auto"/>
          <w:sz w:val="21"/>
          <w:szCs w:val="21"/>
          <w:highlight w:val="none"/>
        </w:rPr>
        <w:t xml:space="preserve">40mm,外径</w:t>
      </w:r>
      <w:r>
        <w:rPr>
          <w:rFonts w:hint="default" w:ascii="Arial" w:hAnsi="Arial" w:eastAsia="宋体" w:cs="Arial"/>
          <w:color w:val="auto"/>
          <w:sz w:val="21"/>
          <w:szCs w:val="21"/>
          <w:highlight w:val="none"/>
        </w:rPr>
        <w:t xml:space="preserve">≤</w:t>
      </w:r>
      <w:r>
        <w:rPr>
          <w:rFonts w:hint="eastAsia" w:ascii="宋体" w:hAnsi="宋体" w:eastAsia="宋体" w:cs="宋体"/>
          <w:color w:val="auto"/>
          <w:sz w:val="21"/>
          <w:szCs w:val="21"/>
          <w:highlight w:val="none"/>
        </w:rPr>
        <w:t xml:space="preserve">50mm,长度</w:t>
      </w:r>
      <w:r>
        <w:rPr>
          <w:rFonts w:hint="default" w:ascii="Arial" w:hAnsi="Arial" w:eastAsia="宋体" w:cs="Arial"/>
          <w:color w:val="auto"/>
          <w:sz w:val="21"/>
          <w:szCs w:val="21"/>
          <w:highlight w:val="none"/>
        </w:rPr>
        <w:t xml:space="preserve">≤</w:t>
      </w:r>
      <w:r>
        <w:rPr>
          <w:rFonts w:hint="eastAsia" w:ascii="宋体" w:hAnsi="宋体" w:eastAsia="宋体" w:cs="宋体"/>
          <w:color w:val="auto"/>
          <w:sz w:val="21"/>
          <w:szCs w:val="21"/>
          <w:highlight w:val="none"/>
        </w:rPr>
        <w:t xml:space="preserve">1米</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采样深度：最大5米</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辅助提取装置：杠杆式提取器,速度</w:t>
      </w:r>
      <w:r>
        <w:rPr>
          <w:rFonts w:hint="default" w:ascii="Arial" w:hAnsi="Arial" w:eastAsia="宋体" w:cs="Arial"/>
          <w:color w:val="auto"/>
          <w:sz w:val="21"/>
          <w:szCs w:val="21"/>
          <w:highlight w:val="none"/>
        </w:rPr>
        <w:t xml:space="preserve">≥</w:t>
      </w:r>
      <w:r>
        <w:rPr>
          <w:rFonts w:hint="eastAsia" w:ascii="宋体" w:hAnsi="宋体" w:eastAsia="宋体" w:cs="宋体"/>
          <w:color w:val="auto"/>
          <w:sz w:val="21"/>
          <w:szCs w:val="21"/>
          <w:highlight w:val="none"/>
        </w:rPr>
        <w:t xml:space="preserve">3M/min,含支撑装置</w:t>
      </w:r>
      <w:r>
        <w:rPr>
          <w:rFonts w:hint="eastAsia" w:ascii="宋体" w:hAnsi="宋体" w:eastAsia="宋体" w:cs="宋体"/>
          <w:color w:val="auto"/>
          <w:sz w:val="21"/>
          <w:szCs w:val="21"/>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4"/>
          <w:highlight w:val="none"/>
        </w:rPr>
        <w:t xml:space="preserve">▲</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运 输 箱：塑料箱</w:t>
      </w:r>
      <w:r>
        <w:rPr>
          <w:rFonts w:hint="eastAsia" w:ascii="宋体" w:hAnsi="宋体" w:eastAsia="宋体" w:cs="宋体"/>
          <w:color w:val="auto"/>
          <w:sz w:val="21"/>
          <w:szCs w:val="21"/>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4"/>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重量：</w:t>
      </w:r>
      <w:r>
        <w:rPr>
          <w:rFonts w:hint="eastAsia" w:ascii="方正仿宋_GBK" w:hAnsi="方正仿宋_GBK" w:eastAsia="方正仿宋_GBK" w:cs="方正仿宋_GBK"/>
          <w:color w:val="auto"/>
          <w:sz w:val="21"/>
          <w:szCs w:val="21"/>
          <w:highlight w:val="none"/>
        </w:rPr>
        <w:t xml:space="preserve">&lt;</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KG</w:t>
      </w:r>
      <w:r>
        <w:rPr>
          <w:rFonts w:hint="eastAsia" w:ascii="宋体" w:hAnsi="宋体" w:eastAsia="宋体" w:cs="宋体"/>
          <w:color w:val="auto"/>
          <w:sz w:val="21"/>
          <w:szCs w:val="21"/>
          <w:highlight w:val="none"/>
          <w:lang w:eastAsia="zh-CN"/>
        </w:rPr>
        <w:t xml:space="preserve">。</w:t>
      </w:r>
      <w:r/>
    </w:p>
    <w:p>
      <w:pPr>
        <w:ind w:firstLine="422"/>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（九）执法记录仪</w:t>
      </w:r>
      <w:r/>
    </w:p>
    <w:p>
      <w:pPr>
        <w:ind w:firstLine="480"/>
        <w:jc w:val="left"/>
        <w:keepLines w:val="0"/>
        <w:keepNext w:val="0"/>
        <w:pageBreakBefore w:val="0"/>
        <w:spacing w:line="360" w:lineRule="auto"/>
        <w:widowControl/>
        <w:rPr>
          <w:rFonts w:hint="eastAsia" w:ascii="宋体" w:hAnsi="宋体" w:cs="宋体"/>
          <w:b w:val="0"/>
          <w:bCs/>
          <w:color w:val="auto"/>
          <w:szCs w:val="21"/>
          <w:highlight w:val="none"/>
          <w:lang w:eastAsia="zh-CN"/>
        </w:rPr>
      </w:pPr>
      <w:r>
        <w:rPr>
          <w:rFonts w:hint="eastAsia" w:ascii="宋体" w:hAnsi="宋体" w:cs="宋体"/>
          <w:color w:val="auto"/>
          <w:sz w:val="24"/>
          <w:highlight w:val="none"/>
        </w:rPr>
        <w:t xml:space="preserve">▲</w:t>
      </w:r>
      <w:r>
        <w:rPr>
          <w:rFonts w:hint="eastAsia" w:ascii="宋体" w:hAnsi="宋体" w:cs="宋体"/>
          <w:b w:val="0"/>
          <w:bCs/>
          <w:color w:val="auto"/>
          <w:szCs w:val="21"/>
          <w:highlight w:val="none"/>
          <w:lang w:eastAsia="zh-CN"/>
        </w:rPr>
        <w:t xml:space="preserve">1、外形尺寸和质量：执法记录仪（背夹、外接设备除外）≤97.8mm×60.1mm×23.2mm（长×宽×高），质量（外设设备除外）≤174g。                          </w:t>
      </w:r>
      <w:r/>
    </w:p>
    <w:p>
      <w:pPr>
        <w:ind w:left="0" w:firstLine="420"/>
        <w:jc w:val="left"/>
        <w:keepLines w:val="0"/>
        <w:keepNext w:val="0"/>
        <w:pageBreakBefore w:val="0"/>
        <w:spacing w:line="360" w:lineRule="auto"/>
        <w:widowControl/>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2、外壳防护等级≥IP68。                                                         </w:t>
      </w:r>
      <w:r/>
    </w:p>
    <w:p>
      <w:pPr>
        <w:ind w:left="0" w:firstLine="420"/>
        <w:jc w:val="left"/>
        <w:keepLines w:val="0"/>
        <w:keepNext w:val="0"/>
        <w:pageBreakBefore w:val="0"/>
        <w:spacing w:line="360" w:lineRule="auto"/>
        <w:widowControl/>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3、屏幕尺寸：执法记录仪具有彩色触摸显示屏，显示屏对角线尺寸≥3.1寸。</w:t>
      </w:r>
      <w:r/>
    </w:p>
    <w:p>
      <w:pPr>
        <w:ind w:left="0" w:firstLine="420"/>
        <w:jc w:val="left"/>
        <w:keepLines w:val="0"/>
        <w:keepNext w:val="0"/>
        <w:pageBreakBefore w:val="0"/>
        <w:spacing w:line="360" w:lineRule="auto"/>
        <w:widowControl/>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val="en-US" w:eastAsia="zh-CN"/>
        </w:rPr>
        <w:t xml:space="preserve">4、</w:t>
      </w:r>
      <w:r>
        <w:rPr>
          <w:rFonts w:hint="eastAsia" w:ascii="宋体" w:hAnsi="宋体" w:cs="宋体"/>
          <w:b w:val="0"/>
          <w:bCs/>
          <w:color w:val="auto"/>
          <w:szCs w:val="21"/>
          <w:highlight w:val="none"/>
          <w:lang w:eastAsia="zh-CN"/>
        </w:rPr>
        <w:t xml:space="preserve">视场角：执法记录仪拍摄的视频在生产厂商声明的所有分辨率条件下，水平视场角≥100°</w:t>
      </w:r>
      <w:r/>
    </w:p>
    <w:p>
      <w:pPr>
        <w:ind w:left="0" w:firstLine="480"/>
        <w:jc w:val="left"/>
        <w:keepLines w:val="0"/>
        <w:keepNext w:val="0"/>
        <w:pageBreakBefore w:val="0"/>
        <w:spacing w:line="360" w:lineRule="auto"/>
        <w:widowControl/>
        <w:rPr>
          <w:rFonts w:hint="eastAsia" w:ascii="宋体" w:hAnsi="宋体" w:cs="宋体"/>
          <w:b w:val="0"/>
          <w:bCs/>
          <w:color w:val="auto"/>
          <w:szCs w:val="21"/>
          <w:highlight w:val="none"/>
          <w:lang w:eastAsia="zh-CN"/>
        </w:rPr>
      </w:pPr>
      <w:r>
        <w:rPr>
          <w:rFonts w:hint="eastAsia" w:ascii="宋体" w:hAnsi="宋体" w:cs="宋体"/>
          <w:color w:val="auto"/>
          <w:sz w:val="24"/>
          <w:highlight w:val="none"/>
        </w:rPr>
        <w:t xml:space="preserve">▲</w:t>
      </w:r>
      <w:r>
        <w:rPr>
          <w:rFonts w:hint="eastAsia" w:ascii="宋体" w:hAnsi="宋体" w:cs="宋体"/>
          <w:b w:val="0"/>
          <w:bCs/>
          <w:color w:val="auto"/>
          <w:szCs w:val="21"/>
          <w:highlight w:val="none"/>
          <w:lang w:val="en-US" w:eastAsia="zh-CN"/>
        </w:rPr>
        <w:t xml:space="preserve">5、</w:t>
      </w:r>
      <w:r>
        <w:rPr>
          <w:rFonts w:hint="eastAsia" w:ascii="宋体" w:hAnsi="宋体" w:cs="宋体"/>
          <w:b w:val="0"/>
          <w:bCs/>
          <w:color w:val="auto"/>
          <w:szCs w:val="21"/>
          <w:highlight w:val="none"/>
          <w:lang w:eastAsia="zh-CN"/>
        </w:rPr>
        <w:t xml:space="preserve">内置4G模块；可接入移动、联通和电信4G SIM卡，实现无线传输功能</w:t>
      </w:r>
      <w:r/>
    </w:p>
    <w:p>
      <w:pPr>
        <w:ind w:firstLine="420"/>
        <w:jc w:val="left"/>
        <w:keepLines w:val="0"/>
        <w:keepNext w:val="0"/>
        <w:pageBreakBefore w:val="0"/>
        <w:spacing w:line="360" w:lineRule="auto"/>
        <w:widowControl/>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val="en-US" w:eastAsia="zh-CN"/>
        </w:rPr>
        <w:t xml:space="preserve">6、</w:t>
      </w:r>
      <w:r>
        <w:rPr>
          <w:rFonts w:hint="eastAsia" w:ascii="宋体" w:hAnsi="宋体" w:cs="宋体"/>
          <w:b w:val="0"/>
          <w:bCs/>
          <w:color w:val="auto"/>
          <w:szCs w:val="21"/>
          <w:highlight w:val="none"/>
          <w:lang w:eastAsia="zh-CN"/>
        </w:rPr>
        <w:t xml:space="preserve">执法记录仪具备前后四颗高清镜头，一颗白光镜头，一颗夜视镜头，一颗微距镜头，一颗前置镜头，即前置镜头。</w:t>
      </w:r>
      <w:r/>
    </w:p>
    <w:p>
      <w:pPr>
        <w:ind w:firstLine="420"/>
        <w:jc w:val="left"/>
        <w:keepLines w:val="0"/>
        <w:keepNext w:val="0"/>
        <w:pageBreakBefore w:val="0"/>
        <w:spacing w:line="360" w:lineRule="auto"/>
        <w:widowControl/>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val="en-US" w:eastAsia="zh-CN"/>
        </w:rPr>
        <w:t xml:space="preserve">7、</w:t>
      </w:r>
      <w:r>
        <w:rPr>
          <w:rFonts w:hint="eastAsia" w:ascii="宋体" w:hAnsi="宋体" w:cs="宋体"/>
          <w:b w:val="0"/>
          <w:bCs/>
          <w:color w:val="auto"/>
          <w:szCs w:val="21"/>
          <w:highlight w:val="none"/>
          <w:lang w:eastAsia="zh-CN"/>
        </w:rPr>
        <w:t xml:space="preserve">重点文件标记检验：执法记录仪在摄录过程中应能通过一键操作的方式对重点文 件进行标记，标记方式应为原文件名中包含“IMP”,标记的文件应能在管理平台中进行检索，并可与其他文件进行区分。</w:t>
      </w:r>
      <w:r/>
    </w:p>
    <w:p>
      <w:pPr>
        <w:ind w:firstLine="420"/>
        <w:jc w:val="left"/>
        <w:keepLines w:val="0"/>
        <w:keepNext w:val="0"/>
        <w:pageBreakBefore w:val="0"/>
        <w:spacing w:line="360" w:lineRule="auto"/>
        <w:widowControl/>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val="en-US" w:eastAsia="zh-CN"/>
        </w:rPr>
        <w:t xml:space="preserve">8、</w:t>
      </w:r>
      <w:r>
        <w:rPr>
          <w:rFonts w:hint="eastAsia" w:ascii="宋体" w:hAnsi="宋体" w:cs="宋体"/>
          <w:b w:val="0"/>
          <w:bCs/>
          <w:color w:val="auto"/>
          <w:szCs w:val="21"/>
          <w:highlight w:val="none"/>
          <w:lang w:eastAsia="zh-CN"/>
        </w:rPr>
        <w:t xml:space="preserve">执法记录仪具有物理MiniUSB 接口和Type-C接口。</w:t>
      </w:r>
      <w:r/>
    </w:p>
    <w:p>
      <w:pPr>
        <w:ind w:firstLine="480"/>
        <w:jc w:val="left"/>
        <w:keepLines w:val="0"/>
        <w:keepNext w:val="0"/>
        <w:pageBreakBefore w:val="0"/>
        <w:spacing w:line="360" w:lineRule="auto"/>
        <w:widowControl/>
        <w:rPr>
          <w:rFonts w:hint="eastAsia" w:ascii="宋体" w:hAnsi="宋体" w:cs="宋体"/>
          <w:b w:val="0"/>
          <w:bCs/>
          <w:color w:val="auto"/>
          <w:szCs w:val="21"/>
          <w:highlight w:val="none"/>
          <w:lang w:eastAsia="zh-CN"/>
        </w:rPr>
      </w:pPr>
      <w:r>
        <w:rPr>
          <w:rFonts w:hint="eastAsia" w:ascii="宋体" w:hAnsi="宋体" w:cs="宋体"/>
          <w:color w:val="auto"/>
          <w:sz w:val="24"/>
          <w:highlight w:val="none"/>
        </w:rPr>
        <w:t xml:space="preserve">▲</w:t>
      </w:r>
      <w:r>
        <w:rPr>
          <w:rFonts w:hint="eastAsia" w:ascii="宋体" w:hAnsi="宋体" w:cs="宋体"/>
          <w:b w:val="0"/>
          <w:bCs/>
          <w:color w:val="auto"/>
          <w:szCs w:val="21"/>
          <w:highlight w:val="none"/>
          <w:lang w:val="en-US" w:eastAsia="zh-CN"/>
        </w:rPr>
        <w:t xml:space="preserve">9、</w:t>
      </w:r>
      <w:r>
        <w:rPr>
          <w:rFonts w:hint="eastAsia" w:ascii="宋体" w:hAnsi="宋体" w:cs="宋体"/>
          <w:b w:val="0"/>
          <w:bCs/>
          <w:color w:val="auto"/>
          <w:szCs w:val="21"/>
          <w:highlight w:val="none"/>
          <w:lang w:eastAsia="zh-CN"/>
        </w:rPr>
        <w:t xml:space="preserve">执法记录仪具有磁吸充电接口，可通过磁吸充电线给执法记录仪充电。</w:t>
      </w:r>
      <w:r/>
    </w:p>
    <w:p>
      <w:pPr>
        <w:ind w:firstLine="420"/>
        <w:jc w:val="left"/>
        <w:keepLines w:val="0"/>
        <w:keepNext w:val="0"/>
        <w:pageBreakBefore w:val="0"/>
        <w:spacing w:line="360" w:lineRule="auto"/>
        <w:widowControl/>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val="en-US" w:eastAsia="zh-CN"/>
        </w:rPr>
        <w:t xml:space="preserve">10、</w:t>
      </w:r>
      <w:r>
        <w:rPr>
          <w:rFonts w:hint="eastAsia" w:ascii="宋体" w:hAnsi="宋体" w:cs="宋体"/>
          <w:b w:val="0"/>
          <w:bCs/>
          <w:color w:val="auto"/>
          <w:szCs w:val="21"/>
          <w:highlight w:val="none"/>
          <w:lang w:eastAsia="zh-CN"/>
        </w:rPr>
        <w:t xml:space="preserve">指示灯图标显示功能:执法记录仪具有指示灯图标显示功能，显示内容为录像电源、录音、网络。</w:t>
      </w:r>
      <w:r/>
    </w:p>
    <w:p>
      <w:pPr>
        <w:ind w:firstLine="480"/>
        <w:jc w:val="left"/>
        <w:keepLines w:val="0"/>
        <w:keepNext w:val="0"/>
        <w:pageBreakBefore w:val="0"/>
        <w:spacing w:line="360" w:lineRule="auto"/>
        <w:widowControl/>
        <w:rPr>
          <w:rFonts w:hint="eastAsia" w:ascii="宋体" w:hAnsi="宋体" w:cs="宋体"/>
          <w:b w:val="0"/>
          <w:bCs/>
          <w:color w:val="auto"/>
          <w:szCs w:val="21"/>
          <w:highlight w:val="none"/>
          <w:lang w:eastAsia="zh-CN"/>
        </w:rPr>
      </w:pPr>
      <w:r>
        <w:rPr>
          <w:rFonts w:hint="eastAsia" w:ascii="宋体" w:hAnsi="宋体" w:cs="宋体"/>
          <w:color w:val="auto"/>
          <w:sz w:val="24"/>
          <w:highlight w:val="none"/>
        </w:rPr>
        <w:t xml:space="preserve">▲</w:t>
      </w:r>
      <w:r>
        <w:rPr>
          <w:rFonts w:hint="eastAsia" w:ascii="宋体" w:hAnsi="宋体" w:cs="宋体"/>
          <w:b w:val="0"/>
          <w:bCs/>
          <w:color w:val="auto"/>
          <w:szCs w:val="21"/>
          <w:highlight w:val="none"/>
          <w:lang w:val="en-US" w:eastAsia="zh-CN"/>
        </w:rPr>
        <w:t xml:space="preserve">11、</w:t>
      </w:r>
      <w:r>
        <w:rPr>
          <w:rFonts w:hint="eastAsia" w:ascii="宋体" w:hAnsi="宋体" w:cs="宋体"/>
          <w:b w:val="0"/>
          <w:bCs/>
          <w:color w:val="auto"/>
          <w:szCs w:val="21"/>
          <w:highlight w:val="none"/>
          <w:lang w:eastAsia="zh-CN"/>
        </w:rPr>
        <w:t xml:space="preserve">裸机跌落高度2m，水泥地板，4个面各跌落1次，产品应能正常工作，存储的数据不应丢失。</w:t>
      </w:r>
      <w:r/>
    </w:p>
    <w:p>
      <w:pPr>
        <w:ind w:firstLine="480"/>
        <w:jc w:val="left"/>
        <w:keepLines w:val="0"/>
        <w:keepNext w:val="0"/>
        <w:pageBreakBefore w:val="0"/>
        <w:spacing w:line="360" w:lineRule="auto"/>
        <w:widowControl/>
        <w:rPr>
          <w:rFonts w:hint="eastAsia" w:ascii="宋体" w:hAnsi="宋体" w:cs="宋体"/>
          <w:b w:val="0"/>
          <w:bCs/>
          <w:color w:val="auto"/>
          <w:szCs w:val="21"/>
          <w:highlight w:val="none"/>
          <w:lang w:eastAsia="zh-CN"/>
        </w:rPr>
      </w:pPr>
      <w:r>
        <w:rPr>
          <w:rFonts w:hint="eastAsia" w:ascii="宋体" w:hAnsi="宋体" w:cs="宋体"/>
          <w:color w:val="auto"/>
          <w:sz w:val="24"/>
          <w:highlight w:val="none"/>
        </w:rPr>
        <w:t xml:space="preserve">▲</w:t>
      </w:r>
      <w:r>
        <w:rPr>
          <w:rFonts w:hint="eastAsia" w:ascii="宋体" w:hAnsi="宋体" w:cs="宋体"/>
          <w:b w:val="0"/>
          <w:bCs/>
          <w:color w:val="auto"/>
          <w:szCs w:val="21"/>
          <w:highlight w:val="none"/>
          <w:lang w:val="en-US" w:eastAsia="zh-CN"/>
        </w:rPr>
        <w:t xml:space="preserve">12、</w:t>
      </w:r>
      <w:r>
        <w:rPr>
          <w:rFonts w:hint="eastAsia" w:ascii="宋体" w:hAnsi="宋体" w:cs="宋体"/>
          <w:b w:val="0"/>
          <w:bCs/>
          <w:color w:val="auto"/>
          <w:szCs w:val="21"/>
          <w:highlight w:val="none"/>
          <w:lang w:eastAsia="zh-CN"/>
        </w:rPr>
        <w:t xml:space="preserve">执法记录仪采用内置可更换电池供电，在更换一块电池的情况下1080P分辨率可连续录像12小时。</w:t>
      </w:r>
      <w:r/>
    </w:p>
    <w:p>
      <w:pPr>
        <w:ind w:left="0" w:firstLine="420"/>
        <w:jc w:val="left"/>
        <w:keepLines w:val="0"/>
        <w:keepNext w:val="0"/>
        <w:pageBreakBefore w:val="0"/>
        <w:spacing w:line="360" w:lineRule="auto"/>
        <w:widowControl/>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val="en-US" w:eastAsia="zh-CN"/>
        </w:rPr>
        <w:t xml:space="preserve">13、</w:t>
      </w:r>
      <w:r>
        <w:rPr>
          <w:rFonts w:hint="eastAsia" w:ascii="宋体" w:hAnsi="宋体" w:cs="宋体"/>
          <w:b w:val="0"/>
          <w:bCs/>
          <w:color w:val="auto"/>
          <w:szCs w:val="21"/>
          <w:highlight w:val="none"/>
          <w:lang w:eastAsia="zh-CN"/>
        </w:rPr>
        <w:t xml:space="preserve">执法记录仪的视频在所有分辨率条件下几何失真应≤3.5%。                   </w:t>
      </w:r>
      <w:r/>
    </w:p>
    <w:p>
      <w:pPr>
        <w:ind w:left="420" w:firstLine="0"/>
        <w:jc w:val="left"/>
        <w:keepLines w:val="0"/>
        <w:keepNext w:val="0"/>
        <w:pageBreakBefore w:val="0"/>
        <w:spacing w:line="360" w:lineRule="auto"/>
        <w:widowControl w:val="off"/>
        <w:rPr>
          <w:rFonts w:hint="eastAsia" w:ascii="宋体" w:hAnsi="宋体" w:eastAsia="宋体" w:cs="宋体"/>
          <w:b w:val="0"/>
          <w:bCs/>
          <w:color w:val="auto"/>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color w:val="auto"/>
          <w:szCs w:val="21"/>
          <w:highlight w:val="none"/>
          <w:lang w:val="en-US" w:eastAsia="zh-CN"/>
        </w:rPr>
        <w:t xml:space="preserve">14、电池充电时间：电池充电时间≤2小时。</w:t>
      </w:r>
      <w:r/>
    </w:p>
    <w:p>
      <w:pPr>
        <w:ind w:left="420" w:firstLine="0"/>
        <w:jc w:val="left"/>
        <w:keepLines w:val="0"/>
        <w:keepNext w:val="0"/>
        <w:pageBreakBefore w:val="0"/>
        <w:spacing w:line="360" w:lineRule="auto"/>
        <w:widowControl w:val="off"/>
        <w:rPr>
          <w:rFonts w:hint="default"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15、座充功能：执法记录仪可配备座充，实现给执法记录仪和电池单独充电，并可传输数据。</w:t>
      </w:r>
      <w:r/>
    </w:p>
    <w:p>
      <w:pPr>
        <w:ind w:firstLine="420"/>
        <w:jc w:val="left"/>
        <w:keepLines w:val="0"/>
        <w:keepNext w:val="0"/>
        <w:pageBreakBefore w:val="0"/>
        <w:spacing w:line="360" w:lineRule="auto"/>
        <w:widowControl/>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16、一键切换：执法记录仪应能在摄录时按下录音键保存当前录像文件后开始录音，在录音时按下摄录键保存当前录音文件后开始摄录。</w:t>
      </w:r>
      <w:r/>
    </w:p>
    <w:p>
      <w:pPr>
        <w:ind w:firstLine="420"/>
        <w:jc w:val="left"/>
        <w:keepLines w:val="0"/>
        <w:keepNext w:val="0"/>
        <w:pageBreakBefore w:val="0"/>
        <w:spacing w:line="360" w:lineRule="auto"/>
        <w:widowControl/>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val="en-US" w:eastAsia="zh-CN"/>
        </w:rPr>
        <w:t xml:space="preserve">17、</w:t>
      </w:r>
      <w:r>
        <w:rPr>
          <w:rFonts w:hint="eastAsia" w:ascii="宋体" w:hAnsi="宋体" w:cs="宋体"/>
          <w:b w:val="0"/>
          <w:bCs/>
          <w:color w:val="auto"/>
          <w:szCs w:val="21"/>
          <w:highlight w:val="none"/>
          <w:lang w:eastAsia="zh-CN"/>
        </w:rPr>
        <w:t xml:space="preserve">夜视功能：执法记录仪具有单独夜视镜头，在开启夜视功能后，有效拍摄距离应不低于3m，有效拍摄距离处应能看清人物面部特征，具有红外补光功能的设备，红外补光范围在3m处应覆盖摄录画面70%以上面积。</w:t>
      </w:r>
      <w:r/>
    </w:p>
    <w:p>
      <w:pPr>
        <w:ind w:firstLine="420"/>
        <w:jc w:val="left"/>
        <w:keepLines w:val="0"/>
        <w:keepNext w:val="0"/>
        <w:pageBreakBefore w:val="0"/>
        <w:spacing w:line="360" w:lineRule="auto"/>
        <w:widowControl/>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val="en-US" w:eastAsia="zh-CN"/>
        </w:rPr>
        <w:t xml:space="preserve">18、</w:t>
      </w:r>
      <w:r>
        <w:rPr>
          <w:rFonts w:hint="eastAsia" w:ascii="宋体" w:hAnsi="宋体" w:cs="宋体"/>
          <w:b w:val="0"/>
          <w:bCs/>
          <w:color w:val="auto"/>
          <w:szCs w:val="21"/>
          <w:highlight w:val="none"/>
          <w:lang w:eastAsia="zh-CN"/>
        </w:rPr>
        <w:t xml:space="preserve">红蓝爆闪灯功能：执法记录仪可通过相应按键开启或关闭红蓝爆闪功能。</w:t>
      </w:r>
      <w:r/>
    </w:p>
    <w:p>
      <w:pPr>
        <w:ind w:firstLine="420"/>
        <w:jc w:val="left"/>
        <w:keepLines w:val="0"/>
        <w:keepNext w:val="0"/>
        <w:pageBreakBefore w:val="0"/>
        <w:spacing w:line="360" w:lineRule="auto"/>
        <w:widowControl/>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1</w:t>
      </w:r>
      <w:r>
        <w:rPr>
          <w:rFonts w:hint="eastAsia" w:ascii="宋体" w:hAnsi="宋体" w:cs="宋体"/>
          <w:b w:val="0"/>
          <w:bCs/>
          <w:color w:val="auto"/>
          <w:szCs w:val="21"/>
          <w:highlight w:val="none"/>
          <w:lang w:val="en-US" w:eastAsia="zh-CN"/>
        </w:rPr>
        <w:t xml:space="preserve">9、</w:t>
      </w:r>
      <w:r>
        <w:rPr>
          <w:rFonts w:hint="eastAsia" w:ascii="宋体" w:hAnsi="宋体" w:cs="宋体"/>
          <w:b w:val="0"/>
          <w:bCs/>
          <w:color w:val="auto"/>
          <w:szCs w:val="21"/>
          <w:highlight w:val="none"/>
          <w:lang w:eastAsia="zh-CN"/>
        </w:rPr>
        <w:t xml:space="preserve">防抖功能：支持防抖功能，可通过菜单开启/关闭防抖功能。</w:t>
      </w:r>
      <w:r/>
    </w:p>
    <w:p>
      <w:pPr>
        <w:ind w:firstLine="422"/>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（十）便携式流速测量仪</w:t>
      </w:r>
      <w:r/>
    </w:p>
    <w:p>
      <w:pPr>
        <w:ind w:firstLine="48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1、测流范围：0.01~5.00m/s。</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2、测流准确度：1.0%±1cm/s。</w:t>
      </w:r>
      <w:r/>
    </w:p>
    <w:p>
      <w:pPr>
        <w:ind w:firstLine="48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3、分辨率：1mm。</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4、水温测量范围：±1℃。</w:t>
      </w:r>
      <w:r/>
    </w:p>
    <w:p>
      <w:pPr>
        <w:ind w:firstLine="48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5、水位范围：0-10m。</w:t>
      </w:r>
      <w:r/>
    </w:p>
    <w:p>
      <w:pPr>
        <w:ind w:firstLine="48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6、水位精度：0.2%±0.2cm。</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7、流量范围：1升/秒~99999999立方米/小时。</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8、工作电源：内置锂电池DC12V±10% AC220V，50Hz，±10%。</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9、测量模式：手动和自动两种。</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10、测量间隔：自动方式：0-120分钟选择值，以5分钟为最小递增或递减间隔单位。</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11、手动方式：可单次或连续多次测量，间隔任意。</w:t>
      </w:r>
      <w:r/>
    </w:p>
    <w:p>
      <w:pPr>
        <w:ind w:firstLine="420"/>
        <w:jc w:val="left"/>
        <w:keepLines w:val="0"/>
        <w:keepNext w:val="0"/>
        <w:pageBreakBefore w:val="0"/>
        <w:spacing w:line="360" w:lineRule="auto"/>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12、测速历时：手动方式：60秒和100秒两种。</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13、自动方式：10-120秒，递增或递减选择。</w:t>
      </w:r>
      <w:r/>
    </w:p>
    <w:p>
      <w:pPr>
        <w:ind w:firstLine="480"/>
        <w:jc w:val="left"/>
        <w:keepLines w:val="0"/>
        <w:keepNext w:val="0"/>
        <w:pageBreakBefore w:val="0"/>
        <w:spacing w:line="360" w:lineRule="auto"/>
        <w:widowControl/>
        <w:rPr>
          <w:rFonts w:hint="default" w:ascii="宋体" w:hAnsi="宋体" w:eastAsia="宋体" w:cs="宋体"/>
          <w:b w:val="0"/>
          <w:bCs w:val="0"/>
          <w:color w:val="auto"/>
          <w:sz w:val="21"/>
          <w:szCs w:val="21"/>
          <w:highlight w:val="none"/>
          <w:lang w:val="en-US" w:eastAsia="zh-CN"/>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1"/>
          <w:szCs w:val="21"/>
          <w:highlight w:val="none"/>
          <w:lang w:val="en-US" w:eastAsia="zh-CN"/>
        </w:rPr>
        <w:t xml:space="preserve">14、数据存储：可存储10万组数据。</w:t>
      </w:r>
      <w:r/>
    </w:p>
    <w:p>
      <w:pPr>
        <w:ind w:firstLine="420"/>
        <w:jc w:val="left"/>
        <w:keepLines w:val="0"/>
        <w:keepNext w:val="0"/>
        <w:pageBreakBefore w:val="0"/>
        <w:spacing w:line="360" w:lineRule="auto"/>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15、测量方式：便携式，插杆2米，若加长可定制.</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16、屏幕液晶显示：具有连续背景光功能。</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17、配有数据读取软件，实现数据的传输，打印和输出功能。</w:t>
      </w:r>
      <w:r/>
    </w:p>
    <w:p>
      <w:pPr>
        <w:ind w:firstLine="422"/>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（十一）细菌快速检测仪</w:t>
      </w:r>
      <w:r/>
    </w:p>
    <w:p>
      <w:pPr>
        <w:ind w:firstLine="480"/>
        <w:jc w:val="left"/>
        <w:keepLines w:val="0"/>
        <w:keepNext w:val="0"/>
        <w:pageBreakBefore w:val="0"/>
        <w:spacing w:line="360" w:lineRule="auto"/>
        <w:widowControl/>
        <w:rPr>
          <w:rFonts w:hint="eastAsia" w:ascii="宋体" w:hAnsi="宋体" w:cs="宋体"/>
          <w:b w:val="0"/>
          <w:bCs/>
          <w:color w:val="auto"/>
          <w:szCs w:val="21"/>
          <w:highlight w:val="none"/>
          <w:lang w:eastAsia="zh-CN"/>
        </w:rPr>
      </w:pPr>
      <w:r>
        <w:rPr>
          <w:rFonts w:hint="eastAsia" w:ascii="宋体" w:hAnsi="宋体" w:cs="宋体"/>
          <w:color w:val="auto"/>
          <w:sz w:val="24"/>
          <w:highlight w:val="none"/>
        </w:rPr>
        <w:t xml:space="preserve">▲</w:t>
      </w:r>
      <w:r>
        <w:rPr>
          <w:rFonts w:hint="eastAsia" w:ascii="宋体" w:hAnsi="宋体" w:cs="宋体"/>
          <w:b w:val="0"/>
          <w:bCs/>
          <w:color w:val="auto"/>
          <w:szCs w:val="21"/>
          <w:highlight w:val="none"/>
          <w:lang w:eastAsia="zh-CN"/>
        </w:rPr>
        <w:t xml:space="preserve">1、用途:滤膜法便携式微生物实验室，用于野外、现场或实验室中进行总菌群、粪生菌群、大肠杆菌、异养细菌、酵母和霉菌等水中的微生物测试。</w:t>
      </w:r>
      <w:r/>
    </w:p>
    <w:p>
      <w:pPr>
        <w:ind w:firstLine="420"/>
        <w:jc w:val="left"/>
        <w:keepLines w:val="0"/>
        <w:keepNext w:val="0"/>
        <w:pageBreakBefore w:val="0"/>
        <w:spacing w:line="360" w:lineRule="auto"/>
        <w:widowControl/>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2、工作条件</w:t>
      </w:r>
      <w:r/>
    </w:p>
    <w:p>
      <w:pPr>
        <w:ind w:firstLine="420"/>
        <w:jc w:val="left"/>
        <w:keepLines w:val="0"/>
        <w:keepNext w:val="0"/>
        <w:pageBreakBefore w:val="0"/>
        <w:spacing w:line="360" w:lineRule="auto"/>
        <w:widowControl/>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2.1电源：12Vdc。</w:t>
      </w:r>
      <w:r/>
    </w:p>
    <w:p>
      <w:pPr>
        <w:ind w:firstLine="480"/>
        <w:jc w:val="left"/>
        <w:keepLines w:val="0"/>
        <w:keepNext w:val="0"/>
        <w:pageBreakBefore w:val="0"/>
        <w:spacing w:line="360" w:lineRule="auto"/>
        <w:widowControl/>
        <w:rPr>
          <w:rFonts w:hint="eastAsia" w:ascii="宋体" w:hAnsi="宋体" w:cs="宋体"/>
          <w:b w:val="0"/>
          <w:bCs/>
          <w:color w:val="auto"/>
          <w:szCs w:val="21"/>
          <w:highlight w:val="none"/>
          <w:lang w:eastAsia="zh-CN"/>
        </w:rPr>
      </w:pPr>
      <w:r>
        <w:rPr>
          <w:rFonts w:hint="eastAsia" w:ascii="宋体" w:hAnsi="宋体" w:cs="宋体"/>
          <w:color w:val="auto"/>
          <w:sz w:val="24"/>
          <w:highlight w:val="none"/>
        </w:rPr>
        <w:t xml:space="preserve">▲</w:t>
      </w:r>
      <w:r>
        <w:rPr>
          <w:rFonts w:hint="eastAsia" w:ascii="宋体" w:hAnsi="宋体" w:cs="宋体"/>
          <w:b w:val="0"/>
          <w:bCs/>
          <w:color w:val="auto"/>
          <w:szCs w:val="21"/>
          <w:highlight w:val="none"/>
          <w:lang w:eastAsia="zh-CN"/>
        </w:rPr>
        <w:t xml:space="preserve">2.2环境操作温度：0～40°C。</w:t>
      </w:r>
      <w:r/>
    </w:p>
    <w:p>
      <w:pPr>
        <w:ind w:firstLine="480"/>
        <w:jc w:val="left"/>
        <w:keepLines w:val="0"/>
        <w:keepNext w:val="0"/>
        <w:pageBreakBefore w:val="0"/>
        <w:spacing w:line="360" w:lineRule="auto"/>
        <w:widowControl/>
        <w:rPr>
          <w:rFonts w:hint="eastAsia" w:ascii="宋体" w:hAnsi="宋体" w:cs="宋体"/>
          <w:b w:val="0"/>
          <w:bCs/>
          <w:color w:val="auto"/>
          <w:szCs w:val="21"/>
          <w:highlight w:val="none"/>
          <w:lang w:eastAsia="zh-CN"/>
        </w:rPr>
      </w:pPr>
      <w:r>
        <w:rPr>
          <w:rFonts w:hint="eastAsia" w:ascii="宋体" w:hAnsi="宋体" w:cs="宋体"/>
          <w:color w:val="auto"/>
          <w:sz w:val="24"/>
          <w:highlight w:val="none"/>
        </w:rPr>
        <w:t xml:space="preserve">▲</w:t>
      </w:r>
      <w:r>
        <w:rPr>
          <w:rFonts w:hint="eastAsia" w:ascii="宋体" w:hAnsi="宋体" w:cs="宋体"/>
          <w:b w:val="0"/>
          <w:bCs/>
          <w:color w:val="auto"/>
          <w:szCs w:val="21"/>
          <w:highlight w:val="none"/>
          <w:lang w:eastAsia="zh-CN"/>
        </w:rPr>
        <w:t xml:space="preserve">2.3储存温度：-40～60°C。</w:t>
      </w:r>
      <w:r/>
    </w:p>
    <w:p>
      <w:pPr>
        <w:ind w:firstLine="480"/>
        <w:jc w:val="left"/>
        <w:keepLines w:val="0"/>
        <w:keepNext w:val="0"/>
        <w:pageBreakBefore w:val="0"/>
        <w:spacing w:line="360" w:lineRule="auto"/>
        <w:widowControl/>
        <w:rPr>
          <w:rFonts w:hint="eastAsia" w:ascii="宋体" w:hAnsi="宋体" w:cs="宋体"/>
          <w:b w:val="0"/>
          <w:bCs/>
          <w:color w:val="auto"/>
          <w:szCs w:val="21"/>
          <w:highlight w:val="none"/>
          <w:lang w:eastAsia="zh-CN"/>
        </w:rPr>
      </w:pPr>
      <w:r>
        <w:rPr>
          <w:rFonts w:hint="eastAsia" w:ascii="宋体" w:hAnsi="宋体" w:cs="宋体"/>
          <w:color w:val="auto"/>
          <w:sz w:val="24"/>
          <w:highlight w:val="none"/>
        </w:rPr>
        <w:t xml:space="preserve">▲</w:t>
      </w:r>
      <w:r>
        <w:rPr>
          <w:rFonts w:hint="eastAsia" w:ascii="宋体" w:hAnsi="宋体" w:cs="宋体"/>
          <w:b w:val="0"/>
          <w:bCs/>
          <w:color w:val="auto"/>
          <w:szCs w:val="21"/>
          <w:highlight w:val="none"/>
          <w:lang w:eastAsia="zh-CN"/>
        </w:rPr>
        <w:t xml:space="preserve">2.</w:t>
      </w:r>
      <w:r>
        <w:rPr>
          <w:rFonts w:hint="eastAsia" w:ascii="宋体" w:hAnsi="宋体" w:cs="宋体"/>
          <w:b w:val="0"/>
          <w:bCs/>
          <w:color w:val="auto"/>
          <w:szCs w:val="21"/>
          <w:highlight w:val="none"/>
          <w:lang w:val="en-US" w:eastAsia="zh-CN"/>
        </w:rPr>
        <w:t xml:space="preserve">4</w:t>
      </w:r>
      <w:r>
        <w:rPr>
          <w:rFonts w:hint="eastAsia" w:ascii="宋体" w:hAnsi="宋体" w:cs="宋体"/>
          <w:b w:val="0"/>
          <w:bCs/>
          <w:color w:val="auto"/>
          <w:szCs w:val="21"/>
          <w:highlight w:val="none"/>
          <w:lang w:eastAsia="zh-CN"/>
        </w:rPr>
        <w:t xml:space="preserve">温度范围：温度5～50°C。</w:t>
      </w:r>
      <w:r/>
    </w:p>
    <w:p>
      <w:pPr>
        <w:numPr>
          <w:ilvl w:val="0"/>
          <w:numId w:val="3"/>
        </w:numPr>
        <w:ind w:firstLine="420"/>
        <w:jc w:val="left"/>
        <w:keepLines w:val="0"/>
        <w:keepNext w:val="0"/>
        <w:pageBreakBefore w:val="0"/>
        <w:spacing w:line="360" w:lineRule="auto"/>
        <w:widowControl/>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技术参数</w:t>
      </w:r>
      <w:r/>
    </w:p>
    <w:p>
      <w:pPr>
        <w:numPr>
          <w:ilvl w:val="0"/>
          <w:numId w:val="0"/>
        </w:numPr>
        <w:ind w:firstLine="420"/>
        <w:jc w:val="left"/>
        <w:keepLines w:val="0"/>
        <w:keepNext w:val="0"/>
        <w:pageBreakBefore w:val="0"/>
        <w:spacing w:line="360" w:lineRule="auto"/>
        <w:widowControl/>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3.1总大肠菌群和大肠杆菌培养基灵敏度：1CFU/ mL。</w:t>
      </w:r>
      <w:r/>
    </w:p>
    <w:p>
      <w:pPr>
        <w:numPr>
          <w:ilvl w:val="0"/>
          <w:numId w:val="0"/>
        </w:numPr>
        <w:ind w:firstLine="420"/>
        <w:jc w:val="left"/>
        <w:keepLines w:val="0"/>
        <w:keepNext w:val="0"/>
        <w:pageBreakBefore w:val="0"/>
        <w:spacing w:line="360" w:lineRule="auto"/>
        <w:widowControl/>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3.2 便携式培养箱：</w:t>
      </w:r>
      <w:r/>
    </w:p>
    <w:p>
      <w:pPr>
        <w:numPr>
          <w:ilvl w:val="0"/>
          <w:numId w:val="0"/>
        </w:numPr>
        <w:ind w:firstLine="480"/>
        <w:jc w:val="left"/>
        <w:keepLines w:val="0"/>
        <w:keepNext w:val="0"/>
        <w:pageBreakBefore w:val="0"/>
        <w:spacing w:line="360" w:lineRule="auto"/>
        <w:widowControl/>
        <w:rPr>
          <w:rFonts w:hint="eastAsia" w:ascii="宋体" w:hAnsi="宋体" w:cs="宋体"/>
          <w:b w:val="0"/>
          <w:bCs/>
          <w:color w:val="auto"/>
          <w:szCs w:val="21"/>
          <w:highlight w:val="none"/>
          <w:lang w:eastAsia="zh-CN"/>
        </w:rPr>
      </w:pPr>
      <w:r>
        <w:rPr>
          <w:rFonts w:hint="eastAsia" w:ascii="宋体" w:hAnsi="宋体" w:cs="宋体"/>
          <w:color w:val="auto"/>
          <w:sz w:val="24"/>
          <w:highlight w:val="none"/>
        </w:rPr>
        <w:t xml:space="preserve">▲</w:t>
      </w:r>
      <w:r>
        <w:rPr>
          <w:rFonts w:hint="eastAsia" w:ascii="宋体" w:hAnsi="宋体" w:cs="宋体"/>
          <w:b w:val="0"/>
          <w:bCs/>
          <w:color w:val="auto"/>
          <w:szCs w:val="21"/>
          <w:highlight w:val="none"/>
          <w:lang w:eastAsia="zh-CN"/>
        </w:rPr>
        <w:t xml:space="preserve">（1）温度稳定性：±0.5°C。</w:t>
      </w:r>
      <w:r/>
    </w:p>
    <w:p>
      <w:pPr>
        <w:numPr>
          <w:ilvl w:val="0"/>
          <w:numId w:val="0"/>
        </w:numPr>
        <w:ind w:firstLine="480"/>
        <w:jc w:val="left"/>
        <w:keepLines w:val="0"/>
        <w:keepNext w:val="0"/>
        <w:pageBreakBefore w:val="0"/>
        <w:spacing w:line="360" w:lineRule="auto"/>
        <w:widowControl/>
        <w:rPr>
          <w:rFonts w:hint="eastAsia" w:ascii="宋体" w:hAnsi="宋体" w:cs="宋体"/>
          <w:b w:val="0"/>
          <w:bCs/>
          <w:color w:val="auto"/>
          <w:szCs w:val="21"/>
          <w:highlight w:val="none"/>
          <w:lang w:eastAsia="zh-CN"/>
        </w:rPr>
      </w:pPr>
      <w:r>
        <w:rPr>
          <w:rFonts w:hint="eastAsia" w:ascii="宋体" w:hAnsi="宋体" w:cs="宋体"/>
          <w:color w:val="auto"/>
          <w:sz w:val="24"/>
          <w:highlight w:val="none"/>
        </w:rPr>
        <w:t xml:space="preserve">▲</w:t>
      </w:r>
      <w:r>
        <w:rPr>
          <w:rFonts w:hint="eastAsia" w:ascii="宋体" w:hAnsi="宋体" w:cs="宋体"/>
          <w:b w:val="0"/>
          <w:bCs/>
          <w:color w:val="auto"/>
          <w:szCs w:val="21"/>
          <w:highlight w:val="none"/>
          <w:lang w:eastAsia="zh-CN"/>
        </w:rPr>
        <w:t xml:space="preserve">（2）预热时间：2±1小时。</w:t>
      </w:r>
      <w:r/>
    </w:p>
    <w:p>
      <w:pPr>
        <w:numPr>
          <w:ilvl w:val="0"/>
          <w:numId w:val="0"/>
        </w:numPr>
        <w:ind w:firstLine="420"/>
        <w:jc w:val="left"/>
        <w:keepLines w:val="0"/>
        <w:keepNext w:val="0"/>
        <w:pageBreakBefore w:val="0"/>
        <w:spacing w:line="360" w:lineRule="auto"/>
        <w:widowControl/>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（3）容量：42个50mm培养皿。</w:t>
      </w:r>
      <w:bookmarkEnd w:id="63"/>
      <w:r/>
      <w:r/>
    </w:p>
    <w:p>
      <w:pPr>
        <w:jc w:val="left"/>
        <w:spacing w:line="360" w:lineRule="auto"/>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六</w:t>
      </w:r>
      <w:r>
        <w:rPr>
          <w:rFonts w:hint="eastAsia" w:ascii="宋体" w:hAnsi="宋体" w:cs="宋体"/>
          <w:b/>
          <w:color w:val="auto"/>
          <w:szCs w:val="21"/>
          <w:highlight w:val="none"/>
        </w:rPr>
        <w:t xml:space="preserve">、</w:t>
      </w:r>
      <w:r>
        <w:rPr>
          <w:rFonts w:hint="eastAsia" w:ascii="宋体" w:hAnsi="宋体" w:cs="宋体"/>
          <w:b/>
          <w:color w:val="auto"/>
          <w:szCs w:val="21"/>
          <w:highlight w:val="none"/>
          <w:lang w:val="en-US" w:eastAsia="zh-CN"/>
        </w:rPr>
        <w:t xml:space="preserve">项目实施方案</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（一）建设期的质量保证</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（1）中标人不得以任何形式转包于他方。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（2）系统和设备达不到招标文件质量和规格要求的，采购人有权解除合同，所有责任由中标人承担。</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（3）中标人必须严格按照合同约定工期要求将合同设备全部交付到指定地点，完成系统所有建设内容。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（4）报价中投标人必须提供系统各单元详细的仪器、设备和采用的各种材料明细清单，包括品牌、型号、详细配置、制造商、数量、备品备件及专用工具等等。</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（二）供货及投入正常运转的时限要求</w:t>
      </w:r>
      <w:r/>
    </w:p>
    <w:p>
      <w:pPr>
        <w:ind w:firstLine="420"/>
        <w:jc w:val="left"/>
        <w:spacing w:line="360" w:lineRule="auto"/>
        <w:rPr>
          <w:rFonts w:hint="eastAsia" w:ascii="宋体" w:hAnsi="宋体" w:eastAsia="宋体" w:cs="宋体"/>
          <w:i w:val="0"/>
          <w:iCs w:val="0"/>
          <w:color w:val="auto"/>
          <w:szCs w:val="21"/>
          <w:highlight w:val="none"/>
          <w:u w:val="none"/>
          <w:lang w:eastAsia="zh-CN"/>
        </w:rPr>
      </w:pPr>
      <w:r>
        <w:rPr>
          <w:rFonts w:hint="eastAsia" w:ascii="宋体" w:hAnsi="宋体" w:eastAsia="宋体" w:cs="宋体"/>
          <w:i w:val="0"/>
          <w:iCs w:val="0"/>
          <w:color w:val="auto"/>
          <w:szCs w:val="21"/>
          <w:highlight w:val="none"/>
          <w:u w:val="none"/>
        </w:rPr>
        <w:t xml:space="preserve">合同签订后，</w:t>
      </w:r>
      <w:r>
        <w:rPr>
          <w:rFonts w:hint="eastAsia" w:ascii="宋体" w:hAnsi="宋体" w:eastAsia="宋体" w:cs="宋体"/>
          <w:i w:val="0"/>
          <w:iCs w:val="0"/>
          <w:color w:val="auto"/>
          <w:szCs w:val="21"/>
          <w:highlight w:val="none"/>
          <w:u w:val="none"/>
          <w:lang w:val="en-US" w:eastAsia="zh-CN"/>
        </w:rPr>
        <w:t xml:space="preserve">中标人应</w:t>
      </w:r>
      <w:r>
        <w:rPr>
          <w:rFonts w:hint="eastAsia" w:ascii="宋体" w:hAnsi="宋体" w:eastAsia="宋体" w:cs="宋体"/>
          <w:i w:val="0"/>
          <w:iCs w:val="0"/>
          <w:color w:val="auto"/>
          <w:szCs w:val="21"/>
          <w:highlight w:val="none"/>
          <w:u w:val="none"/>
        </w:rPr>
        <w:t xml:space="preserve">在</w:t>
      </w:r>
      <w:r>
        <w:rPr>
          <w:rFonts w:hint="eastAsia" w:ascii="宋体" w:hAnsi="宋体" w:cs="宋体"/>
          <w:i w:val="0"/>
          <w:iCs w:val="0"/>
          <w:color w:val="auto"/>
          <w:szCs w:val="21"/>
          <w:highlight w:val="none"/>
          <w:u w:val="none"/>
          <w:lang w:val="en-US" w:eastAsia="zh-CN"/>
        </w:rPr>
        <w:t xml:space="preserve">50天内将各设备送至指定地点，7天内将所有设备安装完成，3天内完成所有设备的调试</w:t>
      </w:r>
      <w:r>
        <w:rPr>
          <w:rFonts w:hint="eastAsia" w:ascii="宋体" w:hAnsi="宋体" w:cs="宋体"/>
          <w:i w:val="0"/>
          <w:iCs w:val="0"/>
          <w:color w:val="auto"/>
          <w:szCs w:val="21"/>
          <w:highlight w:val="none"/>
          <w:u w:val="none"/>
          <w:lang w:eastAsia="zh-CN"/>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（1）货物交付签收办法</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货物到达安装现场后，投标人和采购人（或委托的监理方）共同打开包装验货检查货物数量。投标人应提供详细装箱单据。如果货物质量或技术规格与合同不符，或货物有明显损坏，采购人有权提出索赔。只有经安装调试并且技术性能达到本招标文件所述的技术要求后，采购人才能接受全部货物。</w:t>
      </w:r>
      <w:r/>
    </w:p>
    <w:p>
      <w:pPr>
        <w:ind w:firstLine="420"/>
        <w:jc w:val="left"/>
        <w:spacing w:line="360" w:lineRule="auto"/>
        <w:rPr>
          <w:rFonts w:hint="eastAsia" w:ascii="宋体" w:hAnsi="宋体" w:cs="宋体"/>
          <w:color w:val="auto"/>
          <w:szCs w:val="21"/>
          <w:highlight w:val="none"/>
        </w:rPr>
      </w:pPr>
      <w:r>
        <w:rPr>
          <w:rFonts w:hint="eastAsia"/>
          <w:color w:val="auto"/>
          <w:highlight w:val="none"/>
          <w:lang w:val="en-US" w:eastAsia="zh-CN"/>
        </w:rPr>
        <w:t xml:space="preserve">设备安装调试完成后</w:t>
      </w:r>
      <w:r>
        <w:rPr>
          <w:rFonts w:hint="eastAsia" w:ascii="宋体" w:hAnsi="宋体" w:cs="宋体"/>
          <w:color w:val="auto"/>
          <w:szCs w:val="21"/>
          <w:highlight w:val="none"/>
        </w:rPr>
        <w:t xml:space="preserve">，由中标人提供验收报告，经采购人确认后，组织项目整体验收，相关费用由中标人承担。仪器设备不满足招标文件要求的，采购人有权解除合同并追究中标人法律责任。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）服务和技术支持要求</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）软件升级及系统扩展方案</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中标人必须对提供的软件知识产权负责，如今后国家生态环境部、省生态环境厅对</w:t>
      </w:r>
      <w:r>
        <w:rPr>
          <w:rFonts w:hint="eastAsia" w:ascii="宋体" w:hAnsi="宋体" w:cs="宋体"/>
          <w:color w:val="auto"/>
          <w:szCs w:val="21"/>
          <w:highlight w:val="none"/>
          <w:lang w:eastAsia="zh-CN"/>
        </w:rPr>
        <w:t xml:space="preserve">相关</w:t>
      </w:r>
      <w:r>
        <w:rPr>
          <w:rFonts w:hint="eastAsia" w:ascii="宋体" w:hAnsi="宋体" w:cs="宋体"/>
          <w:color w:val="auto"/>
          <w:szCs w:val="21"/>
          <w:highlight w:val="none"/>
        </w:rPr>
        <w:t xml:space="preserve">监测技术规范作出调整，中标人须及时地免费为采购人提供软件升级服务或调整。</w:t>
      </w:r>
      <w:r/>
    </w:p>
    <w:p>
      <w:pPr>
        <w:ind w:firstLine="420"/>
        <w:jc w:val="left"/>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）供应商</w:t>
      </w:r>
      <w:r>
        <w:rPr>
          <w:rFonts w:hint="eastAsia" w:ascii="宋体" w:hAnsi="宋体" w:eastAsia="宋体" w:cs="宋体"/>
          <w:color w:val="auto"/>
          <w:szCs w:val="21"/>
          <w:highlight w:val="none"/>
          <w:lang w:val="en-US" w:eastAsia="zh-CN"/>
        </w:rPr>
        <w:t xml:space="preserve">应</w:t>
      </w:r>
      <w:r>
        <w:rPr>
          <w:rFonts w:hint="eastAsia" w:ascii="宋体" w:hAnsi="宋体" w:eastAsia="宋体" w:cs="宋体"/>
          <w:color w:val="auto"/>
          <w:szCs w:val="21"/>
          <w:highlight w:val="none"/>
        </w:rPr>
        <w:t xml:space="preserve">有专职的维修工程师及应用工程师有效保证售后维修的及时、快捷，并负责提供技术支持，保证仪器的正常操作，并协助用户进行方法开发。</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）要求合同签订后规定时间内完成系统所有</w:t>
      </w:r>
      <w:r>
        <w:rPr>
          <w:rFonts w:hint="eastAsia" w:ascii="宋体" w:hAnsi="宋体" w:eastAsia="宋体" w:cs="宋体"/>
          <w:color w:val="auto"/>
          <w:szCs w:val="21"/>
          <w:highlight w:val="none"/>
        </w:rPr>
        <w:t xml:space="preserve">建设内容。并按照</w:t>
      </w:r>
      <w:r>
        <w:rPr>
          <w:rFonts w:hint="eastAsia" w:ascii="宋体" w:hAnsi="宋体" w:eastAsia="宋体" w:cs="宋体"/>
          <w:color w:val="auto"/>
          <w:szCs w:val="21"/>
          <w:highlight w:val="none"/>
          <w:lang w:eastAsia="zh-CN"/>
        </w:rPr>
        <w:t xml:space="preserve">招标文件、投标承诺、国家和地方标准等</w:t>
      </w:r>
      <w:r>
        <w:rPr>
          <w:rFonts w:hint="eastAsia" w:ascii="宋体" w:hAnsi="宋体" w:eastAsia="宋体" w:cs="宋体"/>
          <w:color w:val="auto"/>
          <w:szCs w:val="21"/>
          <w:highlight w:val="none"/>
        </w:rPr>
        <w:t xml:space="preserve">对设备进行验收。投标人</w:t>
      </w:r>
      <w:r>
        <w:rPr>
          <w:rFonts w:hint="eastAsia" w:ascii="宋体" w:hAnsi="宋体" w:cs="宋体"/>
          <w:color w:val="auto"/>
          <w:szCs w:val="21"/>
          <w:highlight w:val="none"/>
        </w:rPr>
        <w:t xml:space="preserve">应制订明确的合同交货进度表。相关费用由中标人承担</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）付款方式（合同约定）：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1）合同签订后，乙方向甲方开具发票，甲方自收到发票之日起</w:t>
      </w:r>
      <w:r>
        <w:rPr>
          <w:rFonts w:hint="eastAsia" w:ascii="宋体" w:hAnsi="宋体" w:cs="宋体"/>
          <w:color w:val="auto"/>
          <w:szCs w:val="21"/>
          <w:highlight w:val="none"/>
          <w:lang w:val="en-US" w:eastAsia="zh-CN"/>
        </w:rPr>
        <w:t xml:space="preserve">10个工作日</w:t>
      </w:r>
      <w:r>
        <w:rPr>
          <w:rFonts w:hint="eastAsia" w:ascii="宋体" w:hAnsi="宋体" w:cs="宋体"/>
          <w:color w:val="auto"/>
          <w:szCs w:val="21"/>
          <w:highlight w:val="none"/>
        </w:rPr>
        <w:t xml:space="preserve">内支付合同总价30%的预付款；</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2）项目所需设备全部交付并经验收合格后，乙方向甲方开具发票，</w:t>
      </w:r>
      <w:r>
        <w:rPr>
          <w:rFonts w:hint="eastAsia" w:ascii="宋体" w:hAnsi="宋体" w:eastAsia="宋体" w:cs="宋体"/>
          <w:color w:val="auto"/>
          <w:szCs w:val="21"/>
          <w:highlight w:val="none"/>
          <w:lang w:eastAsia="zh-CN"/>
        </w:rPr>
        <w:t xml:space="preserve">甲方自收到发票之日起</w:t>
      </w:r>
      <w:r>
        <w:rPr>
          <w:rFonts w:hint="eastAsia" w:ascii="宋体" w:hAnsi="宋体" w:cs="宋体"/>
          <w:color w:val="auto"/>
          <w:szCs w:val="21"/>
          <w:highlight w:val="none"/>
          <w:lang w:val="en-US" w:eastAsia="zh-CN"/>
        </w:rPr>
        <w:t xml:space="preserve">10个工作日</w:t>
      </w:r>
      <w:r>
        <w:rPr>
          <w:rFonts w:hint="eastAsia" w:ascii="宋体" w:hAnsi="宋体" w:cs="宋体"/>
          <w:color w:val="auto"/>
          <w:szCs w:val="21"/>
          <w:highlight w:val="none"/>
        </w:rPr>
        <w:t xml:space="preserve">内</w:t>
      </w:r>
      <w:r>
        <w:rPr>
          <w:rFonts w:hint="eastAsia" w:ascii="宋体" w:hAnsi="宋体" w:eastAsia="宋体" w:cs="宋体"/>
          <w:color w:val="auto"/>
          <w:szCs w:val="21"/>
          <w:highlight w:val="none"/>
          <w:lang w:eastAsia="zh-CN"/>
        </w:rPr>
        <w:t xml:space="preserve">支付合同总价</w:t>
      </w:r>
      <w:r>
        <w:rPr>
          <w:rFonts w:hint="eastAsia" w:ascii="宋体" w:hAnsi="宋体" w:eastAsia="宋体" w:cs="宋体"/>
          <w:color w:val="auto"/>
          <w:szCs w:val="21"/>
          <w:highlight w:val="none"/>
          <w:lang w:val="zh-CN" w:eastAsia="zh-CN"/>
        </w:rPr>
        <w:t xml:space="preserve">的</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eastAsia="zh-CN"/>
        </w:rPr>
        <w:t xml:space="preserve">0%。</w:t>
      </w:r>
      <w:r/>
    </w:p>
    <w:p>
      <w:pPr>
        <w:ind w:firstLine="420"/>
        <w:jc w:val="left"/>
        <w:spacing w:line="360" w:lineRule="auto"/>
        <w:rPr>
          <w:rFonts w:hint="eastAsia" w:ascii="宋体" w:hAnsi="宋体" w:cs="宋体"/>
          <w:b/>
          <w:color w:val="auto"/>
          <w:szCs w:val="21"/>
          <w:highlight w:val="none"/>
          <w:lang w:eastAsia="zh-CN"/>
        </w:rPr>
      </w:pPr>
      <w:r>
        <w:rPr>
          <w:rFonts w:hint="eastAsia" w:ascii="宋体" w:hAnsi="宋体" w:cs="宋体"/>
          <w:color w:val="auto"/>
          <w:szCs w:val="21"/>
          <w:highlight w:val="none"/>
        </w:rPr>
        <w:t xml:space="preserve">如出现不符合采购文件和合同中要求的事项，则根据采购文件和合同内容扣除部分费用。</w:t>
      </w:r>
      <w:r/>
    </w:p>
    <w:p>
      <w:pPr>
        <w:ind w:firstLine="420"/>
        <w:jc w:val="left"/>
        <w:keepLines/>
        <w:keepNext/>
        <w:spacing w:line="360" w:lineRule="auto"/>
        <w:rPr>
          <w:rFonts w:hint="eastAsia" w:ascii="宋体" w:hAnsi="宋体" w:cs="宋体"/>
          <w:b/>
          <w:bCs/>
          <w:i/>
          <w:iCs/>
          <w:color w:val="auto"/>
          <w:szCs w:val="21"/>
          <w:highlight w:val="none"/>
          <w:u w:val="single"/>
        </w:rPr>
      </w:pPr>
      <w:r>
        <w:rPr>
          <w:rFonts w:hint="eastAsia" w:ascii="宋体" w:hAnsi="宋体" w:eastAsia="宋体" w:cs="宋体"/>
          <w:i/>
          <w:iCs/>
          <w:color w:val="auto"/>
          <w:szCs w:val="21"/>
          <w:highlight w:val="none"/>
          <w:u w:val="single"/>
          <w:lang w:eastAsia="zh-CN"/>
        </w:rPr>
        <w:t xml:space="preserve">（</w:t>
      </w:r>
      <w:r>
        <w:rPr>
          <w:rFonts w:hint="eastAsia" w:ascii="宋体" w:hAnsi="宋体" w:eastAsia="宋体" w:cs="宋体"/>
          <w:i/>
          <w:iCs/>
          <w:color w:val="auto"/>
          <w:szCs w:val="21"/>
          <w:highlight w:val="none"/>
          <w:u w:val="single"/>
          <w:lang w:val="en-US" w:eastAsia="zh-CN"/>
        </w:rPr>
        <w:t xml:space="preserve">4</w:t>
      </w:r>
      <w:r>
        <w:rPr>
          <w:rFonts w:hint="eastAsia" w:ascii="宋体" w:hAnsi="宋体" w:eastAsia="宋体" w:cs="宋体"/>
          <w:i/>
          <w:iCs/>
          <w:color w:val="auto"/>
          <w:szCs w:val="21"/>
          <w:highlight w:val="none"/>
          <w:u w:val="single"/>
          <w:lang w:eastAsia="zh-CN"/>
        </w:rPr>
        <w:t xml:space="preserve">）</w:t>
      </w:r>
      <w:r>
        <w:rPr>
          <w:rFonts w:hint="eastAsia" w:ascii="宋体" w:hAnsi="宋体" w:eastAsia="宋体" w:cs="宋体"/>
          <w:i/>
          <w:iCs/>
          <w:color w:val="auto"/>
          <w:szCs w:val="21"/>
          <w:highlight w:val="none"/>
          <w:u w:val="single"/>
        </w:rPr>
        <w:t xml:space="preserve">投标人应对投标文</w:t>
      </w:r>
      <w:r>
        <w:rPr>
          <w:rFonts w:hint="eastAsia" w:ascii="宋体" w:hAnsi="宋体" w:cs="宋体"/>
          <w:i/>
          <w:iCs/>
          <w:color w:val="auto"/>
          <w:szCs w:val="21"/>
          <w:highlight w:val="none"/>
          <w:u w:val="single"/>
        </w:rPr>
        <w:t xml:space="preserve">件的真实性负责，中标结果公告发布后直至采购合同签订前，因材料真实性受到举报、质疑、投诉的，如经查证属实，采购人有权取消其中标资格。签订合同后，采购人如发现中标人存在造假等虚假响应的行为，无法满足使用需求，将上报采购监管部门，终止合同，并对中标人处以虚假响应货物对应合同金额</w:t>
      </w:r>
      <w:r>
        <w:rPr>
          <w:rFonts w:hint="eastAsia" w:ascii="宋体" w:hAnsi="宋体" w:cs="宋体"/>
          <w:i/>
          <w:iCs/>
          <w:color w:val="auto"/>
          <w:szCs w:val="21"/>
          <w:highlight w:val="none"/>
          <w:u w:val="single"/>
          <w:lang w:eastAsia="zh-CN"/>
        </w:rPr>
        <w:t xml:space="preserve">的</w:t>
      </w:r>
      <w:r>
        <w:rPr>
          <w:rFonts w:hint="eastAsia" w:ascii="宋体" w:hAnsi="宋体" w:cs="宋体"/>
          <w:i/>
          <w:iCs/>
          <w:color w:val="auto"/>
          <w:szCs w:val="21"/>
          <w:highlight w:val="none"/>
          <w:u w:val="single"/>
          <w:lang w:val="en-US" w:eastAsia="zh-CN"/>
        </w:rPr>
        <w:t xml:space="preserve">30%的惩罚性违约金</w:t>
      </w:r>
      <w:r>
        <w:rPr>
          <w:rFonts w:hint="eastAsia" w:ascii="宋体" w:hAnsi="宋体" w:cs="宋体"/>
          <w:i/>
          <w:iCs/>
          <w:color w:val="auto"/>
          <w:szCs w:val="21"/>
          <w:highlight w:val="none"/>
          <w:u w:val="single"/>
        </w:rPr>
        <w:t xml:space="preserve">。</w:t>
      </w:r>
      <w:r>
        <w:rPr>
          <w:rFonts w:hint="eastAsia" w:ascii="宋体" w:hAnsi="宋体" w:cs="宋体"/>
          <w:b/>
          <w:bCs/>
          <w:i/>
          <w:iCs/>
          <w:color w:val="auto"/>
          <w:szCs w:val="21"/>
          <w:highlight w:val="none"/>
          <w:u w:val="single"/>
        </w:rPr>
        <w:t xml:space="preserve">（提供承诺函加盖投标人公章，格式自拟</w:t>
      </w:r>
      <w:r>
        <w:rPr>
          <w:rFonts w:hint="eastAsia" w:ascii="宋体" w:hAnsi="宋体" w:cs="宋体"/>
          <w:b/>
          <w:bCs/>
          <w:i/>
          <w:iCs/>
          <w:color w:val="auto"/>
          <w:szCs w:val="21"/>
          <w:highlight w:val="none"/>
          <w:u w:val="single"/>
          <w:lang w:eastAsia="zh-CN"/>
        </w:rPr>
        <w:t xml:space="preserve">，</w:t>
      </w:r>
      <w:r>
        <w:rPr>
          <w:rFonts w:hint="eastAsia" w:ascii="宋体" w:hAnsi="宋体" w:cs="宋体"/>
          <w:b/>
          <w:bCs/>
          <w:i/>
          <w:iCs/>
          <w:color w:val="auto"/>
          <w:szCs w:val="21"/>
          <w:highlight w:val="none"/>
          <w:u w:val="single"/>
          <w:lang w:val="en-US" w:eastAsia="zh-CN"/>
        </w:rPr>
        <w:t xml:space="preserve">系统上传</w:t>
      </w:r>
      <w:r>
        <w:rPr>
          <w:rFonts w:hint="eastAsia" w:ascii="宋体" w:hAnsi="宋体" w:cs="宋体"/>
          <w:b/>
          <w:bCs/>
          <w:i/>
          <w:iCs/>
          <w:color w:val="auto"/>
          <w:szCs w:val="21"/>
          <w:highlight w:val="none"/>
          <w:u w:val="single"/>
        </w:rPr>
        <w:t xml:space="preserve">）</w:t>
      </w:r>
      <w:r/>
    </w:p>
    <w:p>
      <w:pPr>
        <w:ind w:firstLine="422"/>
        <w:jc w:val="left"/>
        <w:keepLines/>
        <w:keepNext/>
        <w:spacing w:line="360" w:lineRule="auto"/>
        <w:rPr>
          <w:rFonts w:hint="default" w:ascii="宋体" w:hAnsi="宋体" w:cs="宋体"/>
          <w:b/>
          <w:bCs/>
          <w:i/>
          <w:iCs/>
          <w:color w:val="auto"/>
          <w:szCs w:val="21"/>
          <w:highlight w:val="none"/>
          <w:u w:val="single"/>
          <w:lang w:val="en-US" w:eastAsia="zh-CN"/>
        </w:rPr>
      </w:pPr>
      <w:r>
        <w:rPr>
          <w:rFonts w:hint="eastAsia" w:ascii="宋体" w:hAnsi="宋体" w:cs="宋体"/>
          <w:b/>
          <w:bCs/>
          <w:i/>
          <w:iCs/>
          <w:color w:val="auto"/>
          <w:szCs w:val="21"/>
          <w:highlight w:val="none"/>
          <w:u w:val="single"/>
          <w:lang w:eastAsia="zh-CN"/>
        </w:rPr>
        <w:t xml:space="preserve">（</w:t>
      </w:r>
      <w:r>
        <w:rPr>
          <w:rFonts w:hint="eastAsia" w:ascii="宋体" w:hAnsi="宋体" w:cs="宋体"/>
          <w:b/>
          <w:bCs/>
          <w:i/>
          <w:iCs/>
          <w:color w:val="auto"/>
          <w:szCs w:val="21"/>
          <w:highlight w:val="none"/>
          <w:u w:val="single"/>
          <w:lang w:val="en-US" w:eastAsia="zh-CN"/>
        </w:rPr>
        <w:t xml:space="preserve">5</w:t>
      </w:r>
      <w:r>
        <w:rPr>
          <w:rFonts w:hint="eastAsia" w:ascii="宋体" w:hAnsi="宋体" w:cs="宋体"/>
          <w:b/>
          <w:bCs/>
          <w:i/>
          <w:iCs/>
          <w:color w:val="auto"/>
          <w:szCs w:val="21"/>
          <w:highlight w:val="none"/>
          <w:u w:val="single"/>
          <w:lang w:eastAsia="zh-CN"/>
        </w:rPr>
        <w:t xml:space="preserve">）</w:t>
      </w:r>
      <w:r>
        <w:rPr>
          <w:rFonts w:hint="eastAsia" w:ascii="宋体" w:hAnsi="宋体" w:cs="宋体"/>
          <w:b/>
          <w:bCs/>
          <w:i/>
          <w:iCs/>
          <w:color w:val="auto"/>
          <w:szCs w:val="21"/>
          <w:highlight w:val="none"/>
          <w:u w:val="single"/>
          <w:lang w:val="en-US" w:eastAsia="zh-CN"/>
        </w:rPr>
        <w:t xml:space="preserve">投标人需承诺（</w:t>
      </w:r>
      <w:r>
        <w:rPr>
          <w:rFonts w:hint="eastAsia" w:ascii="宋体" w:hAnsi="宋体" w:cs="宋体"/>
          <w:b/>
          <w:bCs/>
          <w:i/>
          <w:iCs/>
          <w:color w:val="auto"/>
          <w:szCs w:val="21"/>
          <w:highlight w:val="none"/>
          <w:u w:val="single"/>
        </w:rPr>
        <w:t xml:space="preserve">提供</w:t>
      </w:r>
      <w:r>
        <w:rPr>
          <w:rFonts w:hint="eastAsia" w:ascii="宋体" w:hAnsi="宋体" w:cs="宋体"/>
          <w:b/>
          <w:bCs/>
          <w:i/>
          <w:iCs/>
          <w:color w:val="auto"/>
          <w:szCs w:val="21"/>
          <w:highlight w:val="none"/>
          <w:u w:val="single"/>
          <w:lang w:val="en-US" w:eastAsia="zh-CN"/>
        </w:rPr>
        <w:t xml:space="preserve">涵盖下述所有内容的</w:t>
      </w:r>
      <w:r>
        <w:rPr>
          <w:rFonts w:hint="eastAsia" w:ascii="宋体" w:hAnsi="宋体" w:cs="宋体"/>
          <w:b/>
          <w:bCs/>
          <w:i/>
          <w:iCs/>
          <w:color w:val="auto"/>
          <w:szCs w:val="21"/>
          <w:highlight w:val="none"/>
          <w:u w:val="single"/>
        </w:rPr>
        <w:t xml:space="preserve">承诺函加盖投标人公章，格式自拟</w:t>
      </w:r>
      <w:r>
        <w:rPr>
          <w:rFonts w:hint="eastAsia" w:ascii="宋体" w:hAnsi="宋体" w:cs="宋体"/>
          <w:b/>
          <w:bCs/>
          <w:i/>
          <w:iCs/>
          <w:color w:val="auto"/>
          <w:szCs w:val="21"/>
          <w:highlight w:val="none"/>
          <w:u w:val="single"/>
          <w:lang w:eastAsia="zh-CN"/>
        </w:rPr>
        <w:t xml:space="preserve">，</w:t>
      </w:r>
      <w:r>
        <w:rPr>
          <w:rFonts w:hint="eastAsia" w:ascii="宋体" w:hAnsi="宋体" w:cs="宋体"/>
          <w:b/>
          <w:bCs/>
          <w:i/>
          <w:iCs/>
          <w:color w:val="auto"/>
          <w:szCs w:val="21"/>
          <w:highlight w:val="none"/>
          <w:u w:val="single"/>
          <w:lang w:val="en-US" w:eastAsia="zh-CN"/>
        </w:rPr>
        <w:t xml:space="preserve">系统上传）：</w:t>
      </w:r>
      <w:r/>
    </w:p>
    <w:p>
      <w:pPr>
        <w:ind w:firstLine="420"/>
        <w:jc w:val="left"/>
        <w:keepLines/>
        <w:keepNext/>
        <w:spacing w:line="360" w:lineRule="auto"/>
        <w:rPr>
          <w:rFonts w:hint="eastAsia" w:ascii="宋体" w:hAnsi="宋体" w:cs="宋体"/>
          <w:b w:val="0"/>
          <w:bCs w:val="0"/>
          <w:i/>
          <w:iCs/>
          <w:color w:val="auto"/>
          <w:szCs w:val="21"/>
          <w:highlight w:val="none"/>
          <w:u w:val="single"/>
          <w:lang w:val="en-US" w:eastAsia="zh-CN"/>
        </w:rPr>
      </w:pPr>
      <w:r>
        <w:rPr>
          <w:rFonts w:hint="eastAsia" w:ascii="宋体" w:hAnsi="宋体" w:cs="宋体"/>
          <w:b w:val="0"/>
          <w:bCs w:val="0"/>
          <w:i/>
          <w:iCs/>
          <w:color w:val="auto"/>
          <w:szCs w:val="21"/>
          <w:highlight w:val="none"/>
          <w:u w:val="single"/>
          <w:lang w:val="en-US" w:eastAsia="zh-CN"/>
        </w:rPr>
        <w:t xml:space="preserve">资质扩项支持：中标单位须承诺无条件配合采购人开展CMA资质扩项工作。</w:t>
      </w:r>
      <w:r/>
    </w:p>
    <w:p>
      <w:pPr>
        <w:ind w:firstLine="420"/>
        <w:jc w:val="left"/>
        <w:keepLines/>
        <w:keepNext/>
        <w:spacing w:line="360" w:lineRule="auto"/>
        <w:rPr>
          <w:rFonts w:hint="eastAsia" w:ascii="宋体" w:hAnsi="宋体" w:eastAsia="宋体" w:cs="宋体"/>
          <w:b/>
          <w:bCs/>
          <w:i/>
          <w:iCs/>
          <w:color w:val="auto"/>
          <w:szCs w:val="21"/>
          <w:highlight w:val="none"/>
          <w:u w:val="single"/>
          <w:lang w:val="en-US" w:eastAsia="zh-CN"/>
        </w:rPr>
      </w:pPr>
      <w:r>
        <w:rPr>
          <w:rFonts w:hint="eastAsia" w:ascii="宋体" w:hAnsi="宋体" w:cs="宋体"/>
          <w:b w:val="0"/>
          <w:bCs w:val="0"/>
          <w:i/>
          <w:iCs/>
          <w:color w:val="auto"/>
          <w:szCs w:val="21"/>
          <w:highlight w:val="none"/>
          <w:u w:val="single"/>
          <w:lang w:val="en-US" w:eastAsia="zh-CN"/>
        </w:rPr>
        <w:t xml:space="preserve">设备兼容性：所提供的便携式气相分子吸收光谱仪、便携式 GC-MS（含便携式顶空进样器+吹扫捕集装置、固相微萃取装置、动态稀释仪）、便携式傅里叶红外分析仪、便携式GC-MS四种仪器设备必须满足采购人未来检测项目扩充的技术要求，确保扩项工作无技术障碍。</w:t>
      </w:r>
      <w:r/>
    </w:p>
    <w:p>
      <w:pPr>
        <w:jc w:val="left"/>
        <w:keepLines/>
        <w:keepNext/>
        <w:spacing w:line="360" w:lineRule="auto"/>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七</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配送、</w:t>
      </w:r>
      <w:r>
        <w:rPr>
          <w:rFonts w:hint="eastAsia" w:ascii="宋体" w:hAnsi="宋体" w:cs="宋体"/>
          <w:b/>
          <w:color w:val="auto"/>
          <w:szCs w:val="21"/>
          <w:highlight w:val="none"/>
        </w:rPr>
        <w:t xml:space="preserve">安装</w:t>
      </w:r>
      <w:r>
        <w:rPr>
          <w:rFonts w:hint="eastAsia" w:ascii="宋体" w:hAnsi="宋体" w:cs="宋体"/>
          <w:b/>
          <w:color w:val="auto"/>
          <w:szCs w:val="21"/>
          <w:highlight w:val="none"/>
          <w:lang w:val="en-US" w:eastAsia="zh-CN"/>
        </w:rPr>
        <w:t xml:space="preserve">及调试方案</w:t>
      </w:r>
      <w:r/>
    </w:p>
    <w:p>
      <w:p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（1）中标人在接到采购人通知后，需根据采购人要求及现场具体情况，拟定产品进场方案报采购人，征得采购人同意后方可安排产品进场。</w:t>
      </w:r>
      <w:r/>
    </w:p>
    <w:p>
      <w:p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投标人需规范设备从设备厂家到项目安装地点的配送流程，确保设备在运输过程中安全无损、准时送达、交接清晰。货物由中标人运至采购人指定地点，验收交货前存放及保管概由中标人负责。产品材料的包装均应有良好的防湿、防锈、防潮、防雨、防腐及防碰撞的措施。凡由于包装不良造成的损失和由此产生的费用均由中标人承担。</w:t>
      </w:r>
      <w:r/>
    </w:p>
    <w:p>
      <w:p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中标人应自行办理为执行本招标文件规定义务而投入的机具产品，运输工具的财产保险和工人意外伤害保险及第三者责任险，货物运输险，包装物的保险及其他相关险种，保险费由中标人承担并支付，并包含在报价单中的货物综合报价之中，采购人将不再单独支付。</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投标人中标后，根据相关技术规范要求考察系统运行情况，试运行结束后，由投标人提供仪器设备技术验收报告，采购人组织整体验收，相关费用由投标人承担。</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货物到达安装现场后，投标人和采购人共同打开包装验货检查货物数量。投标人应提供详细单据。如果货物质量或技术规格与合同不符，或货物有明显损坏，采购人有权提出索赔。</w:t>
      </w:r>
      <w:r>
        <w:rPr>
          <w:rFonts w:hint="eastAsia" w:ascii="宋体" w:hAnsi="宋体" w:cs="宋体"/>
          <w:color w:val="auto"/>
          <w:szCs w:val="21"/>
          <w:highlight w:val="none"/>
          <w:lang w:val="en-US" w:eastAsia="zh-CN"/>
        </w:rPr>
        <w:t xml:space="preserve">设备调试初步成功后需连续运行一段时间，观察其设备的稳定性（有无死机、重启的情形）。观察数据是否连续、平稳、符合预期。</w:t>
      </w:r>
      <w:r>
        <w:rPr>
          <w:rFonts w:hint="eastAsia" w:ascii="宋体" w:hAnsi="宋体" w:cs="宋体"/>
          <w:color w:val="auto"/>
          <w:szCs w:val="21"/>
          <w:highlight w:val="none"/>
        </w:rPr>
        <w:t xml:space="preserve">只有经安装调试并且技术性能达到本招标文件所述的技术要求后，采购人才能接受全部货物。仪器设备不满足招标文件要求的，采购人有权解除合同并追究中标人法律责任。</w:t>
      </w:r>
      <w:r/>
    </w:p>
    <w:p>
      <w:pPr>
        <w:ind w:firstLine="420"/>
        <w:jc w:val="left"/>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操作手册及工具：中标人必须提供系统所有仪器设备、软件、附件、备品备件等详细的操作手册，详细的系统操作和维护手册、组态软件使用手册。提供配套完整的专用工具箱。</w:t>
      </w:r>
      <w:r/>
    </w:p>
    <w:p>
      <w:pPr>
        <w:jc w:val="left"/>
        <w:spacing w:line="360" w:lineRule="auto"/>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 xml:space="preserve">八、</w:t>
      </w:r>
      <w:r>
        <w:rPr>
          <w:rFonts w:hint="eastAsia" w:ascii="宋体" w:hAnsi="宋体" w:cs="宋体"/>
          <w:b/>
          <w:bCs/>
          <w:color w:val="auto"/>
          <w:szCs w:val="21"/>
          <w:highlight w:val="none"/>
          <w:lang w:val="en-US" w:eastAsia="zh-CN"/>
        </w:rPr>
        <w:t xml:space="preserve">配置要求及</w:t>
      </w:r>
      <w:r>
        <w:rPr>
          <w:rFonts w:hint="eastAsia" w:ascii="宋体" w:hAnsi="宋体" w:cs="宋体"/>
          <w:b/>
          <w:bCs/>
          <w:color w:val="auto"/>
          <w:szCs w:val="21"/>
          <w:highlight w:val="none"/>
          <w:lang w:eastAsia="zh-CN"/>
        </w:rPr>
        <w:t xml:space="preserve">验收方案</w:t>
      </w:r>
      <w:r/>
    </w:p>
    <w:p>
      <w:pPr>
        <w:jc w:val="left"/>
        <w:spacing w:line="360" w:lineRule="auto"/>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 xml:space="preserve">（一）便携式气相分子吸收光谱仪</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val="en-US" w:eastAsia="zh-CN"/>
        </w:rPr>
        <w:t xml:space="preserve">1</w:t>
      </w:r>
      <w:r>
        <w:rPr>
          <w:rFonts w:hint="eastAsia" w:ascii="宋体" w:hAnsi="宋体" w:cs="宋体"/>
          <w:b w:val="0"/>
          <w:bCs w:val="0"/>
          <w:color w:val="auto"/>
          <w:szCs w:val="21"/>
          <w:highlight w:val="none"/>
          <w:lang w:eastAsia="zh-CN"/>
        </w:rPr>
        <w:t xml:space="preserve">、系统配置要求</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val="en-US" w:eastAsia="zh-CN"/>
        </w:rPr>
        <w:t xml:space="preserve">（1）</w:t>
      </w:r>
      <w:r>
        <w:rPr>
          <w:rFonts w:hint="eastAsia" w:ascii="宋体" w:hAnsi="宋体" w:cs="宋体"/>
          <w:b w:val="0"/>
          <w:bCs w:val="0"/>
          <w:color w:val="auto"/>
          <w:szCs w:val="21"/>
          <w:highlight w:val="none"/>
          <w:lang w:eastAsia="zh-CN"/>
        </w:rPr>
        <w:t xml:space="preserve">主机包含（7泵系统，含进样系统、自动除水系统、样品自动均质系统、反应分离器全密闭系统、氨氮氧化系统、总氮在线消解系统、电子流量监测系统、载气净化系统、TCS温度控制系统、自动稀释系统）各1套；</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2</w:t>
      </w:r>
      <w:r>
        <w:rPr>
          <w:rFonts w:hint="eastAsia" w:ascii="宋体" w:hAnsi="宋体" w:cs="宋体"/>
          <w:b w:val="0"/>
          <w:bCs w:val="0"/>
          <w:color w:val="auto"/>
          <w:szCs w:val="21"/>
          <w:highlight w:val="none"/>
          <w:lang w:eastAsia="zh-CN"/>
        </w:rPr>
        <w:t xml:space="preserve">）不少于40位便携式自动进样器 1套；</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3</w:t>
      </w:r>
      <w:r>
        <w:rPr>
          <w:rFonts w:hint="eastAsia" w:ascii="宋体" w:hAnsi="宋体" w:cs="宋体"/>
          <w:b w:val="0"/>
          <w:bCs w:val="0"/>
          <w:color w:val="auto"/>
          <w:szCs w:val="21"/>
          <w:highlight w:val="none"/>
          <w:lang w:eastAsia="zh-CN"/>
        </w:rPr>
        <w:t xml:space="preserve">）气相分子吸收光谱仪软件系统1套；</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4</w:t>
      </w:r>
      <w:r>
        <w:rPr>
          <w:rFonts w:hint="eastAsia" w:ascii="宋体" w:hAnsi="宋体" w:cs="宋体"/>
          <w:b w:val="0"/>
          <w:bCs w:val="0"/>
          <w:color w:val="auto"/>
          <w:szCs w:val="21"/>
          <w:highlight w:val="none"/>
          <w:lang w:eastAsia="zh-CN"/>
        </w:rPr>
        <w:t xml:space="preserve">）耗材配件（含进样软管，尾气吸收装置、备用吸光管、进样针等）1套；除标准配置外需额外配备样品管五包，蠕动泵管两套、氘灯一支、总氮、氨氮、硫化物试剂包各一套；</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5</w:t>
      </w:r>
      <w:r>
        <w:rPr>
          <w:rFonts w:hint="eastAsia" w:ascii="宋体" w:hAnsi="宋体" w:cs="宋体"/>
          <w:b w:val="0"/>
          <w:bCs w:val="0"/>
          <w:color w:val="auto"/>
          <w:szCs w:val="21"/>
          <w:highlight w:val="none"/>
          <w:lang w:eastAsia="zh-CN"/>
        </w:rPr>
        <w:t xml:space="preserve">）移动笔记本终端1套（支持工作站正常运转）；</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6</w:t>
      </w:r>
      <w:r>
        <w:rPr>
          <w:rFonts w:hint="eastAsia" w:ascii="宋体" w:hAnsi="宋体" w:cs="宋体"/>
          <w:b w:val="0"/>
          <w:bCs w:val="0"/>
          <w:color w:val="auto"/>
          <w:szCs w:val="21"/>
          <w:highlight w:val="none"/>
          <w:lang w:eastAsia="zh-CN"/>
        </w:rPr>
        <w:t xml:space="preserve">）移动电源1套，所有项目检测时间≥4h；</w:t>
      </w:r>
      <w:r/>
    </w:p>
    <w:p>
      <w:pPr>
        <w:numPr>
          <w:ilvl w:val="0"/>
          <w:numId w:val="0"/>
        </w:numPr>
        <w:jc w:val="left"/>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2、调试结束后需提供具有法定计量机构授权证书资质的机构出具的设备检定或计量校准证书一份。</w:t>
      </w:r>
      <w:r/>
    </w:p>
    <w:p>
      <w:pPr>
        <w:numPr>
          <w:ilvl w:val="0"/>
          <w:numId w:val="0"/>
        </w:numPr>
        <w:jc w:val="left"/>
        <w:spacing w:line="360" w:lineRule="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3、验收方案</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（1）开箱核验设备配置清单是否一致</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（2）通过连续测定确保设备分析项目满足以下精密度要求</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氨氮精密度要求：0.1mg/L，RSD&lt; 5％；0.2mg/L，RSD&lt; 3％；0.5mg/L，RSD&lt; 2％；</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硫化物精密度要求：0.1mg/L，RSD&lt; 5％；0.2mg/L，RSD&lt; 3％；0.5mg/L，RSD&lt; 2％；</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总氮精密度要求：0.2mg/L，RSD&lt; 5％；0.5mg/L，RSD&lt; 3％；1.0mg/L，RSD&lt; 2％；</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（3）根据设定自动配置标准曲线浓度，氨氮、硫化物、总氮相关性系数满足r≥0.9995</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（4）检出限测试：氨氮&lt;0.01mg/L、硫化物&lt;0.005mg/L、总氮&lt;0.05mg/L</w:t>
      </w:r>
      <w:r/>
    </w:p>
    <w:p>
      <w:pPr>
        <w:jc w:val="left"/>
        <w:spacing w:line="360" w:lineRule="auto"/>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 xml:space="preserve">（二）便携式测汞仪</w:t>
      </w:r>
      <w:r/>
    </w:p>
    <w:p>
      <w:pPr>
        <w:jc w:val="left"/>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1、配置要求</w:t>
      </w:r>
      <w:r/>
    </w:p>
    <w:p>
      <w:pPr>
        <w:pStyle w:val="825"/>
        <w:numPr>
          <w:ilvl w:val="0"/>
          <w:numId w:val="0"/>
        </w:numPr>
        <w:ind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（1）主机 1套；</w:t>
      </w:r>
      <w:r/>
    </w:p>
    <w:p>
      <w:pPr>
        <w:pStyle w:val="825"/>
        <w:numPr>
          <w:ilvl w:val="0"/>
          <w:numId w:val="0"/>
        </w:numPr>
        <w:ind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（2）取样探头及过滤器 1套；</w:t>
      </w:r>
      <w:r/>
    </w:p>
    <w:p>
      <w:pPr>
        <w:pStyle w:val="825"/>
        <w:numPr>
          <w:ilvl w:val="0"/>
          <w:numId w:val="0"/>
        </w:numPr>
        <w:ind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（3）还原法附件 1套；</w:t>
      </w:r>
      <w:r/>
    </w:p>
    <w:p>
      <w:pPr>
        <w:pStyle w:val="825"/>
        <w:numPr>
          <w:ilvl w:val="0"/>
          <w:numId w:val="0"/>
        </w:numPr>
        <w:ind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（4）肩带、腰带 1套；</w:t>
      </w:r>
      <w:r/>
    </w:p>
    <w:p>
      <w:pPr>
        <w:pStyle w:val="825"/>
        <w:numPr>
          <w:ilvl w:val="0"/>
          <w:numId w:val="0"/>
        </w:numPr>
        <w:ind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（5）电池、充电器 1套；</w:t>
      </w:r>
      <w:r/>
    </w:p>
    <w:p>
      <w:pPr>
        <w:pStyle w:val="825"/>
        <w:numPr>
          <w:ilvl w:val="0"/>
          <w:numId w:val="0"/>
        </w:numPr>
        <w:ind w:firstLine="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（6）ABS便携式运输箱 1套。</w:t>
      </w:r>
      <w:r/>
    </w:p>
    <w:p>
      <w:pPr>
        <w:jc w:val="left"/>
        <w:spacing w:line="360" w:lineRule="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3、验收方案</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（1）开箱核验设备配置清单是否一致</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（2）分辨率及精度测试：气体（分辨率≤0.1μg/Nm³）、液体（分辨率≤0.01μg/L）、测量精度RSD≤10%（当液体浓度0.5ug/L时）</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（3）核查定位功能</w:t>
      </w:r>
      <w:r/>
    </w:p>
    <w:p>
      <w:pPr>
        <w:jc w:val="left"/>
        <w:spacing w:line="360" w:lineRule="auto"/>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 xml:space="preserve">（三）车载 ICP-MS</w:t>
      </w:r>
      <w:r>
        <w:rPr>
          <w:rFonts w:hint="eastAsia" w:ascii="宋体" w:hAnsi="宋体" w:eastAsia="宋体" w:cs="宋体"/>
          <w:b/>
          <w:bCs/>
          <w:color w:val="auto"/>
          <w:sz w:val="21"/>
          <w:szCs w:val="21"/>
          <w:highlight w:val="none"/>
          <w:lang w:val="en-US" w:eastAsia="zh-CN"/>
        </w:rPr>
        <w:t xml:space="preserve">分析系统</w:t>
      </w:r>
      <w:r/>
    </w:p>
    <w:p>
      <w:pPr>
        <w:jc w:val="left"/>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1、配置要求</w:t>
      </w:r>
      <w:r/>
    </w:p>
    <w:p>
      <w:pPr>
        <w:pStyle w:val="825"/>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车载ICP-MS分析系统主机1台；</w:t>
      </w:r>
      <w:r/>
    </w:p>
    <w:p>
      <w:pPr>
        <w:pStyle w:val="825"/>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车载专用减震平台1套；</w:t>
      </w:r>
      <w:r/>
    </w:p>
    <w:p>
      <w:pPr>
        <w:pStyle w:val="825"/>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（3）车载前级泵（带专用减震模块）1套；</w:t>
      </w:r>
      <w:r/>
    </w:p>
    <w:p>
      <w:pPr>
        <w:pStyle w:val="825"/>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（4）车载分体式循环冷却水机1台；</w:t>
      </w:r>
      <w:r/>
    </w:p>
    <w:p>
      <w:pPr>
        <w:pStyle w:val="825"/>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（5）车载快速进样系统1套；</w:t>
      </w:r>
      <w:r/>
    </w:p>
    <w:p>
      <w:pPr>
        <w:pStyle w:val="825"/>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（6）车载 ICP-MS分析系统专用软件1套；</w:t>
      </w:r>
      <w:r/>
    </w:p>
    <w:p>
      <w:pPr>
        <w:pStyle w:val="825"/>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（7）数据处理工作站1台。</w:t>
      </w:r>
      <w:r/>
    </w:p>
    <w:p>
      <w:pPr>
        <w:jc w:val="left"/>
        <w:spacing w:line="360" w:lineRule="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3、验收方案</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（1）开箱核验设备配置清单是否一致</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（2）查验</w:t>
      </w:r>
      <w:r>
        <w:rPr>
          <w:rFonts w:hint="eastAsia" w:ascii="宋体" w:hAnsi="宋体" w:cs="宋体"/>
          <w:b w:val="0"/>
          <w:bCs w:val="0"/>
          <w:color w:val="auto"/>
          <w:szCs w:val="21"/>
          <w:highlight w:val="none"/>
          <w:lang w:val="en-US" w:eastAsia="zh-CN"/>
        </w:rPr>
        <w:t xml:space="preserve">第三方检测机构出具</w:t>
      </w:r>
      <w:r>
        <w:rPr>
          <w:rFonts w:hint="eastAsia" w:ascii="宋体" w:hAnsi="宋体" w:cs="宋体"/>
          <w:b w:val="0"/>
          <w:bCs w:val="0"/>
          <w:color w:val="auto"/>
          <w:szCs w:val="21"/>
          <w:highlight w:val="none"/>
          <w:lang w:eastAsia="zh-CN"/>
        </w:rPr>
        <w:t xml:space="preserve">的振动冲击试验报告及国产软件著作权证书。</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（3）开机实测：15min内完成抽真空，配合快速进样系统实现≤60s/样的检测速度。</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（4）核查车载专用减震平台、分体式循环冷却水机及快速进样系统。</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（5）性能验证：灵敏度（In≥180 Mcps/ppm）、多元素检出限（如Cu≤0.08μg/L、As≤0.12μg/L、Hg≤0.05μg/L等）、示值误差≤±10%、精密度RSD≤5%。</w:t>
      </w:r>
      <w:r/>
    </w:p>
    <w:p>
      <w:pPr>
        <w:jc w:val="left"/>
        <w:spacing w:line="360" w:lineRule="auto"/>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 xml:space="preserve">（四）便携式 GC-MS（含便携式顶空进样器+吹扫捕集装置、固相微萃取装置、动态稀释仪）</w:t>
      </w:r>
      <w:r/>
    </w:p>
    <w:p>
      <w:pPr>
        <w:jc w:val="left"/>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1、配置要求</w:t>
      </w:r>
      <w:r/>
    </w:p>
    <w:p>
      <w:pPr>
        <w:jc w:val="left"/>
        <w:spacing w:line="360" w:lineRule="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w:t>
      </w:r>
      <w:r>
        <w:rPr>
          <w:rFonts w:hint="default" w:ascii="宋体" w:hAnsi="宋体" w:cs="宋体"/>
          <w:b w:val="0"/>
          <w:bCs w:val="0"/>
          <w:color w:val="auto"/>
          <w:szCs w:val="21"/>
          <w:highlight w:val="none"/>
          <w:lang w:val="en-US" w:eastAsia="zh-CN"/>
        </w:rPr>
        <w:t xml:space="preserve">便携式气相色谱-质谱分析仪主机1台。</w:t>
      </w:r>
      <w:r/>
    </w:p>
    <w:p>
      <w:pPr>
        <w:jc w:val="left"/>
        <w:spacing w:line="360" w:lineRule="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w:t>
      </w:r>
      <w:r>
        <w:rPr>
          <w:rFonts w:hint="default" w:ascii="宋体" w:hAnsi="宋体" w:cs="宋体"/>
          <w:b w:val="0"/>
          <w:bCs w:val="0"/>
          <w:color w:val="auto"/>
          <w:szCs w:val="21"/>
          <w:highlight w:val="none"/>
          <w:lang w:val="en-US" w:eastAsia="zh-CN"/>
        </w:rPr>
        <w:t xml:space="preserve">动静态顶空进样器【含40ml顶空瓶200个（含垫盖）】1台。</w:t>
      </w:r>
      <w:r/>
    </w:p>
    <w:p>
      <w:pPr>
        <w:jc w:val="left"/>
        <w:spacing w:line="360" w:lineRule="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（3）</w:t>
      </w:r>
      <w:r>
        <w:rPr>
          <w:rFonts w:hint="default" w:ascii="宋体" w:hAnsi="宋体" w:cs="宋体"/>
          <w:b w:val="0"/>
          <w:bCs w:val="0"/>
          <w:color w:val="auto"/>
          <w:szCs w:val="21"/>
          <w:highlight w:val="none"/>
          <w:lang w:val="en-US" w:eastAsia="zh-CN"/>
        </w:rPr>
        <w:t xml:space="preserve">手持采样控制器1根。</w:t>
      </w:r>
      <w:r/>
    </w:p>
    <w:p>
      <w:pPr>
        <w:jc w:val="left"/>
        <w:spacing w:line="360" w:lineRule="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（4）</w:t>
      </w:r>
      <w:r>
        <w:rPr>
          <w:rFonts w:hint="default" w:ascii="宋体" w:hAnsi="宋体" w:cs="宋体"/>
          <w:b w:val="0"/>
          <w:bCs w:val="0"/>
          <w:color w:val="auto"/>
          <w:szCs w:val="21"/>
          <w:highlight w:val="none"/>
          <w:lang w:val="en-US" w:eastAsia="zh-CN"/>
        </w:rPr>
        <w:t xml:space="preserve">固相微萃取仪1台。</w:t>
      </w:r>
      <w:r/>
    </w:p>
    <w:p>
      <w:pPr>
        <w:jc w:val="left"/>
        <w:spacing w:line="360" w:lineRule="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（5）</w:t>
      </w:r>
      <w:r>
        <w:rPr>
          <w:rFonts w:hint="default" w:ascii="宋体" w:hAnsi="宋体" w:cs="宋体"/>
          <w:b w:val="0"/>
          <w:bCs w:val="0"/>
          <w:color w:val="auto"/>
          <w:szCs w:val="21"/>
          <w:highlight w:val="none"/>
          <w:lang w:val="en-US" w:eastAsia="zh-CN"/>
        </w:rPr>
        <w:t xml:space="preserve">便携监测小车1架 。</w:t>
      </w:r>
      <w:r/>
    </w:p>
    <w:p>
      <w:pPr>
        <w:jc w:val="left"/>
        <w:spacing w:line="360" w:lineRule="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（6）</w:t>
      </w:r>
      <w:r>
        <w:rPr>
          <w:rFonts w:hint="default" w:ascii="宋体" w:hAnsi="宋体" w:cs="宋体"/>
          <w:b w:val="0"/>
          <w:bCs w:val="0"/>
          <w:color w:val="auto"/>
          <w:szCs w:val="21"/>
          <w:highlight w:val="none"/>
          <w:lang w:val="en-US" w:eastAsia="zh-CN"/>
        </w:rPr>
        <w:t xml:space="preserve">高精度动态稀释仪1套。</w:t>
      </w:r>
      <w:r/>
    </w:p>
    <w:p>
      <w:pPr>
        <w:jc w:val="left"/>
        <w:spacing w:line="360" w:lineRule="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（7）</w:t>
      </w:r>
      <w:r>
        <w:rPr>
          <w:rFonts w:hint="default" w:ascii="宋体" w:hAnsi="宋体" w:cs="宋体"/>
          <w:b w:val="0"/>
          <w:bCs w:val="0"/>
          <w:color w:val="auto"/>
          <w:szCs w:val="21"/>
          <w:highlight w:val="none"/>
          <w:lang w:val="en-US" w:eastAsia="zh-CN"/>
        </w:rPr>
        <w:t xml:space="preserve">配件、备件包：主机充电器1个、顶空装置Y型电源连接线1个、电池2块、便携式背肩带1条、Tenax浓缩管1根、浓缩管密封卡1套、探头进样口卡1套、外接载气快速接头1个、密封圈1包、备用保护盖1包、必要维修工具1套。</w:t>
      </w:r>
      <w:r/>
    </w:p>
    <w:p>
      <w:pPr>
        <w:jc w:val="left"/>
        <w:spacing w:line="360" w:lineRule="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（8）</w:t>
      </w:r>
      <w:r>
        <w:rPr>
          <w:rFonts w:hint="default" w:ascii="宋体" w:hAnsi="宋体" w:cs="宋体"/>
          <w:b w:val="0"/>
          <w:bCs w:val="0"/>
          <w:color w:val="auto"/>
          <w:szCs w:val="21"/>
          <w:highlight w:val="none"/>
          <w:lang w:val="en-US" w:eastAsia="zh-CN"/>
        </w:rPr>
        <w:t xml:space="preserve">气瓶：氮气瓶12个，内标气瓶6个。</w:t>
      </w:r>
      <w:r/>
    </w:p>
    <w:p>
      <w:pPr>
        <w:jc w:val="left"/>
        <w:spacing w:line="360" w:lineRule="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（9）</w:t>
      </w:r>
      <w:r>
        <w:rPr>
          <w:rFonts w:hint="default" w:ascii="宋体" w:hAnsi="宋体" w:cs="宋体"/>
          <w:b w:val="0"/>
          <w:bCs w:val="0"/>
          <w:color w:val="auto"/>
          <w:szCs w:val="21"/>
          <w:highlight w:val="none"/>
          <w:lang w:val="en-US" w:eastAsia="zh-CN"/>
        </w:rPr>
        <w:t xml:space="preserve">数据处理工作站：含操作软件及处理系统、NIST谱库、AMDIS谱库、NIOSH化学库等的工作站一台（配置不低于：内存16G、Intel i7、1TB SSD、独立显卡）、数据采集上传模块1套。</w:t>
      </w:r>
      <w:r/>
    </w:p>
    <w:p>
      <w:pPr>
        <w:numPr>
          <w:ilvl w:val="0"/>
          <w:numId w:val="0"/>
        </w:numPr>
        <w:jc w:val="left"/>
        <w:spacing w:line="360" w:lineRule="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2、调试结束后需提供具有法定计量机构授权证书资质的机构出具的设备检定或计量校准证书一份</w:t>
      </w:r>
      <w:r>
        <w:rPr>
          <w:rFonts w:hint="default" w:ascii="宋体" w:hAnsi="宋体" w:cs="宋体"/>
          <w:b w:val="0"/>
          <w:bCs w:val="0"/>
          <w:color w:val="auto"/>
          <w:szCs w:val="21"/>
          <w:highlight w:val="none"/>
          <w:lang w:val="en-US" w:eastAsia="zh-CN"/>
        </w:rPr>
        <w:t xml:space="preserve">。</w:t>
      </w:r>
      <w:r/>
    </w:p>
    <w:p>
      <w:pPr>
        <w:jc w:val="left"/>
        <w:spacing w:line="360" w:lineRule="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3、验收方案</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（1）开箱核验设备配置清单是否一致</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（2）查验环境适应性、防震性、IP55认证报告及无外包装主机防震低温检测报告；查验产品说明书、实物图片及开机称重证明。</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3）主机验收：现场目测确认电池、载气、内标气、色谱、质谱及真空系统内置于同一机箱，称重设备重量是否小于20kg，验证非机械泵真空系统关机状态保持高真空，开机无需等待抽真空。测试单质谱模式（≤5s）及GC-MS模式（≤15min），四极杆质量分析器匹配NIST谱库。</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（4）性能测试：仪器检出限＜1ppb（苯、甲苯等），匹配NIST谱库。正版数据库（终身免费升级）。</w:t>
      </w:r>
      <w:r/>
    </w:p>
    <w:p>
      <w:pPr>
        <w:jc w:val="left"/>
        <w:spacing w:line="360" w:lineRule="auto"/>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 xml:space="preserve">（五）便携式傅里叶红外分析仪(无机气体监测)</w:t>
      </w:r>
      <w:r/>
    </w:p>
    <w:p>
      <w:pPr>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val="en-US" w:eastAsia="zh-CN"/>
        </w:rPr>
        <w:t xml:space="preserve">、配置</w:t>
      </w:r>
      <w:r>
        <w:rPr>
          <w:rFonts w:hint="eastAsia" w:ascii="宋体" w:hAnsi="宋体" w:cs="宋体"/>
          <w:bCs/>
          <w:color w:val="auto"/>
          <w:sz w:val="21"/>
          <w:szCs w:val="21"/>
          <w:highlight w:val="none"/>
          <w:lang w:val="en-US" w:eastAsia="zh-CN"/>
        </w:rPr>
        <w:t xml:space="preserve">要求</w:t>
      </w:r>
      <w:r>
        <w:rPr>
          <w:rFonts w:hint="eastAsia" w:ascii="宋体" w:hAnsi="宋体" w:eastAsia="宋体" w:cs="宋体"/>
          <w:bCs/>
          <w:color w:val="auto"/>
          <w:sz w:val="21"/>
          <w:szCs w:val="21"/>
          <w:highlight w:val="none"/>
          <w:lang w:val="en-US" w:eastAsia="zh-CN"/>
        </w:rPr>
        <w:t xml:space="preserve">：</w:t>
      </w:r>
      <w:r/>
    </w:p>
    <w:p>
      <w:pPr>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val="en-US" w:eastAsia="zh-CN"/>
        </w:rPr>
        <w:t xml:space="preserve">便携式傅立叶变换红外气体分析仪主机1套。</w:t>
      </w:r>
      <w:r/>
    </w:p>
    <w:p>
      <w:pPr>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en-US" w:eastAsia="zh-CN"/>
        </w:rPr>
        <w:t xml:space="preserve">便携式全程加热采样系统1套（含不少于1米长加热采样探针1支、不少于5米长的加热导气管1根、不少于1米长的加热导气管1根、加热采样器）。</w:t>
      </w:r>
      <w:r/>
    </w:p>
    <w:p>
      <w:pPr>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eastAsia="zh-CN"/>
        </w:rPr>
        <w:t xml:space="preserve">便携箱1个。</w:t>
      </w:r>
      <w:r/>
    </w:p>
    <w:p>
      <w:pPr>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一级金属滤芯2个。</w:t>
      </w:r>
      <w:r/>
    </w:p>
    <w:p>
      <w:pPr>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val="en-US" w:eastAsia="zh-CN"/>
        </w:rPr>
        <w:t xml:space="preserve">二级金属滤芯2个。</w:t>
      </w:r>
      <w:r/>
    </w:p>
    <w:p>
      <w:pPr>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val="en-US" w:eastAsia="zh-CN"/>
        </w:rPr>
        <w:t xml:space="preserve">三级金属滤芯2个。</w:t>
      </w:r>
      <w:r/>
    </w:p>
    <w:p>
      <w:pPr>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lang w:val="en-US" w:eastAsia="zh-CN"/>
        </w:rPr>
        <w:t xml:space="preserve">中文软件分析系统1套。</w:t>
      </w:r>
      <w:r/>
    </w:p>
    <w:p>
      <w:pPr>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lang w:val="en-US" w:eastAsia="zh-CN"/>
        </w:rPr>
        <w:t xml:space="preserve">出厂气体标定光谱库1套。</w:t>
      </w:r>
      <w:r/>
    </w:p>
    <w:p>
      <w:pPr>
        <w:spacing w:line="360" w:lineRule="auto"/>
        <w:shd w:val="clear" w:color="auto" w:fill="auto"/>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lang w:val="en-US" w:eastAsia="zh-CN"/>
        </w:rPr>
        <w:t xml:space="preserve">不少于200种定性半定量光谱库1套。</w:t>
      </w:r>
      <w:r/>
    </w:p>
    <w:p>
      <w:pPr>
        <w:spacing w:line="360" w:lineRule="auto"/>
        <w:shd w:val="clear" w:color="auto" w:fill="auto"/>
        <w:rPr>
          <w:rFonts w:hint="eastAsia" w:ascii="宋体" w:hAnsi="宋体" w:eastAsia="宋体" w:cs="宋体"/>
          <w:b/>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lang w:val="en-US" w:eastAsia="zh-CN"/>
        </w:rPr>
        <w:t xml:space="preserve">移动工作站1台。</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Cs w:val="21"/>
          <w:highlight w:val="none"/>
          <w:lang w:val="en-US" w:eastAsia="zh-CN"/>
        </w:rPr>
        <w:t xml:space="preserve">2、调试结束后需提供具有法定计量机构授权证书资质的机构出具的设备检定或计量校准证书一份。</w:t>
      </w:r>
      <w:r/>
    </w:p>
    <w:p>
      <w:pPr>
        <w:jc w:val="left"/>
        <w:spacing w:line="360" w:lineRule="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3、验收方案</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（1）开箱核验设备配置清单是否一致</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（2）开机检查中文软件界面、浓度单位切换、干湿转换、蓝牙打印机测试条等功能。</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（3）性能测试：验证12种组分（SO₂、NO、NO₂、CO、CO₂、NH₃、HCl、H₂O、N₂O、CH₄、HF、O₂）示值误差及系统误差符合要求（＞60μmol/mol时相对误差≤±5%，≤60μmol/mol时绝对误差≤±3μmol/mol）。</w:t>
      </w:r>
      <w:r/>
    </w:p>
    <w:p>
      <w:pPr>
        <w:jc w:val="left"/>
        <w:spacing w:line="360" w:lineRule="auto"/>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 xml:space="preserve">（六）红外热成像气体检测仪</w:t>
      </w:r>
      <w:r/>
    </w:p>
    <w:p>
      <w:pPr>
        <w:jc w:val="left"/>
        <w:spacing w:line="360" w:lineRule="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配置要求</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1</w:t>
      </w:r>
      <w:r>
        <w:rPr>
          <w:rFonts w:hint="eastAsia" w:ascii="宋体" w:hAnsi="宋体" w:cs="宋体"/>
          <w:b w:val="0"/>
          <w:bCs w:val="0"/>
          <w:color w:val="auto"/>
          <w:szCs w:val="21"/>
          <w:highlight w:val="none"/>
          <w:lang w:eastAsia="zh-CN"/>
        </w:rPr>
        <w:t xml:space="preserve">）主机1台。</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2</w:t>
      </w:r>
      <w:r>
        <w:rPr>
          <w:rFonts w:hint="eastAsia" w:ascii="宋体" w:hAnsi="宋体" w:cs="宋体"/>
          <w:b w:val="0"/>
          <w:bCs w:val="0"/>
          <w:color w:val="auto"/>
          <w:szCs w:val="21"/>
          <w:highlight w:val="none"/>
          <w:lang w:eastAsia="zh-CN"/>
        </w:rPr>
        <w:t xml:space="preserve">）充电装置 1个。</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3</w:t>
      </w:r>
      <w:r>
        <w:rPr>
          <w:rFonts w:hint="eastAsia" w:ascii="宋体" w:hAnsi="宋体" w:cs="宋体"/>
          <w:b w:val="0"/>
          <w:bCs w:val="0"/>
          <w:color w:val="auto"/>
          <w:szCs w:val="21"/>
          <w:highlight w:val="none"/>
          <w:lang w:eastAsia="zh-CN"/>
        </w:rPr>
        <w:t xml:space="preserve">）充电电池 2块。</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4</w:t>
      </w:r>
      <w:r>
        <w:rPr>
          <w:rFonts w:hint="eastAsia" w:ascii="宋体" w:hAnsi="宋体" w:cs="宋体"/>
          <w:b w:val="0"/>
          <w:bCs w:val="0"/>
          <w:color w:val="auto"/>
          <w:szCs w:val="21"/>
          <w:highlight w:val="none"/>
          <w:lang w:eastAsia="zh-CN"/>
        </w:rPr>
        <w:t xml:space="preserve">）肩带 1个。</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5</w:t>
      </w:r>
      <w:r>
        <w:rPr>
          <w:rFonts w:hint="eastAsia" w:ascii="宋体" w:hAnsi="宋体" w:cs="宋体"/>
          <w:b w:val="0"/>
          <w:bCs w:val="0"/>
          <w:color w:val="auto"/>
          <w:szCs w:val="21"/>
          <w:highlight w:val="none"/>
          <w:lang w:eastAsia="zh-CN"/>
        </w:rPr>
        <w:t xml:space="preserve">）遮光罩 1个。</w:t>
      </w:r>
      <w:r/>
    </w:p>
    <w:p>
      <w:pPr>
        <w:jc w:val="left"/>
        <w:spacing w:line="360" w:lineRule="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3、验收方案</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（1）开箱核验设备配置清单是否一致</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（2）开机验收：确认中文操作系统、一体化设计（屏幕不可旋转翻转）、内置WIFI及GPS。</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（3）测试三种成像模式（可见光/标准/增强红外），验证测温准确度（±1℃@0-100℃）。</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（4）功能测试：验证PID/FID数值实时叠加显示、同步查看视频功能。</w:t>
      </w:r>
      <w:r/>
    </w:p>
    <w:p>
      <w:pPr>
        <w:jc w:val="left"/>
        <w:spacing w:line="360" w:lineRule="auto"/>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eastAsia="zh-CN"/>
        </w:rPr>
        <w:t xml:space="preserve">（七）便携式GC-MS</w:t>
      </w:r>
      <w:r>
        <w:rPr>
          <w:rFonts w:hint="eastAsia" w:ascii="宋体" w:hAnsi="宋体" w:cs="宋体"/>
          <w:b/>
          <w:bCs/>
          <w:color w:val="auto"/>
          <w:szCs w:val="21"/>
          <w:highlight w:val="none"/>
          <w:lang w:val="en-US" w:eastAsia="zh-CN"/>
        </w:rPr>
        <w:t xml:space="preserve">分析仪</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val="en-US" w:eastAsia="zh-CN"/>
        </w:rPr>
        <w:t xml:space="preserve">1</w:t>
      </w:r>
      <w:r>
        <w:rPr>
          <w:rFonts w:hint="eastAsia" w:ascii="宋体" w:hAnsi="宋体" w:cs="宋体"/>
          <w:b w:val="0"/>
          <w:bCs w:val="0"/>
          <w:color w:val="auto"/>
          <w:szCs w:val="21"/>
          <w:highlight w:val="none"/>
          <w:lang w:eastAsia="zh-CN"/>
        </w:rPr>
        <w:t xml:space="preserve">、配置要求</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1</w:t>
      </w:r>
      <w:r>
        <w:rPr>
          <w:rFonts w:hint="eastAsia" w:ascii="宋体" w:hAnsi="宋体" w:cs="宋体"/>
          <w:b w:val="0"/>
          <w:bCs w:val="0"/>
          <w:color w:val="auto"/>
          <w:szCs w:val="21"/>
          <w:highlight w:val="none"/>
          <w:lang w:eastAsia="zh-CN"/>
        </w:rPr>
        <w:t xml:space="preserve">）便携式气相色谱-质谱分析仪主机1台。</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2</w:t>
      </w:r>
      <w:r>
        <w:rPr>
          <w:rFonts w:hint="eastAsia" w:ascii="宋体" w:hAnsi="宋体" w:cs="宋体"/>
          <w:b w:val="0"/>
          <w:bCs w:val="0"/>
          <w:color w:val="auto"/>
          <w:szCs w:val="21"/>
          <w:highlight w:val="none"/>
          <w:lang w:eastAsia="zh-CN"/>
        </w:rPr>
        <w:t xml:space="preserve">）动静态顶空进样器【含40ml顶空瓶200个（含垫盖）】1台。</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3</w:t>
      </w:r>
      <w:r>
        <w:rPr>
          <w:rFonts w:hint="eastAsia" w:ascii="宋体" w:hAnsi="宋体" w:cs="宋体"/>
          <w:b w:val="0"/>
          <w:bCs w:val="0"/>
          <w:color w:val="auto"/>
          <w:szCs w:val="21"/>
          <w:highlight w:val="none"/>
          <w:lang w:eastAsia="zh-CN"/>
        </w:rPr>
        <w:t xml:space="preserve">）手持采样控制器1根。</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4</w:t>
      </w:r>
      <w:r>
        <w:rPr>
          <w:rFonts w:hint="eastAsia" w:ascii="宋体" w:hAnsi="宋体" w:cs="宋体"/>
          <w:b w:val="0"/>
          <w:bCs w:val="0"/>
          <w:color w:val="auto"/>
          <w:szCs w:val="21"/>
          <w:highlight w:val="none"/>
          <w:lang w:eastAsia="zh-CN"/>
        </w:rPr>
        <w:t xml:space="preserve">）固相微萃取仪1台。</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5</w:t>
      </w:r>
      <w:r>
        <w:rPr>
          <w:rFonts w:hint="eastAsia" w:ascii="宋体" w:hAnsi="宋体" w:cs="宋体"/>
          <w:b w:val="0"/>
          <w:bCs w:val="0"/>
          <w:color w:val="auto"/>
          <w:szCs w:val="21"/>
          <w:highlight w:val="none"/>
          <w:lang w:eastAsia="zh-CN"/>
        </w:rPr>
        <w:t xml:space="preserve">）便携监测小车1架 。</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6</w:t>
      </w:r>
      <w:r>
        <w:rPr>
          <w:rFonts w:hint="eastAsia" w:ascii="宋体" w:hAnsi="宋体" w:cs="宋体"/>
          <w:b w:val="0"/>
          <w:bCs w:val="0"/>
          <w:color w:val="auto"/>
          <w:szCs w:val="21"/>
          <w:highlight w:val="none"/>
          <w:lang w:eastAsia="zh-CN"/>
        </w:rPr>
        <w:t xml:space="preserve">）高精度动态稀释仪1套。</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7</w:t>
      </w:r>
      <w:r>
        <w:rPr>
          <w:rFonts w:hint="eastAsia" w:ascii="宋体" w:hAnsi="宋体" w:cs="宋体"/>
          <w:b w:val="0"/>
          <w:bCs w:val="0"/>
          <w:color w:val="auto"/>
          <w:szCs w:val="21"/>
          <w:highlight w:val="none"/>
          <w:lang w:eastAsia="zh-CN"/>
        </w:rPr>
        <w:t xml:space="preserve">）配件、备件包：主机充电器1个、顶空装置Y型电源连接线1个、电池2块、便携式背肩带1条、Tenax浓缩管1根、浓缩管密封卡1套、探头进样口卡1套、外接载气快速接头1个、密封圈1包、备用保护盖1包、必要维修工具1套。</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8</w:t>
      </w:r>
      <w:r>
        <w:rPr>
          <w:rFonts w:hint="eastAsia" w:ascii="宋体" w:hAnsi="宋体" w:cs="宋体"/>
          <w:b w:val="0"/>
          <w:bCs w:val="0"/>
          <w:color w:val="auto"/>
          <w:szCs w:val="21"/>
          <w:highlight w:val="none"/>
          <w:lang w:eastAsia="zh-CN"/>
        </w:rPr>
        <w:t xml:space="preserve">）气瓶：氮气瓶12个，内标气瓶6个。</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9</w:t>
      </w:r>
      <w:r>
        <w:rPr>
          <w:rFonts w:hint="eastAsia" w:ascii="宋体" w:hAnsi="宋体" w:cs="宋体"/>
          <w:b w:val="0"/>
          <w:bCs w:val="0"/>
          <w:color w:val="auto"/>
          <w:szCs w:val="21"/>
          <w:highlight w:val="none"/>
          <w:lang w:eastAsia="zh-CN"/>
        </w:rPr>
        <w:t xml:space="preserve">）数据处理工作站：含操作软件及处理系统、NIST谱库、AMDIS谱库、NIOSH化学库等的工作站一台（配置不低于：内存16G、Intel i7、1TB SSD、独立显卡）、数据采集上传模块1套。</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val="en-US" w:eastAsia="zh-CN"/>
        </w:rPr>
        <w:t xml:space="preserve">2、调试结束后需提供具有法定计量机构授权证书资质的机构出具的设备检定或计量校准证书一份。</w:t>
      </w:r>
      <w:r/>
    </w:p>
    <w:p>
      <w:pPr>
        <w:jc w:val="left"/>
        <w:spacing w:line="360" w:lineRule="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3、验收方案</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（1）开箱核验设备配置清单是否一致</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（2）文件查验：核查环境适应性、防震性、IP55认证报告及无外包装主机防震低温检测报告；查验产品说明书、实物图片及开机称重证明</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3）主机验收：现场目测确认电池、载气、内标气、色谱、质谱及真空系统内置于同一机箱，称重确保设备重量是否小于20kg，验证非机械泵真空系统关机状态保持高真空，开机无需等待抽真空。测试单质谱模式（≤5s）及GC-MS模式（≤15min），四极杆质量分析器匹配NIST谱库</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（4）性能测试：仪器检出限＜1ppb（苯、甲苯等），匹配NIST谱库。正版数据库（终身免费升级）</w:t>
      </w:r>
      <w:r/>
    </w:p>
    <w:p>
      <w:pPr>
        <w:jc w:val="left"/>
        <w:spacing w:line="360" w:lineRule="auto"/>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 xml:space="preserve">（八）土壤采样相关装备（带动力）</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val="en-US" w:eastAsia="zh-CN"/>
        </w:rPr>
        <w:t xml:space="preserve">1</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配置要求</w:t>
      </w:r>
      <w:r>
        <w:rPr>
          <w:rFonts w:hint="eastAsia" w:ascii="宋体" w:hAnsi="宋体" w:cs="宋体"/>
          <w:b w:val="0"/>
          <w:bCs w:val="0"/>
          <w:color w:val="auto"/>
          <w:szCs w:val="21"/>
          <w:highlight w:val="none"/>
          <w:lang w:eastAsia="zh-CN"/>
        </w:rPr>
        <w:t xml:space="preserve">：汽油主机 1台标准土壤钻头1个、泥/沙钻头1个、硬质土钻头1个1米延长杆3-5根,塑料套管,长度1米,外径36mm外径40mm配套相关垫片等配件,辅助提取设备。刮刀、胶锤、老虎钳、耳机、5m卷尺、手套、清洁刷各1个,工程塑料箱。</w:t>
      </w:r>
      <w:r/>
    </w:p>
    <w:p>
      <w:pPr>
        <w:jc w:val="left"/>
        <w:spacing w:line="360" w:lineRule="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2、验收方案</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（1）开箱核验设备配置清单是否一致</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（2）现场开机对设备进行动力测试，称重测试确保满足技术要求</w:t>
      </w:r>
      <w:r/>
    </w:p>
    <w:p>
      <w:pPr>
        <w:jc w:val="left"/>
        <w:spacing w:line="360" w:lineRule="auto"/>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 xml:space="preserve">（九）现场执法记录仪</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val="en-US" w:eastAsia="zh-CN"/>
        </w:rPr>
        <w:t xml:space="preserve">1、验收方案</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（1）开箱核验设备配置清单是否一致</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（2）现场开机对设备进行外观测量、性能测试、续航充电等功能确认，确保满足技术要求</w:t>
      </w:r>
      <w:r/>
    </w:p>
    <w:p>
      <w:pPr>
        <w:jc w:val="left"/>
        <w:spacing w:line="360" w:lineRule="auto"/>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 xml:space="preserve">（十）便携式流速测量仪</w:t>
      </w:r>
      <w:r/>
    </w:p>
    <w:p>
      <w:pPr>
        <w:jc w:val="left"/>
        <w:spacing w:line="360" w:lineRule="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1、验收方案</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（1）开箱核验设备配置清单是否一致</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（2）对设备的流速精度、测量模式等性能指标进行使用确认</w:t>
      </w:r>
      <w:r/>
    </w:p>
    <w:p>
      <w:pPr>
        <w:jc w:val="left"/>
        <w:spacing w:line="360" w:lineRule="auto"/>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 xml:space="preserve">（十一）细菌快速检测仪</w:t>
      </w:r>
      <w:r/>
    </w:p>
    <w:p>
      <w:pPr>
        <w:jc w:val="left"/>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1、配置要求</w:t>
      </w:r>
      <w:r/>
    </w:p>
    <w:p>
      <w:pPr>
        <w:jc w:val="left"/>
        <w:spacing w:line="360" w:lineRule="auto"/>
        <w:rPr>
          <w:rFonts w:hint="default" w:ascii="宋体" w:hAnsi="宋体" w:cs="宋体"/>
          <w:b w:val="0"/>
          <w:bCs w:val="0"/>
          <w:color w:val="auto"/>
          <w:szCs w:val="21"/>
          <w:highlight w:val="none"/>
          <w:lang w:val="en-US" w:eastAsia="zh-CN"/>
        </w:rPr>
      </w:pPr>
      <w:r>
        <w:rPr>
          <w:rFonts w:hint="default" w:ascii="宋体" w:hAnsi="宋体" w:cs="宋体"/>
          <w:b w:val="0"/>
          <w:bCs w:val="0"/>
          <w:color w:val="auto"/>
          <w:szCs w:val="21"/>
          <w:highlight w:val="none"/>
          <w:lang w:val="en-US" w:eastAsia="zh-CN"/>
        </w:rPr>
        <w:t xml:space="preserve">(1) 使用手册1套。</w:t>
      </w:r>
      <w:r/>
    </w:p>
    <w:p>
      <w:pPr>
        <w:jc w:val="left"/>
        <w:spacing w:line="360" w:lineRule="auto"/>
        <w:rPr>
          <w:rFonts w:hint="default" w:ascii="宋体" w:hAnsi="宋体" w:cs="宋体"/>
          <w:b w:val="0"/>
          <w:bCs w:val="0"/>
          <w:color w:val="auto"/>
          <w:szCs w:val="21"/>
          <w:highlight w:val="none"/>
          <w:lang w:val="en-US" w:eastAsia="zh-CN"/>
        </w:rPr>
      </w:pPr>
      <w:r>
        <w:rPr>
          <w:rFonts w:hint="default" w:ascii="宋体" w:hAnsi="宋体" w:cs="宋体"/>
          <w:b w:val="0"/>
          <w:bCs w:val="0"/>
          <w:color w:val="auto"/>
          <w:szCs w:val="21"/>
          <w:highlight w:val="none"/>
          <w:lang w:val="en-US" w:eastAsia="zh-CN"/>
        </w:rPr>
        <w:t xml:space="preserve">(2) 便携式培养箱1套。</w:t>
      </w:r>
      <w:r/>
    </w:p>
    <w:p>
      <w:pPr>
        <w:jc w:val="left"/>
        <w:spacing w:line="360" w:lineRule="auto"/>
        <w:rPr>
          <w:rFonts w:hint="default" w:ascii="宋体" w:hAnsi="宋体" w:cs="宋体"/>
          <w:b w:val="0"/>
          <w:bCs w:val="0"/>
          <w:color w:val="auto"/>
          <w:szCs w:val="21"/>
          <w:highlight w:val="none"/>
          <w:lang w:val="en-US" w:eastAsia="zh-CN"/>
        </w:rPr>
      </w:pPr>
      <w:r>
        <w:rPr>
          <w:rFonts w:hint="default" w:ascii="宋体" w:hAnsi="宋体" w:cs="宋体"/>
          <w:b w:val="0"/>
          <w:bCs w:val="0"/>
          <w:color w:val="auto"/>
          <w:szCs w:val="21"/>
          <w:highlight w:val="none"/>
          <w:lang w:val="en-US" w:eastAsia="zh-CN"/>
        </w:rPr>
        <w:t xml:space="preserve">(3) 含除氯剂的取样袋200个。</w:t>
      </w:r>
      <w:r/>
    </w:p>
    <w:p>
      <w:pPr>
        <w:jc w:val="left"/>
        <w:spacing w:line="360" w:lineRule="auto"/>
        <w:rPr>
          <w:rFonts w:hint="default" w:ascii="宋体" w:hAnsi="宋体" w:cs="宋体"/>
          <w:b w:val="0"/>
          <w:bCs w:val="0"/>
          <w:color w:val="auto"/>
          <w:szCs w:val="21"/>
          <w:highlight w:val="none"/>
          <w:lang w:val="en-US" w:eastAsia="zh-CN"/>
        </w:rPr>
      </w:pPr>
      <w:r>
        <w:rPr>
          <w:rFonts w:hint="default" w:ascii="宋体" w:hAnsi="宋体" w:cs="宋体"/>
          <w:b w:val="0"/>
          <w:bCs w:val="0"/>
          <w:color w:val="auto"/>
          <w:szCs w:val="21"/>
          <w:highlight w:val="none"/>
          <w:lang w:val="en-US" w:eastAsia="zh-CN"/>
        </w:rPr>
        <w:t xml:space="preserve">(4) 过滤器组件1套。</w:t>
      </w:r>
      <w:r/>
    </w:p>
    <w:p>
      <w:pPr>
        <w:jc w:val="left"/>
        <w:spacing w:line="360" w:lineRule="auto"/>
        <w:rPr>
          <w:rFonts w:hint="default" w:ascii="宋体" w:hAnsi="宋体" w:cs="宋体"/>
          <w:b w:val="0"/>
          <w:bCs w:val="0"/>
          <w:color w:val="auto"/>
          <w:szCs w:val="21"/>
          <w:highlight w:val="none"/>
          <w:lang w:val="en-US" w:eastAsia="zh-CN"/>
        </w:rPr>
      </w:pPr>
      <w:r>
        <w:rPr>
          <w:rFonts w:hint="default" w:ascii="宋体" w:hAnsi="宋体" w:cs="宋体"/>
          <w:b w:val="0"/>
          <w:bCs w:val="0"/>
          <w:color w:val="auto"/>
          <w:szCs w:val="21"/>
          <w:highlight w:val="none"/>
          <w:lang w:val="en-US" w:eastAsia="zh-CN"/>
        </w:rPr>
        <w:t xml:space="preserve">(5) 漏斗、培养皿、纸片等测试耗材200次。</w:t>
      </w:r>
      <w:r/>
    </w:p>
    <w:p>
      <w:pPr>
        <w:jc w:val="left"/>
        <w:spacing w:line="360" w:lineRule="auto"/>
        <w:rPr>
          <w:rFonts w:hint="default" w:ascii="宋体" w:hAnsi="宋体" w:cs="宋体"/>
          <w:b w:val="0"/>
          <w:bCs w:val="0"/>
          <w:color w:val="auto"/>
          <w:szCs w:val="21"/>
          <w:highlight w:val="none"/>
          <w:lang w:val="en-US" w:eastAsia="zh-CN"/>
        </w:rPr>
      </w:pPr>
      <w:r>
        <w:rPr>
          <w:rFonts w:hint="default" w:ascii="宋体" w:hAnsi="宋体" w:cs="宋体"/>
          <w:b w:val="0"/>
          <w:bCs w:val="0"/>
          <w:color w:val="auto"/>
          <w:szCs w:val="21"/>
          <w:highlight w:val="none"/>
          <w:lang w:val="en-US" w:eastAsia="zh-CN"/>
        </w:rPr>
        <w:t xml:space="preserve">(6) 便携式2.5倍和5倍发光放大镜 1套。</w:t>
      </w:r>
      <w:r/>
    </w:p>
    <w:p>
      <w:pPr>
        <w:jc w:val="left"/>
        <w:spacing w:line="360" w:lineRule="auto"/>
        <w:rPr>
          <w:rFonts w:hint="default" w:ascii="宋体" w:hAnsi="宋体" w:cs="宋体"/>
          <w:b w:val="0"/>
          <w:bCs w:val="0"/>
          <w:color w:val="auto"/>
          <w:szCs w:val="21"/>
          <w:highlight w:val="none"/>
          <w:lang w:val="en-US" w:eastAsia="zh-CN"/>
        </w:rPr>
      </w:pPr>
      <w:r>
        <w:rPr>
          <w:rFonts w:hint="default" w:ascii="宋体" w:hAnsi="宋体" w:cs="宋体"/>
          <w:b w:val="0"/>
          <w:bCs w:val="0"/>
          <w:color w:val="auto"/>
          <w:szCs w:val="21"/>
          <w:highlight w:val="none"/>
          <w:lang w:val="en-US" w:eastAsia="zh-CN"/>
        </w:rPr>
        <w:t xml:space="preserve">(7) 其他配件1套。</w:t>
      </w:r>
      <w:r/>
    </w:p>
    <w:p>
      <w:pPr>
        <w:jc w:val="left"/>
        <w:spacing w:line="360" w:lineRule="auto"/>
        <w:rPr>
          <w:rFonts w:hint="default" w:ascii="宋体" w:hAnsi="宋体" w:cs="宋体"/>
          <w:b w:val="0"/>
          <w:bCs w:val="0"/>
          <w:color w:val="auto"/>
          <w:szCs w:val="21"/>
          <w:highlight w:val="none"/>
          <w:lang w:val="en-US" w:eastAsia="zh-CN"/>
        </w:rPr>
      </w:pPr>
      <w:r>
        <w:rPr>
          <w:rFonts w:hint="default" w:ascii="宋体" w:hAnsi="宋体" w:cs="宋体"/>
          <w:b w:val="0"/>
          <w:bCs w:val="0"/>
          <w:color w:val="auto"/>
          <w:szCs w:val="21"/>
          <w:highlight w:val="none"/>
          <w:lang w:val="en-US" w:eastAsia="zh-CN"/>
        </w:rPr>
        <w:t xml:space="preserve">(8) 用于总大肠菌群/大肠杆菌测试的培养基50次。</w:t>
      </w:r>
      <w:r/>
    </w:p>
    <w:p>
      <w:pPr>
        <w:jc w:val="left"/>
        <w:spacing w:line="360" w:lineRule="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2、验收方案</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（1）开箱核验设备配置清单是否一致</w:t>
      </w:r>
      <w:r/>
    </w:p>
    <w:p>
      <w:pPr>
        <w:jc w:val="left"/>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2</w:t>
      </w:r>
      <w:r>
        <w:rPr>
          <w:rFonts w:hint="eastAsia" w:ascii="宋体" w:hAnsi="宋体" w:cs="宋体"/>
          <w:b w:val="0"/>
          <w:bCs w:val="0"/>
          <w:color w:val="auto"/>
          <w:szCs w:val="21"/>
          <w:highlight w:val="none"/>
          <w:lang w:eastAsia="zh-CN"/>
        </w:rPr>
        <w:t xml:space="preserve">）对设备灵敏度验证：确认总大肠菌群/大肠杆菌培养基灵敏度达1CFU/mL</w:t>
      </w:r>
      <w:r/>
    </w:p>
    <w:p>
      <w:pPr>
        <w:jc w:val="left"/>
        <w:spacing w:line="360" w:lineRule="auto"/>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eastAsia="zh-CN"/>
        </w:rPr>
        <w:t xml:space="preserve">九</w:t>
      </w:r>
      <w:r>
        <w:rPr>
          <w:rFonts w:hint="eastAsia" w:ascii="宋体" w:hAnsi="宋体" w:cs="宋体"/>
          <w:b/>
          <w:bCs/>
          <w:color w:val="auto"/>
          <w:szCs w:val="21"/>
          <w:highlight w:val="none"/>
        </w:rPr>
        <w:t xml:space="preserve">、培训</w:t>
      </w:r>
      <w:r>
        <w:rPr>
          <w:rFonts w:hint="eastAsia" w:ascii="宋体" w:hAnsi="宋体" w:cs="宋体"/>
          <w:b/>
          <w:bCs/>
          <w:color w:val="auto"/>
          <w:szCs w:val="21"/>
          <w:highlight w:val="none"/>
          <w:lang w:val="en-US" w:eastAsia="zh-CN"/>
        </w:rPr>
        <w:t xml:space="preserve">方案</w:t>
      </w:r>
      <w:r/>
    </w:p>
    <w:p>
      <w:pPr>
        <w:ind w:firstLine="420"/>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）培训方式：</w:t>
      </w:r>
      <w:r>
        <w:rPr>
          <w:rFonts w:hint="eastAsia" w:ascii="宋体" w:hAnsi="宋体" w:cs="宋体"/>
          <w:color w:val="auto"/>
          <w:szCs w:val="21"/>
          <w:highlight w:val="none"/>
        </w:rPr>
        <w:t xml:space="preserve">现场培训</w:t>
      </w:r>
      <w:r>
        <w:rPr>
          <w:rFonts w:hint="eastAsia" w:ascii="宋体" w:hAnsi="宋体" w:cs="宋体"/>
          <w:color w:val="auto"/>
          <w:szCs w:val="21"/>
          <w:highlight w:val="none"/>
          <w:lang w:eastAsia="zh-CN"/>
        </w:rPr>
        <w:t xml:space="preserve">和厂家集中培训</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参加人数：</w:t>
      </w:r>
      <w:r>
        <w:rPr>
          <w:rFonts w:hint="eastAsia" w:ascii="宋体" w:hAnsi="宋体" w:cs="宋体"/>
          <w:color w:val="auto"/>
          <w:szCs w:val="21"/>
          <w:highlight w:val="none"/>
          <w:lang w:val="en-US" w:eastAsia="zh-CN"/>
        </w:rPr>
        <w:t xml:space="preserve">单个设备</w:t>
      </w:r>
      <w:r>
        <w:rPr>
          <w:rFonts w:hint="eastAsia" w:ascii="宋体" w:hAnsi="宋体" w:cs="宋体"/>
          <w:color w:val="auto"/>
          <w:szCs w:val="21"/>
          <w:highlight w:val="none"/>
          <w:lang w:eastAsia="zh-CN"/>
        </w:rPr>
        <w:t xml:space="preserve">不少于</w:t>
      </w:r>
      <w:r>
        <w:rPr>
          <w:rFonts w:hint="eastAsia" w:ascii="宋体" w:hAnsi="宋体" w:cs="宋体"/>
          <w:color w:val="auto"/>
          <w:szCs w:val="21"/>
          <w:highlight w:val="none"/>
          <w:lang w:val="en-US" w:eastAsia="zh-CN"/>
        </w:rPr>
        <w:t xml:space="preserve">2人次</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培训地点：安装现场</w:t>
      </w:r>
      <w:r>
        <w:rPr>
          <w:rFonts w:hint="eastAsia" w:ascii="宋体" w:hAnsi="宋体" w:cs="宋体"/>
          <w:color w:val="auto"/>
          <w:szCs w:val="21"/>
          <w:highlight w:val="none"/>
          <w:lang w:eastAsia="zh-CN"/>
        </w:rPr>
        <w:t xml:space="preserve">和厂家指定地点</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时间：在安装调试后1</w:t>
      </w:r>
      <w:r>
        <w:rPr>
          <w:rFonts w:ascii="宋体" w:hAnsi="宋体" w:cs="宋体"/>
          <w:color w:val="auto"/>
          <w:szCs w:val="21"/>
          <w:highlight w:val="none"/>
        </w:rPr>
        <w:t xml:space="preserve">0</w:t>
      </w:r>
      <w:r>
        <w:rPr>
          <w:rFonts w:hint="eastAsia" w:ascii="宋体" w:hAnsi="宋体" w:cs="宋体"/>
          <w:color w:val="auto"/>
          <w:szCs w:val="21"/>
          <w:highlight w:val="none"/>
        </w:rPr>
        <w:t xml:space="preserve">天内进行，</w:t>
      </w:r>
      <w:r>
        <w:rPr>
          <w:rFonts w:hint="eastAsia" w:ascii="宋体" w:hAnsi="宋体" w:cs="宋体"/>
          <w:color w:val="auto"/>
          <w:szCs w:val="21"/>
          <w:highlight w:val="none"/>
          <w:lang w:eastAsia="zh-CN"/>
        </w:rPr>
        <w:t xml:space="preserve">不少于</w:t>
      </w:r>
      <w:r>
        <w:rPr>
          <w:rFonts w:hint="eastAsia" w:ascii="宋体" w:hAnsi="宋体" w:cs="宋体"/>
          <w:color w:val="auto"/>
          <w:szCs w:val="21"/>
          <w:highlight w:val="none"/>
        </w:rPr>
        <w:t xml:space="preserve">3天；</w:t>
      </w:r>
      <w:r>
        <w:rPr>
          <w:rFonts w:hint="eastAsia" w:ascii="宋体" w:hAnsi="宋体" w:cs="宋体"/>
          <w:color w:val="auto"/>
          <w:szCs w:val="21"/>
          <w:highlight w:val="none"/>
          <w:lang w:val="en-US" w:eastAsia="zh-CN"/>
        </w:rPr>
        <w:t xml:space="preserve">人均实操时长≥4小时</w:t>
      </w:r>
      <w:r/>
    </w:p>
    <w:p>
      <w:pPr>
        <w:ind w:firstLine="420"/>
        <w:jc w:val="left"/>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（5）参加人员实操考核通过率须达到100%</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内容：仪器的操作和维护及常见故障的诊断和排除。培训要求：投标人在提交投标文件时应提供技术培训的详细方案。投标人必须提供正式的现场培训计划和培训材料提纲，中标后应提供全套的培训材料。培训材料必须符合标准并用中文书写。包括设备操作规范、软件安装说明、远程通讯控制软件的用户手册等。投标人</w:t>
      </w:r>
      <w:r>
        <w:rPr>
          <w:rFonts w:hint="eastAsia" w:ascii="宋体" w:hAnsi="宋体" w:cs="宋体"/>
          <w:color w:val="auto"/>
          <w:szCs w:val="21"/>
          <w:highlight w:val="none"/>
          <w:lang w:eastAsia="zh-CN"/>
        </w:rPr>
        <w:t xml:space="preserve">应</w:t>
      </w:r>
      <w:r>
        <w:rPr>
          <w:rFonts w:ascii="宋体" w:hAnsi="宋体" w:cs="宋体"/>
          <w:color w:val="auto"/>
          <w:szCs w:val="21"/>
          <w:highlight w:val="none"/>
        </w:rPr>
        <w:t xml:space="preserve">保证使用人员正常操作设备，后期针对使用方法，质保期内外均可提供免费的应用培训</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培训所需所有费用</w:t>
      </w:r>
      <w:r>
        <w:rPr>
          <w:rFonts w:hint="eastAsia" w:ascii="宋体" w:hAnsi="宋体" w:cs="宋体"/>
          <w:color w:val="auto"/>
          <w:szCs w:val="21"/>
          <w:highlight w:val="none"/>
          <w:lang w:eastAsia="zh-CN"/>
        </w:rPr>
        <w:t xml:space="preserve">（含差旅费）</w:t>
      </w:r>
      <w:r>
        <w:rPr>
          <w:rFonts w:hint="eastAsia" w:ascii="宋体" w:hAnsi="宋体" w:cs="宋体"/>
          <w:color w:val="auto"/>
          <w:szCs w:val="21"/>
          <w:highlight w:val="none"/>
        </w:rPr>
        <w:t xml:space="preserve">由中标人承担。</w:t>
      </w:r>
      <w:r/>
    </w:p>
    <w:p>
      <w:pPr>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十、售后服务方案</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在安装调试、试运行期间和质保期内，中标人应保证提供及时充足的技术服务。出现故障时，</w:t>
      </w:r>
      <w:r>
        <w:rPr>
          <w:rFonts w:hint="eastAsia" w:ascii="宋体" w:hAnsi="宋体" w:eastAsia="宋体" w:cs="宋体"/>
          <w:color w:val="auto"/>
          <w:szCs w:val="21"/>
          <w:highlight w:val="none"/>
        </w:rPr>
        <w:t xml:space="preserve">中标人应在</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小时内响应；需要在现场进行维修的，应在</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个工作日内到达仪器现场，一般问题应在12小时内解决，重大问题或其他无法迅速解决的问题应在一周内解决或提出明确解决方案。</w:t>
      </w:r>
      <w:r>
        <w:rPr>
          <w:rFonts w:hint="eastAsia" w:ascii="宋体" w:hAnsi="宋体" w:cs="宋体"/>
          <w:color w:val="auto"/>
          <w:szCs w:val="21"/>
          <w:highlight w:val="none"/>
        </w:rPr>
        <w:t xml:space="preserve">否则采购人将自行采取必要的措施，由此产生风险和费用应由投标人承担。</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投标人在提交投标文件时应提供售后技术服务的详细方案，包括售后服务的经费问题。</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）质保期</w:t>
      </w:r>
      <w:r/>
    </w:p>
    <w:p>
      <w:pPr>
        <w:ind w:firstLine="420"/>
        <w:jc w:val="left"/>
        <w:spacing w:line="360" w:lineRule="auto"/>
        <w:rPr>
          <w:rFonts w:hint="eastAsia" w:ascii="宋体" w:hAnsi="宋体" w:eastAsia="宋体" w:cs="宋体"/>
          <w:b/>
          <w:bCs/>
          <w:i w:val="0"/>
          <w:iCs w:val="0"/>
          <w:color w:val="auto"/>
          <w:szCs w:val="21"/>
          <w:highlight w:val="none"/>
          <w:u w:val="none"/>
        </w:rPr>
      </w:pPr>
      <w:r>
        <w:rPr>
          <w:rFonts w:hint="eastAsia" w:ascii="宋体" w:hAnsi="宋体" w:cs="宋体"/>
          <w:i w:val="0"/>
          <w:iCs w:val="0"/>
          <w:color w:val="auto"/>
          <w:szCs w:val="21"/>
          <w:highlight w:val="none"/>
          <w:u w:val="none"/>
        </w:rPr>
        <w:t xml:space="preserve">1）</w:t>
      </w:r>
      <w:r>
        <w:rPr>
          <w:rFonts w:hint="eastAsia" w:ascii="宋体" w:hAnsi="宋体" w:eastAsia="宋体" w:cs="宋体"/>
          <w:i w:val="0"/>
          <w:iCs w:val="0"/>
          <w:color w:val="auto"/>
          <w:szCs w:val="21"/>
          <w:highlight w:val="none"/>
          <w:u w:val="none"/>
        </w:rPr>
        <w:t xml:space="preserve">自整体</w:t>
      </w:r>
      <w:r>
        <w:rPr>
          <w:rFonts w:hint="eastAsia" w:ascii="宋体" w:hAnsi="宋体" w:cs="宋体"/>
          <w:i w:val="0"/>
          <w:iCs w:val="0"/>
          <w:color w:val="auto"/>
          <w:szCs w:val="21"/>
          <w:highlight w:val="none"/>
          <w:u w:val="none"/>
          <w:lang w:eastAsia="zh-CN"/>
        </w:rPr>
        <w:t xml:space="preserve">设备</w:t>
      </w:r>
      <w:r>
        <w:rPr>
          <w:rFonts w:hint="eastAsia" w:ascii="宋体" w:hAnsi="宋体" w:eastAsia="宋体" w:cs="宋体"/>
          <w:i w:val="0"/>
          <w:iCs w:val="0"/>
          <w:color w:val="auto"/>
          <w:szCs w:val="21"/>
          <w:highlight w:val="none"/>
          <w:u w:val="none"/>
        </w:rPr>
        <w:t xml:space="preserve">交付并经验收合格之日起质保期</w:t>
      </w:r>
      <w:r>
        <w:rPr>
          <w:rFonts w:hint="eastAsia" w:ascii="宋体" w:hAnsi="宋体" w:cs="宋体"/>
          <w:i w:val="0"/>
          <w:iCs w:val="0"/>
          <w:color w:val="auto"/>
          <w:szCs w:val="21"/>
          <w:highlight w:val="none"/>
          <w:u w:val="none"/>
          <w:lang w:val="en-US" w:eastAsia="zh-CN"/>
        </w:rPr>
        <w:t xml:space="preserve">至少三年</w:t>
      </w:r>
      <w:r>
        <w:rPr>
          <w:rFonts w:hint="eastAsia" w:ascii="宋体" w:hAnsi="宋体" w:eastAsia="宋体" w:cs="宋体"/>
          <w:i w:val="0"/>
          <w:iCs w:val="0"/>
          <w:color w:val="auto"/>
          <w:szCs w:val="21"/>
          <w:highlight w:val="none"/>
          <w:u w:val="none"/>
        </w:rPr>
        <w:t xml:space="preserve">。</w:t>
      </w:r>
      <w:r>
        <w:rPr>
          <w:rFonts w:hint="eastAsia" w:ascii="宋体" w:hAnsi="宋体" w:cs="宋体"/>
          <w:i w:val="0"/>
          <w:iCs w:val="0"/>
          <w:color w:val="auto"/>
          <w:szCs w:val="21"/>
          <w:highlight w:val="none"/>
          <w:u w:val="none"/>
        </w:rPr>
        <w:t xml:space="preserve">中标人明确签署服务承诺</w:t>
      </w:r>
      <w:r>
        <w:rPr>
          <w:rFonts w:hint="eastAsia" w:ascii="宋体" w:hAnsi="宋体" w:cs="宋体"/>
          <w:i w:val="0"/>
          <w:iCs w:val="0"/>
          <w:color w:val="auto"/>
          <w:szCs w:val="21"/>
          <w:highlight w:val="none"/>
          <w:u w:val="none"/>
          <w:lang w:eastAsia="zh-CN"/>
        </w:rPr>
        <w:t xml:space="preserve">，</w:t>
      </w:r>
      <w:r>
        <w:rPr>
          <w:rFonts w:hint="eastAsia" w:ascii="宋体" w:hAnsi="宋体" w:cs="宋体"/>
          <w:i w:val="0"/>
          <w:iCs w:val="0"/>
          <w:color w:val="auto"/>
          <w:szCs w:val="21"/>
          <w:highlight w:val="none"/>
          <w:u w:val="none"/>
        </w:rPr>
        <w:t xml:space="preserve">质保期内应免费提供技术服务，技术服务包括系统的维修和技术支持。</w:t>
      </w:r>
      <w:r/>
    </w:p>
    <w:p>
      <w:pPr>
        <w:ind w:firstLine="452"/>
        <w:keepLines w:val="0"/>
        <w:keepNext w:val="0"/>
        <w:pageBreakBefore w:val="0"/>
        <w:spacing w:line="360" w:lineRule="auto"/>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en-US" w:eastAsia="zh-CN"/>
        </w:rPr>
        <w:t xml:space="preserve">（4）</w:t>
      </w:r>
      <w:r>
        <w:rPr>
          <w:rFonts w:hint="eastAsia" w:ascii="宋体" w:hAnsi="宋体" w:eastAsia="宋体" w:cs="宋体"/>
          <w:color w:val="auto"/>
          <w:spacing w:val="8"/>
          <w:sz w:val="21"/>
          <w:szCs w:val="21"/>
          <w:highlight w:val="none"/>
        </w:rPr>
        <w:t xml:space="preserve">质量保证期结束后，中标人仍应负责对设备提供售后服务，必要时进行定期维护和修理。</w:t>
      </w:r>
      <w:r/>
    </w:p>
    <w:p>
      <w:pPr>
        <w:ind w:firstLine="452"/>
        <w:keepLines w:val="0"/>
        <w:keepNext w:val="0"/>
        <w:pageBreakBefore w:val="0"/>
        <w:spacing w:line="360" w:lineRule="auto"/>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en-US" w:eastAsia="zh-CN"/>
        </w:rPr>
        <w:t xml:space="preserve">（5）</w:t>
      </w:r>
      <w:r>
        <w:rPr>
          <w:rFonts w:hint="eastAsia" w:ascii="宋体" w:hAnsi="宋体" w:eastAsia="宋体" w:cs="宋体"/>
          <w:color w:val="auto"/>
          <w:spacing w:val="8"/>
          <w:sz w:val="21"/>
          <w:szCs w:val="21"/>
          <w:highlight w:val="none"/>
        </w:rPr>
        <w:t xml:space="preserve">如遇中标人兼并或代理商不再代理该产品，中标人需做好移交手续，原合同和协议一切条款继续有效。</w:t>
      </w:r>
      <w:r/>
    </w:p>
    <w:p>
      <w:pPr>
        <w:ind w:firstLine="452"/>
        <w:keepLines w:val="0"/>
        <w:keepNext w:val="0"/>
        <w:pageBreakBefore w:val="0"/>
        <w:spacing w:line="360" w:lineRule="auto"/>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en-US" w:eastAsia="zh-CN"/>
        </w:rPr>
        <w:t xml:space="preserve">（6）</w:t>
      </w:r>
      <w:r>
        <w:rPr>
          <w:rFonts w:hint="eastAsia" w:ascii="宋体" w:hAnsi="宋体" w:eastAsia="宋体" w:cs="宋体"/>
          <w:color w:val="auto"/>
          <w:spacing w:val="8"/>
          <w:sz w:val="21"/>
          <w:szCs w:val="21"/>
          <w:highlight w:val="none"/>
        </w:rPr>
        <w:t xml:space="preserve">投标人可视自身能力，在投标文件中提供更优、更合理的维修服务承诺。</w:t>
      </w:r>
      <w:r/>
    </w:p>
    <w:p>
      <w:pPr>
        <w:ind w:firstLine="420"/>
        <w:jc w:val="left"/>
        <w:spacing w:line="360" w:lineRule="auto"/>
        <w:rPr>
          <w:rFonts w:hint="default" w:ascii="宋体" w:hAnsi="宋体" w:cs="宋体"/>
          <w:color w:val="auto"/>
          <w:szCs w:val="21"/>
          <w:highlight w:val="none"/>
          <w:lang w:val="en-US" w:eastAsia="zh-CN"/>
        </w:rPr>
      </w:pPr>
      <w:r>
        <w:rPr>
          <w:rFonts w:hint="eastAsia" w:ascii="宋体" w:hAnsi="宋体" w:cs="宋体"/>
          <w:b w:val="0"/>
          <w:bCs w:val="0"/>
          <w:i w:val="0"/>
          <w:iCs w:val="0"/>
          <w:color w:val="auto"/>
          <w:szCs w:val="21"/>
          <w:highlight w:val="none"/>
          <w:u w:val="none"/>
          <w:lang w:eastAsia="zh-CN"/>
        </w:rPr>
        <w:t xml:space="preserve">（</w:t>
      </w:r>
      <w:r>
        <w:rPr>
          <w:rFonts w:hint="eastAsia" w:ascii="宋体" w:hAnsi="宋体" w:cs="宋体"/>
          <w:b w:val="0"/>
          <w:bCs w:val="0"/>
          <w:i w:val="0"/>
          <w:iCs w:val="0"/>
          <w:color w:val="auto"/>
          <w:szCs w:val="21"/>
          <w:highlight w:val="none"/>
          <w:u w:val="none"/>
          <w:lang w:val="en-US" w:eastAsia="zh-CN"/>
        </w:rPr>
        <w:t xml:space="preserve">7</w:t>
      </w:r>
      <w:r>
        <w:rPr>
          <w:rFonts w:hint="eastAsia" w:ascii="宋体" w:hAnsi="宋体" w:cs="宋体"/>
          <w:b w:val="0"/>
          <w:bCs w:val="0"/>
          <w:i w:val="0"/>
          <w:iCs w:val="0"/>
          <w:color w:val="auto"/>
          <w:szCs w:val="21"/>
          <w:highlight w:val="none"/>
          <w:u w:val="none"/>
          <w:lang w:eastAsia="zh-CN"/>
        </w:rPr>
        <w:t xml:space="preserve">）</w:t>
      </w:r>
      <w:r>
        <w:rPr>
          <w:rFonts w:hint="eastAsia" w:ascii="宋体" w:hAnsi="宋体" w:eastAsia="宋体" w:cs="宋体"/>
          <w:b w:val="0"/>
          <w:bCs w:val="0"/>
          <w:i w:val="0"/>
          <w:iCs w:val="0"/>
          <w:color w:val="auto"/>
          <w:szCs w:val="21"/>
          <w:highlight w:val="none"/>
          <w:u w:val="none"/>
        </w:rPr>
        <w:t xml:space="preserve">中标人的备品备件停止生产的情况下，中标人有义务提供合格的替代备品备件，确保采购人设备正常使用，备品备件费用保修期内由中标人承担费用，保修期外由采购人承担。</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十一</w:t>
      </w:r>
      <w:r>
        <w:rPr>
          <w:rFonts w:hint="eastAsia" w:ascii="宋体" w:hAnsi="宋体" w:cs="宋体"/>
          <w:b/>
          <w:color w:val="auto"/>
          <w:szCs w:val="21"/>
          <w:highlight w:val="none"/>
        </w:rPr>
        <w:t xml:space="preserve">、节能产品要求</w:t>
      </w:r>
      <w:r/>
    </w:p>
    <w:p>
      <w:pPr>
        <w:ind w:firstLine="420"/>
        <w:jc w:val="left"/>
        <w:spacing w:line="360" w:lineRule="auto"/>
        <w:rPr>
          <w:i/>
          <w:iCs/>
          <w:color w:val="auto"/>
          <w:szCs w:val="21"/>
          <w:highlight w:val="none"/>
          <w:u w:val="single"/>
        </w:rPr>
      </w:pPr>
      <w:r>
        <w:rPr>
          <w:rFonts w:ascii="宋体" w:hAnsi="宋体" w:cs="宋体"/>
          <w:iCs/>
          <w:color w:val="auto"/>
          <w:szCs w:val="21"/>
          <w:highlight w:val="none"/>
        </w:rPr>
        <w:t xml:space="preserve">本次拟采购的产品</w:t>
      </w:r>
      <w:r>
        <w:rPr>
          <w:rFonts w:hint="eastAsia" w:ascii="宋体" w:hAnsi="宋体" w:cs="宋体"/>
          <w:iCs/>
          <w:color w:val="auto"/>
          <w:szCs w:val="21"/>
          <w:highlight w:val="none"/>
        </w:rPr>
        <w:t xml:space="preserve">如</w:t>
      </w:r>
      <w:r>
        <w:rPr>
          <w:rFonts w:ascii="宋体" w:hAnsi="宋体" w:cs="宋体"/>
          <w:iCs/>
          <w:color w:val="auto"/>
          <w:szCs w:val="21"/>
          <w:highlight w:val="none"/>
        </w:rPr>
        <w:t xml:space="preserve">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ascii="宋体" w:hAnsi="宋体" w:cs="宋体"/>
          <w:i/>
          <w:iCs/>
          <w:color w:val="auto"/>
          <w:szCs w:val="21"/>
          <w:highlight w:val="none"/>
          <w:u w:val="single"/>
        </w:rPr>
        <w:t xml:space="preserve">并在投标文件内提供由国家确定的认证机构出具的、处于有效期之内的节能产品认证证书原件，扫描上传，否则视为无效投标。（本项目涉及强制采购范围内产品有：</w:t>
      </w:r>
      <w:r>
        <w:rPr>
          <w:rFonts w:hint="eastAsia" w:ascii="宋体" w:hAnsi="宋体" w:cs="宋体"/>
          <w:i/>
          <w:iCs/>
          <w:color w:val="auto"/>
          <w:szCs w:val="21"/>
          <w:highlight w:val="none"/>
          <w:u w:val="single"/>
        </w:rPr>
        <w:t xml:space="preserve">无</w:t>
      </w:r>
      <w:r>
        <w:rPr>
          <w:rFonts w:ascii="宋体" w:hAnsi="宋体" w:cs="宋体"/>
          <w:i/>
          <w:iCs/>
          <w:color w:val="auto"/>
          <w:szCs w:val="21"/>
          <w:highlight w:val="none"/>
          <w:u w:val="single"/>
        </w:rPr>
        <w:t xml:space="preserve">）</w:t>
      </w:r>
      <w:r/>
    </w:p>
    <w:p>
      <w:pPr>
        <w:rPr>
          <w:color w:val="auto"/>
          <w:highlight w:val="none"/>
        </w:rPr>
      </w:pPr>
      <w:r>
        <w:rPr>
          <w:rFonts w:hint="eastAsia"/>
          <w:color w:val="auto"/>
          <w:highlight w:val="none"/>
        </w:rPr>
        <w:br w:type="page" w:clear="all"/>
      </w:r>
      <w:r/>
    </w:p>
    <w:p>
      <w:pPr>
        <w:pStyle w:val="732"/>
        <w:rPr>
          <w:color w:val="auto"/>
          <w:highlight w:val="none"/>
        </w:rPr>
      </w:pPr>
      <w:r>
        <w:rPr>
          <w:rFonts w:hint="eastAsia"/>
          <w:color w:val="auto"/>
          <w:highlight w:val="none"/>
        </w:rPr>
        <w:t xml:space="preserve">第五章 评标方法及评标标准</w:t>
      </w:r>
      <w:bookmarkEnd w:id="61"/>
      <w:r/>
      <w:bookmarkEnd w:id="62"/>
      <w:r/>
      <w:r/>
    </w:p>
    <w:p>
      <w:pPr>
        <w:pStyle w:val="977"/>
        <w:ind w:firstLine="422"/>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977"/>
        <w:ind w:firstLine="420"/>
        <w:spacing w:before="0" w:after="0"/>
        <w:rPr>
          <w:rFonts w:hint="eastAsia" w:ascii="宋体" w:hAnsi="宋体" w:cs="宋体"/>
          <w:color w:val="auto"/>
          <w:sz w:val="21"/>
          <w:szCs w:val="21"/>
          <w:highlight w:val="none"/>
        </w:rPr>
      </w:pPr>
      <w:r/>
      <w:bookmarkStart w:id="65" w:name="_Toc449016388"/>
      <w:r/>
      <w:bookmarkStart w:id="66" w:name="_Toc449017024"/>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二、政府采购政策功能落实</w:t>
      </w:r>
      <w:bookmarkEnd w:id="65"/>
      <w:r/>
      <w:bookmarkEnd w:id="66"/>
      <w:r/>
      <w:r/>
    </w:p>
    <w:p>
      <w:pPr>
        <w:ind w:firstLine="420"/>
        <w:spacing w:line="360" w:lineRule="auto"/>
        <w:rPr>
          <w:rFonts w:hint="eastAsia" w:ascii="宋体" w:hAnsi="宋体" w:cs="宋体"/>
          <w:b/>
          <w:color w:val="auto"/>
          <w:szCs w:val="21"/>
          <w:highlight w:val="none"/>
        </w:rPr>
      </w:pPr>
      <w:r>
        <w:rPr>
          <w:rFonts w:hint="eastAsia" w:ascii="宋体" w:hAnsi="宋体" w:cs="宋体"/>
          <w:color w:val="auto"/>
          <w:highlight w:val="none"/>
        </w:rPr>
        <w:t xml:space="preserve">（一）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7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97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（1）本项目对小型和微型企业产品给予20%的扣除价格，用扣除后的价格参与评审。</w:t>
      </w:r>
      <w:r/>
    </w:p>
    <w:p>
      <w:pPr>
        <w:pStyle w:val="97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97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97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（1）本项目对残疾人福利性单位视同小型、微型企业，给予20%的价格扣除，用扣除后的价格参与评审。</w:t>
      </w:r>
      <w:r/>
    </w:p>
    <w:p>
      <w:pPr>
        <w:pStyle w:val="97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97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97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97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（1）本项目对监狱和戒毒企业（简称监狱企业）视同小型、微型企业，给予20%的价格扣除，用扣除后的价格参与评审。</w:t>
      </w:r>
      <w:r/>
    </w:p>
    <w:p>
      <w:pPr>
        <w:pStyle w:val="97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7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97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97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97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6、联合体各方均为小型、微型企业（残疾人福利单位、监狱企业）的，联合体享受20%价格扣除，用扣除后的价格参与评审。</w:t>
      </w:r>
      <w:r/>
    </w:p>
    <w:p>
      <w:pPr>
        <w:pStyle w:val="97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7、大中型企业向小型、微型企业分包的，分包意向协议约定小型、微型企业合同份额占到合同总金额30%以上的，给予6%的价格扣除，用扣除后的价格参与评审。</w:t>
      </w:r>
      <w:r/>
    </w:p>
    <w:p>
      <w:pPr>
        <w:pStyle w:val="97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（二）采购本国产品的支持政策</w:t>
      </w:r>
      <w:r/>
    </w:p>
    <w:p>
      <w:pPr>
        <w:pStyle w:val="97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1、本项目政府采购活动中既有本国产品又有非本国产品参与竞争的，依法对本国产品给予价格评审优惠，对本国产品的报价给予 20%的价格扣除，用扣除后的价格参与评审。</w:t>
      </w:r>
      <w:r/>
    </w:p>
    <w:p>
      <w:pPr>
        <w:pStyle w:val="97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7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 供应商需按照招标文件的要求提供《关于符合本国产品标准的声明函》（以下简称《声明函》），如不提供将不享受本国产品价格评审优惠。</w:t>
      </w:r>
      <w:r/>
    </w:p>
    <w:p>
      <w:pPr>
        <w:pStyle w:val="97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7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77"/>
        <w:ind w:firstLine="422"/>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r/>
    </w:p>
    <w:tbl>
      <w:tblPr>
        <w:tblStyle w:val="7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7849"/>
      </w:tblGrid>
      <w:tr>
        <w:trPr>
          <w:jc w:val="center"/>
          <w:trHeight w:val="428"/>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pStyle w:val="977"/>
              <w:ind w:firstLine="0"/>
              <w:jc w:val="center"/>
              <w:spacing w:line="348" w:lineRule="auto"/>
              <w:rPr>
                <w:rFonts w:ascii="宋体" w:hAnsi="宋体"/>
                <w:color w:val="auto"/>
                <w:sz w:val="21"/>
                <w:szCs w:val="21"/>
                <w:highlight w:val="none"/>
              </w:rPr>
            </w:pPr>
            <w:r>
              <w:rPr>
                <w:rFonts w:hint="eastAsia" w:ascii="宋体" w:hAnsi="宋体"/>
                <w:color w:val="auto"/>
                <w:sz w:val="21"/>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7849" w:type="dxa"/>
            <w:vAlign w:val="center"/>
            <w:textDirection w:val="lrTb"/>
            <w:noWrap w:val="false"/>
          </w:tcPr>
          <w:p>
            <w:pPr>
              <w:pStyle w:val="977"/>
              <w:ind w:firstLine="0"/>
              <w:jc w:val="center"/>
              <w:spacing w:line="348" w:lineRule="auto"/>
              <w:rPr>
                <w:rFonts w:ascii="宋体" w:hAnsi="宋体"/>
                <w:color w:val="auto"/>
                <w:sz w:val="21"/>
                <w:szCs w:val="21"/>
                <w:highlight w:val="none"/>
              </w:rPr>
            </w:pPr>
            <w:r>
              <w:rPr>
                <w:rFonts w:hint="eastAsia" w:ascii="宋体" w:hAnsi="宋体"/>
                <w:color w:val="auto"/>
                <w:sz w:val="21"/>
                <w:szCs w:val="21"/>
                <w:highlight w:val="none"/>
              </w:rPr>
              <w:t xml:space="preserve">评分标准</w:t>
            </w:r>
            <w:r/>
          </w:p>
        </w:tc>
      </w:tr>
      <w:tr>
        <w:trPr>
          <w:jc w:val="center"/>
          <w:trHeight w:val="290"/>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spacing w:line="348" w:lineRule="auto"/>
              <w:rPr>
                <w:rFonts w:ascii="宋体" w:hAnsi="宋体"/>
                <w:color w:val="auto"/>
                <w:szCs w:val="21"/>
                <w:highlight w:val="none"/>
              </w:rPr>
            </w:pPr>
            <w:r>
              <w:rPr>
                <w:rFonts w:hint="eastAsia" w:ascii="宋体" w:hAnsi="宋体"/>
                <w:color w:val="auto"/>
                <w:szCs w:val="21"/>
                <w:highlight w:val="none"/>
              </w:rPr>
              <w:t xml:space="preserve">价 格</w:t>
            </w:r>
            <w:r/>
          </w:p>
          <w:p>
            <w:pPr>
              <w:jc w:val="center"/>
              <w:spacing w:line="348" w:lineRule="auto"/>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40</w:t>
            </w:r>
            <w:r>
              <w:rPr>
                <w:rFonts w:hint="eastAsia" w:ascii="宋体" w:hAnsi="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849" w:type="dxa"/>
            <w:vAlign w:val="center"/>
            <w:textDirection w:val="lrTb"/>
            <w:noWrap w:val="false"/>
          </w:tcPr>
          <w:p>
            <w:pPr>
              <w:spacing w:line="348" w:lineRule="auto"/>
              <w:rPr>
                <w:rFonts w:hint="eastAsia" w:ascii="宋体" w:hAnsi="宋体"/>
                <w:color w:val="auto"/>
                <w:szCs w:val="21"/>
                <w:highlight w:val="none"/>
              </w:rPr>
            </w:pPr>
            <w:r>
              <w:rPr>
                <w:rFonts w:hint="eastAsia" w:ascii="宋体" w:hAnsi="宋体"/>
                <w:color w:val="auto"/>
                <w:szCs w:val="21"/>
                <w:highlight w:val="none"/>
              </w:rPr>
              <w:t xml:space="preserve">以满足招标文件要求的最低价为基准价，得满分</w:t>
            </w:r>
            <w:r>
              <w:rPr>
                <w:rFonts w:hint="eastAsia" w:ascii="宋体" w:hAnsi="宋体"/>
                <w:color w:val="auto"/>
                <w:szCs w:val="21"/>
                <w:highlight w:val="none"/>
                <w:lang w:val="en-US" w:eastAsia="zh-CN"/>
              </w:rPr>
              <w:t xml:space="preserve">40</w:t>
            </w:r>
            <w:r>
              <w:rPr>
                <w:rFonts w:hint="eastAsia" w:ascii="宋体" w:hAnsi="宋体"/>
                <w:color w:val="auto"/>
                <w:szCs w:val="21"/>
                <w:highlight w:val="none"/>
              </w:rPr>
              <w:t xml:space="preserve">分，其他报价得分＝（基准价/其他报价）×</w:t>
            </w:r>
            <w:r>
              <w:rPr>
                <w:rFonts w:hint="eastAsia" w:ascii="宋体" w:hAnsi="宋体"/>
                <w:color w:val="auto"/>
                <w:szCs w:val="21"/>
                <w:highlight w:val="none"/>
                <w:lang w:val="en-US" w:eastAsia="zh-CN"/>
              </w:rPr>
              <w:t xml:space="preserve">40</w:t>
            </w:r>
            <w:r>
              <w:rPr>
                <w:rFonts w:hint="eastAsia" w:ascii="宋体" w:hAnsi="宋体"/>
                <w:color w:val="auto"/>
                <w:szCs w:val="21"/>
                <w:highlight w:val="none"/>
              </w:rPr>
              <w:t xml:space="preserve">×100％（保留小数点后两位）。</w:t>
            </w:r>
            <w:r/>
          </w:p>
          <w:p>
            <w:pPr>
              <w:spacing w:line="348" w:lineRule="auto"/>
              <w:rPr>
                <w:rFonts w:ascii="宋体" w:hAnsi="宋体"/>
                <w:color w:val="auto"/>
                <w:szCs w:val="21"/>
                <w:highlight w:val="none"/>
              </w:rPr>
            </w:pPr>
            <w:r>
              <w:rPr>
                <w:rFonts w:hint="eastAsia" w:ascii="宋体" w:hAnsi="宋体"/>
                <w:b/>
                <w:bCs/>
                <w:color w:val="auto"/>
                <w:szCs w:val="21"/>
                <w:highlight w:val="none"/>
              </w:rPr>
              <w:t xml:space="preserve">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290"/>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spacing w:line="348" w:lineRule="auto"/>
              <w:rPr>
                <w:rFonts w:ascii="宋体" w:hAnsi="宋体"/>
                <w:color w:val="auto"/>
                <w:szCs w:val="21"/>
                <w:highlight w:val="none"/>
              </w:rPr>
            </w:pPr>
            <w:r>
              <w:rPr>
                <w:rFonts w:hint="eastAsia" w:ascii="宋体" w:hAnsi="宋体"/>
                <w:color w:val="auto"/>
                <w:szCs w:val="21"/>
                <w:highlight w:val="none"/>
              </w:rPr>
              <w:t xml:space="preserve">技术性能</w:t>
            </w:r>
            <w:r/>
          </w:p>
          <w:p>
            <w:pPr>
              <w:jc w:val="center"/>
              <w:spacing w:line="348" w:lineRule="auto"/>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42</w:t>
            </w:r>
            <w:r>
              <w:rPr>
                <w:rFonts w:hint="eastAsia" w:ascii="宋体" w:hAnsi="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849"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根据投标人对第四章项目需求【三、采购内容技术要求】的响应情况进行打分，</w:t>
            </w:r>
            <w:r/>
          </w:p>
          <w:p>
            <w:pPr>
              <w:numPr>
                <w:ilvl w:val="0"/>
                <w:numId w:val="0"/>
              </w:numPr>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（1）标注“★”项为基础指标，共20项，不接受负偏离，否则为无效投标。</w:t>
            </w:r>
            <w:r/>
          </w:p>
          <w:p>
            <w:pPr>
              <w:numPr>
                <w:ilvl w:val="0"/>
                <w:numId w:val="0"/>
              </w:numPr>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（2）标注“▲”项的重要指标，共126项，全部满足得42分，在此基础上，每负偏离3项扣1分，不足3项的按3项计算</w:t>
            </w:r>
            <w:r>
              <w:rPr>
                <w:rFonts w:hint="eastAsia" w:ascii="宋体" w:hAnsi="宋体" w:eastAsia="宋体" w:cs="宋体"/>
                <w:color w:val="auto"/>
                <w:sz w:val="21"/>
                <w:szCs w:val="21"/>
                <w:highlight w:val="none"/>
                <w:lang w:val="en-US" w:eastAsia="zh-CN"/>
              </w:rPr>
              <w:t xml:space="preserve">。偏离超过48项，属于设备性能重大偏离，技术性能整项不得分。</w:t>
            </w:r>
            <w:r/>
          </w:p>
          <w:p>
            <w:pPr>
              <w:pStyle w:val="826"/>
              <w:ind w:left="0" w:firstLine="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说明：</w:t>
            </w:r>
            <w:r/>
          </w:p>
          <w:p>
            <w:pPr>
              <w:pStyle w:val="826"/>
              <w:ind w:left="0" w:firstLine="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（1）凡标有最低一级序号的指标项即为一项技术条款，无论是否隶属于上一级编号。</w:t>
            </w:r>
            <w:r/>
          </w:p>
          <w:p>
            <w:pPr>
              <w:keepLines w:val="0"/>
              <w:keepNext w:val="0"/>
              <w:pageBreakBefore w:val="0"/>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（2）</w:t>
            </w:r>
            <w:r>
              <w:rPr>
                <w:rFonts w:hint="eastAsia" w:ascii="宋体" w:hAnsi="宋体" w:cs="宋体"/>
                <w:b/>
                <w:bCs/>
                <w:color w:val="auto"/>
                <w:sz w:val="21"/>
                <w:szCs w:val="21"/>
                <w:highlight w:val="none"/>
                <w:lang w:val="en-US" w:eastAsia="zh-CN"/>
              </w:rPr>
              <w:t xml:space="preserve">投标人需对所有的参数在《技术参数响应及偏离表》中逐条应答，未列明的视为负偏离。</w:t>
            </w:r>
            <w:r/>
          </w:p>
          <w:p>
            <w:pPr>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对采购需求中</w:t>
            </w:r>
            <w:r>
              <w:rPr>
                <w:rFonts w:hint="eastAsia" w:ascii="宋体" w:hAnsi="宋体" w:eastAsia="宋体" w:cs="宋体"/>
                <w:b/>
                <w:bCs/>
                <w:color w:val="auto"/>
                <w:sz w:val="21"/>
                <w:szCs w:val="21"/>
                <w:highlight w:val="none"/>
                <w:lang w:val="en-US" w:eastAsia="zh-CN"/>
              </w:rPr>
              <w:t xml:space="preserve">标注“★”和</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”的指标，应按指标末括号内要求提供</w:t>
            </w:r>
            <w:r>
              <w:rPr>
                <w:rFonts w:hint="eastAsia" w:ascii="宋体" w:hAnsi="宋体" w:eastAsia="宋体" w:cs="宋体"/>
                <w:b/>
                <w:bCs/>
                <w:color w:val="auto"/>
                <w:sz w:val="21"/>
                <w:szCs w:val="21"/>
                <w:highlight w:val="none"/>
                <w:lang w:val="en-US" w:eastAsia="zh-CN"/>
              </w:rPr>
              <w:t xml:space="preserve">相应证明</w:t>
            </w:r>
            <w:r>
              <w:rPr>
                <w:rFonts w:hint="eastAsia" w:ascii="宋体" w:hAnsi="宋体" w:eastAsia="宋体" w:cs="宋体"/>
                <w:b/>
                <w:bCs/>
                <w:color w:val="auto"/>
                <w:sz w:val="21"/>
                <w:szCs w:val="21"/>
                <w:highlight w:val="none"/>
              </w:rPr>
              <w:t xml:space="preserve">材料</w:t>
            </w:r>
            <w:r>
              <w:rPr>
                <w:rFonts w:hint="eastAsia" w:ascii="宋体" w:hAnsi="宋体" w:eastAsia="宋体" w:cs="宋体"/>
                <w:b/>
                <w:bCs/>
                <w:color w:val="auto"/>
                <w:sz w:val="21"/>
                <w:szCs w:val="21"/>
                <w:highlight w:val="none"/>
                <w:lang w:val="en-US" w:eastAsia="zh-CN"/>
              </w:rPr>
              <w:t xml:space="preserve">上传系统</w:t>
            </w:r>
            <w:r>
              <w:rPr>
                <w:rFonts w:hint="eastAsia" w:ascii="宋体" w:hAnsi="宋体" w:cs="宋体"/>
                <w:b/>
                <w:bCs/>
                <w:color w:val="auto"/>
                <w:sz w:val="21"/>
                <w:szCs w:val="21"/>
                <w:highlight w:val="none"/>
                <w:lang w:val="en-US" w:eastAsia="zh-CN"/>
              </w:rPr>
              <w:t xml:space="preserve">（未要求证明材料的仅需在偏离表中应答）</w:t>
            </w:r>
            <w:r>
              <w:rPr>
                <w:rFonts w:hint="eastAsia" w:ascii="宋体" w:hAnsi="宋体" w:eastAsia="宋体" w:cs="宋体"/>
                <w:b/>
                <w:bCs/>
                <w:color w:val="auto"/>
                <w:sz w:val="21"/>
                <w:szCs w:val="21"/>
                <w:highlight w:val="none"/>
              </w:rPr>
              <w:t xml:space="preserve">，并</w:t>
            </w:r>
            <w:r>
              <w:rPr>
                <w:rFonts w:hint="eastAsia" w:ascii="宋体" w:hAnsi="宋体" w:eastAsia="宋体" w:cs="宋体"/>
                <w:b/>
                <w:bCs/>
                <w:color w:val="auto"/>
                <w:sz w:val="21"/>
                <w:szCs w:val="21"/>
                <w:highlight w:val="none"/>
                <w:lang w:val="en-US" w:eastAsia="zh-CN"/>
              </w:rPr>
              <w:t xml:space="preserve">同时</w:t>
            </w:r>
            <w:r>
              <w:rPr>
                <w:rFonts w:hint="eastAsia" w:ascii="宋体" w:hAnsi="宋体" w:eastAsia="宋体" w:cs="宋体"/>
                <w:b/>
                <w:bCs/>
                <w:color w:val="auto"/>
                <w:sz w:val="21"/>
                <w:szCs w:val="21"/>
                <w:highlight w:val="none"/>
              </w:rPr>
              <w:t xml:space="preserve">在《技术参数响应及偏离表》中逐条应答</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未按要求提供证明材料并应答的</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评审时</w:t>
            </w:r>
            <w:r>
              <w:rPr>
                <w:rFonts w:hint="eastAsia" w:ascii="宋体" w:hAnsi="宋体" w:eastAsia="宋体" w:cs="宋体"/>
                <w:b/>
                <w:bCs/>
                <w:color w:val="auto"/>
                <w:sz w:val="21"/>
                <w:szCs w:val="21"/>
                <w:highlight w:val="none"/>
                <w:lang w:val="en-US" w:eastAsia="zh-CN"/>
              </w:rPr>
              <w:t xml:space="preserve">视为负偏离</w:t>
            </w:r>
            <w:r>
              <w:rPr>
                <w:rFonts w:hint="eastAsia" w:ascii="宋体" w:hAnsi="宋体" w:eastAsia="宋体" w:cs="宋体"/>
                <w:b/>
                <w:bCs/>
                <w:color w:val="auto"/>
                <w:sz w:val="21"/>
                <w:szCs w:val="21"/>
                <w:highlight w:val="none"/>
                <w:lang w:eastAsia="zh-CN"/>
              </w:rPr>
              <w:t xml:space="preserve">。</w:t>
            </w:r>
            <w:r/>
          </w:p>
          <w:p>
            <w:pPr>
              <w:spacing w:line="360" w:lineRule="auto"/>
              <w:rPr>
                <w:rFonts w:hint="eastAsia" w:ascii="宋体" w:hAnsi="宋体" w:eastAsia="宋体" w:cs="宋体"/>
                <w:b/>
                <w:bCs/>
                <w:color w:val="auto"/>
                <w:sz w:val="21"/>
                <w:szCs w:val="21"/>
                <w:highlight w:val="none"/>
                <w:lang w:val="en-US" w:eastAsia="zh-CN" w:bidi="ar-SA"/>
              </w:rPr>
              <w:outlineLvl w:val="0"/>
            </w:pPr>
            <w:r>
              <w:rPr>
                <w:rFonts w:hint="eastAsia" w:ascii="宋体" w:hAnsi="宋体" w:eastAsia="宋体" w:cs="宋体"/>
                <w:b/>
                <w:bCs/>
                <w:color w:val="auto"/>
                <w:sz w:val="21"/>
                <w:szCs w:val="21"/>
                <w:highlight w:val="none"/>
                <w:lang w:val="en-US" w:eastAsia="zh-CN" w:bidi="ar-SA"/>
              </w:rPr>
              <w:t xml:space="preserve">（3）设备交付验收时，招标人将对技术要求的具体描述进行核实验收，如发现虚假应标，给招标人造成损失的由投标人承担一切责任。</w:t>
            </w:r>
            <w:r/>
          </w:p>
          <w:p>
            <w:pPr>
              <w:spacing w:line="360" w:lineRule="auto"/>
              <w:rPr>
                <w:rFonts w:ascii="宋体" w:hAnsi="宋体"/>
                <w:color w:val="auto"/>
                <w:szCs w:val="21"/>
                <w:highlight w:val="none"/>
              </w:rPr>
            </w:pPr>
            <w:r>
              <w:rPr>
                <w:rFonts w:hint="eastAsia" w:ascii="宋体" w:hAnsi="宋体" w:cs="宋体"/>
                <w:b/>
                <w:color w:val="auto"/>
                <w:szCs w:val="21"/>
                <w:highlight w:val="none"/>
              </w:rPr>
              <w:t xml:space="preserve">若发现有提供虚假的证明材料或虚假应答技术参数响应及偏离表的，视为无效投标，上报采购监管部门并追究相关责任。</w:t>
            </w:r>
            <w:r/>
          </w:p>
        </w:tc>
      </w:tr>
      <w:tr>
        <w:trPr>
          <w:jc w:val="center"/>
          <w:trHeight w:val="290"/>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spacing w:line="348" w:lineRule="auto"/>
              <w:rPr>
                <w:rFonts w:hint="eastAsia" w:ascii="宋体" w:hAnsi="宋体" w:eastAsia="宋体" w:cs="Times New Roman"/>
                <w:color w:val="auto"/>
                <w:szCs w:val="21"/>
                <w:highlight w:val="none"/>
                <w:lang w:eastAsia="zh-CN"/>
              </w:rPr>
            </w:pPr>
            <w:r>
              <w:rPr>
                <w:rFonts w:hint="eastAsia" w:ascii="宋体" w:hAnsi="宋体"/>
                <w:color w:val="auto"/>
                <w:szCs w:val="21"/>
                <w:highlight w:val="none"/>
                <w:lang w:eastAsia="zh-CN"/>
              </w:rPr>
              <w:t xml:space="preserve">实</w:t>
            </w:r>
            <w:r>
              <w:rPr>
                <w:rFonts w:hint="eastAsia" w:ascii="宋体" w:hAnsi="宋体" w:eastAsia="宋体" w:cs="Times New Roman"/>
                <w:color w:val="auto"/>
                <w:szCs w:val="21"/>
                <w:highlight w:val="none"/>
                <w:lang w:eastAsia="zh-CN"/>
              </w:rPr>
              <w:t xml:space="preserve">施方案</w:t>
            </w:r>
            <w:r/>
          </w:p>
          <w:p>
            <w:pPr>
              <w:jc w:val="center"/>
              <w:spacing w:line="348" w:lineRule="auto"/>
              <w:rPr>
                <w:rFonts w:hint="eastAsia"/>
                <w:color w:val="auto"/>
                <w:highlight w:val="none"/>
                <w:lang w:eastAsia="zh-CN"/>
              </w:rPr>
            </w:pPr>
            <w:r>
              <w:rPr>
                <w:rFonts w:hint="eastAsia" w:ascii="宋体" w:hAnsi="宋体" w:eastAsia="宋体" w:cs="Times New Roman"/>
                <w:color w:val="auto"/>
                <w:szCs w:val="21"/>
                <w:highlight w:val="none"/>
                <w:lang w:eastAsia="zh-CN"/>
              </w:rPr>
              <w:t xml:space="preserve">（</w:t>
            </w:r>
            <w:r>
              <w:rPr>
                <w:rFonts w:hint="eastAsia" w:ascii="宋体" w:hAnsi="宋体" w:cs="Times New Roman"/>
                <w:color w:val="auto"/>
                <w:szCs w:val="21"/>
                <w:highlight w:val="none"/>
                <w:lang w:val="en-US" w:eastAsia="zh-CN"/>
              </w:rPr>
              <w:t xml:space="preserve">7</w:t>
            </w:r>
            <w:r>
              <w:rPr>
                <w:rFonts w:hint="eastAsia" w:ascii="宋体" w:hAnsi="宋体" w:eastAsia="宋体" w:cs="Times New Roman"/>
                <w:color w:val="auto"/>
                <w:szCs w:val="21"/>
                <w:highlight w:val="none"/>
                <w:lang w:val="en-US" w:eastAsia="zh-CN"/>
              </w:rPr>
              <w:t xml:space="preserve">分</w:t>
            </w:r>
            <w:r>
              <w:rPr>
                <w:rFonts w:hint="eastAsia" w:ascii="宋体" w:hAnsi="宋体" w:eastAsia="宋体" w:cs="Times New Roman"/>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849" w:type="dxa"/>
            <w:vAlign w:val="center"/>
            <w:textDirection w:val="lrTb"/>
            <w:noWrap w:val="false"/>
          </w:tcPr>
          <w:p>
            <w:pPr>
              <w:spacing w:line="348" w:lineRule="auto"/>
              <w:rPr>
                <w:rFonts w:hint="eastAsia" w:ascii="宋体" w:hAnsi="宋体" w:eastAsia="宋体" w:cs="Times New Roman"/>
                <w:color w:val="auto"/>
                <w:szCs w:val="21"/>
                <w:highlight w:val="none"/>
              </w:rPr>
              <w:outlineLvl w:val="0"/>
            </w:pPr>
            <w:r>
              <w:rPr>
                <w:rFonts w:hint="eastAsia" w:ascii="宋体" w:hAnsi="宋体" w:eastAsia="宋体" w:cs="Times New Roman"/>
                <w:color w:val="auto"/>
                <w:szCs w:val="21"/>
                <w:highlight w:val="none"/>
                <w:lang w:val="en-US" w:eastAsia="zh-CN"/>
              </w:rPr>
              <w:t xml:space="preserve">1、</w:t>
            </w:r>
            <w:r>
              <w:rPr>
                <w:rFonts w:hint="eastAsia" w:ascii="宋体" w:hAnsi="宋体" w:eastAsia="宋体" w:cs="Times New Roman"/>
                <w:color w:val="auto"/>
                <w:szCs w:val="21"/>
                <w:highlight w:val="none"/>
              </w:rPr>
              <w:t xml:space="preserve">配送、安装及调试方案</w:t>
            </w:r>
            <w:r>
              <w:rPr>
                <w:rFonts w:hint="eastAsia" w:ascii="宋体" w:hAnsi="宋体" w:eastAsia="宋体" w:cs="Times New Roman"/>
                <w:color w:val="auto"/>
                <w:szCs w:val="21"/>
                <w:highlight w:val="none"/>
                <w:lang w:eastAsia="zh-CN"/>
              </w:rPr>
              <w:t xml:space="preserve">（满分</w:t>
            </w:r>
            <w:r>
              <w:rPr>
                <w:rFonts w:hint="eastAsia" w:ascii="宋体" w:hAnsi="宋体" w:cs="Times New Roman"/>
                <w:color w:val="auto"/>
                <w:szCs w:val="21"/>
                <w:highlight w:val="none"/>
                <w:lang w:val="en-US" w:eastAsia="zh-CN"/>
              </w:rPr>
              <w:t xml:space="preserve">2</w:t>
            </w:r>
            <w:r>
              <w:rPr>
                <w:rFonts w:hint="eastAsia" w:ascii="宋体" w:hAnsi="宋体" w:eastAsia="宋体" w:cs="Times New Roman"/>
                <w:color w:val="auto"/>
                <w:szCs w:val="21"/>
                <w:highlight w:val="none"/>
                <w:lang w:val="en-US" w:eastAsia="zh-CN"/>
              </w:rPr>
              <w:t xml:space="preserve">分</w:t>
            </w:r>
            <w:r>
              <w:rPr>
                <w:rFonts w:hint="eastAsia" w:ascii="宋体" w:hAnsi="宋体" w:eastAsia="宋体" w:cs="Times New Roman"/>
                <w:color w:val="auto"/>
                <w:szCs w:val="21"/>
                <w:highlight w:val="none"/>
                <w:lang w:eastAsia="zh-CN"/>
              </w:rPr>
              <w:t xml:space="preserve">）</w:t>
            </w:r>
            <w:r/>
          </w:p>
          <w:p>
            <w:pPr>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方案全面详实，针对性强，切实可行,优于项目需求</w:t>
            </w:r>
            <w:r>
              <w:rPr>
                <w:rFonts w:hint="eastAsia" w:ascii="宋体" w:hAnsi="宋体" w:cs="Times New Roman"/>
                <w:color w:val="auto"/>
                <w:szCs w:val="21"/>
                <w:highlight w:val="none"/>
                <w:lang w:eastAsia="zh-CN"/>
              </w:rPr>
              <w:t xml:space="preserve">，</w:t>
            </w:r>
            <w:r>
              <w:rPr>
                <w:rFonts w:hint="eastAsia" w:ascii="宋体" w:hAnsi="宋体" w:cs="Times New Roman"/>
                <w:color w:val="auto"/>
                <w:szCs w:val="21"/>
                <w:highlight w:val="none"/>
                <w:lang w:val="en-US" w:eastAsia="zh-CN"/>
              </w:rPr>
              <w:t xml:space="preserve">能够在</w:t>
            </w:r>
            <w:r>
              <w:rPr>
                <w:rFonts w:hint="eastAsia" w:ascii="宋体" w:hAnsi="宋体" w:cs="宋体"/>
                <w:i w:val="0"/>
                <w:iCs w:val="0"/>
                <w:color w:val="auto"/>
                <w:szCs w:val="21"/>
                <w:highlight w:val="none"/>
                <w:u w:val="none"/>
                <w:lang w:val="en-US" w:eastAsia="zh-CN"/>
              </w:rPr>
              <w:t xml:space="preserve">45天内将各设备送至指定地点，5天内将所有设备安装完成，1天内完成所有设备的调试，</w:t>
            </w:r>
            <w:r>
              <w:rPr>
                <w:rFonts w:hint="eastAsia" w:ascii="宋体" w:hAnsi="宋体" w:eastAsia="宋体" w:cs="Times New Roman"/>
                <w:color w:val="auto"/>
                <w:szCs w:val="21"/>
                <w:highlight w:val="none"/>
              </w:rPr>
              <w:t xml:space="preserve">得</w:t>
            </w:r>
            <w:r>
              <w:rPr>
                <w:rFonts w:hint="eastAsia" w:ascii="宋体" w:hAnsi="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分；</w:t>
            </w:r>
            <w:r/>
          </w:p>
          <w:p>
            <w:pPr>
              <w:spacing w:line="348" w:lineRule="auto"/>
              <w:rPr>
                <w:rFonts w:hint="eastAsia" w:ascii="宋体" w:hAnsi="宋体" w:eastAsia="宋体" w:cs="Times New Roman"/>
                <w:color w:val="auto"/>
                <w:szCs w:val="21"/>
                <w:highlight w:val="none"/>
              </w:rPr>
              <w:outlineLvl w:val="0"/>
            </w:pPr>
            <w:r>
              <w:rPr>
                <w:rFonts w:hint="eastAsia" w:ascii="宋体" w:hAnsi="宋体" w:eastAsia="宋体" w:cs="Times New Roman"/>
                <w:color w:val="auto"/>
                <w:szCs w:val="21"/>
                <w:highlight w:val="none"/>
              </w:rPr>
              <w:t xml:space="preserve">方案较全面，针对性较强，较切实可行，满足项目需求</w:t>
            </w:r>
            <w:r>
              <w:rPr>
                <w:rFonts w:hint="eastAsia" w:ascii="宋体" w:hAnsi="宋体" w:cs="Times New Roman"/>
                <w:color w:val="auto"/>
                <w:szCs w:val="21"/>
                <w:highlight w:val="none"/>
                <w:lang w:eastAsia="zh-CN"/>
              </w:rPr>
              <w:t xml:space="preserve">，</w:t>
            </w:r>
            <w:r>
              <w:rPr>
                <w:rFonts w:hint="eastAsia" w:ascii="宋体" w:hAnsi="宋体" w:cs="Times New Roman"/>
                <w:color w:val="auto"/>
                <w:szCs w:val="21"/>
                <w:highlight w:val="none"/>
                <w:lang w:val="en-US" w:eastAsia="zh-CN"/>
              </w:rPr>
              <w:t xml:space="preserve">能够在</w:t>
            </w:r>
            <w:r>
              <w:rPr>
                <w:rFonts w:hint="eastAsia" w:ascii="宋体" w:hAnsi="宋体" w:cs="宋体"/>
                <w:i w:val="0"/>
                <w:iCs w:val="0"/>
                <w:color w:val="auto"/>
                <w:szCs w:val="21"/>
                <w:highlight w:val="none"/>
                <w:u w:val="none"/>
                <w:lang w:val="en-US" w:eastAsia="zh-CN"/>
              </w:rPr>
              <w:t xml:space="preserve">50天内将各设备送至指定地点，7天内将所有设备安装完成，3天内完成所有设备的调试</w:t>
            </w:r>
            <w:r>
              <w:rPr>
                <w:rFonts w:hint="eastAsia" w:ascii="宋体" w:hAnsi="宋体" w:cs="宋体"/>
                <w:i w:val="0"/>
                <w:iCs w:val="0"/>
                <w:color w:val="auto"/>
                <w:szCs w:val="21"/>
                <w:highlight w:val="none"/>
                <w:u w:val="none"/>
                <w:lang w:eastAsia="zh-CN"/>
              </w:rPr>
              <w:t xml:space="preserve">，</w:t>
            </w:r>
            <w:r>
              <w:rPr>
                <w:rFonts w:hint="eastAsia" w:ascii="宋体" w:hAnsi="宋体" w:eastAsia="宋体" w:cs="Times New Roman"/>
                <w:color w:val="auto"/>
                <w:szCs w:val="21"/>
                <w:highlight w:val="none"/>
              </w:rPr>
              <w:t xml:space="preserve">得</w:t>
            </w:r>
            <w:r>
              <w:rPr>
                <w:rFonts w:hint="eastAsia" w:ascii="宋体" w:hAnsi="宋体" w:cs="Times New Roman"/>
                <w:color w:val="auto"/>
                <w:szCs w:val="21"/>
                <w:highlight w:val="none"/>
                <w:lang w:val="en-US" w:eastAsia="zh-CN"/>
              </w:rPr>
              <w:t xml:space="preserve">1</w:t>
            </w:r>
            <w:r>
              <w:rPr>
                <w:rFonts w:hint="eastAsia" w:ascii="宋体" w:hAnsi="宋体" w:eastAsia="宋体" w:cs="Times New Roman"/>
                <w:color w:val="auto"/>
                <w:szCs w:val="21"/>
                <w:highlight w:val="none"/>
              </w:rPr>
              <w:t xml:space="preserve">分；</w:t>
            </w:r>
            <w:r/>
          </w:p>
          <w:p>
            <w:pPr>
              <w:jc w:val="left"/>
              <w:spacing w:line="360" w:lineRule="auto"/>
              <w:rPr>
                <w:rFonts w:hint="default" w:ascii="宋体" w:hAnsi="宋体" w:eastAsia="宋体" w:cs="宋体"/>
                <w:i w:val="0"/>
                <w:iCs w:val="0"/>
                <w:color w:val="auto"/>
                <w:szCs w:val="21"/>
                <w:highlight w:val="none"/>
                <w:u w:val="none"/>
                <w:lang w:val="en-US" w:eastAsia="zh-CN"/>
              </w:rPr>
            </w:pPr>
            <w:r>
              <w:rPr>
                <w:rFonts w:hint="eastAsia" w:ascii="宋体" w:hAnsi="宋体" w:eastAsia="宋体" w:cs="Times New Roman"/>
                <w:color w:val="auto"/>
                <w:szCs w:val="21"/>
                <w:highlight w:val="none"/>
              </w:rPr>
              <w:t xml:space="preserve">方案不全面，针对性不强，可行性欠缺，不完全符合项目需求</w:t>
            </w:r>
            <w:r>
              <w:rPr>
                <w:rFonts w:hint="eastAsia" w:ascii="宋体" w:hAnsi="宋体" w:cs="Times New Roman"/>
                <w:color w:val="auto"/>
                <w:szCs w:val="21"/>
                <w:highlight w:val="none"/>
                <w:lang w:eastAsia="zh-CN"/>
              </w:rPr>
              <w:t xml:space="preserve">，</w:t>
            </w:r>
            <w:r>
              <w:rPr>
                <w:rFonts w:hint="eastAsia" w:ascii="宋体" w:hAnsi="宋体" w:cs="Times New Roman"/>
                <w:color w:val="auto"/>
                <w:szCs w:val="21"/>
                <w:highlight w:val="none"/>
                <w:lang w:val="en-US" w:eastAsia="zh-CN"/>
              </w:rPr>
              <w:t xml:space="preserve">不得分。</w:t>
            </w:r>
            <w:r/>
          </w:p>
          <w:p>
            <w:pPr>
              <w:spacing w:line="348" w:lineRule="auto"/>
              <w:rPr>
                <w:rFonts w:hint="eastAsia" w:ascii="宋体" w:hAnsi="宋体" w:eastAsia="宋体" w:cs="Times New Roman"/>
                <w:color w:val="auto"/>
                <w:szCs w:val="21"/>
                <w:highlight w:val="none"/>
              </w:rPr>
              <w:outlineLvl w:val="0"/>
            </w:pPr>
            <w:r>
              <w:rPr>
                <w:rFonts w:hint="eastAsia" w:ascii="宋体" w:hAnsi="宋体" w:eastAsia="宋体" w:cs="Times New Roman"/>
                <w:color w:val="auto"/>
                <w:szCs w:val="21"/>
                <w:highlight w:val="none"/>
              </w:rPr>
              <w:t xml:space="preserve">未提供的不得分。</w:t>
            </w:r>
            <w:r/>
          </w:p>
          <w:p>
            <w:pPr>
              <w:spacing w:line="348" w:lineRule="auto"/>
              <w:rPr>
                <w:rFonts w:hint="eastAsia" w:ascii="宋体" w:hAnsi="宋体" w:eastAsia="宋体" w:cs="Times New Roman"/>
                <w:color w:val="auto"/>
                <w:szCs w:val="21"/>
                <w:highlight w:val="none"/>
              </w:rPr>
              <w:outlineLvl w:val="0"/>
            </w:pPr>
            <w:r>
              <w:rPr>
                <w:rFonts w:hint="eastAsia" w:ascii="宋体" w:hAnsi="宋体" w:cs="Times New Roman"/>
                <w:color w:val="auto"/>
                <w:szCs w:val="21"/>
                <w:highlight w:val="none"/>
                <w:lang w:val="en-US" w:eastAsia="zh-CN"/>
              </w:rPr>
              <w:t xml:space="preserve">2</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rPr>
              <w:t xml:space="preserve">培训方案</w:t>
            </w:r>
            <w:r>
              <w:rPr>
                <w:rFonts w:hint="eastAsia" w:ascii="宋体" w:hAnsi="宋体" w:eastAsia="宋体" w:cs="Times New Roman"/>
                <w:color w:val="auto"/>
                <w:szCs w:val="21"/>
                <w:highlight w:val="none"/>
                <w:lang w:eastAsia="zh-CN"/>
              </w:rPr>
              <w:t xml:space="preserve">（满分</w:t>
            </w:r>
            <w:r>
              <w:rPr>
                <w:rFonts w:hint="eastAsia" w:ascii="宋体" w:hAnsi="宋体" w:cs="Times New Roman"/>
                <w:color w:val="auto"/>
                <w:szCs w:val="21"/>
                <w:highlight w:val="none"/>
                <w:lang w:val="en-US" w:eastAsia="zh-CN"/>
              </w:rPr>
              <w:t xml:space="preserve">2</w:t>
            </w:r>
            <w:r>
              <w:rPr>
                <w:rFonts w:hint="eastAsia" w:ascii="宋体" w:hAnsi="宋体" w:eastAsia="宋体" w:cs="Times New Roman"/>
                <w:color w:val="auto"/>
                <w:szCs w:val="21"/>
                <w:highlight w:val="none"/>
                <w:lang w:val="en-US" w:eastAsia="zh-CN"/>
              </w:rPr>
              <w:t xml:space="preserve">分</w:t>
            </w:r>
            <w:r>
              <w:rPr>
                <w:rFonts w:hint="eastAsia" w:ascii="宋体" w:hAnsi="宋体" w:eastAsia="宋体" w:cs="Times New Roman"/>
                <w:color w:val="auto"/>
                <w:szCs w:val="21"/>
                <w:highlight w:val="none"/>
                <w:lang w:eastAsia="zh-CN"/>
              </w:rPr>
              <w:t xml:space="preserve">）</w:t>
            </w:r>
            <w:r/>
          </w:p>
          <w:p>
            <w:pPr>
              <w:spacing w:line="348" w:lineRule="auto"/>
              <w:rPr>
                <w:rFonts w:hint="eastAsia" w:ascii="宋体" w:hAnsi="宋体" w:eastAsia="宋体" w:cs="Times New Roman"/>
                <w:color w:val="auto"/>
                <w:szCs w:val="21"/>
                <w:highlight w:val="none"/>
              </w:rPr>
              <w:outlineLvl w:val="0"/>
            </w:pPr>
            <w:r>
              <w:rPr>
                <w:rFonts w:hint="eastAsia" w:ascii="宋体" w:hAnsi="宋体" w:eastAsia="宋体" w:cs="Times New Roman"/>
                <w:color w:val="auto"/>
                <w:szCs w:val="21"/>
                <w:highlight w:val="none"/>
              </w:rPr>
              <w:t xml:space="preserve">方案全面详实，针对性强，切实可行,优于项目需求</w:t>
            </w:r>
            <w:r>
              <w:rPr>
                <w:rFonts w:hint="eastAsia" w:ascii="宋体" w:hAnsi="宋体" w:cs="Times New Roman"/>
                <w:color w:val="auto"/>
                <w:szCs w:val="21"/>
                <w:highlight w:val="none"/>
                <w:lang w:eastAsia="zh-CN"/>
              </w:rPr>
              <w:t xml:space="preserve">，</w:t>
            </w:r>
            <w:r>
              <w:rPr>
                <w:rFonts w:hint="eastAsia" w:ascii="宋体" w:hAnsi="宋体" w:cs="宋体"/>
                <w:color w:val="auto"/>
                <w:szCs w:val="21"/>
                <w:highlight w:val="none"/>
                <w:lang w:val="en-US" w:eastAsia="zh-CN"/>
              </w:rPr>
              <w:t xml:space="preserve">单个设备培训</w:t>
            </w:r>
            <w:r>
              <w:rPr>
                <w:rFonts w:hint="eastAsia" w:ascii="宋体" w:hAnsi="宋体" w:cs="宋体"/>
                <w:color w:val="auto"/>
                <w:szCs w:val="21"/>
                <w:highlight w:val="none"/>
                <w:lang w:eastAsia="zh-CN"/>
              </w:rPr>
              <w:t xml:space="preserve">不少于</w:t>
            </w:r>
            <w:r>
              <w:rPr>
                <w:rFonts w:hint="eastAsia" w:ascii="宋体" w:hAnsi="宋体" w:cs="宋体"/>
                <w:color w:val="auto"/>
                <w:szCs w:val="21"/>
                <w:highlight w:val="none"/>
                <w:lang w:val="en-US" w:eastAsia="zh-CN"/>
              </w:rPr>
              <w:t xml:space="preserve">4人次，</w:t>
            </w:r>
            <w:r>
              <w:rPr>
                <w:rFonts w:hint="eastAsia" w:ascii="宋体" w:hAnsi="宋体" w:cs="宋体"/>
                <w:color w:val="auto"/>
                <w:szCs w:val="21"/>
                <w:highlight w:val="none"/>
              </w:rPr>
              <w:t xml:space="preserve">在安装调试后</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天内进行，</w:t>
            </w:r>
            <w:r>
              <w:rPr>
                <w:rFonts w:hint="eastAsia" w:ascii="宋体" w:hAnsi="宋体" w:cs="宋体"/>
                <w:color w:val="auto"/>
                <w:szCs w:val="21"/>
                <w:highlight w:val="none"/>
                <w:lang w:eastAsia="zh-CN"/>
              </w:rPr>
              <w:t xml:space="preserve">不少于</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天；</w:t>
            </w:r>
            <w:r>
              <w:rPr>
                <w:rFonts w:hint="eastAsia" w:ascii="宋体" w:hAnsi="宋体" w:cs="宋体"/>
                <w:color w:val="auto"/>
                <w:szCs w:val="21"/>
                <w:highlight w:val="none"/>
                <w:lang w:val="en-US" w:eastAsia="zh-CN"/>
              </w:rPr>
              <w:t xml:space="preserve">人均实操时长≥5小时，</w:t>
            </w:r>
            <w:r>
              <w:rPr>
                <w:rFonts w:hint="eastAsia" w:ascii="宋体" w:hAnsi="宋体" w:eastAsia="宋体" w:cs="Times New Roman"/>
                <w:color w:val="auto"/>
                <w:szCs w:val="21"/>
                <w:highlight w:val="none"/>
              </w:rPr>
              <w:t xml:space="preserve">得</w:t>
            </w:r>
            <w:r>
              <w:rPr>
                <w:rFonts w:hint="eastAsia" w:ascii="宋体" w:hAnsi="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分；</w:t>
            </w:r>
            <w:r/>
          </w:p>
          <w:p>
            <w:pPr>
              <w:spacing w:line="348" w:lineRule="auto"/>
              <w:rPr>
                <w:rFonts w:hint="eastAsia" w:ascii="宋体" w:hAnsi="宋体" w:eastAsia="宋体" w:cs="Times New Roman"/>
                <w:color w:val="auto"/>
                <w:szCs w:val="21"/>
                <w:highlight w:val="none"/>
              </w:rPr>
              <w:outlineLvl w:val="0"/>
            </w:pPr>
            <w:r>
              <w:rPr>
                <w:rFonts w:hint="eastAsia" w:ascii="宋体" w:hAnsi="宋体" w:eastAsia="宋体" w:cs="Times New Roman"/>
                <w:color w:val="auto"/>
                <w:szCs w:val="21"/>
                <w:highlight w:val="none"/>
              </w:rPr>
              <w:t xml:space="preserve">方案较全面，针对性较强，较切实可行，满足项目需求</w:t>
            </w:r>
            <w:r>
              <w:rPr>
                <w:rFonts w:hint="eastAsia" w:ascii="宋体" w:hAnsi="宋体" w:cs="Times New Roman"/>
                <w:color w:val="auto"/>
                <w:szCs w:val="21"/>
                <w:highlight w:val="none"/>
                <w:lang w:eastAsia="zh-CN"/>
              </w:rPr>
              <w:t xml:space="preserve">，</w:t>
            </w:r>
            <w:r>
              <w:rPr>
                <w:rFonts w:hint="eastAsia" w:ascii="宋体" w:hAnsi="宋体" w:cs="宋体"/>
                <w:color w:val="auto"/>
                <w:szCs w:val="21"/>
                <w:highlight w:val="none"/>
                <w:lang w:val="en-US" w:eastAsia="zh-CN"/>
              </w:rPr>
              <w:t xml:space="preserve">单个设备培训</w:t>
            </w:r>
            <w:r>
              <w:rPr>
                <w:rFonts w:hint="eastAsia" w:ascii="宋体" w:hAnsi="宋体" w:cs="宋体"/>
                <w:color w:val="auto"/>
                <w:szCs w:val="21"/>
                <w:highlight w:val="none"/>
                <w:lang w:eastAsia="zh-CN"/>
              </w:rPr>
              <w:t xml:space="preserve">不少于</w:t>
            </w:r>
            <w:r>
              <w:rPr>
                <w:rFonts w:hint="eastAsia" w:ascii="宋体" w:hAnsi="宋体" w:cs="宋体"/>
                <w:color w:val="auto"/>
                <w:szCs w:val="21"/>
                <w:highlight w:val="none"/>
                <w:lang w:val="en-US" w:eastAsia="zh-CN"/>
              </w:rPr>
              <w:t xml:space="preserve">2人次，</w:t>
            </w:r>
            <w:r>
              <w:rPr>
                <w:rFonts w:hint="eastAsia" w:ascii="宋体" w:hAnsi="宋体" w:cs="宋体"/>
                <w:color w:val="auto"/>
                <w:szCs w:val="21"/>
                <w:highlight w:val="none"/>
              </w:rPr>
              <w:t xml:space="preserve">在安装调试后</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天内进行，</w:t>
            </w:r>
            <w:r>
              <w:rPr>
                <w:rFonts w:hint="eastAsia" w:ascii="宋体" w:hAnsi="宋体" w:cs="宋体"/>
                <w:color w:val="auto"/>
                <w:szCs w:val="21"/>
                <w:highlight w:val="none"/>
                <w:lang w:eastAsia="zh-CN"/>
              </w:rPr>
              <w:t xml:space="preserve">不少于</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天；</w:t>
            </w:r>
            <w:r>
              <w:rPr>
                <w:rFonts w:hint="eastAsia" w:ascii="宋体" w:hAnsi="宋体" w:cs="宋体"/>
                <w:color w:val="auto"/>
                <w:szCs w:val="21"/>
                <w:highlight w:val="none"/>
                <w:lang w:val="en-US" w:eastAsia="zh-CN"/>
              </w:rPr>
              <w:t xml:space="preserve">人均实操时长≥4小时，</w:t>
            </w:r>
            <w:r>
              <w:rPr>
                <w:rFonts w:hint="eastAsia" w:ascii="宋体" w:hAnsi="宋体" w:eastAsia="宋体" w:cs="Times New Roman"/>
                <w:color w:val="auto"/>
                <w:szCs w:val="21"/>
                <w:highlight w:val="none"/>
              </w:rPr>
              <w:t xml:space="preserve">得</w:t>
            </w:r>
            <w:r>
              <w:rPr>
                <w:rFonts w:hint="eastAsia" w:ascii="宋体" w:hAnsi="宋体" w:cs="Times New Roman"/>
                <w:color w:val="auto"/>
                <w:szCs w:val="21"/>
                <w:highlight w:val="none"/>
                <w:lang w:val="en-US" w:eastAsia="zh-CN"/>
              </w:rPr>
              <w:t xml:space="preserve">1</w:t>
            </w:r>
            <w:r>
              <w:rPr>
                <w:rFonts w:hint="eastAsia" w:ascii="宋体" w:hAnsi="宋体" w:eastAsia="宋体" w:cs="Times New Roman"/>
                <w:color w:val="auto"/>
                <w:szCs w:val="21"/>
                <w:highlight w:val="none"/>
              </w:rPr>
              <w:t xml:space="preserve">分；</w:t>
            </w:r>
            <w:r/>
          </w:p>
          <w:p>
            <w:pPr>
              <w:spacing w:line="348" w:lineRule="auto"/>
              <w:rPr>
                <w:rFonts w:hint="eastAsia" w:ascii="宋体" w:hAnsi="宋体" w:eastAsia="宋体" w:cs="Times New Roman"/>
                <w:color w:val="auto"/>
                <w:szCs w:val="21"/>
                <w:highlight w:val="none"/>
                <w:lang w:eastAsia="zh-CN"/>
              </w:rPr>
              <w:outlineLvl w:val="0"/>
            </w:pPr>
            <w:r>
              <w:rPr>
                <w:rFonts w:hint="eastAsia" w:ascii="宋体" w:hAnsi="宋体" w:eastAsia="宋体" w:cs="Times New Roman"/>
                <w:color w:val="auto"/>
                <w:szCs w:val="21"/>
                <w:highlight w:val="none"/>
              </w:rPr>
              <w:t xml:space="preserve">方案不全面，针对性不强，可行性欠缺，不完全符合项目需求</w:t>
            </w:r>
            <w:r>
              <w:rPr>
                <w:rFonts w:hint="eastAsia" w:ascii="宋体" w:hAnsi="宋体" w:cs="Times New Roman"/>
                <w:color w:val="auto"/>
                <w:szCs w:val="21"/>
                <w:highlight w:val="none"/>
                <w:lang w:eastAsia="zh-CN"/>
              </w:rPr>
              <w:t xml:space="preserve">，</w:t>
            </w:r>
            <w:r>
              <w:rPr>
                <w:rFonts w:hint="eastAsia" w:ascii="宋体" w:hAnsi="宋体" w:cs="Times New Roman"/>
                <w:color w:val="auto"/>
                <w:szCs w:val="21"/>
                <w:highlight w:val="none"/>
                <w:lang w:val="en-US" w:eastAsia="zh-CN"/>
              </w:rPr>
              <w:t xml:space="preserve">不得分</w:t>
            </w:r>
            <w:r>
              <w:rPr>
                <w:rFonts w:hint="eastAsia" w:ascii="宋体" w:hAnsi="宋体" w:eastAsia="宋体" w:cs="Times New Roman"/>
                <w:color w:val="auto"/>
                <w:szCs w:val="21"/>
                <w:highlight w:val="none"/>
                <w:lang w:eastAsia="zh-CN"/>
              </w:rPr>
              <w:t xml:space="preserve">；</w:t>
            </w:r>
            <w:r/>
          </w:p>
          <w:p>
            <w:pPr>
              <w:spacing w:line="348" w:lineRule="auto"/>
              <w:rPr>
                <w:rFonts w:hint="eastAsia" w:ascii="宋体" w:hAnsi="宋体" w:eastAsia="宋体" w:cs="Times New Roman"/>
                <w:color w:val="auto"/>
                <w:szCs w:val="21"/>
                <w:highlight w:val="none"/>
              </w:rPr>
              <w:outlineLvl w:val="0"/>
            </w:pPr>
            <w:r>
              <w:rPr>
                <w:rFonts w:hint="eastAsia" w:ascii="宋体" w:hAnsi="宋体" w:eastAsia="宋体" w:cs="Times New Roman"/>
                <w:color w:val="auto"/>
                <w:szCs w:val="21"/>
                <w:highlight w:val="none"/>
              </w:rPr>
              <w:t xml:space="preserve">未提供的不得分。</w:t>
            </w:r>
            <w:r/>
          </w:p>
          <w:p>
            <w:pPr>
              <w:spacing w:line="348" w:lineRule="auto"/>
              <w:rPr>
                <w:rFonts w:hint="eastAsia" w:ascii="宋体" w:hAnsi="宋体" w:cs="Times New Roman"/>
                <w:color w:val="auto"/>
                <w:szCs w:val="21"/>
                <w:highlight w:val="none"/>
                <w:lang w:val="en-US" w:eastAsia="zh-CN"/>
              </w:rPr>
              <w:outlineLvl w:val="0"/>
            </w:pPr>
            <w:r>
              <w:rPr>
                <w:rFonts w:hint="eastAsia" w:ascii="宋体" w:hAnsi="宋体" w:cs="Times New Roman"/>
                <w:color w:val="auto"/>
                <w:szCs w:val="21"/>
                <w:highlight w:val="none"/>
                <w:lang w:val="en-US" w:eastAsia="zh-CN"/>
              </w:rPr>
              <w:t xml:space="preserve">3、人员配备</w:t>
            </w:r>
            <w:r>
              <w:rPr>
                <w:rFonts w:hint="eastAsia" w:ascii="宋体" w:hAnsi="宋体" w:eastAsia="宋体" w:cs="Times New Roman"/>
                <w:color w:val="auto"/>
                <w:szCs w:val="21"/>
                <w:highlight w:val="none"/>
              </w:rPr>
              <w:t xml:space="preserve">方案</w:t>
            </w:r>
            <w:r>
              <w:rPr>
                <w:rFonts w:hint="eastAsia" w:ascii="宋体" w:hAnsi="宋体" w:cs="Times New Roman"/>
                <w:color w:val="auto"/>
                <w:szCs w:val="21"/>
                <w:highlight w:val="none"/>
                <w:lang w:val="en-US" w:eastAsia="zh-CN"/>
              </w:rPr>
              <w:t xml:space="preserve">（满分3分）：投标人为本项目拟派的项目负责人具有生态环境类高级职称证书，得1分；其他团队成员中，每有一名具有生态环境类高级职称证书加1分，最多加2分；本项满分3分。</w:t>
            </w:r>
            <w:r/>
          </w:p>
          <w:p>
            <w:pPr>
              <w:spacing w:line="348" w:lineRule="auto"/>
              <w:rPr>
                <w:rFonts w:hint="eastAsia" w:ascii="宋体" w:hAnsi="宋体" w:cs="宋体"/>
                <w:b/>
                <w:color w:val="auto"/>
                <w:szCs w:val="21"/>
                <w:highlight w:val="none"/>
              </w:rPr>
              <w:outlineLvl w:val="0"/>
            </w:pPr>
            <w:r>
              <w:rPr>
                <w:rFonts w:hint="eastAsia" w:ascii="宋体" w:hAnsi="宋体" w:cs="Times New Roman"/>
                <w:b/>
                <w:bCs/>
                <w:color w:val="auto"/>
                <w:szCs w:val="21"/>
                <w:highlight w:val="none"/>
                <w:lang w:val="en-US" w:eastAsia="zh-CN"/>
              </w:rPr>
              <w:t xml:space="preserve">注：上述评分项应提供职称证书，并提供投标人为拟派人员缴纳的近一年中任意一份社保证明，原件扫描上传。</w:t>
            </w:r>
            <w:r/>
          </w:p>
        </w:tc>
      </w:tr>
      <w:tr>
        <w:trPr>
          <w:jc w:val="center"/>
          <w:trHeight w:val="290"/>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spacing w:line="348" w:lineRule="auto"/>
              <w:rPr>
                <w:rFonts w:hint="eastAsia" w:ascii="宋体" w:hAnsi="宋体" w:cs="宋体"/>
                <w:color w:val="auto"/>
                <w:szCs w:val="21"/>
                <w:highlight w:val="none"/>
              </w:rPr>
            </w:pPr>
            <w:r>
              <w:rPr>
                <w:rFonts w:hint="eastAsia" w:ascii="宋体" w:hAnsi="宋体" w:cs="宋体"/>
                <w:color w:val="auto"/>
                <w:szCs w:val="21"/>
                <w:highlight w:val="none"/>
              </w:rPr>
              <w:t xml:space="preserve">类似业绩</w:t>
            </w:r>
            <w:r/>
          </w:p>
          <w:p>
            <w:pPr>
              <w:jc w:val="center"/>
              <w:spacing w:line="348" w:lineRule="auto"/>
              <w:rPr>
                <w:rFonts w:hint="eastAsia" w:ascii="宋体" w:hAnsi="宋体"/>
                <w:color w:val="auto"/>
                <w:sz w:val="21"/>
                <w:szCs w:val="21"/>
                <w:highlight w:val="none"/>
                <w:lang w:val="en-US" w:eastAsia="zh-CN" w:bidi="ar-SA"/>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849" w:type="dxa"/>
            <w:vAlign w:val="center"/>
            <w:textDirection w:val="lrTb"/>
            <w:noWrap w:val="false"/>
          </w:tcPr>
          <w:p>
            <w:pPr>
              <w:spacing w:line="348" w:lineRule="auto"/>
              <w:rPr>
                <w:rFonts w:hint="eastAsia" w:ascii="宋体" w:hAnsi="宋体" w:cs="宋体"/>
                <w:b/>
                <w:color w:val="auto"/>
                <w:sz w:val="21"/>
                <w:szCs w:val="21"/>
                <w:highlight w:val="none"/>
                <w:lang w:val="en-US" w:eastAsia="zh-CN" w:bidi="ar-SA"/>
              </w:rPr>
            </w:pPr>
            <w:r>
              <w:rPr>
                <w:rFonts w:hint="eastAsia" w:ascii="宋体" w:hAnsi="宋体" w:cs="宋体"/>
                <w:color w:val="auto"/>
                <w:szCs w:val="21"/>
                <w:highlight w:val="none"/>
              </w:rPr>
              <w:t xml:space="preserve">投标人202</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年1月1日至今具有类似业绩，</w:t>
            </w:r>
            <w:r>
              <w:rPr>
                <w:rFonts w:hint="eastAsia" w:ascii="宋体" w:hAnsi="宋体" w:cs="宋体"/>
                <w:color w:val="auto"/>
                <w:szCs w:val="21"/>
                <w:highlight w:val="none"/>
                <w:lang w:val="en-US" w:eastAsia="zh-CN"/>
              </w:rPr>
              <w:t xml:space="preserve">满足三项，得1分，在此基础</w:t>
            </w:r>
            <w:r>
              <w:rPr>
                <w:rFonts w:hint="eastAsia" w:ascii="宋体" w:hAnsi="宋体" w:cs="宋体"/>
                <w:color w:val="auto"/>
                <w:szCs w:val="21"/>
                <w:highlight w:val="none"/>
              </w:rPr>
              <w:t xml:space="preserve">每</w:t>
            </w:r>
            <w:r>
              <w:rPr>
                <w:rFonts w:hint="eastAsia" w:ascii="宋体" w:hAnsi="宋体" w:cs="宋体"/>
                <w:color w:val="auto"/>
                <w:szCs w:val="21"/>
                <w:highlight w:val="none"/>
                <w:lang w:val="en-US" w:eastAsia="zh-CN"/>
              </w:rPr>
              <w:t xml:space="preserve">多三</w:t>
            </w:r>
            <w:r>
              <w:rPr>
                <w:rFonts w:hint="eastAsia" w:ascii="宋体" w:hAnsi="宋体" w:cs="宋体"/>
                <w:color w:val="auto"/>
                <w:szCs w:val="21"/>
                <w:highlight w:val="none"/>
              </w:rPr>
              <w:t xml:space="preserve">项</w:t>
            </w:r>
            <w:r>
              <w:rPr>
                <w:rFonts w:hint="eastAsia" w:ascii="宋体" w:hAnsi="宋体" w:cs="宋体"/>
                <w:color w:val="auto"/>
                <w:szCs w:val="21"/>
                <w:highlight w:val="none"/>
                <w:lang w:val="en-US" w:eastAsia="zh-CN"/>
              </w:rPr>
              <w:t xml:space="preserve">加</w:t>
            </w:r>
            <w:r>
              <w:rPr>
                <w:rFonts w:hint="eastAsia" w:ascii="宋体" w:hAnsi="宋体" w:cs="宋体"/>
                <w:color w:val="auto"/>
                <w:highlight w:val="none"/>
                <w:lang w:val="en-US" w:eastAsia="zh-CN"/>
              </w:rPr>
              <w:t xml:space="preserve">1</w:t>
            </w:r>
            <w:r>
              <w:rPr>
                <w:rFonts w:hint="eastAsia" w:ascii="宋体" w:hAnsi="宋体" w:cs="宋体"/>
                <w:color w:val="auto"/>
                <w:szCs w:val="21"/>
                <w:highlight w:val="none"/>
              </w:rPr>
              <w:t xml:space="preserve">分，</w:t>
            </w:r>
            <w:r>
              <w:rPr>
                <w:rFonts w:hint="eastAsia" w:ascii="宋体" w:hAnsi="宋体" w:cs="宋体"/>
                <w:color w:val="auto"/>
                <w:szCs w:val="21"/>
                <w:highlight w:val="none"/>
                <w:lang w:val="en-US" w:eastAsia="zh-CN"/>
              </w:rPr>
              <w:t xml:space="preserve">最多加2分，本项</w:t>
            </w:r>
            <w:r>
              <w:rPr>
                <w:rFonts w:hint="eastAsia" w:ascii="宋体" w:hAnsi="宋体" w:cs="宋体"/>
                <w:color w:val="auto"/>
                <w:szCs w:val="21"/>
                <w:highlight w:val="none"/>
              </w:rPr>
              <w:t xml:space="preserve">满分</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rPr>
                <w:rFonts w:hint="eastAsia" w:ascii="宋体" w:hAnsi="宋体" w:cs="宋体"/>
                <w:b/>
                <w:bCs/>
                <w:color w:val="auto"/>
                <w:szCs w:val="21"/>
                <w:highlight w:val="none"/>
              </w:rPr>
              <w:t xml:space="preserve">【以合同签订时间为准，</w:t>
            </w:r>
            <w:r>
              <w:rPr>
                <w:rFonts w:hint="eastAsia" w:ascii="宋体" w:hAnsi="宋体" w:cs="宋体"/>
                <w:b/>
                <w:bCs/>
                <w:color w:val="auto"/>
                <w:szCs w:val="21"/>
                <w:highlight w:val="none"/>
                <w:lang w:val="en-US" w:eastAsia="zh-CN"/>
              </w:rPr>
              <w:t xml:space="preserve">同时提供合同及中标通知书，原件</w:t>
            </w:r>
            <w:r>
              <w:rPr>
                <w:rFonts w:hint="eastAsia" w:ascii="宋体" w:hAnsi="宋体" w:cs="宋体"/>
                <w:b/>
                <w:bCs/>
                <w:color w:val="auto"/>
                <w:szCs w:val="21"/>
                <w:highlight w:val="none"/>
              </w:rPr>
              <w:t xml:space="preserve">系统上传，合同要素需包含签订时间、合同双方名称、产品名称以及合同总价，合同要素不完整的不视为有效合同</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一份有效合同附对应的中标通知书计取为一项有效业绩，</w:t>
            </w:r>
            <w:r>
              <w:rPr>
                <w:rFonts w:hint="eastAsia" w:ascii="宋体" w:hAnsi="宋体" w:eastAsia="宋体" w:cs="宋体"/>
                <w:b/>
                <w:bCs/>
                <w:color w:val="auto"/>
                <w:szCs w:val="21"/>
                <w:highlight w:val="none"/>
                <w:lang w:val="en-US" w:eastAsia="zh-CN"/>
              </w:rPr>
              <w:t xml:space="preserve">依法可以不进行招标的项目，可以提供业主单位或招标代理机构出具的有关中标文件代替中标通知书。</w:t>
            </w:r>
            <w:r>
              <w:rPr>
                <w:rFonts w:hint="eastAsia" w:ascii="宋体" w:hAnsi="宋体" w:cs="宋体"/>
                <w:b/>
                <w:bCs/>
                <w:color w:val="auto"/>
                <w:szCs w:val="21"/>
                <w:highlight w:val="none"/>
              </w:rPr>
              <w:t xml:space="preserve">】</w:t>
            </w:r>
            <w:r/>
          </w:p>
        </w:tc>
      </w:tr>
      <w:tr>
        <w:trPr>
          <w:jc w:val="center"/>
          <w:trHeight w:val="290"/>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spacing w:line="348"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售后服务</w:t>
            </w:r>
            <w:r/>
          </w:p>
          <w:p>
            <w:pPr>
              <w:jc w:val="center"/>
              <w:spacing w:line="348"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849" w:type="dxa"/>
            <w:vAlign w:val="center"/>
            <w:textDirection w:val="lrTb"/>
            <w:noWrap w:val="false"/>
          </w:tcPr>
          <w:p>
            <w:pPr>
              <w:jc w:val="left"/>
              <w:spacing w:line="360" w:lineRule="auto"/>
              <w:rPr>
                <w:rFonts w:hint="eastAsia" w:ascii="宋体" w:hAnsi="宋体" w:eastAsia="宋体" w:cs="宋体"/>
                <w:b/>
                <w:bCs/>
                <w:color w:val="auto"/>
                <w:szCs w:val="21"/>
                <w:highlight w:val="none"/>
                <w:lang w:val="en-US" w:eastAsia="zh-CN"/>
              </w:rPr>
            </w:pPr>
            <w:r>
              <w:rPr>
                <w:rFonts w:hint="eastAsia" w:hAnsi="宋体"/>
                <w:color w:val="auto"/>
                <w:sz w:val="21"/>
                <w:highlight w:val="none"/>
                <w:lang w:val="en-US" w:eastAsia="zh-CN"/>
              </w:rPr>
              <w:t xml:space="preserve">1、投标人对本项目提供的整体质保</w:t>
            </w:r>
            <w:r>
              <w:rPr>
                <w:rFonts w:hint="eastAsia" w:ascii="宋体" w:hAnsi="宋体" w:cs="宋体"/>
                <w:color w:val="auto"/>
                <w:szCs w:val="21"/>
                <w:highlight w:val="none"/>
                <w:lang w:val="en-US" w:eastAsia="zh-CN"/>
              </w:rPr>
              <w:t xml:space="preserve">（保修）</w:t>
            </w:r>
            <w:r>
              <w:rPr>
                <w:rFonts w:hint="eastAsia" w:hAnsi="宋体"/>
                <w:color w:val="auto"/>
                <w:sz w:val="21"/>
                <w:highlight w:val="none"/>
                <w:lang w:val="en-US" w:eastAsia="zh-CN"/>
              </w:rPr>
              <w:t xml:space="preserve">时间不得低于三年，质保费用均包含在投标报价内，</w:t>
            </w:r>
            <w:r>
              <w:rPr>
                <w:rFonts w:hint="eastAsia" w:ascii="宋体" w:hAnsi="宋体" w:cs="宋体"/>
                <w:color w:val="auto"/>
                <w:szCs w:val="21"/>
                <w:highlight w:val="none"/>
              </w:rPr>
              <w:t xml:space="preserve">在前述基础上</w:t>
            </w:r>
            <w:r>
              <w:rPr>
                <w:rFonts w:hint="eastAsia" w:ascii="宋体" w:hAnsi="宋体" w:cs="宋体"/>
                <w:color w:val="auto"/>
                <w:szCs w:val="21"/>
                <w:highlight w:val="none"/>
                <w:lang w:val="en-US" w:eastAsia="zh-CN"/>
              </w:rPr>
              <w:t xml:space="preserve">所有设备的免费质保（保修）期每延长</w:t>
            </w:r>
            <w:r>
              <w:rPr>
                <w:rFonts w:hint="eastAsia" w:ascii="宋体" w:hAnsi="宋体" w:cs="宋体"/>
                <w:color w:val="auto"/>
                <w:szCs w:val="21"/>
                <w:highlight w:val="none"/>
              </w:rPr>
              <w:t xml:space="preserve">一年，得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分，本项满分</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eastAsia="宋体" w:cs="宋体"/>
                <w:b/>
                <w:bCs/>
                <w:color w:val="auto"/>
                <w:szCs w:val="21"/>
                <w:highlight w:val="none"/>
                <w:lang w:val="en-US" w:eastAsia="zh-CN"/>
              </w:rPr>
              <w:t xml:space="preserve">（提供售后服务承诺书，格式自拟，系统上传，若投标文件中出现前后不一致的情况，以最低免费质保期作为评分依据。）</w:t>
            </w:r>
            <w:r/>
          </w:p>
          <w:p>
            <w:pPr>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2、在投标人承诺的免费质保（保修）期内，如所投产品中的任意产品需要维修，承诺维修期间提供同型号的备机供采购人使用，</w:t>
            </w:r>
            <w:r>
              <w:rPr>
                <w:rFonts w:hint="eastAsia" w:hAnsi="宋体"/>
                <w:color w:val="auto"/>
                <w:sz w:val="21"/>
                <w:highlight w:val="none"/>
                <w:lang w:val="en-US" w:eastAsia="zh-CN"/>
              </w:rPr>
              <w:t xml:space="preserve">所需费用包含在本次投标报价内，</w:t>
            </w:r>
            <w:r>
              <w:rPr>
                <w:rFonts w:hint="eastAsia" w:ascii="宋体" w:hAnsi="宋体" w:cs="宋体"/>
                <w:color w:val="auto"/>
                <w:szCs w:val="21"/>
                <w:highlight w:val="none"/>
                <w:lang w:val="en-US" w:eastAsia="zh-CN"/>
              </w:rPr>
              <w:t xml:space="preserve">得3分。</w:t>
            </w:r>
            <w:r>
              <w:rPr>
                <w:rFonts w:hint="eastAsia" w:ascii="宋体" w:hAnsi="宋体" w:eastAsia="宋体" w:cs="宋体"/>
                <w:b/>
                <w:bCs/>
                <w:color w:val="auto"/>
                <w:szCs w:val="21"/>
                <w:highlight w:val="none"/>
                <w:lang w:val="en-US" w:eastAsia="zh-CN"/>
              </w:rPr>
              <w:t xml:space="preserve">（提供承诺书，格式自拟，系统上传）</w:t>
            </w:r>
            <w:r/>
          </w:p>
          <w:p>
            <w:pPr>
              <w:numPr>
                <w:ilvl w:val="0"/>
                <w:numId w:val="0"/>
              </w:numPr>
              <w:spacing w:line="360" w:lineRule="auto"/>
              <w:rPr>
                <w:rFonts w:hint="eastAsia" w:ascii="宋体" w:hAnsi="宋体" w:cs="宋体"/>
                <w:b/>
                <w:bCs/>
                <w:color w:val="auto"/>
                <w:szCs w:val="21"/>
                <w:highlight w:val="none"/>
              </w:rPr>
            </w:pPr>
            <w:r>
              <w:rPr>
                <w:rFonts w:hint="eastAsia" w:hAnsi="宋体"/>
                <w:color w:val="auto"/>
                <w:sz w:val="21"/>
                <w:highlight w:val="none"/>
                <w:lang w:val="en-US" w:eastAsia="zh-CN"/>
              </w:rPr>
              <w:t xml:space="preserve">3、</w:t>
            </w:r>
            <w:r>
              <w:rPr>
                <w:rFonts w:hint="eastAsia" w:hAnsi="宋体"/>
                <w:color w:val="auto"/>
                <w:sz w:val="21"/>
                <w:highlight w:val="none"/>
                <w:lang w:eastAsia="zh-CN"/>
              </w:rPr>
              <w:t xml:space="preserve">免费质保（保修）期</w:t>
            </w:r>
            <w:r>
              <w:rPr>
                <w:rFonts w:hint="eastAsia" w:ascii="宋体" w:hAnsi="宋体" w:cs="宋体"/>
                <w:color w:val="auto"/>
                <w:szCs w:val="21"/>
                <w:highlight w:val="none"/>
                <w:lang w:val="en-US" w:eastAsia="zh-CN"/>
              </w:rPr>
              <w:t xml:space="preserve">满后，由厂家为本项目提供终生维修服务，如需更换零部件，只收取器件成本费，如果需要厂家工程师上门服务，每次仅收取差旅费和工程师食宿补助，未修复好不收费，对修复好的故障机器保修6个月，得3分。</w:t>
            </w:r>
            <w:r>
              <w:rPr>
                <w:rFonts w:hint="eastAsia" w:ascii="宋体" w:hAnsi="宋体" w:cs="宋体"/>
                <w:b/>
                <w:bCs/>
                <w:color w:val="auto"/>
                <w:szCs w:val="21"/>
                <w:highlight w:val="none"/>
                <w:lang w:val="en-US" w:eastAsia="zh-CN"/>
              </w:rPr>
              <w:t xml:space="preserve">（提供承诺书，扫描上传）</w:t>
            </w:r>
            <w:r/>
          </w:p>
        </w:tc>
      </w:tr>
    </w:tbl>
    <w:p>
      <w:pPr>
        <w:pStyle w:val="977"/>
        <w:ind w:firstLine="422"/>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422"/>
        <w:spacing w:line="360" w:lineRule="auto"/>
        <w:rPr>
          <w:rFonts w:hint="eastAsia" w:ascii="宋体" w:hAnsi="宋体" w:cs="宋体"/>
          <w:b/>
          <w:color w:val="auto"/>
          <w:szCs w:val="21"/>
          <w:highlight w:val="none"/>
        </w:rPr>
      </w:pPr>
      <w:r/>
      <w:bookmarkStart w:id="67" w:name="_Toc18779"/>
      <w:r>
        <w:rPr>
          <w:rFonts w:hint="eastAsia" w:ascii="宋体" w:hAnsi="宋体" w:cs="宋体"/>
          <w:b/>
          <w:color w:val="auto"/>
          <w:szCs w:val="21"/>
          <w:highlight w:val="none"/>
          <w:lang w:val="en-US" w:eastAsia="zh-CN"/>
        </w:rPr>
        <w:t xml:space="preserve">1</w:t>
      </w:r>
      <w:r>
        <w:rPr>
          <w:rFonts w:hint="eastAsia" w:ascii="宋体" w:hAnsi="宋体" w:cs="宋体"/>
          <w:b/>
          <w:color w:val="auto"/>
          <w:szCs w:val="21"/>
          <w:highlight w:val="none"/>
        </w:rPr>
        <w:t xml:space="preserve">异常低价投标审查</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1</w:t>
      </w:r>
      <w:r>
        <w:rPr>
          <w:rFonts w:hint="eastAsia" w:ascii="宋体" w:hAnsi="宋体" w:cs="宋体"/>
          <w:b/>
          <w:color w:val="auto"/>
          <w:szCs w:val="21"/>
          <w:highlight w:val="none"/>
        </w:rPr>
        <w:t xml:space="preserve">.1 评标过程中出现下列情形之一的，评标委员会应当启动异常低价投标审查程序：</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3.投标（响应）报价低于采购项目最高限价45%的，即投标（响应）报价&lt;采购项目最高限价×45%； </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4.评审委员会基于专业判断，认为供应商报价过低，有可能影响产品质量或者不能诚信履约的其他情形。 </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1</w:t>
      </w:r>
      <w:r>
        <w:rPr>
          <w:rFonts w:hint="eastAsia" w:ascii="宋体" w:hAnsi="宋体" w:cs="宋体"/>
          <w:b/>
          <w:color w:val="auto"/>
          <w:szCs w:val="21"/>
          <w:highlight w:val="none"/>
        </w:rPr>
        <w:t xml:space="preserve">.2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 </w:t>
      </w:r>
      <w:r/>
    </w:p>
    <w:p>
      <w:pPr>
        <w:rPr>
          <w:color w:val="auto"/>
          <w:highlight w:val="none"/>
        </w:rPr>
      </w:pPr>
      <w:r>
        <w:rPr>
          <w:rFonts w:hint="eastAsia" w:ascii="宋体" w:hAnsi="宋体" w:cs="宋体"/>
          <w:b/>
          <w:color w:val="auto"/>
          <w:szCs w:val="21"/>
          <w:highlight w:val="none"/>
          <w:lang w:val="en-US" w:eastAsia="zh-CN"/>
        </w:rPr>
        <w:t xml:space="preserve">1</w:t>
      </w:r>
      <w:r>
        <w:rPr>
          <w:rFonts w:hint="eastAsia" w:ascii="宋体" w:hAnsi="宋体" w:cs="宋体"/>
          <w:b/>
          <w:color w:val="auto"/>
          <w:szCs w:val="21"/>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auto"/>
          <w:highlight w:val="none"/>
        </w:rPr>
        <w:br w:type="page" w:clear="all"/>
      </w:r>
      <w:r/>
    </w:p>
    <w:p>
      <w:pPr>
        <w:pStyle w:val="732"/>
        <w:rPr>
          <w:color w:val="auto"/>
          <w:highlight w:val="none"/>
        </w:rPr>
      </w:pPr>
      <w:r>
        <w:rPr>
          <w:rFonts w:hint="eastAsia"/>
          <w:color w:val="auto"/>
          <w:highlight w:val="none"/>
        </w:rPr>
        <w:t xml:space="preserve">第六章 投标文件格式</w:t>
      </w:r>
      <w:bookmarkEnd w:id="67"/>
      <w:r>
        <w:rPr>
          <w:rFonts w:hint="eastAsia"/>
          <w:color w:val="auto"/>
          <w:highlight w:val="none"/>
        </w:rPr>
        <w:t xml:space="preserve"> </w:t>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pStyle w:val="747"/>
        <w:rPr>
          <w:rFonts w:hint="eastAsia" w:ascii="宋体" w:hAnsi="宋体" w:cs="宋体"/>
          <w:bCs/>
          <w:color w:val="auto"/>
          <w:sz w:val="44"/>
          <w:highlight w:val="none"/>
        </w:rPr>
      </w:pPr>
      <w:r>
        <w:rPr>
          <w:rFonts w:hint="eastAsia" w:ascii="宋体" w:hAnsi="宋体" w:cs="宋体"/>
          <w:bCs/>
          <w:color w:val="auto"/>
          <w:sz w:val="44"/>
          <w:highlight w:val="none"/>
        </w:rPr>
      </w:r>
      <w:r/>
    </w:p>
    <w:p>
      <w:pPr>
        <w:rPr>
          <w:color w:val="auto"/>
          <w:highlight w:val="none"/>
        </w:rPr>
      </w:pPr>
      <w:r>
        <w:rPr>
          <w:color w:val="auto"/>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p>
    <w:p>
      <w:pPr>
        <w:ind w:firstLine="1084"/>
        <w:rPr>
          <w:rFonts w:hint="eastAsia" w:ascii="宋体" w:hAnsi="宋体" w:cs="宋体"/>
          <w:b/>
          <w:color w:val="auto"/>
          <w:sz w:val="36"/>
          <w:highlight w:val="none"/>
          <w:u w:val="single"/>
        </w:rPr>
      </w:pPr>
      <w:r>
        <w:rPr>
          <w:rFonts w:hint="eastAsia" w:ascii="宋体" w:hAnsi="宋体" w:cs="宋体"/>
          <w:b/>
          <w:color w:val="auto"/>
          <w:sz w:val="36"/>
          <w:highlight w:val="none"/>
        </w:rPr>
        <w:t xml:space="preserve">招 标 编 号：</w:t>
      </w:r>
      <w:r/>
    </w:p>
    <w:p>
      <w:pPr>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投标人名称 ：</w:t>
      </w:r>
      <w:r/>
    </w:p>
    <w:p>
      <w:pPr>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日      期 ：</w:t>
      </w:r>
      <w:r/>
    </w:p>
    <w:p>
      <w:pPr>
        <w:ind w:firstLine="1084"/>
        <w:rPr>
          <w:rFonts w:hint="eastAsia" w:ascii="宋体" w:hAnsi="宋体" w:cs="宋体"/>
          <w:b/>
          <w:color w:val="auto"/>
          <w:sz w:val="36"/>
          <w:highlight w:val="none"/>
        </w:rPr>
      </w:pPr>
      <w:r>
        <w:rPr>
          <w:rFonts w:hint="eastAsia" w:ascii="宋体" w:hAnsi="宋体" w:cs="宋体"/>
          <w:b/>
          <w:color w:val="auto"/>
          <w:sz w:val="36"/>
          <w:highlight w:val="none"/>
        </w:rPr>
        <w:t xml:space="preserve">投  标  人：（电子签章）</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投标文件的组成</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spacing w:line="360" w:lineRule="auto"/>
        <w:rPr>
          <w:rFonts w:hint="default" w:ascii="宋体" w:hAnsi="宋体" w:cs="宋体"/>
          <w:color w:val="auto"/>
          <w:sz w:val="24"/>
          <w:highlight w:val="none"/>
          <w:lang w:val="en-US"/>
        </w:rPr>
      </w:pPr>
      <w:r>
        <w:rPr>
          <w:rFonts w:hint="eastAsia" w:ascii="宋体" w:hAnsi="宋体" w:cs="宋体"/>
          <w:color w:val="auto"/>
          <w:sz w:val="24"/>
          <w:highlight w:val="none"/>
        </w:rPr>
        <w:t xml:space="preserve">一、资格审查</w:t>
      </w:r>
      <w:r>
        <w:rPr>
          <w:rFonts w:hint="eastAsia" w:ascii="宋体" w:hAnsi="宋体" w:cs="宋体"/>
          <w:color w:val="auto"/>
          <w:sz w:val="24"/>
          <w:highlight w:val="none"/>
          <w:lang w:val="en-US" w:eastAsia="zh-CN"/>
        </w:rPr>
        <w:t xml:space="preserve">内容</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开标一览表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五、投标配置与分项报价表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、技术参数响应及偏离表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七、商务条款响应及偏离表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八、拟投入人员一览表</w:t>
      </w:r>
      <w:r/>
    </w:p>
    <w:p>
      <w:pPr>
        <w:ind w:firstLine="480"/>
        <w:spacing w:line="360" w:lineRule="auto"/>
        <w:rPr>
          <w:rFonts w:hint="eastAsia" w:ascii="宋体" w:hAnsi="宋体" w:cs="宋体"/>
          <w:color w:val="auto"/>
          <w:sz w:val="36"/>
          <w:szCs w:val="36"/>
          <w:highlight w:val="none"/>
        </w:rPr>
      </w:pPr>
      <w:r>
        <w:rPr>
          <w:rFonts w:hint="eastAsia" w:ascii="宋体" w:hAnsi="宋体" w:cs="宋体"/>
          <w:color w:val="auto"/>
          <w:sz w:val="24"/>
          <w:highlight w:val="none"/>
        </w:rPr>
        <w:t xml:space="preserve">九、其他 （投标人认为有必要提供的声明和文件，如有自拟并自行添加）</w:t>
      </w:r>
      <w:r/>
    </w:p>
    <w:p>
      <w:pPr>
        <w:contextualSpacing/>
        <w:jc w:val="center"/>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jc w:val="center"/>
        <w:spacing w:line="600" w:lineRule="exact"/>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jc w:val="center"/>
        <w:spacing w:line="600" w:lineRule="exact"/>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41"/>
        <w:jc w:val="center"/>
        <w:rPr>
          <w:rFonts w:hint="eastAsia" w:ascii="宋体" w:hAnsi="宋体" w:cs="宋体"/>
          <w:color w:val="auto"/>
          <w:highlight w:val="none"/>
        </w:rPr>
      </w:pPr>
      <w:r>
        <w:rPr>
          <w:rFonts w:hint="eastAsia" w:ascii="宋体" w:hAnsi="宋体" w:eastAsia="宋体" w:cs="宋体"/>
          <w:color w:val="auto"/>
          <w:sz w:val="32"/>
          <w:szCs w:val="32"/>
          <w:highlight w:val="none"/>
        </w:rPr>
        <w:br w:type="page" w:clear="all"/>
      </w:r>
      <w:bookmarkStart w:id="68" w:name="_Toc20369"/>
      <w:r/>
      <w:bookmarkStart w:id="69" w:name="_Toc5792"/>
      <w:r/>
      <w:bookmarkStart w:id="70" w:name="_Toc7268"/>
      <w:r>
        <w:rPr>
          <w:rFonts w:hint="eastAsia" w:ascii="宋体" w:hAnsi="宋体" w:eastAsia="宋体" w:cs="宋体"/>
          <w:color w:val="auto"/>
          <w:sz w:val="32"/>
          <w:highlight w:val="none"/>
        </w:rPr>
        <w:t xml:space="preserve">一、资格审查</w:t>
      </w:r>
      <w:bookmarkEnd w:id="68"/>
      <w:r/>
      <w:bookmarkEnd w:id="69"/>
      <w:r/>
      <w:bookmarkEnd w:id="70"/>
      <w:r>
        <w:rPr>
          <w:rFonts w:hint="eastAsia" w:ascii="宋体" w:hAnsi="宋体" w:eastAsia="宋体" w:cs="宋体"/>
          <w:color w:val="auto"/>
          <w:sz w:val="32"/>
          <w:highlight w:val="none"/>
        </w:rPr>
        <w:t xml:space="preserve">内容</w:t>
      </w:r>
      <w:r/>
    </w:p>
    <w:p>
      <w:pPr>
        <w:ind w:left="480"/>
        <w:spacing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w:t>
      </w:r>
      <w:r>
        <w:rPr>
          <w:rFonts w:hint="eastAsia" w:ascii="宋体" w:hAnsi="宋体"/>
          <w:color w:val="auto"/>
          <w:szCs w:val="21"/>
          <w:highlight w:val="none"/>
        </w:rPr>
        <w:t xml:space="preserve">法人或者其他组织的营业执照等证明文件，自然人的身份证明</w:t>
      </w:r>
      <w:r/>
    </w:p>
    <w:p>
      <w:pPr>
        <w:ind w:left="480"/>
        <w:spacing w:line="40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lang w:eastAsia="zh-CN"/>
        </w:rPr>
        <w:t xml:space="preserve">上一</w:t>
      </w:r>
      <w:r>
        <w:rPr>
          <w:rFonts w:hint="eastAsia" w:ascii="宋体" w:hAnsi="宋体"/>
          <w:color w:val="auto"/>
          <w:szCs w:val="21"/>
          <w:highlight w:val="none"/>
        </w:rPr>
        <w:t xml:space="preserve">年度的财务状况报告（成立不满一年无需提供）</w:t>
      </w:r>
      <w:r/>
    </w:p>
    <w:p>
      <w:pPr>
        <w:ind w:left="480"/>
        <w:spacing w:line="400" w:lineRule="exact"/>
        <w:rPr>
          <w:rFonts w:hint="eastAsia"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依法缴纳税收和社会保障资金的相关材料（提供提交投标文件截止时间</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前一年内至少一个月依法缴纳税收及缴纳社会保障资金的证明材料。投标人依法享受缓缴、免缴税收、社会保障资金的提供证明材料。）</w:t>
      </w:r>
      <w:r>
        <w:rPr>
          <w:rFonts w:hint="eastAsia" w:ascii="宋体" w:hAnsi="宋体" w:cs="宋体"/>
          <w:b w:val="0"/>
          <w:bCs w:val="0"/>
          <w:i w:val="0"/>
          <w:iCs w:val="0"/>
          <w:color w:val="auto"/>
          <w:szCs w:val="21"/>
          <w:highlight w:val="none"/>
          <w:u w:val="none"/>
        </w:rPr>
        <w:t xml:space="preserve">（新成立企业距投标截止日不足30日的，可不提供，以新办企业营业执照发放日期为准)</w:t>
      </w:r>
      <w:r/>
    </w:p>
    <w:p>
      <w:pPr>
        <w:numPr>
          <w:ilvl w:val="0"/>
          <w:numId w:val="4"/>
        </w:numPr>
        <w:ind w:left="480"/>
        <w:spacing w:line="400" w:lineRule="exact"/>
        <w:rPr>
          <w:rFonts w:hint="eastAsia" w:ascii="宋体" w:hAnsi="宋体"/>
          <w:color w:val="auto"/>
          <w:szCs w:val="21"/>
          <w:highlight w:val="none"/>
        </w:rPr>
      </w:pPr>
      <w:r>
        <w:rPr>
          <w:rFonts w:hint="eastAsia" w:ascii="宋体" w:hAnsi="宋体"/>
          <w:color w:val="auto"/>
          <w:szCs w:val="21"/>
          <w:highlight w:val="none"/>
        </w:rPr>
        <w:t xml:space="preserve">具备履行合同所必需的设备和专业技术能力的书面声明</w:t>
      </w:r>
      <w:r/>
    </w:p>
    <w:p>
      <w:pPr>
        <w:numPr>
          <w:ilvl w:val="0"/>
          <w:numId w:val="4"/>
        </w:numPr>
        <w:ind w:left="480"/>
        <w:spacing w:line="400" w:lineRule="exact"/>
        <w:rPr>
          <w:rFonts w:hint="eastAsia" w:ascii="宋体" w:hAnsi="宋体"/>
          <w:color w:val="auto"/>
          <w:szCs w:val="21"/>
          <w:highlight w:val="none"/>
        </w:rPr>
      </w:pPr>
      <w:r>
        <w:rPr>
          <w:rFonts w:hint="eastAsia" w:ascii="宋体" w:hAnsi="宋体"/>
          <w:color w:val="auto"/>
          <w:szCs w:val="21"/>
          <w:highlight w:val="none"/>
        </w:rPr>
        <w:t xml:space="preserve">参加政府采购活动前 3 年内在经营活动中没有重大违法记录的书面声</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明</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w:t>
      </w:r>
      <w:r>
        <w:rPr>
          <w:rFonts w:hint="eastAsia" w:ascii="宋体" w:hAnsi="宋体"/>
          <w:color w:val="auto"/>
          <w:szCs w:val="21"/>
          <w:highlight w:val="none"/>
        </w:rPr>
        <w:t xml:space="preserve">特定资格要求的证明文件（如果本项目对投标人做出特定资格要求的，必须提供）</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8.</w:t>
      </w:r>
      <w:r>
        <w:rPr>
          <w:rFonts w:hint="eastAsia" w:ascii="宋体" w:hAnsi="宋体"/>
          <w:color w:val="auto"/>
          <w:szCs w:val="21"/>
          <w:highlight w:val="none"/>
        </w:rPr>
        <w:t xml:space="preserve">法人授权书</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9.</w:t>
      </w:r>
      <w:r>
        <w:rPr>
          <w:rFonts w:hint="eastAsia" w:ascii="宋体" w:hAnsi="宋体"/>
          <w:color w:val="auto"/>
          <w:szCs w:val="21"/>
          <w:highlight w:val="none"/>
        </w:rPr>
        <w:t xml:space="preserve">投标函</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10.</w:t>
      </w:r>
      <w:r>
        <w:rPr>
          <w:rFonts w:hint="eastAsia" w:ascii="宋体" w:hAnsi="宋体"/>
          <w:color w:val="auto"/>
          <w:szCs w:val="21"/>
          <w:highlight w:val="none"/>
        </w:rPr>
        <w:t xml:space="preserve">中小微企业声明函（如果本项目</w:t>
      </w:r>
      <w:r>
        <w:rPr>
          <w:rFonts w:ascii="宋体" w:hAnsi="宋体"/>
          <w:color w:val="auto"/>
          <w:szCs w:val="21"/>
          <w:highlight w:val="none"/>
        </w:rPr>
        <w:t xml:space="preserve">专门面向中小微型企业采购，则必须提供</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1.</w:t>
      </w:r>
      <w:r>
        <w:rPr>
          <w:rFonts w:hint="eastAsia" w:ascii="宋体" w:hAnsi="宋体"/>
          <w:color w:val="auto"/>
          <w:szCs w:val="21"/>
          <w:highlight w:val="none"/>
        </w:rPr>
        <w:t xml:space="preserve">残疾人福利性单位声明函（如果本项目</w:t>
      </w:r>
      <w:r>
        <w:rPr>
          <w:rFonts w:ascii="宋体" w:hAnsi="宋体"/>
          <w:color w:val="auto"/>
          <w:szCs w:val="21"/>
          <w:highlight w:val="none"/>
        </w:rPr>
        <w:t xml:space="preserve">专门面向中小微型企业采购，</w:t>
      </w:r>
      <w:r>
        <w:rPr>
          <w:rFonts w:hint="eastAsia" w:ascii="宋体" w:hAnsi="宋体"/>
          <w:color w:val="auto"/>
          <w:szCs w:val="21"/>
          <w:highlight w:val="none"/>
        </w:rPr>
        <w:t xml:space="preserve">供应商为</w:t>
      </w:r>
      <w:r>
        <w:rPr>
          <w:rFonts w:ascii="宋体" w:hAnsi="宋体"/>
          <w:color w:val="auto"/>
          <w:szCs w:val="21"/>
          <w:highlight w:val="none"/>
        </w:rPr>
        <w:t xml:space="preserve">残疾人福利性单位并</w:t>
      </w:r>
      <w:r>
        <w:rPr>
          <w:rFonts w:hint="eastAsia" w:ascii="宋体" w:hAnsi="宋体"/>
          <w:color w:val="auto"/>
          <w:szCs w:val="21"/>
          <w:highlight w:val="none"/>
        </w:rPr>
        <w:t xml:space="preserve">提供本单位制造的货物，或者提供其他残疾人福利性单位制造的货物，</w:t>
      </w:r>
      <w:r>
        <w:rPr>
          <w:rFonts w:ascii="宋体" w:hAnsi="宋体"/>
          <w:color w:val="auto"/>
          <w:szCs w:val="21"/>
          <w:highlight w:val="none"/>
        </w:rPr>
        <w:t xml:space="preserve">则必须提供</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2</w:t>
      </w:r>
      <w:r>
        <w:rPr>
          <w:rFonts w:hint="eastAsia" w:ascii="宋体" w:hAnsi="宋体"/>
          <w:color w:val="auto"/>
          <w:szCs w:val="21"/>
          <w:highlight w:val="none"/>
        </w:rPr>
        <w:t xml:space="preserve">.联合体协议（如果本项目接受联合体</w:t>
      </w:r>
      <w:r>
        <w:rPr>
          <w:rFonts w:ascii="宋体" w:hAnsi="宋体"/>
          <w:color w:val="auto"/>
          <w:szCs w:val="21"/>
          <w:highlight w:val="none"/>
        </w:rPr>
        <w:t xml:space="preserve">参加投标，</w:t>
      </w:r>
      <w:r>
        <w:rPr>
          <w:rFonts w:hint="eastAsia" w:ascii="宋体" w:hAnsi="宋体"/>
          <w:color w:val="auto"/>
          <w:szCs w:val="21"/>
          <w:highlight w:val="none"/>
        </w:rPr>
        <w:t xml:space="preserve">投标人是联合体的，</w:t>
      </w:r>
      <w:r>
        <w:rPr>
          <w:rFonts w:ascii="宋体" w:hAnsi="宋体"/>
          <w:color w:val="auto"/>
          <w:szCs w:val="21"/>
          <w:highlight w:val="none"/>
        </w:rPr>
        <w:t xml:space="preserve">则必须提供</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13.单位负责人为同一人或者存在直接控股、管理关系的不同供应商（包含法定代表人为同一个人的两个及两个以上法人，母公司、全资子公司及其控股公司），不得参加同一合同项下的政府采购活动（提供承诺函）</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14.凡为采购项目提供整体设计、规范编制或者项目管理、监理、检测等服务的供应商，不得再参加本项目的采购活动（提供承诺函）</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总备注：上述“资格审查内容”中1-5条、</w:t>
      </w:r>
      <w:r>
        <w:rPr>
          <w:rFonts w:ascii="宋体" w:hAnsi="宋体"/>
          <w:color w:val="auto"/>
          <w:szCs w:val="21"/>
          <w:highlight w:val="none"/>
        </w:rPr>
        <w:t xml:space="preserve">8</w:t>
      </w:r>
      <w:r>
        <w:rPr>
          <w:rFonts w:hint="eastAsia" w:ascii="宋体" w:hAnsi="宋体"/>
          <w:color w:val="auto"/>
          <w:szCs w:val="21"/>
          <w:highlight w:val="none"/>
        </w:rPr>
        <w:t xml:space="preserve">、9、13、14条投标人必须在投标文件中提供相关材料，否则作无效投标处理；6、10、11、12条如招标文件要求必须提供相关材料而未提供的，作无效投标处理。</w:t>
      </w:r>
      <w:r/>
    </w:p>
    <w:p>
      <w:pPr>
        <w:widowControl/>
        <w:rPr>
          <w:rFonts w:hint="eastAsia" w:ascii="宋体" w:hAnsi="宋体" w:cs="宋体"/>
          <w:b/>
          <w:bCs/>
          <w:color w:val="auto"/>
          <w:sz w:val="32"/>
          <w:szCs w:val="44"/>
          <w:highlight w:val="none"/>
        </w:rPr>
      </w:pPr>
      <w:r>
        <w:rPr>
          <w:rFonts w:hint="eastAsia" w:ascii="宋体" w:hAnsi="宋体" w:cs="宋体"/>
          <w:b/>
          <w:bCs/>
          <w:color w:val="auto"/>
          <w:sz w:val="32"/>
          <w:szCs w:val="44"/>
          <w:highlight w:val="none"/>
        </w:rPr>
        <w:br w:type="page" w:clear="all"/>
      </w:r>
      <w:r/>
    </w:p>
    <w:p>
      <w:pPr>
        <w:ind w:firstLine="1476"/>
        <w:spacing w:before="156" w:after="156" w:line="360" w:lineRule="auto"/>
        <w:rPr>
          <w:rFonts w:hint="eastAsia" w:ascii="宋体" w:hAnsi="宋体" w:cs="宋体"/>
          <w:b/>
          <w:bCs/>
          <w:color w:val="auto"/>
          <w:highlight w:val="none"/>
        </w:rPr>
      </w:pPr>
      <w:r>
        <w:rPr>
          <w:rFonts w:hint="eastAsia" w:ascii="宋体" w:hAnsi="宋体" w:cs="宋体"/>
          <w:b/>
          <w:bCs/>
          <w:color w:val="auto"/>
          <w:highlight w:val="none"/>
        </w:rPr>
        <w:t xml:space="preserve">具备履行合同所必需的设备和专业技术能力的书面声明</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主要设备有：。</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ind w:firstLine="3360"/>
        <w:spacing w:line="360" w:lineRule="auto"/>
        <w:rPr>
          <w:rFonts w:hint="eastAsia" w:ascii="宋体" w:hAnsi="宋体" w:cs="宋体"/>
          <w:bCs/>
          <w:color w:val="auto"/>
          <w:highlight w:val="none"/>
        </w:rPr>
      </w:pPr>
      <w:r>
        <w:rPr>
          <w:rFonts w:hint="eastAsia" w:ascii="宋体" w:hAnsi="宋体" w:cs="宋体"/>
          <w:bCs/>
          <w:color w:val="auto"/>
          <w:highlight w:val="none"/>
        </w:rPr>
        <w:t xml:space="preserve">供应商名称（</w:t>
      </w:r>
      <w:r>
        <w:rPr>
          <w:rFonts w:hint="eastAsia" w:ascii="宋体" w:hAnsi="宋体" w:eastAsia="宋体" w:cs="宋体"/>
          <w:color w:val="auto"/>
          <w:sz w:val="21"/>
          <w:szCs w:val="21"/>
          <w:highlight w:val="none"/>
        </w:rPr>
        <w:t xml:space="preserve">加盖CA电子公章</w:t>
      </w:r>
      <w:r>
        <w:rPr>
          <w:rFonts w:hint="eastAsia" w:ascii="宋体" w:hAnsi="宋体" w:cs="宋体"/>
          <w:bCs/>
          <w:color w:val="auto"/>
          <w:highlight w:val="none"/>
        </w:rPr>
        <w:t xml:space="preserve">）：</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法定代表人签章：</w:t>
      </w:r>
      <w:r>
        <w:rPr>
          <w:rFonts w:hint="eastAsia" w:ascii="宋体" w:hAnsi="宋体" w:cs="宋体"/>
          <w:bCs/>
          <w:color w:val="auto"/>
          <w:highlight w:val="none"/>
          <w:u w:val="single"/>
        </w:rPr>
        <w:t xml:space="preserve">_______________________</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  年  月  日</w:t>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br w:type="page" w:clear="all"/>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after="312" w:line="360" w:lineRule="auto"/>
        <w:rPr>
          <w:rFonts w:hint="eastAsia" w:ascii="宋体" w:hAnsi="宋体" w:cs="宋体"/>
          <w:b/>
          <w:bCs/>
          <w:color w:val="auto"/>
          <w:highlight w:val="none"/>
        </w:rPr>
      </w:pPr>
      <w:r>
        <w:rPr>
          <w:rFonts w:hint="eastAsia" w:ascii="宋体" w:hAnsi="宋体" w:cs="宋体"/>
          <w:b/>
          <w:bCs/>
          <w:color w:val="auto"/>
          <w:highlight w:val="none"/>
        </w:rPr>
        <w:t xml:space="preserve">声  明</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pStyle w:val="745"/>
        <w:rPr>
          <w:rFonts w:hint="eastAsia" w:ascii="宋体" w:hAnsi="宋体" w:cs="宋体"/>
          <w:bCs/>
          <w:color w:val="auto"/>
          <w:highlight w:val="none"/>
        </w:rPr>
      </w:pPr>
      <w:r>
        <w:rPr>
          <w:rFonts w:hint="eastAsia" w:ascii="宋体" w:hAnsi="宋体" w:cs="宋体"/>
          <w:bCs/>
          <w:color w:val="auto"/>
          <w:highlight w:val="none"/>
        </w:rPr>
        <w:t xml:space="preserve">                               供应商名称（</w:t>
      </w:r>
      <w:r>
        <w:rPr>
          <w:rFonts w:hint="eastAsia" w:ascii="宋体" w:hAnsi="宋体" w:eastAsia="宋体" w:cs="宋体"/>
          <w:color w:val="auto"/>
          <w:sz w:val="21"/>
          <w:szCs w:val="21"/>
          <w:highlight w:val="none"/>
        </w:rPr>
        <w:t xml:space="preserve">加盖CA电子公章</w:t>
      </w:r>
      <w:r>
        <w:rPr>
          <w:rFonts w:hint="eastAsia" w:ascii="宋体" w:hAnsi="宋体" w:cs="宋体"/>
          <w:bCs/>
          <w:color w:val="auto"/>
          <w:highlight w:val="none"/>
        </w:rPr>
        <w:t xml:space="preserve">）：</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法定代表人签章：</w:t>
      </w:r>
      <w:r>
        <w:rPr>
          <w:rFonts w:hint="eastAsia" w:ascii="宋体" w:hAnsi="宋体" w:cs="宋体"/>
          <w:bCs/>
          <w:color w:val="auto"/>
          <w:highlight w:val="none"/>
          <w:u w:val="single"/>
        </w:rPr>
        <w:t xml:space="preserve">_______________________</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  年  月  日</w:t>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500" w:lineRule="exact"/>
        <w:rPr>
          <w:rFonts w:hint="eastAsia" w:ascii="宋体" w:hAnsi="宋体" w:cs="宋体"/>
          <w:b/>
          <w:color w:val="auto"/>
          <w:szCs w:val="21"/>
          <w:highlight w:val="none"/>
        </w:rPr>
      </w:pPr>
      <w:r>
        <w:rPr>
          <w:rFonts w:hint="eastAsia" w:ascii="宋体" w:hAnsi="宋体" w:cs="宋体"/>
          <w:b/>
          <w:bCs/>
          <w:color w:val="auto"/>
          <w:highlight w:val="none"/>
        </w:rPr>
        <w:br w:type="page" w:clear="all"/>
      </w:r>
      <w:r>
        <w:rPr>
          <w:rFonts w:hint="eastAsia" w:ascii="宋体" w:hAnsi="宋体" w:cs="宋体"/>
          <w:b/>
          <w:color w:val="auto"/>
          <w:szCs w:val="21"/>
          <w:highlight w:val="none"/>
        </w:rPr>
        <w:t xml:space="preserve">供应商信用承诺书</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承诺单位（加盖CA电子公章）：</w:t>
      </w:r>
      <w:r>
        <w:rPr>
          <w:rFonts w:hint="eastAsia" w:ascii="宋体" w:hAnsi="宋体" w:cs="宋体"/>
          <w:color w:val="auto"/>
          <w:szCs w:val="21"/>
          <w:highlight w:val="none"/>
        </w:rPr>
        <w:t xml:space="preserve">：           </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p>
    <w:p>
      <w:pPr>
        <w:jc w:val="center"/>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投标函格式</w:t>
      </w:r>
      <w:r/>
    </w:p>
    <w:p>
      <w:pPr>
        <w:pStyle w:val="977"/>
        <w:ind w:firstLine="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highlight w:val="none"/>
        </w:rPr>
        <w:t xml:space="preserve">江苏苏维工程管理有限公司</w:t>
      </w:r>
      <w:r/>
    </w:p>
    <w:p>
      <w:pPr>
        <w:pStyle w:val="97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7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据此函，__________签字人（姓名）兹宣布同意如下：</w:t>
      </w:r>
      <w:r/>
    </w:p>
    <w:p>
      <w:pPr>
        <w:pStyle w:val="97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1.按招标文件规定的各项要求，向买方提供所需货物与服务。</w:t>
      </w:r>
      <w:r/>
    </w:p>
    <w:p>
      <w:pPr>
        <w:pStyle w:val="97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2.我们完全理解贵方不一定将合同授予最低报价的投标人。</w:t>
      </w:r>
      <w:r/>
    </w:p>
    <w:p>
      <w:pPr>
        <w:pStyle w:val="97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3.我们已详细审核全部招标文件及其有效补充文件，我们知道必须放弃提出含糊不清或误解问题的权利。</w:t>
      </w:r>
      <w:r/>
    </w:p>
    <w:p>
      <w:pPr>
        <w:pStyle w:val="977"/>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4.我们同意从规定的开标日期起遵循本投标文件，并在规定的投标有效期期满之前均具有约束力。</w:t>
      </w:r>
      <w:r/>
    </w:p>
    <w:p>
      <w:pPr>
        <w:pStyle w:val="977"/>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77"/>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77"/>
        <w:ind w:left="425" w:firstLine="105"/>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7.与本投标有关的正式通讯地址为：</w:t>
      </w:r>
      <w:r/>
    </w:p>
    <w:p>
      <w:pPr>
        <w:pStyle w:val="977"/>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w:t>
      </w:r>
      <w:r/>
    </w:p>
    <w:p>
      <w:pPr>
        <w:pStyle w:val="977"/>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邮 编：</w:t>
      </w:r>
      <w:r/>
    </w:p>
    <w:p>
      <w:pPr>
        <w:pStyle w:val="977"/>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w:t>
      </w:r>
      <w:r/>
    </w:p>
    <w:p>
      <w:pPr>
        <w:pStyle w:val="977"/>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传 真： </w:t>
      </w:r>
      <w:r/>
    </w:p>
    <w:p>
      <w:pPr>
        <w:pStyle w:val="977"/>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投标人开户行：</w:t>
      </w:r>
      <w:r/>
    </w:p>
    <w:p>
      <w:pPr>
        <w:pStyle w:val="977"/>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账 户： </w:t>
      </w:r>
      <w:r/>
    </w:p>
    <w:p>
      <w:pPr>
        <w:pStyle w:val="977"/>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行 号：</w:t>
      </w:r>
      <w:r/>
    </w:p>
    <w:p>
      <w:pPr>
        <w:pStyle w:val="977"/>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contextualSpacing/>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color w:val="auto"/>
          <w:szCs w:val="21"/>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Cs w:val="21"/>
          <w:highlight w:val="none"/>
        </w:rPr>
        <w:t xml:space="preserve">法人授权书</w:t>
      </w:r>
      <w:r/>
    </w:p>
    <w:p>
      <w:pPr>
        <w:pStyle w:val="9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本授权书声明：________________（投标人名称）授权________________（被授权人的姓名）为我方就（项目编号）（项目名称）项目采购活动的合法代理人，以本公司名义全权处理一切与该项目采购有关的事务。</w:t>
      </w:r>
      <w:r/>
    </w:p>
    <w:p>
      <w:pPr>
        <w:pStyle w:val="9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978"/>
        <w:ind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 </w:t>
      </w:r>
      <w:r/>
    </w:p>
    <w:p>
      <w:pPr>
        <w:pStyle w:val="978"/>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p>
    <w:p>
      <w:pPr>
        <w:pStyle w:val="9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单位名称： </w:t>
      </w:r>
      <w:r/>
    </w:p>
    <w:p>
      <w:pPr>
        <w:pStyle w:val="978"/>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p>
    <w:p>
      <w:pPr>
        <w:pStyle w:val="9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spacing w:line="460" w:lineRule="exact"/>
        <w:rPr>
          <w:rFonts w:hint="eastAsia" w:ascii="宋体" w:hAnsi="宋体" w:cs="宋体"/>
          <w:bCs/>
          <w:color w:val="auto"/>
          <w:highlight w:val="none"/>
        </w:rPr>
      </w:pPr>
      <w:r>
        <w:rPr>
          <w:rFonts w:hint="eastAsia" w:ascii="宋体" w:hAnsi="宋体" w:cs="宋体"/>
          <w:bCs/>
          <w:color w:val="auto"/>
          <w:highlight w:val="none"/>
        </w:rPr>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20"/>
        <w:spacing w:line="460" w:lineRule="exact"/>
        <w:rPr>
          <w:rFonts w:hint="eastAsia" w:ascii="宋体" w:hAnsi="宋体" w:cs="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color w:val="auto"/>
          <w:highlight w:val="none"/>
        </w:rPr>
        <w:t xml:space="preserve">法定代表人身份证复印件、被授权人身份证复印件</w:t>
      </w:r>
      <w:r/>
    </w:p>
    <w:p>
      <w:pPr>
        <w:pStyle w:val="941"/>
        <w:rPr>
          <w:rFonts w:hint="eastAsia" w:ascii="宋体" w:hAnsi="宋体" w:eastAsia="宋体" w:cs="宋体"/>
          <w:color w:val="auto"/>
          <w:sz w:val="32"/>
          <w:highlight w:val="none"/>
        </w:rPr>
      </w:pPr>
      <w:r/>
      <w:bookmarkStart w:id="71" w:name="_Toc16911"/>
      <w:r/>
      <w:bookmarkStart w:id="72" w:name="_Toc20616"/>
      <w:r/>
      <w:bookmarkStart w:id="73" w:name="_Toc9345"/>
      <w:r>
        <w:rPr>
          <w:rFonts w:hint="eastAsia" w:ascii="宋体" w:hAnsi="宋体" w:eastAsia="宋体" w:cs="宋体"/>
          <w:color w:val="auto"/>
          <w:sz w:val="32"/>
          <w:highlight w:val="none"/>
        </w:rPr>
        <w:t xml:space="preserve">二、符合性审查响应对照表</w:t>
      </w:r>
      <w:bookmarkEnd w:id="71"/>
      <w:r/>
      <w:bookmarkEnd w:id="72"/>
      <w:r/>
      <w:bookmarkEnd w:id="73"/>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74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924"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720"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2"/>
        </w:trPr>
        <w:tc>
          <w:tcPr>
            <w:tcW w:w="355"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W w:w="2999" w:type="pct"/>
            <w:vAlign w:val="center"/>
            <w:textDirection w:val="lrTb"/>
            <w:noWrap w:val="false"/>
          </w:tcPr>
          <w:p>
            <w:pPr>
              <w:spacing w:line="0" w:lineRule="atLeast"/>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采购需求中必须满足的实质性要求（即加斜体下划线内容，每条详细列出）</w:t>
            </w:r>
            <w:r/>
          </w:p>
        </w:tc>
        <w:tc>
          <w:tcPr>
            <w:tcW w:w="924"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c>
          <w:tcPr>
            <w:tcW w:w="720"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2"/>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2"/>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2"/>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2"/>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附件：证明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1，证明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p>
    <w:p>
      <w:pPr>
        <w:contextualSpacing/>
        <w:spacing w:line="6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注：</w:t>
      </w:r>
      <w:r>
        <w:rPr>
          <w:rFonts w:hint="eastAsia" w:ascii="宋体" w:hAnsi="宋体" w:cs="宋体"/>
          <w:b/>
          <w:bCs/>
          <w:color w:val="auto"/>
          <w:sz w:val="21"/>
          <w:szCs w:val="21"/>
          <w:highlight w:val="none"/>
        </w:rPr>
        <w:t xml:space="preserve">投标人必须对招标文件（含技术要求和商务要求）中斜体且有下划线部分条款的实质性要求逐条做出响应，并按照招标文件要求提供证明材料，否则做无效投标处理。</w:t>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941"/>
        <w:rPr>
          <w:rFonts w:hint="eastAsia" w:ascii="宋体" w:hAnsi="宋体" w:eastAsia="宋体" w:cs="宋体"/>
          <w:color w:val="auto"/>
          <w:sz w:val="32"/>
          <w:highlight w:val="none"/>
        </w:rPr>
      </w:pPr>
      <w:r/>
      <w:bookmarkStart w:id="74" w:name="_Toc23068"/>
      <w:r/>
      <w:bookmarkStart w:id="75" w:name="_Toc29406"/>
      <w:r/>
      <w:bookmarkStart w:id="76" w:name="_Toc23420"/>
      <w:r>
        <w:rPr>
          <w:rFonts w:hint="eastAsia" w:ascii="宋体" w:hAnsi="宋体" w:eastAsia="宋体" w:cs="宋体"/>
          <w:color w:val="auto"/>
          <w:sz w:val="32"/>
          <w:highlight w:val="none"/>
        </w:rPr>
        <w:t xml:space="preserve">三、非实质性响应对照表</w:t>
      </w:r>
      <w:bookmarkEnd w:id="74"/>
      <w:r/>
      <w:bookmarkEnd w:id="75"/>
      <w:r/>
      <w:bookmarkEnd w:id="76"/>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74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924"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720"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643"/>
        </w:trPr>
        <w:tc>
          <w:tcPr>
            <w:tcW w:w="355"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t xml:space="preserve">《中小企业声明函》</w:t>
            </w:r>
            <w:r/>
          </w:p>
        </w:tc>
        <w:tc>
          <w:tcPr>
            <w:tcW w:w="924"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c>
          <w:tcPr>
            <w:tcW w:w="720"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643"/>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43"/>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999" w:type="pct"/>
            <w:vAlign w:val="center"/>
            <w:textDirection w:val="lrTb"/>
            <w:noWrap w:val="false"/>
          </w:tcPr>
          <w:p>
            <w:pPr>
              <w:pStyle w:val="745"/>
              <w:rPr>
                <w:color w:val="auto"/>
                <w:highlight w:val="none"/>
              </w:rPr>
            </w:pPr>
            <w:r>
              <w:rPr>
                <w:rFonts w:hint="eastAsia" w:ascii="宋体" w:hAnsi="宋体" w:cs="宋体"/>
                <w:iCs/>
                <w:color w:val="auto"/>
                <w:szCs w:val="21"/>
                <w:highlight w:val="none"/>
                <w:lang w:eastAsia="zh-CN"/>
              </w:rPr>
              <w:t xml:space="preserve">《关于符合本国产品标准的声明函》</w:t>
            </w:r>
            <w:r/>
          </w:p>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312" w:after="312"/>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中小企业声明函（货物）</w:t>
      </w:r>
      <w:r/>
    </w:p>
    <w:p>
      <w:pPr>
        <w:ind w:firstLine="42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采购活动，提供的货物全部由符合政策要求的中小企业制造。相关企业（含联合体中的中小企业、签订分包意向协议的中小企业）的具体情况如下：</w:t>
      </w:r>
      <w:r/>
    </w:p>
    <w:p>
      <w:pPr>
        <w:pStyle w:val="745"/>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eastAsia="zh-CN"/>
        </w:rPr>
        <w:t xml:space="preserve">工业</w:t>
      </w:r>
      <w:r>
        <w:rPr>
          <w:rFonts w:hint="eastAsia" w:ascii="宋体" w:hAnsi="宋体" w:cs="宋体"/>
          <w:color w:val="auto"/>
          <w:szCs w:val="21"/>
          <w:highlight w:val="none"/>
          <w:u w:val="single"/>
        </w:rPr>
        <w:t xml:space="preserve">）行业（不得对行业类别修改）</w:t>
      </w:r>
      <w:r>
        <w:rPr>
          <w:rFonts w:hint="eastAsia" w:ascii="宋体" w:hAnsi="宋体" w:cs="宋体"/>
          <w:color w:val="auto"/>
          <w:szCs w:val="21"/>
          <w:highlight w:val="none"/>
        </w:rPr>
        <w:t xml:space="preserve">；制造商为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color w:val="auto"/>
          <w:highlight w:val="none"/>
        </w:rPr>
        <w:fldChar w:fldCharType="begin"/>
      </w:r>
      <w:r>
        <w:rPr>
          <w:color w:val="auto"/>
          <w:highlight w:val="none"/>
        </w:rPr>
        <w:instrText xml:space="preserve"> HYPERLINK \l "br1" \o "#br1" </w:instrText>
      </w:r>
      <w:r>
        <w:rPr>
          <w:color w:val="auto"/>
          <w:highlight w:val="none"/>
        </w:rPr>
        <w:fldChar w:fldCharType="separate"/>
      </w:r>
      <w:r>
        <w:rPr>
          <w:rFonts w:hint="eastAsia" w:ascii="宋体" w:hAnsi="宋体" w:cs="宋体"/>
          <w:color w:val="auto"/>
          <w:spacing w:val="-1"/>
          <w:szCs w:val="21"/>
          <w:highlight w:val="none"/>
          <w:vertAlign w:val="superscript"/>
        </w:rPr>
        <w:t xml:space="preserve">1</w:t>
      </w:r>
      <w:r>
        <w:rPr>
          <w:rFonts w:hint="eastAsia" w:ascii="宋体" w:hAnsi="宋体" w:cs="宋体"/>
          <w:color w:val="auto"/>
          <w:spacing w:val="-1"/>
          <w:szCs w:val="21"/>
          <w:highlight w:val="none"/>
          <w:vertAlign w:val="superscript"/>
        </w:rPr>
        <w:fldChar w:fldCharType="end"/>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 □小型企业 □微型企业）；</w:t>
      </w:r>
      <w:r/>
    </w:p>
    <w:p>
      <w:pPr>
        <w:ind w:firstLine="420"/>
        <w:jc w:val="left"/>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2.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eastAsia="zh-CN"/>
        </w:rPr>
        <w:t xml:space="preserve">工业</w:t>
      </w:r>
      <w:r>
        <w:rPr>
          <w:rFonts w:hint="eastAsia" w:ascii="宋体" w:hAnsi="宋体" w:cs="宋体"/>
          <w:color w:val="auto"/>
          <w:szCs w:val="21"/>
          <w:highlight w:val="none"/>
          <w:u w:val="single"/>
        </w:rPr>
        <w:t xml:space="preserve">）行业（不得对行业类别修改）；</w:t>
      </w:r>
      <w:r>
        <w:rPr>
          <w:rFonts w:hint="eastAsia" w:ascii="宋体" w:hAnsi="宋体" w:cs="宋体"/>
          <w:color w:val="auto"/>
          <w:szCs w:val="21"/>
          <w:highlight w:val="none"/>
        </w:rPr>
        <w:t xml:space="preserve">制造商为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（□中型企业 □小型企业 □微型企业）；</w:t>
      </w:r>
      <w:r/>
    </w:p>
    <w:p>
      <w:pPr>
        <w:ind w:firstLine="42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p>
    <w:p>
      <w:pPr>
        <w:ind w:firstLine="42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firstLine="42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525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企业名称（盖章）：</w:t>
      </w:r>
      <w:r/>
    </w:p>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rPr>
          <w:rStyle w:val="967"/>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p>
      <w:pPr>
        <w:ind w:firstLine="42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1.从业人员、营业收入、资产总额填报上一年度数据，无上一年度数据的新成立企业可不填报。</w:t>
      </w:r>
      <w:r/>
    </w:p>
    <w:p>
      <w:pPr>
        <w:ind w:firstLine="42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2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3.供应商应对照《工业和信息化部、国家统计局、国家发展和改革委员会、</w:t>
      </w:r>
      <w:r/>
    </w:p>
    <w:p>
      <w:pPr>
        <w:ind w:firstLine="420"/>
        <w:jc w:val="left"/>
        <w:spacing w:line="400" w:lineRule="exact"/>
        <w:rPr>
          <w:rFonts w:hint="eastAsia" w:ascii="宋体" w:hAnsi="宋体" w:cs="宋体"/>
          <w:color w:val="auto"/>
          <w:highlight w:val="none"/>
        </w:rPr>
      </w:pPr>
      <w:r>
        <w:rPr>
          <w:rFonts w:hint="eastAsia" w:ascii="宋体" w:hAnsi="宋体" w:cs="宋体"/>
          <w:color w:val="auto"/>
          <w:szCs w:val="21"/>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color w:val="auto"/>
          <w:sz w:val="24"/>
          <w:szCs w:val="24"/>
          <w:highlight w:val="none"/>
        </w:rPr>
        <w:t xml:space="preserve">     </w:t>
      </w:r>
      <w:r>
        <w:rPr>
          <w:rStyle w:val="967"/>
          <w:rFonts w:hint="eastAsia" w:ascii="宋体" w:hAnsi="宋体" w:cs="宋体"/>
          <w:b w:val="0"/>
          <w:color w:val="auto"/>
          <w:szCs w:val="21"/>
          <w:highlight w:val="none"/>
        </w:rPr>
        <w:br w:type="page" w:clear="all"/>
      </w:r>
      <w:r/>
    </w:p>
    <w:p>
      <w:pPr>
        <w:ind w:firstLine="2726"/>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残疾人福利性单位声明函</w:t>
      </w:r>
      <w:r/>
    </w:p>
    <w:p>
      <w:pPr>
        <w:ind w:firstLine="624"/>
        <w:spacing w:line="588" w:lineRule="exact"/>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 xml:space="preserve">单位的采购文件编号为</w:t>
      </w:r>
      <w:r>
        <w:rPr>
          <w:rFonts w:hint="eastAsia" w:ascii="宋体" w:hAnsi="宋体"/>
          <w:color w:val="auto"/>
          <w:sz w:val="24"/>
          <w:szCs w:val="21"/>
          <w:highlight w:val="none"/>
          <w:u w:val="single"/>
          <w:lang w:eastAsia="zh-CN"/>
        </w:rPr>
        <w:t xml:space="preserve">JSZC-321000-SWGC-G2026-0125</w:t>
      </w:r>
      <w:r>
        <w:rPr>
          <w:rFonts w:hint="eastAsia" w:ascii="宋体" w:hAnsi="宋体"/>
          <w:color w:val="auto"/>
          <w:sz w:val="24"/>
          <w:szCs w:val="21"/>
          <w:highlight w:val="none"/>
          <w:u w:val="single"/>
        </w:rPr>
        <w:tab/>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 xml:space="preserve">的</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 xml:space="preserve">  项目（采购包号：**）采购活动提供本单位制造的货物，或者提供其他残疾人福利性单位制造的货物（不包括使用非残疾人福利性单位注册商标的货物）。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本单位对上述声明的真实性负责。如有虚假，将依法承担相应责任。</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备注：</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w:t>
      </w:r>
      <w:r>
        <w:rPr>
          <w:rFonts w:ascii="宋体" w:hAnsi="宋体"/>
          <w:color w:val="auto"/>
          <w:sz w:val="24"/>
          <w:szCs w:val="21"/>
          <w:highlight w:val="none"/>
        </w:rPr>
        <w:t xml:space="preserve">.</w:t>
      </w:r>
      <w:r>
        <w:rPr>
          <w:rFonts w:hint="eastAsia" w:ascii="宋体" w:hAnsi="宋体"/>
          <w:color w:val="auto"/>
          <w:sz w:val="24"/>
          <w:szCs w:val="21"/>
          <w:highlight w:val="none"/>
        </w:rPr>
        <w:t xml:space="preserve">专门面向中小微型企业采购的</w:t>
      </w:r>
      <w:r>
        <w:rPr>
          <w:rFonts w:ascii="宋体" w:hAnsi="宋体"/>
          <w:color w:val="auto"/>
          <w:sz w:val="24"/>
          <w:szCs w:val="21"/>
          <w:highlight w:val="none"/>
        </w:rPr>
        <w:t xml:space="preserve">项目</w:t>
      </w:r>
      <w:r>
        <w:rPr>
          <w:rFonts w:hint="eastAsia" w:ascii="宋体" w:hAnsi="宋体"/>
          <w:color w:val="auto"/>
          <w:sz w:val="24"/>
          <w:szCs w:val="21"/>
          <w:highlight w:val="none"/>
        </w:rPr>
        <w:t xml:space="preserve">，供应商为残疾人福利性单位并提供本单位制造的货物，或者提供其他残疾人福利性单位制造的货物，必须提供此</w:t>
      </w:r>
      <w:r>
        <w:rPr>
          <w:rFonts w:ascii="宋体" w:hAnsi="宋体"/>
          <w:color w:val="auto"/>
          <w:sz w:val="24"/>
          <w:szCs w:val="21"/>
          <w:highlight w:val="none"/>
        </w:rPr>
        <w:t xml:space="preserve">声明函</w:t>
      </w:r>
      <w:r>
        <w:rPr>
          <w:rFonts w:hint="eastAsia" w:ascii="宋体" w:hAnsi="宋体"/>
          <w:color w:val="auto"/>
          <w:sz w:val="24"/>
          <w:szCs w:val="21"/>
          <w:highlight w:val="none"/>
        </w:rPr>
        <w:t xml:space="preserve">，</w:t>
      </w:r>
      <w:r>
        <w:rPr>
          <w:rFonts w:ascii="宋体" w:hAnsi="宋体"/>
          <w:color w:val="auto"/>
          <w:sz w:val="24"/>
          <w:szCs w:val="21"/>
          <w:highlight w:val="none"/>
        </w:rPr>
        <w:t xml:space="preserve">否则将</w:t>
      </w:r>
      <w:r>
        <w:rPr>
          <w:rFonts w:hint="eastAsia" w:ascii="宋体" w:hAnsi="宋体"/>
          <w:color w:val="auto"/>
          <w:sz w:val="24"/>
          <w:szCs w:val="21"/>
          <w:highlight w:val="none"/>
        </w:rPr>
        <w:t xml:space="preserve">不能</w:t>
      </w:r>
      <w:r>
        <w:rPr>
          <w:rFonts w:ascii="宋体" w:hAnsi="宋体"/>
          <w:color w:val="auto"/>
          <w:sz w:val="24"/>
          <w:szCs w:val="21"/>
          <w:highlight w:val="none"/>
        </w:rPr>
        <w:t xml:space="preserve">通过资格审查</w:t>
      </w:r>
      <w:r>
        <w:rPr>
          <w:rFonts w:hint="eastAsia" w:ascii="宋体" w:hAnsi="宋体"/>
          <w:color w:val="auto"/>
          <w:sz w:val="24"/>
          <w:szCs w:val="21"/>
          <w:highlight w:val="none"/>
        </w:rPr>
        <w:t xml:space="preserve">。</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 非专门面向中小微型企业采购的</w:t>
      </w:r>
      <w:r>
        <w:rPr>
          <w:rFonts w:ascii="宋体" w:hAnsi="宋体"/>
          <w:color w:val="auto"/>
          <w:sz w:val="24"/>
          <w:szCs w:val="21"/>
          <w:highlight w:val="none"/>
        </w:rPr>
        <w:t xml:space="preserve">项目</w:t>
      </w:r>
      <w:r>
        <w:rPr>
          <w:rFonts w:hint="eastAsia" w:ascii="宋体" w:hAnsi="宋体"/>
          <w:color w:val="auto"/>
          <w:sz w:val="24"/>
          <w:szCs w:val="21"/>
          <w:highlight w:val="none"/>
        </w:rPr>
        <w:t xml:space="preserve">，供应商如不提供此声明函，价格将不做相应扣除。</w:t>
      </w:r>
      <w:r/>
    </w:p>
    <w:p>
      <w:pPr>
        <w:ind w:firstLine="480"/>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.中标/成交供应商为残疾人福利性单位的，此声明函将随中标/成交结果同时公告，接受社会监督。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59" w:firstLine="624"/>
        <w:jc w:val="center"/>
        <w:spacing w:line="400" w:lineRule="exact"/>
        <w:tabs>
          <w:tab w:val="left" w:pos="4860" w:leader="none"/>
        </w:tabs>
        <w:rPr>
          <w:rFonts w:hint="eastAsia" w:ascii="宋体" w:hAnsi="宋体"/>
          <w:color w:val="auto"/>
          <w:sz w:val="24"/>
          <w:szCs w:val="21"/>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szCs w:val="21"/>
          <w:highlight w:val="none"/>
        </w:rPr>
        <w:t xml:space="preserve">    供应商全称（加盖CA电子公章）：</w:t>
      </w:r>
      <w:r/>
    </w:p>
    <w:p>
      <w:pPr>
        <w:ind w:right="1559" w:firstLine="480"/>
        <w:jc w:val="center"/>
        <w:spacing w:line="400" w:lineRule="exact"/>
        <w:tabs>
          <w:tab w:val="left" w:pos="4860" w:leader="none"/>
        </w:tabs>
        <w:rPr>
          <w:rFonts w:hint="eastAsia" w:ascii="宋体" w:hAnsi="宋体"/>
          <w:color w:val="auto"/>
          <w:sz w:val="24"/>
          <w:szCs w:val="21"/>
          <w:highlight w:val="none"/>
        </w:rPr>
      </w:pPr>
      <w:r>
        <w:rPr>
          <w:rFonts w:hint="eastAsia" w:ascii="宋体" w:hAnsi="宋体"/>
          <w:color w:val="auto"/>
          <w:sz w:val="24"/>
          <w:szCs w:val="21"/>
          <w:highlight w:val="none"/>
        </w:rPr>
        <w:t xml:space="preserve">   日  期：</w:t>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rPr>
          <w:rFonts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br w:type="page" w:clear="all"/>
      </w:r>
      <w:r/>
    </w:p>
    <w:p>
      <w:pPr>
        <w:jc w:val="center"/>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b/>
          <w:color w:val="auto"/>
          <w:sz w:val="24"/>
          <w:szCs w:val="24"/>
          <w:highlight w:val="none"/>
        </w:rPr>
        <w:t xml:space="preserve">关于符合本国产品标准的声明函（采购包号：**）</w:t>
      </w:r>
      <w:r/>
    </w:p>
    <w:p>
      <w:pPr>
        <w:pStyle w:val="763"/>
        <w:ind w:firstLine="420"/>
        <w:spacing w:beforeAutospacing="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63"/>
        <w:ind w:firstLine="420"/>
        <w:spacing w:beforeAutospacing="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3"/>
        <w:ind w:firstLine="420"/>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3"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4"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5"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6"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9"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1.</w:t>
      </w:r>
      <w:r>
        <w:rPr>
          <w:rStyle w:val="769"/>
          <w:rFonts w:hint="eastAsia" w:ascii="方正魏碑_GBK" w:hAnsi="方正魏碑_GBK" w:eastAsia="方正魏碑_GBK" w:cs="方正魏碑_GBK"/>
          <w:i w:val="0"/>
          <w:color w:val="auto"/>
          <w:highlight w:val="none"/>
          <w:u w:val="single"/>
          <w:shd w:val="clear" w:color="auto" w:fill="ffffff"/>
        </w:rPr>
        <w:t xml:space="preserve">（产品名称1）</w:t>
      </w:r>
      <w:r>
        <w:rPr>
          <w:rStyle w:val="769"/>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769"/>
          <w:rFonts w:hint="eastAsia" w:ascii="方正魏碑_GBK" w:hAnsi="方正魏碑_GBK" w:eastAsia="方正魏碑_GBK" w:cs="方正魏碑_GBK"/>
          <w:i w:val="0"/>
          <w:color w:val="auto"/>
          <w:highlight w:val="none"/>
          <w:u w:val="single"/>
          <w:shd w:val="clear" w:color="auto" w:fill="ffffff"/>
        </w:rPr>
        <w:t xml:space="preserve">（厂名）</w:t>
      </w:r>
      <w:r>
        <w:rPr>
          <w:rStyle w:val="769"/>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769"/>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769"/>
          <w:rFonts w:hint="eastAsia" w:ascii="方正魏碑_GBK" w:hAnsi="方正魏碑_GBK" w:eastAsia="方正魏碑_GBK" w:cs="方正魏碑_GBK"/>
          <w:i w:val="0"/>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69"/>
          <w:rFonts w:hint="eastAsia" w:ascii="方正魏碑_GBK" w:hAnsi="方正魏碑_GBK" w:eastAsia="方正魏碑_GBK" w:cs="方正魏碑_GBK"/>
          <w:i w:val="0"/>
          <w:color w:val="auto"/>
          <w:highlight w:val="none"/>
          <w:u w:val="single"/>
          <w:shd w:val="clear" w:color="auto" w:fill="ffffff"/>
        </w:rPr>
        <w:t xml:space="preserve">（规定</w:t>
      </w:r>
      <w:r>
        <w:rPr>
          <w:rStyle w:val="769"/>
          <w:rFonts w:ascii="方正魏碑_GBK" w:hAnsi="方正魏碑_GBK" w:eastAsia="方正魏碑_GBK" w:cs="方正魏碑_GBK"/>
          <w:i w:val="0"/>
          <w:color w:val="auto"/>
          <w:highlight w:val="none"/>
          <w:u w:val="single"/>
          <w:shd w:val="clear" w:color="auto" w:fill="ffffff"/>
        </w:rPr>
        <w:t xml:space="preserve">比例</w:t>
      </w:r>
      <w:r>
        <w:rPr>
          <w:rStyle w:val="769"/>
          <w:rFonts w:hint="eastAsia" w:ascii="方正魏碑_GBK" w:hAnsi="方正魏碑_GBK" w:eastAsia="方正魏碑_GBK" w:cs="方正魏碑_GBK"/>
          <w:i w:val="0"/>
          <w:color w:val="auto"/>
          <w:highlight w:val="none"/>
          <w:u w:val="single"/>
          <w:shd w:val="clear" w:color="auto" w:fill="ffffff"/>
        </w:rPr>
        <w:t xml:space="preserve">）</w:t>
      </w:r>
      <w:r>
        <w:rPr>
          <w:rStyle w:val="769"/>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769"/>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769"/>
          <w:rFonts w:hint="eastAsia" w:ascii="方正魏碑_GBK" w:hAnsi="方正魏碑_GBK" w:eastAsia="方正魏碑_GBK" w:cs="方正魏碑_GBK"/>
          <w:i w:val="0"/>
          <w:color w:val="auto"/>
          <w:highlight w:val="none"/>
          <w:u w:val="single"/>
          <w:shd w:val="clear" w:color="auto" w:fill="ffffff"/>
        </w:rPr>
        <w:t xml:space="preserve">（关键</w:t>
      </w:r>
      <w:r>
        <w:rPr>
          <w:rStyle w:val="769"/>
          <w:rFonts w:ascii="方正魏碑_GBK" w:hAnsi="方正魏碑_GBK" w:eastAsia="方正魏碑_GBK" w:cs="方正魏碑_GBK"/>
          <w:i w:val="0"/>
          <w:color w:val="auto"/>
          <w:highlight w:val="none"/>
          <w:u w:val="single"/>
          <w:shd w:val="clear" w:color="auto" w:fill="ffffff"/>
        </w:rPr>
        <w:t xml:space="preserve">组件</w:t>
      </w:r>
      <w:r>
        <w:rPr>
          <w:rStyle w:val="769"/>
          <w:rFonts w:hint="eastAsia" w:ascii="方正魏碑_GBK" w:hAnsi="方正魏碑_GBK" w:eastAsia="方正魏碑_GBK" w:cs="方正魏碑_GBK"/>
          <w:i w:val="0"/>
          <w:color w:val="auto"/>
          <w:highlight w:val="none"/>
          <w:u w:val="single"/>
          <w:shd w:val="clear" w:color="auto" w:fill="ffffff"/>
        </w:rPr>
        <w:t xml:space="preserve">）</w:t>
      </w:r>
      <w:r>
        <w:rPr>
          <w:rStyle w:val="769"/>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769"/>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769"/>
          <w:rFonts w:hint="eastAsia" w:ascii="方正魏碑_GBK" w:hAnsi="方正魏碑_GBK" w:eastAsia="方正魏碑_GBK" w:cs="方正魏碑_GBK"/>
          <w:i w:val="0"/>
          <w:color w:val="auto"/>
          <w:highlight w:val="none"/>
          <w:u w:val="single"/>
          <w:shd w:val="clear" w:color="auto" w:fill="ffffff"/>
        </w:rPr>
        <w:t xml:space="preserve">（关键工序）</w:t>
      </w:r>
      <w:r>
        <w:rPr>
          <w:rStyle w:val="769"/>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63"/>
        <w:ind w:firstLine="420"/>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0"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7257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1"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7052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4"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5"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6"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7"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2.</w:t>
      </w:r>
      <w:r>
        <w:rPr>
          <w:rStyle w:val="769"/>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769"/>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769"/>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769"/>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69"/>
          <w:rFonts w:hint="eastAsia" w:ascii="方正魏碑_GBK" w:hAnsi="方正魏碑_GBK" w:eastAsia="方正魏碑_GBK" w:cs="方正魏碑_GBK"/>
          <w:i w:val="0"/>
          <w:color w:val="auto"/>
          <w:highlight w:val="none"/>
          <w:u w:val="single"/>
          <w:shd w:val="clear" w:color="auto" w:fill="ffffff"/>
        </w:rPr>
        <w:t xml:space="preserve">（规定</w:t>
      </w:r>
      <w:r>
        <w:rPr>
          <w:rStyle w:val="769"/>
          <w:rFonts w:ascii="方正魏碑_GBK" w:hAnsi="方正魏碑_GBK" w:eastAsia="方正魏碑_GBK" w:cs="方正魏碑_GBK"/>
          <w:i w:val="0"/>
          <w:color w:val="auto"/>
          <w:highlight w:val="none"/>
          <w:u w:val="single"/>
          <w:shd w:val="clear" w:color="auto" w:fill="ffffff"/>
        </w:rPr>
        <w:t xml:space="preserve">比例</w:t>
      </w:r>
      <w:r>
        <w:rPr>
          <w:rStyle w:val="769"/>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769"/>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769"/>
          <w:rFonts w:hint="eastAsia" w:ascii="方正魏碑_GBK" w:hAnsi="方正魏碑_GBK" w:eastAsia="方正魏碑_GBK" w:cs="方正魏碑_GBK"/>
          <w:i w:val="0"/>
          <w:color w:val="auto"/>
          <w:highlight w:val="none"/>
          <w:u w:val="single"/>
          <w:shd w:val="clear" w:color="auto" w:fill="ffffff"/>
        </w:rPr>
        <w:t xml:space="preserve">（关键</w:t>
      </w:r>
      <w:r>
        <w:rPr>
          <w:rStyle w:val="769"/>
          <w:rFonts w:ascii="方正魏碑_GBK" w:hAnsi="方正魏碑_GBK" w:eastAsia="方正魏碑_GBK" w:cs="方正魏碑_GBK"/>
          <w:i w:val="0"/>
          <w:color w:val="auto"/>
          <w:highlight w:val="none"/>
          <w:u w:val="single"/>
          <w:shd w:val="clear" w:color="auto" w:fill="ffffff"/>
        </w:rPr>
        <w:t xml:space="preserve">组件</w:t>
      </w:r>
      <w:r>
        <w:rPr>
          <w:rStyle w:val="769"/>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769"/>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769"/>
          <w:rFonts w:hint="eastAsia" w:ascii="方正魏碑_GBK" w:hAnsi="方正魏碑_GBK" w:eastAsia="方正魏碑_GBK" w:cs="方正魏碑_GBK"/>
          <w:i w:val="0"/>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63"/>
        <w:ind w:firstLine="420"/>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763"/>
        <w:ind w:firstLine="420"/>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763"/>
        <w:spacing w:before="30" w:beforeAutospacing="0" w:after="3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63"/>
        <w:ind w:right="480" w:firstLine="3720"/>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763"/>
        <w:jc w:val="center"/>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763"/>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763"/>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763"/>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763"/>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763"/>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763"/>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763"/>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rPr>
          <w:rFonts w:hint="eastAsia" w:ascii="宋体" w:hAnsi="宋体" w:cs="宋体"/>
          <w:color w:val="auto"/>
          <w:sz w:val="32"/>
          <w:highlight w:val="none"/>
        </w:rPr>
      </w:pPr>
      <w:r>
        <w:rPr>
          <w:rFonts w:hint="eastAsia" w:ascii="宋体" w:hAnsi="宋体" w:cs="宋体"/>
          <w:b/>
          <w:color w:val="auto"/>
          <w:sz w:val="32"/>
          <w:szCs w:val="32"/>
          <w:highlight w:val="none"/>
        </w:rPr>
        <w:br w:type="page" w:clear="all"/>
      </w:r>
      <w:bookmarkStart w:id="77" w:name="_Toc19910"/>
      <w:r/>
      <w:bookmarkStart w:id="78" w:name="_Toc25382"/>
      <w:r>
        <w:rPr>
          <w:rFonts w:hint="eastAsia" w:ascii="宋体" w:hAnsi="宋体" w:cs="宋体"/>
          <w:b/>
          <w:bCs/>
          <w:color w:val="auto"/>
          <w:sz w:val="32"/>
          <w:szCs w:val="44"/>
          <w:highlight w:val="none"/>
        </w:rPr>
        <w:t xml:space="preserve">四、开标一览表</w:t>
      </w:r>
      <w:bookmarkEnd w:id="77"/>
      <w:r/>
      <w:bookmarkEnd w:id="78"/>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项目编号：</w:t>
      </w:r>
      <w:r/>
    </w:p>
    <w:p>
      <w:pPr>
        <w:ind w:left="0" w:right="0" w:firstLine="482"/>
        <w:jc w:val="both"/>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投标人全称（加盖CA电子签章）：</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r>
      <w:r/>
    </w:p>
    <w:tbl>
      <w:tblPr>
        <w:tblStyle w:val="742"/>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1395" w:type="pct"/>
            <w:vAlign w:val="center"/>
            <w:textDirection w:val="lrTb"/>
            <w:noWrap w:val="false"/>
          </w:tcPr>
          <w:p>
            <w:pPr>
              <w:pStyle w:val="950"/>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投标货物及服务名称</w:t>
            </w:r>
            <w:r/>
          </w:p>
        </w:tc>
        <w:tc>
          <w:tcPr>
            <w:tcW w:w="3604"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投标总报价</w:t>
            </w:r>
            <w:r/>
          </w:p>
        </w:tc>
      </w:tr>
      <w:tr>
        <w:trPr>
          <w:cantSplit/>
          <w:trHeight w:val="1697"/>
        </w:trPr>
        <w:tc>
          <w:tcPr>
            <w:tcW w:w="1395" w:type="pct"/>
            <w:vAlign w:val="center"/>
            <w:textDirection w:val="lrTb"/>
            <w:noWrap w:val="false"/>
          </w:tcPr>
          <w:p>
            <w:pPr>
              <w:pStyle w:val="950"/>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604" w:type="pct"/>
            <w:vAlign w:val="center"/>
            <w:textDirection w:val="lrTb"/>
            <w:noWrap w:val="false"/>
          </w:tcPr>
          <w:p>
            <w:pPr>
              <w:pStyle w:val="977"/>
              <w:ind w:firstLine="0"/>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大写：</w:t>
            </w:r>
            <w:r/>
          </w:p>
          <w:p>
            <w:pPr>
              <w:pStyle w:val="977"/>
              <w:ind w:firstLine="0"/>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小写：                             （人民币：元）</w:t>
            </w:r>
            <w:r/>
          </w:p>
          <w:p>
            <w:pPr>
              <w:pStyle w:val="977"/>
              <w:ind w:firstLine="0"/>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trHeight w:val="1697"/>
        </w:trPr>
        <w:tc>
          <w:tcPr>
            <w:tcW w:w="1395" w:type="pct"/>
            <w:vAlign w:val="center"/>
            <w:textDirection w:val="lrTb"/>
            <w:noWrap w:val="false"/>
          </w:tcPr>
          <w:p>
            <w:pPr>
              <w:pStyle w:val="950"/>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核心产品品牌</w:t>
            </w:r>
            <w:r/>
          </w:p>
        </w:tc>
        <w:tc>
          <w:tcPr>
            <w:tcW w:w="3604" w:type="pct"/>
            <w:vAlign w:val="center"/>
            <w:textDirection w:val="lrTb"/>
            <w:noWrap w:val="false"/>
          </w:tcPr>
          <w:p>
            <w:pPr>
              <w:pStyle w:val="977"/>
              <w:ind w:firstLine="0"/>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rPr>
          <w:rFonts w:hint="eastAsia" w:ascii="宋体" w:hAnsi="宋体" w:cs="宋体"/>
          <w:color w:val="auto"/>
          <w:sz w:val="32"/>
          <w:szCs w:val="32"/>
          <w:highlight w:val="none"/>
        </w:rPr>
      </w:pPr>
      <w:r>
        <w:rPr>
          <w:rFonts w:hint="eastAsia" w:ascii="宋体" w:hAnsi="宋体" w:cs="宋体"/>
          <w:color w:val="auto"/>
          <w:szCs w:val="21"/>
          <w:highlight w:val="none"/>
        </w:rPr>
        <w:t xml:space="preserve">                                          </w:t>
      </w:r>
      <w:r/>
    </w:p>
    <w:p>
      <w:pPr>
        <w:pStyle w:val="947"/>
        <w:ind w:firstLine="64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947"/>
        <w:ind w:firstLine="64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highlight w:val="none"/>
        </w:rPr>
      </w:pPr>
      <w:r>
        <w:rPr>
          <w:rFonts w:hint="eastAsia" w:ascii="宋体" w:hAnsi="宋体" w:cs="宋体"/>
          <w:color w:val="auto"/>
          <w:sz w:val="32"/>
          <w:szCs w:val="32"/>
          <w:highlight w:val="none"/>
        </w:rPr>
        <w:br w:type="page" w:clear="all"/>
      </w:r>
      <w:bookmarkStart w:id="79" w:name="_Toc17891"/>
      <w:r/>
      <w:bookmarkStart w:id="80" w:name="_Toc20323"/>
      <w:r>
        <w:rPr>
          <w:rFonts w:hint="eastAsia" w:ascii="宋体" w:hAnsi="宋体" w:cs="宋体"/>
          <w:b/>
          <w:bCs/>
          <w:color w:val="auto"/>
          <w:sz w:val="32"/>
          <w:szCs w:val="44"/>
          <w:highlight w:val="none"/>
        </w:rPr>
        <w:t xml:space="preserve">五、投标产品配置及分项报价表</w:t>
      </w:r>
      <w:bookmarkEnd w:id="79"/>
      <w:r/>
      <w:bookmarkEnd w:id="80"/>
      <w:r/>
      <w:r/>
    </w:p>
    <w:tbl>
      <w:tblPr>
        <w:tblStyle w:val="742"/>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1106"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5</w:t>
            </w:r>
            <w:r/>
          </w:p>
        </w:tc>
        <w:tc>
          <w:tcPr>
            <w:tcW w:w="138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6</w:t>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7</w:t>
            </w:r>
            <w:r/>
          </w:p>
        </w:tc>
        <w:tc>
          <w:tcPr>
            <w:tcW w:w="100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8</w:t>
            </w:r>
            <w:r/>
          </w:p>
        </w:tc>
        <w:tc>
          <w:tcPr>
            <w:tcW w:w="96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产品</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名称</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品牌</w:t>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规格</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型号</w:t>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制造商名称</w:t>
            </w:r>
            <w:r/>
          </w:p>
        </w:tc>
        <w:tc>
          <w:tcPr>
            <w:tcW w:w="110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产地</w:t>
            </w:r>
            <w:r/>
          </w:p>
        </w:tc>
        <w:tc>
          <w:tcPr>
            <w:tcW w:w="138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100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单价</w:t>
            </w:r>
            <w:r/>
          </w:p>
        </w:tc>
        <w:tc>
          <w:tcPr>
            <w:tcW w:w="96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06"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85" w:type="dxa"/>
            <w:vAlign w:val="center"/>
            <w:textDirection w:val="lrTb"/>
            <w:noWrap w:val="false"/>
          </w:tcPr>
          <w:p>
            <w:pPr>
              <w:jc w:val="center"/>
              <w:spacing w:line="0" w:lineRule="atLeast"/>
              <w:rPr>
                <w:rFonts w:hint="eastAsia" w:ascii="宋体" w:hAnsi="宋体"/>
                <w:color w:val="auto"/>
                <w:sz w:val="24"/>
                <w:szCs w:val="24"/>
                <w:highlight w:val="none"/>
                <w:u w:val="single"/>
              </w:rPr>
            </w:pPr>
            <w:r>
              <w:rPr>
                <w:rFonts w:hint="eastAsia" w:ascii="宋体" w:hAnsi="宋体"/>
                <w:color w:val="auto"/>
                <w:sz w:val="24"/>
                <w:szCs w:val="24"/>
                <w:highlight w:val="none"/>
              </w:rPr>
              <w:t xml:space="preserve">合同签订后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0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06"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8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0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06"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8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0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580"/>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06"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8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0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434"/>
        </w:trPr>
        <w:tc>
          <w:tcPr>
            <w:gridSpan w:val="10"/>
            <w:tcW w:w="9263" w:type="dxa"/>
            <w:vAlign w:val="top"/>
            <w:textDirection w:val="lrTb"/>
            <w:noWrap w:val="false"/>
          </w:tcPr>
          <w:p>
            <w:pPr>
              <w:rPr>
                <w:rFonts w:hint="eastAsia" w:ascii="宋体" w:hAnsi="宋体"/>
                <w:color w:val="auto"/>
                <w:sz w:val="24"/>
                <w:szCs w:val="24"/>
                <w:highlight w:val="none"/>
                <w:u w:val="single"/>
              </w:rPr>
            </w:pPr>
            <w:r>
              <w:rPr>
                <w:rFonts w:hint="eastAsia" w:ascii="宋体" w:hAnsi="宋体"/>
                <w:color w:val="auto"/>
                <w:sz w:val="24"/>
                <w:szCs w:val="24"/>
                <w:highlight w:val="none"/>
              </w:rPr>
              <w:t xml:space="preserve">投标总报价（人民币：元）</w:t>
            </w:r>
            <w:r>
              <w:rPr>
                <w:rFonts w:hint="eastAsia" w:ascii="宋体" w:hAnsi="宋体"/>
                <w:color w:val="auto"/>
                <w:sz w:val="24"/>
                <w:szCs w:val="24"/>
                <w:highlight w:val="none"/>
                <w:u w:val="single"/>
              </w:rPr>
              <w:t xml:space="preserve">                             </w:t>
            </w:r>
            <w:r/>
          </w:p>
        </w:tc>
      </w:tr>
      <w:tr>
        <w:trPr>
          <w:cantSplit/>
          <w:trHeight w:val="767"/>
        </w:trPr>
        <w:tc>
          <w:tcPr>
            <w:gridSpan w:val="10"/>
            <w:tcW w:w="9263" w:type="dxa"/>
            <w:vAlign w:val="top"/>
            <w:textDirection w:val="lrTb"/>
            <w:noWrap w:val="false"/>
          </w:tcPr>
          <w:p>
            <w:pPr>
              <w:pStyle w:val="763"/>
              <w:spacing w:beforeAutospacing="0" w:afterAutospacing="0" w:line="0" w:lineRule="atLeast"/>
              <w:rPr>
                <w:color w:val="auto"/>
                <w:highlight w:val="none"/>
              </w:rPr>
            </w:pPr>
            <w:r>
              <w:rPr>
                <w:rFonts w:hint="eastAsia" w:ascii="宋体" w:hAnsi="宋体" w:cs="宋体"/>
                <w:color w:val="auto"/>
                <w:szCs w:val="24"/>
                <w:highlight w:val="none"/>
              </w:rPr>
              <w:t xml:space="preserve">本采购包中提供的符合本国产品标准的产品成本之和占该采购包提供的全部产品成本之和的比例为</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w:t>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1.投标报价采用总承包方式，“投标总报价”应包括所投货物（包含与货物相关的服务）费用、安装调试费、测试验收费、培训费、运行维护费用、税金、国际（如果</w:t>
      </w:r>
      <w:r>
        <w:rPr>
          <w:rFonts w:ascii="宋体" w:hAnsi="宋体"/>
          <w:color w:val="auto"/>
          <w:sz w:val="24"/>
          <w:szCs w:val="24"/>
          <w:highlight w:val="none"/>
        </w:rPr>
        <w:t xml:space="preserve">有</w:t>
      </w:r>
      <w:r>
        <w:rPr>
          <w:rFonts w:hint="eastAsia" w:ascii="宋体" w:hAnsi="宋体"/>
          <w:color w:val="auto"/>
          <w:sz w:val="24"/>
          <w:szCs w:val="24"/>
          <w:highlight w:val="none"/>
        </w:rPr>
        <w:t xml:space="preserve">）国内运输保险、报关清关（如果</w:t>
      </w:r>
      <w:r>
        <w:rPr>
          <w:rFonts w:ascii="宋体" w:hAnsi="宋体"/>
          <w:color w:val="auto"/>
          <w:sz w:val="24"/>
          <w:szCs w:val="24"/>
          <w:highlight w:val="none"/>
        </w:rPr>
        <w:t xml:space="preserve">有</w:t>
      </w:r>
      <w:r>
        <w:rPr>
          <w:rFonts w:hint="eastAsia" w:ascii="宋体" w:hAnsi="宋体"/>
          <w:color w:val="auto"/>
          <w:sz w:val="24"/>
          <w:szCs w:val="24"/>
          <w:highlight w:val="none"/>
        </w:rPr>
        <w:t xml:space="preserve">）、开证（如果</w:t>
      </w:r>
      <w:r>
        <w:rPr>
          <w:rFonts w:ascii="宋体" w:hAnsi="宋体"/>
          <w:color w:val="auto"/>
          <w:sz w:val="24"/>
          <w:szCs w:val="24"/>
          <w:highlight w:val="none"/>
        </w:rPr>
        <w:t xml:space="preserve">有</w:t>
      </w:r>
      <w:r>
        <w:rPr>
          <w:rFonts w:hint="eastAsia" w:ascii="宋体" w:hAnsi="宋体"/>
          <w:color w:val="auto"/>
          <w:sz w:val="24"/>
          <w:szCs w:val="24"/>
          <w:highlight w:val="none"/>
        </w:rPr>
        <w:t xml:space="preserve">）、办理全套免税手续费用（如果</w:t>
      </w:r>
      <w:r>
        <w:rPr>
          <w:rFonts w:ascii="宋体" w:hAnsi="宋体"/>
          <w:color w:val="auto"/>
          <w:sz w:val="24"/>
          <w:szCs w:val="24"/>
          <w:highlight w:val="none"/>
        </w:rPr>
        <w:t xml:space="preserve">有</w:t>
      </w:r>
      <w:r>
        <w:rPr>
          <w:rFonts w:hint="eastAsia" w:ascii="宋体" w:hAnsi="宋体"/>
          <w:color w:val="auto"/>
          <w:sz w:val="24"/>
          <w:szCs w:val="24"/>
          <w:highlight w:val="none"/>
        </w:rPr>
        <w:t xml:space="preserve">）及其他有关的为完成本项目发生的所有费用，招标文件中另有规定的除外。“投标总报价”数额为各“分项总价”之和。</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color w:val="auto"/>
          <w:sz w:val="24"/>
          <w:szCs w:val="24"/>
          <w:highlight w:val="none"/>
        </w:rPr>
        <w:t xml:space="preserve">“</w:t>
      </w:r>
      <w:r>
        <w:rPr>
          <w:rFonts w:hint="eastAsia" w:ascii="宋体" w:hAnsi="宋体"/>
          <w:color w:val="auto"/>
          <w:sz w:val="24"/>
          <w:szCs w:val="24"/>
          <w:highlight w:val="none"/>
        </w:rPr>
        <w:t xml:space="preserve">投标分项报价表</w:t>
      </w:r>
      <w:r>
        <w:rPr>
          <w:rFonts w:hint="eastAsia"/>
          <w:color w:val="auto"/>
          <w:sz w:val="24"/>
          <w:szCs w:val="24"/>
          <w:highlight w:val="none"/>
        </w:rPr>
        <w:t xml:space="preserve">”</w:t>
      </w:r>
      <w:r>
        <w:rPr>
          <w:rFonts w:hint="eastAsia" w:ascii="宋体" w:hAnsi="宋体"/>
          <w:color w:val="auto"/>
          <w:sz w:val="24"/>
          <w:szCs w:val="24"/>
          <w:highlight w:val="none"/>
        </w:rPr>
        <w:t xml:space="preserve">中“投标总报价”数额应当与“开标一览表”中“投标总报价”数额一致。</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keepLines w:val="0"/>
        <w:keepNext w:val="0"/>
        <w:pageBreakBefore w:val="0"/>
        <w:spacing w:line="400" w:lineRule="exact"/>
        <w:widowControl/>
        <w:rPr>
          <w:rFonts w:hint="eastAsia" w:ascii="宋体" w:hAnsi="宋体" w:eastAsia="宋体" w:cs="Times New Roman"/>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rPr>
          <w:rFonts w:hint="eastAsia" w:ascii="宋体" w:hAnsi="宋体" w:eastAsia="宋体" w:cs="Times New Roman"/>
          <w:color w:val="auto"/>
          <w:sz w:val="24"/>
          <w:szCs w:val="24"/>
          <w:highlight w:val="none"/>
          <w:lang w:val="en-US" w:eastAsia="zh-CN"/>
        </w:rPr>
        <w:t xml:space="preserve">本项目招标代理服务费应包含在投标总价中，具体计算方式详见招标文件第二章4.2条要求。</w:t>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rPr>
          <w:rFonts w:hint="eastAsia" w:ascii="宋体" w:hAnsi="宋体" w:eastAsia="宋体" w:cs="宋体"/>
          <w:color w:val="auto"/>
          <w:sz w:val="32"/>
          <w:highlight w:val="none"/>
        </w:rPr>
      </w:pPr>
      <w:r>
        <w:rPr>
          <w:rFonts w:hint="eastAsia" w:ascii="宋体" w:hAnsi="宋体" w:cs="宋体"/>
          <w:b/>
          <w:bCs/>
          <w:color w:val="auto"/>
          <w:highlight w:val="none"/>
        </w:rPr>
        <w:br w:type="page" w:clear="all"/>
      </w:r>
      <w:bookmarkStart w:id="81" w:name="_Toc5967"/>
      <w:r/>
      <w:bookmarkStart w:id="82" w:name="_Toc16517"/>
      <w:r/>
      <w:bookmarkStart w:id="83" w:name="_Toc9678"/>
      <w:r>
        <w:rPr>
          <w:rFonts w:hint="eastAsia" w:ascii="宋体" w:hAnsi="宋体" w:cs="宋体"/>
          <w:b/>
          <w:bCs/>
          <w:color w:val="auto"/>
          <w:sz w:val="32"/>
          <w:szCs w:val="44"/>
          <w:highlight w:val="none"/>
        </w:rPr>
        <w:t xml:space="preserve">六、技术参数响应及偏离表</w:t>
      </w:r>
      <w:bookmarkEnd w:id="81"/>
      <w:r/>
      <w:bookmarkEnd w:id="82"/>
      <w:r/>
      <w:bookmarkEnd w:id="83"/>
      <w:r/>
      <w:r/>
    </w:p>
    <w:tbl>
      <w:tblPr>
        <w:tblStyle w:val="742"/>
        <w:tblW w:w="89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55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招标要求</w:t>
            </w:r>
            <w:r/>
          </w:p>
        </w:tc>
        <w:tc>
          <w:tcPr>
            <w:tcW w:w="27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投标响应</w:t>
            </w:r>
            <w:r/>
          </w:p>
        </w:tc>
        <w:tc>
          <w:tcPr>
            <w:tcW w:w="145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21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984"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rPr>
          <w:color w:val="auto"/>
          <w:highlight w:val="none"/>
        </w:rPr>
      </w:pPr>
      <w:r>
        <w:rPr>
          <w:color w:val="auto"/>
          <w:highlight w:val="none"/>
        </w:rPr>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pStyle w:val="745"/>
        <w:rPr>
          <w:color w:val="auto"/>
          <w:highlight w:val="none"/>
        </w:rPr>
      </w:pPr>
      <w:r>
        <w:rPr>
          <w:rFonts w:hint="eastAsia" w:ascii="宋体" w:hAnsi="宋体" w:eastAsia="宋体" w:cs="宋体"/>
          <w:color w:val="auto"/>
          <w:sz w:val="21"/>
          <w:szCs w:val="21"/>
          <w:highlight w:val="none"/>
        </w:rPr>
        <w:t xml:space="preserve">日期：_____年______月______日  </w:t>
      </w:r>
      <w:r/>
    </w:p>
    <w:p>
      <w:pPr>
        <w:pStyle w:val="765"/>
        <w:rPr>
          <w:rFonts w:hint="eastAsia"/>
          <w:color w:val="auto"/>
          <w:highlight w:val="none"/>
        </w:rPr>
      </w:pPr>
      <w:r>
        <w:rPr>
          <w:rFonts w:hint="eastAsia"/>
          <w:color w:val="auto"/>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注：1、按照基本技术要求详细填列。</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2、行数不够，可自行添加。</w:t>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color w:val="auto"/>
          <w:sz w:val="32"/>
          <w:highlight w:val="none"/>
        </w:rPr>
      </w:pPr>
      <w:r>
        <w:rPr>
          <w:rFonts w:hint="eastAsia" w:ascii="宋体" w:hAnsi="宋体" w:cs="宋体"/>
          <w:color w:val="auto"/>
          <w:sz w:val="32"/>
          <w:highlight w:val="none"/>
        </w:rPr>
      </w:r>
      <w:r/>
    </w:p>
    <w:p>
      <w:pPr>
        <w:rPr>
          <w:rFonts w:hint="eastAsia" w:ascii="宋体" w:hAnsi="宋体" w:cs="宋体"/>
          <w:color w:val="auto"/>
          <w:sz w:val="32"/>
          <w:highlight w:val="none"/>
        </w:rPr>
      </w:pPr>
      <w:r>
        <w:rPr>
          <w:rFonts w:hint="eastAsia" w:ascii="宋体" w:hAnsi="宋体" w:cs="宋体"/>
          <w:color w:val="auto"/>
          <w:sz w:val="32"/>
          <w:highlight w:val="none"/>
        </w:rPr>
      </w:r>
      <w:r/>
    </w:p>
    <w:p>
      <w:pPr>
        <w:jc w:val="center"/>
        <w:rPr>
          <w:rFonts w:hint="eastAsia" w:ascii="宋体" w:hAnsi="宋体" w:cs="宋体"/>
          <w:color w:val="auto"/>
          <w:sz w:val="32"/>
          <w:highlight w:val="none"/>
        </w:rPr>
      </w:pPr>
      <w:r>
        <w:rPr>
          <w:rFonts w:hint="eastAsia" w:ascii="宋体" w:hAnsi="宋体" w:cs="宋体"/>
          <w:color w:val="auto"/>
          <w:sz w:val="32"/>
          <w:highlight w:val="none"/>
        </w:rPr>
        <w:br w:type="page" w:clear="all"/>
      </w:r>
      <w:bookmarkStart w:id="84" w:name="_Hlt26955054"/>
      <w:r/>
      <w:bookmarkEnd w:id="84"/>
      <w:r/>
      <w:bookmarkStart w:id="85" w:name="_Toc32154"/>
      <w:r/>
      <w:bookmarkStart w:id="86" w:name="_Toc16820"/>
      <w:r>
        <w:rPr>
          <w:rFonts w:hint="eastAsia" w:ascii="宋体" w:hAnsi="宋体" w:cs="宋体"/>
          <w:b/>
          <w:bCs/>
          <w:color w:val="auto"/>
          <w:sz w:val="32"/>
          <w:szCs w:val="44"/>
          <w:highlight w:val="none"/>
        </w:rPr>
        <w:t xml:space="preserve">七、商务条款响应及偏离表</w:t>
      </w:r>
      <w:bookmarkEnd w:id="85"/>
      <w:r/>
      <w:bookmarkEnd w:id="86"/>
      <w:r/>
      <w:r/>
    </w:p>
    <w:tbl>
      <w:tblPr>
        <w:tblStyle w:val="742"/>
        <w:tblW w:w="8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5"/>
        <w:gridCol w:w="2122"/>
        <w:gridCol w:w="1800"/>
        <w:gridCol w:w="2561"/>
      </w:tblGrid>
      <w:tr>
        <w:trPr>
          <w:trHeight w:val="850"/>
        </w:trPr>
        <w:tc>
          <w:tcPr>
            <w:tcW w:w="1935" w:type="dxa"/>
            <w:vAlign w:val="top"/>
            <w:textDirection w:val="lrTb"/>
            <w:noWrap w:val="false"/>
          </w:tcPr>
          <w:p>
            <w:pPr>
              <w:jc w:val="center"/>
              <w:spacing w:before="156"/>
              <w:rPr>
                <w:rFonts w:hint="eastAsia" w:ascii="宋体" w:hAnsi="宋体" w:cs="宋体"/>
                <w:color w:val="auto"/>
                <w:szCs w:val="21"/>
                <w:highlight w:val="none"/>
              </w:rPr>
            </w:pPr>
            <w:r/>
            <w:bookmarkStart w:id="87" w:name="_Hlt26955064"/>
            <w:r/>
            <w:bookmarkEnd w:id="87"/>
            <w:r/>
            <w:bookmarkStart w:id="88" w:name="_Hlt24879081"/>
            <w:r/>
            <w:bookmarkEnd w:id="88"/>
            <w:r/>
            <w:bookmarkStart w:id="89" w:name="_Hlt26609391"/>
            <w:r/>
            <w:bookmarkEnd w:id="89"/>
            <w:r/>
            <w:bookmarkStart w:id="90" w:name="_Hlt26671343"/>
            <w:r/>
            <w:bookmarkEnd w:id="90"/>
            <w:r/>
            <w:bookmarkStart w:id="91" w:name="_Hlt26782999"/>
            <w:r/>
            <w:bookmarkEnd w:id="91"/>
            <w:r/>
            <w:bookmarkStart w:id="92" w:name="_Hlt26580838"/>
            <w:r/>
            <w:bookmarkEnd w:id="92"/>
            <w:r/>
            <w:bookmarkStart w:id="93" w:name="_Hlt26955056"/>
            <w:r/>
            <w:bookmarkEnd w:id="93"/>
            <w:r/>
            <w:bookmarkStart w:id="94" w:name="_Hlt26671372"/>
            <w:r/>
            <w:bookmarkEnd w:id="94"/>
            <w:r>
              <w:rPr>
                <w:rFonts w:hint="eastAsia" w:ascii="宋体" w:hAnsi="宋体" w:cs="宋体"/>
                <w:color w:val="auto"/>
                <w:szCs w:val="21"/>
                <w:highlight w:val="none"/>
              </w:rPr>
              <w:t xml:space="preserve">项目</w:t>
            </w:r>
            <w:r/>
          </w:p>
        </w:tc>
        <w:tc>
          <w:tcPr>
            <w:tcW w:w="2122" w:type="dxa"/>
            <w:vAlign w:val="top"/>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招标文件要求</w:t>
            </w:r>
            <w:r/>
          </w:p>
        </w:tc>
        <w:tc>
          <w:tcPr>
            <w:tcW w:w="1800" w:type="dxa"/>
            <w:vAlign w:val="top"/>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是否响应</w:t>
            </w:r>
            <w:r/>
          </w:p>
        </w:tc>
        <w:tc>
          <w:tcPr>
            <w:tcW w:w="2561" w:type="dxa"/>
            <w:vAlign w:val="top"/>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投标人的承诺或说明</w:t>
            </w:r>
            <w:r/>
          </w:p>
        </w:tc>
      </w:tr>
      <w:tr>
        <w:trPr>
          <w:trHeight w:val="624"/>
        </w:trPr>
        <w:tc>
          <w:tcPr>
            <w:tcW w:w="1935" w:type="dxa"/>
            <w:vAlign w:val="top"/>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质保期</w:t>
            </w:r>
            <w:r/>
          </w:p>
        </w:tc>
        <w:tc>
          <w:tcPr>
            <w:tcW w:w="2122" w:type="dxa"/>
            <w:vAlign w:val="top"/>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vAlign w:val="top"/>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2561" w:type="dxa"/>
            <w:vAlign w:val="top"/>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950"/>
        </w:trPr>
        <w:tc>
          <w:tcPr>
            <w:tcW w:w="1935" w:type="dxa"/>
            <w:vAlign w:val="top"/>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售后技术服务要求</w:t>
            </w:r>
            <w:r/>
          </w:p>
        </w:tc>
        <w:tc>
          <w:tcPr>
            <w:tcW w:w="2122" w:type="dxa"/>
            <w:vAlign w:val="top"/>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vAlign w:val="top"/>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2561" w:type="dxa"/>
            <w:vAlign w:val="top"/>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17"/>
        </w:trPr>
        <w:tc>
          <w:tcPr>
            <w:tcW w:w="1935" w:type="dxa"/>
            <w:vAlign w:val="top"/>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交付时间</w:t>
            </w:r>
            <w:r/>
          </w:p>
        </w:tc>
        <w:tc>
          <w:tcPr>
            <w:tcW w:w="2122" w:type="dxa"/>
            <w:vAlign w:val="top"/>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vAlign w:val="top"/>
            <w:textDirection w:val="lrTb"/>
            <w:noWrap w:val="false"/>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2561" w:type="dxa"/>
            <w:vAlign w:val="top"/>
            <w:textDirection w:val="lrTb"/>
            <w:noWrap w:val="false"/>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6"/>
        </w:trPr>
        <w:tc>
          <w:tcPr>
            <w:tcW w:w="1935" w:type="dxa"/>
            <w:vAlign w:val="top"/>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交货方式</w:t>
            </w:r>
            <w:r/>
          </w:p>
        </w:tc>
        <w:tc>
          <w:tcPr>
            <w:tcW w:w="2122" w:type="dxa"/>
            <w:vAlign w:val="top"/>
            <w:textDirection w:val="lrTb"/>
            <w:noWrap w:val="false"/>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vAlign w:val="top"/>
            <w:textDirection w:val="lrTb"/>
            <w:noWrap w:val="false"/>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2561" w:type="dxa"/>
            <w:vAlign w:val="top"/>
            <w:textDirection w:val="lrTb"/>
            <w:noWrap w:val="false"/>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13"/>
        </w:trPr>
        <w:tc>
          <w:tcPr>
            <w:tcW w:w="1935" w:type="dxa"/>
            <w:vAlign w:val="top"/>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交货地点</w:t>
            </w:r>
            <w:r/>
          </w:p>
        </w:tc>
        <w:tc>
          <w:tcPr>
            <w:tcW w:w="2122" w:type="dxa"/>
            <w:vAlign w:val="top"/>
            <w:textDirection w:val="lrTb"/>
            <w:noWrap w:val="false"/>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vAlign w:val="top"/>
            <w:textDirection w:val="lrTb"/>
            <w:noWrap w:val="false"/>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2561" w:type="dxa"/>
            <w:vAlign w:val="top"/>
            <w:textDirection w:val="lrTb"/>
            <w:noWrap w:val="false"/>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4"/>
        </w:trPr>
        <w:tc>
          <w:tcPr>
            <w:tcW w:w="1935" w:type="dxa"/>
            <w:vAlign w:val="top"/>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2122" w:type="dxa"/>
            <w:vAlign w:val="top"/>
            <w:textDirection w:val="lrTb"/>
            <w:noWrap w:val="false"/>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vAlign w:val="top"/>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2561" w:type="dxa"/>
            <w:vAlign w:val="top"/>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pStyle w:val="745"/>
        <w:rPr>
          <w:color w:val="auto"/>
          <w:highlight w:val="none"/>
        </w:rPr>
      </w:pPr>
      <w:r>
        <w:rPr>
          <w:rFonts w:hint="eastAsia" w:ascii="宋体" w:hAnsi="宋体" w:eastAsia="宋体" w:cs="宋体"/>
          <w:color w:val="auto"/>
          <w:sz w:val="21"/>
          <w:szCs w:val="21"/>
          <w:highlight w:val="none"/>
        </w:rPr>
        <w:t xml:space="preserve">日期：_____年______月______日  </w:t>
      </w:r>
      <w:r/>
    </w:p>
    <w:p>
      <w:pP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auto"/>
        <w:rPr>
          <w:rFonts w:hint="eastAsia" w:ascii="宋体" w:hAnsi="宋体" w:cs="宋体"/>
          <w:color w:val="auto"/>
          <w:sz w:val="30"/>
          <w:highlight w:val="none"/>
        </w:rPr>
      </w:pPr>
      <w:r>
        <w:rPr>
          <w:rFonts w:hint="eastAsia" w:ascii="宋体" w:hAnsi="宋体" w:cs="宋体"/>
          <w:color w:val="auto"/>
          <w:sz w:val="30"/>
          <w:highlight w:val="none"/>
        </w:rPr>
      </w:r>
      <w:r/>
    </w:p>
    <w:p>
      <w:pPr>
        <w:pStyle w:val="947"/>
        <w:ind w:firstLine="480"/>
        <w:rPr>
          <w:rFonts w:hint="eastAsia" w:ascii="宋体" w:hAnsi="宋体" w:cs="宋体"/>
          <w:color w:val="auto"/>
          <w:sz w:val="24"/>
          <w:highlight w:val="none"/>
        </w:rPr>
      </w:pPr>
      <w:r/>
      <w:bookmarkStart w:id="95" w:name="_Hlt26955066"/>
      <w:r/>
      <w:bookmarkEnd w:id="95"/>
      <w:r/>
      <w:bookmarkStart w:id="96" w:name="_Hlt26671374"/>
      <w:r/>
      <w:bookmarkEnd w:id="96"/>
      <w:r/>
      <w:bookmarkStart w:id="97" w:name="_Hlt26609389"/>
      <w:r/>
      <w:bookmarkEnd w:id="97"/>
      <w:r/>
      <w:bookmarkStart w:id="98" w:name="_Toc462564146"/>
      <w:r/>
      <w:r/>
    </w:p>
    <w:p>
      <w:pPr>
        <w:pStyle w:val="947"/>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47"/>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47"/>
        <w:ind w:firstLine="480"/>
        <w:jc w:val="center"/>
        <w:rPr>
          <w:rFonts w:hint="eastAsia" w:ascii="宋体" w:hAnsi="宋体" w:cs="宋体"/>
          <w:b/>
          <w:bCs/>
          <w:color w:val="auto"/>
          <w:sz w:val="32"/>
          <w:szCs w:val="44"/>
          <w:highlight w:val="none"/>
        </w:rPr>
      </w:pPr>
      <w:r>
        <w:rPr>
          <w:rFonts w:hint="eastAsia" w:ascii="宋体" w:hAnsi="宋体" w:cs="宋体"/>
          <w:color w:val="auto"/>
          <w:sz w:val="24"/>
          <w:highlight w:val="none"/>
        </w:rPr>
        <w:br w:type="page" w:clear="all"/>
      </w:r>
      <w:r>
        <w:rPr>
          <w:rFonts w:hint="eastAsia" w:ascii="宋体" w:hAnsi="宋体" w:cs="宋体"/>
          <w:b/>
          <w:bCs/>
          <w:color w:val="auto"/>
          <w:sz w:val="32"/>
          <w:szCs w:val="44"/>
          <w:highlight w:val="none"/>
        </w:rPr>
        <w:t xml:space="preserve">八、拟投入人员一览表</w:t>
      </w:r>
      <w:r/>
    </w:p>
    <w:tbl>
      <w:tblPr>
        <w:tblStyle w:val="7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743"/>
        <w:gridCol w:w="744"/>
        <w:gridCol w:w="801"/>
        <w:gridCol w:w="727"/>
        <w:gridCol w:w="1365"/>
        <w:gridCol w:w="855"/>
        <w:gridCol w:w="1573"/>
        <w:gridCol w:w="871"/>
      </w:tblGrid>
      <w:tr>
        <w:trPr>
          <w:jc w:val="center"/>
          <w:trHeight w:val="781"/>
        </w:trPr>
        <w:tc>
          <w:tcPr>
            <w:tcW w:w="676"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743"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岗位</w:t>
            </w:r>
            <w:r/>
          </w:p>
        </w:tc>
        <w:tc>
          <w:tcPr>
            <w:tcW w:w="744"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 名</w:t>
            </w:r>
            <w:r/>
          </w:p>
        </w:tc>
        <w:tc>
          <w:tcPr>
            <w:tcW w:w="801"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性别</w:t>
            </w:r>
            <w:r/>
          </w:p>
        </w:tc>
        <w:tc>
          <w:tcPr>
            <w:tcW w:w="727"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学历</w:t>
            </w:r>
            <w:r/>
          </w:p>
        </w:tc>
        <w:tc>
          <w:tcPr>
            <w:tcW w:w="1365"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出生年月</w:t>
            </w:r>
            <w:r/>
          </w:p>
        </w:tc>
        <w:tc>
          <w:tcPr>
            <w:tcW w:w="855"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专业</w:t>
            </w:r>
            <w:r/>
          </w:p>
        </w:tc>
        <w:tc>
          <w:tcPr>
            <w:tcW w:w="1573"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证书及编号</w:t>
            </w:r>
            <w:r/>
          </w:p>
        </w:tc>
        <w:tc>
          <w:tcPr>
            <w:tcW w:w="871"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8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pStyle w:val="947"/>
        <w:ind w:firstLine="480"/>
        <w:rPr>
          <w:rFonts w:hint="eastAsia" w:ascii="宋体" w:hAnsi="宋体" w:cs="宋体"/>
          <w:color w:val="auto"/>
          <w:sz w:val="24"/>
          <w:highlight w:val="none"/>
        </w:rPr>
      </w:pPr>
      <w:r>
        <w:rPr>
          <w:rFonts w:hint="eastAsia" w:ascii="宋体" w:hAnsi="宋体" w:cs="宋体"/>
          <w:color w:val="auto"/>
          <w:sz w:val="24"/>
          <w:highlight w:val="none"/>
        </w:rPr>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pStyle w:val="745"/>
        <w:rPr>
          <w:color w:val="auto"/>
          <w:highlight w:val="none"/>
        </w:rPr>
      </w:pPr>
      <w:r>
        <w:rPr>
          <w:rFonts w:hint="eastAsia" w:ascii="宋体" w:hAnsi="宋体" w:eastAsia="宋体" w:cs="宋体"/>
          <w:color w:val="auto"/>
          <w:sz w:val="21"/>
          <w:szCs w:val="21"/>
          <w:highlight w:val="none"/>
        </w:rPr>
        <w:t xml:space="preserve">日期：_____年______月______日  </w:t>
      </w:r>
      <w:r/>
    </w:p>
    <w:p>
      <w:pPr>
        <w:pStyle w:val="947"/>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47"/>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47"/>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47"/>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47"/>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47"/>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47"/>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47"/>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47"/>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47"/>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47"/>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47"/>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47"/>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47"/>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47"/>
        <w:ind w:firstLine="480"/>
        <w:rPr>
          <w:rFonts w:hint="eastAsia" w:ascii="宋体" w:hAnsi="宋体" w:cs="宋体"/>
          <w:color w:val="auto"/>
          <w:sz w:val="24"/>
          <w:highlight w:val="none"/>
        </w:rPr>
      </w:pPr>
      <w:r>
        <w:rPr>
          <w:rFonts w:hint="eastAsia" w:ascii="宋体" w:hAnsi="宋体" w:cs="宋体"/>
          <w:color w:val="auto"/>
          <w:sz w:val="24"/>
          <w:highlight w:val="none"/>
        </w:rPr>
      </w:r>
      <w:bookmarkEnd w:id="98"/>
      <w:r/>
      <w:r/>
    </w:p>
    <w:p>
      <w:pPr>
        <w:pStyle w:val="947"/>
        <w:ind w:firstLine="480"/>
        <w:rPr>
          <w:rFonts w:hint="eastAsia" w:ascii="宋体" w:hAnsi="宋体" w:cs="宋体"/>
          <w:color w:val="auto"/>
          <w:sz w:val="24"/>
          <w:highlight w:val="none"/>
        </w:rPr>
      </w:pPr>
      <w:r>
        <w:rPr>
          <w:rFonts w:hint="eastAsia" w:ascii="宋体" w:hAnsi="宋体" w:cs="宋体"/>
          <w:color w:val="auto"/>
          <w:sz w:val="24"/>
          <w:highlight w:val="none"/>
        </w:rPr>
      </w:r>
      <w:r/>
    </w:p>
    <w:p>
      <w:pPr>
        <w:jc w:val="center"/>
        <w:widowControl/>
        <w:rPr>
          <w:rFonts w:hint="eastAsia" w:ascii="宋体" w:hAnsi="宋体" w:cs="宋体"/>
          <w:b/>
          <w:color w:val="auto"/>
          <w:highlight w:val="none"/>
        </w:rPr>
      </w:pPr>
      <w:r/>
      <w:bookmarkStart w:id="99" w:name="_格式2__法定代表人授权书"/>
      <w:r/>
      <w:bookmarkEnd w:id="99"/>
      <w:r>
        <w:rPr>
          <w:rFonts w:hint="eastAsia" w:ascii="宋体" w:hAnsi="宋体" w:cs="宋体"/>
          <w:b/>
          <w:color w:val="auto"/>
          <w:highlight w:val="none"/>
        </w:rPr>
        <w:br w:type="page" w:clear="all"/>
      </w:r>
      <w:r>
        <w:rPr>
          <w:rFonts w:hint="eastAsia" w:ascii="宋体" w:hAnsi="宋体" w:cs="宋体"/>
          <w:b/>
          <w:color w:val="auto"/>
          <w:highlight w:val="none"/>
        </w:rPr>
        <w:t xml:space="preserve">主要标的信息（中标后将公示）</w:t>
      </w:r>
      <w:r/>
    </w:p>
    <w:p>
      <w:pPr>
        <w:spacing w:after="312" w:line="360" w:lineRule="auto"/>
        <w:rPr>
          <w:rFonts w:hint="eastAsia" w:ascii="宋体" w:hAnsi="宋体" w:cs="宋体"/>
          <w:b/>
          <w:color w:val="auto"/>
          <w:highlight w:val="none"/>
        </w:rPr>
      </w:pPr>
      <w:r>
        <w:rPr>
          <w:rFonts w:hint="eastAsia" w:ascii="宋体" w:hAnsi="宋体" w:cs="宋体"/>
          <w:color w:val="auto"/>
          <w:highlight w:val="none"/>
        </w:rPr>
        <w:t xml:space="preserve">投标人全称：</w:t>
      </w:r>
      <w:r/>
    </w:p>
    <w:tbl>
      <w:tblPr>
        <w:tblStyle w:val="742"/>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货物类</w:t>
            </w:r>
            <w:r/>
          </w:p>
        </w:tc>
        <w:tc>
          <w:tcPr>
            <w:tcW w:w="3780" w:type="dxa"/>
            <w:vAlign w:val="top"/>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3901" w:type="dxa"/>
            <w:vAlign w:val="top"/>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单价：</w:t>
            </w:r>
            <w:r/>
          </w:p>
        </w:tc>
        <w:tc>
          <w:tcPr>
            <w:tcW w:w="3780" w:type="dxa"/>
            <w:vAlign w:val="top"/>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联合体协议（如有）</w:t>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（联合体中各供应商全称）在此达成以下协议：</w:t>
      </w:r>
      <w:r/>
    </w:p>
    <w:p>
      <w:pPr>
        <w:ind w:firstLine="645"/>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、我们</w:t>
      </w:r>
      <w:r>
        <w:rPr>
          <w:rFonts w:hint="eastAsia" w:ascii="宋体" w:hAnsi="宋体"/>
          <w:color w:val="auto"/>
          <w:sz w:val="24"/>
          <w:szCs w:val="21"/>
          <w:highlight w:val="none"/>
          <w:u w:val="single"/>
        </w:rPr>
        <w:t xml:space="preserve"> （供应商1），（供应商2） ，</w:t>
      </w:r>
      <w:r>
        <w:rPr>
          <w:rFonts w:ascii="宋体" w:hAnsi="宋体"/>
          <w:color w:val="auto"/>
          <w:sz w:val="24"/>
          <w:szCs w:val="21"/>
          <w:highlight w:val="none"/>
          <w:u w:val="single"/>
        </w:rPr>
        <w:t xml:space="preserve">……</w:t>
      </w:r>
      <w:r>
        <w:rPr>
          <w:rFonts w:hint="eastAsia" w:ascii="宋体" w:hAnsi="宋体"/>
          <w:color w:val="auto"/>
          <w:sz w:val="24"/>
          <w:szCs w:val="21"/>
          <w:highlight w:val="none"/>
        </w:rPr>
        <w:t xml:space="preserve">自愿组成联合体，参加江苏苏维工程管理有限公司组织的采购编号为</w:t>
      </w:r>
      <w:r>
        <w:rPr>
          <w:rFonts w:hint="eastAsia" w:ascii="宋体" w:hAnsi="宋体"/>
          <w:color w:val="auto"/>
          <w:sz w:val="24"/>
          <w:szCs w:val="21"/>
          <w:highlight w:val="none"/>
          <w:u w:val="single"/>
        </w:rPr>
        <w:t xml:space="preserve">（编号全称），（项目全称）</w:t>
      </w:r>
      <w:r>
        <w:rPr>
          <w:rFonts w:hint="eastAsia" w:ascii="宋体" w:hAnsi="宋体"/>
          <w:color w:val="auto"/>
          <w:sz w:val="24"/>
          <w:szCs w:val="21"/>
          <w:highlight w:val="none"/>
        </w:rPr>
        <w:t xml:space="preserve">项目（采购包号：**）的政府采购活动，我联合体指定</w:t>
      </w:r>
      <w:r>
        <w:rPr>
          <w:rFonts w:hint="eastAsia" w:ascii="宋体" w:hAnsi="宋体"/>
          <w:color w:val="auto"/>
          <w:sz w:val="24"/>
          <w:szCs w:val="21"/>
          <w:highlight w:val="none"/>
          <w:u w:val="single"/>
        </w:rPr>
        <w:t xml:space="preserve">（供应商*）</w:t>
      </w:r>
      <w:r>
        <w:rPr>
          <w:rFonts w:hint="eastAsia" w:ascii="宋体" w:hAnsi="宋体"/>
          <w:color w:val="auto"/>
          <w:sz w:val="24"/>
          <w:szCs w:val="21"/>
          <w:highlight w:val="none"/>
        </w:rPr>
        <w:t xml:space="preserve">为牵头单位（牵头单位必须为联合体成员）。</w:t>
      </w:r>
      <w:r/>
    </w:p>
    <w:p>
      <w:pPr>
        <w:ind w:firstLine="645"/>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、若我们联合中标、成交，（供应商单位</w:t>
      </w:r>
      <w:r>
        <w:rPr>
          <w:rFonts w:ascii="宋体" w:hAnsi="宋体"/>
          <w:color w:val="auto"/>
          <w:sz w:val="24"/>
          <w:szCs w:val="21"/>
          <w:highlight w:val="none"/>
        </w:rPr>
        <w:t xml:space="preserve">1</w:t>
      </w:r>
      <w:r>
        <w:rPr>
          <w:rFonts w:hint="eastAsia" w:ascii="宋体" w:hAnsi="宋体"/>
          <w:color w:val="auto"/>
          <w:sz w:val="24"/>
          <w:szCs w:val="21"/>
          <w:highlight w:val="none"/>
        </w:rPr>
        <w:t xml:space="preserve">全称）实施项目中（工作内容）部分工作，并承担相应的责任。（供应商单位</w:t>
      </w:r>
      <w:r>
        <w:rPr>
          <w:rFonts w:ascii="宋体" w:hAnsi="宋体"/>
          <w:color w:val="auto"/>
          <w:sz w:val="24"/>
          <w:szCs w:val="21"/>
          <w:highlight w:val="none"/>
        </w:rPr>
        <w:t xml:space="preserve">2</w:t>
      </w:r>
      <w:r>
        <w:rPr>
          <w:rFonts w:hint="eastAsia" w:ascii="宋体" w:hAnsi="宋体"/>
          <w:color w:val="auto"/>
          <w:sz w:val="24"/>
          <w:szCs w:val="21"/>
          <w:highlight w:val="none"/>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、其中</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（小型、微型企业/残疾人福利性单位/监狱企业全称）为</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（小型、微型企业/残疾人福利性单位/监狱企业）企业，且我们约定该公司/单位所承担的合同金额将占本项目合同总金额的</w:t>
      </w:r>
      <w:r>
        <w:rPr>
          <w:rFonts w:ascii="宋体" w:hAnsi="宋体"/>
          <w:color w:val="auto"/>
          <w:sz w:val="24"/>
          <w:szCs w:val="21"/>
          <w:highlight w:val="none"/>
          <w:u w:val="single"/>
        </w:rPr>
        <w:t xml:space="preserve">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w:t>
      </w:r>
      <w:r/>
    </w:p>
    <w:p>
      <w:pPr>
        <w:ind w:firstLine="645"/>
        <w:spacing w:line="4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645"/>
        <w:spacing w:line="560" w:lineRule="exact"/>
        <w:rPr>
          <w:rFonts w:hint="eastAsia"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w:t>
      </w:r>
      <w:r/>
    </w:p>
    <w:p>
      <w:pPr>
        <w:ind w:firstLine="646"/>
        <w:jc w:val="right"/>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联合体中各供应商全称（公章）：</w:t>
      </w:r>
      <w:r>
        <w:rPr>
          <w:rFonts w:ascii="宋体" w:hAnsi="宋体"/>
          <w:color w:val="auto"/>
          <w:sz w:val="24"/>
          <w:szCs w:val="21"/>
          <w:highlight w:val="none"/>
        </w:rPr>
        <w:t xml:space="preserve">     </w:t>
      </w:r>
      <w:r/>
    </w:p>
    <w:p>
      <w:pPr>
        <w:ind w:firstLine="646"/>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日期：</w:t>
      </w:r>
      <w:r/>
    </w:p>
    <w:p>
      <w:pPr>
        <w:ind w:firstLine="645"/>
        <w:spacing w:line="4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645"/>
        <w:spacing w:line="4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645"/>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备注：本招标文件中要求加盖CA电子签章的地方，仅需加盖牵头单位的CA电子签章。</w:t>
      </w:r>
      <w:r/>
    </w:p>
    <w:p>
      <w:pPr>
        <w:ind w:firstLine="4620"/>
        <w:spacing w:line="360" w:lineRule="auto"/>
        <w:rPr>
          <w:rFonts w:hint="eastAsia" w:ascii="宋体" w:hAnsi="宋体" w:cs="宋体"/>
          <w:color w:val="auto"/>
          <w:highlight w:val="none"/>
        </w:rPr>
      </w:pPr>
      <w:r>
        <w:rPr>
          <w:rFonts w:hint="eastAsia" w:ascii="宋体" w:hAnsi="宋体" w:cs="宋体"/>
          <w:color w:val="auto"/>
          <w:highlight w:val="none"/>
        </w:rPr>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Symbol">
    <w:panose1 w:val="05050102010706020507"/>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等线">
    <w:panose1 w:val="0201060003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53"/>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3"/>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both"/>
    </w:pPr>
    <w:r>
      <w:rPr>
        <w:rFonts w:hint="eastAsia"/>
        <w:lang w:eastAsia="zh-CN"/>
      </w:rPr>
      <w:t xml:space="preserve">JSZC-321000-SWGC-G2026-0125</w:t>
    </w:r>
    <w:r>
      <w:rPr>
        <w:rFonts w:hint="eastAsia"/>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both"/>
    </w:pPr>
    <w:r>
      <w:rPr>
        <w:rFonts w:hint="eastAsia"/>
        <w:lang w:eastAsia="zh-CN"/>
      </w:rPr>
      <w:t xml:space="preserve">JSZC-321000-SWGC-G2026-0125</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80"/>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1">
    <w:name w:val="Plain Table 1"/>
    <w:basedOn w:val="7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basedOn w:val="7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w:basedOn w:val="7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7">
    <w:name w:val="Grid Table 2"/>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8">
    <w:name w:val="Grid Table 3"/>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4"/>
    <w:basedOn w:val="7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0">
    <w:name w:val="Grid Table 5 Dark"/>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1">
    <w:name w:val="Grid Table 6 Colorful"/>
    <w:basedOn w:val="7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2">
    <w:name w:val="Grid Table 7 Colorful"/>
    <w:basedOn w:val="7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3">
    <w:name w:val="List Table 1 Light"/>
    <w:basedOn w:val="7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4">
    <w:name w:val="List Table 2"/>
    <w:basedOn w:val="7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5">
    <w:name w:val="List Table 3"/>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6">
    <w:name w:val="List Table 4"/>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7">
    <w:name w:val="List Table 5 Dark"/>
    <w:basedOn w:val="7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8">
    <w:name w:val="List Table 6 Colorful"/>
    <w:basedOn w:val="7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9">
    <w:name w:val="List Table 7 Colorful"/>
    <w:basedOn w:val="7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0">
    <w:name w:val="TOC Heading"/>
    <w:uiPriority w:val="39"/>
    <w:unhideWhenUsed/>
  </w:style>
  <w:style w:type="paragraph" w:styleId="731"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32">
    <w:name w:val="Heading 1"/>
    <w:basedOn w:val="731"/>
    <w:next w:val="731"/>
    <w:link w:val="773"/>
    <w:uiPriority w:val="9"/>
    <w:qFormat/>
    <w:pPr>
      <w:jc w:val="center"/>
      <w:keepLines/>
      <w:keepNext/>
      <w:spacing w:line="360" w:lineRule="auto"/>
      <w:outlineLvl w:val="0"/>
    </w:pPr>
    <w:rPr>
      <w:rFonts w:ascii="Arial" w:hAnsi="Arial" w:cs="Arial"/>
      <w:b/>
      <w:sz w:val="30"/>
      <w:szCs w:val="40"/>
    </w:rPr>
  </w:style>
  <w:style w:type="paragraph" w:styleId="733">
    <w:name w:val="Heading 2"/>
    <w:basedOn w:val="731"/>
    <w:next w:val="731"/>
    <w:link w:val="774"/>
    <w:uiPriority w:val="9"/>
    <w:unhideWhenUsed/>
    <w:qFormat/>
    <w:pPr>
      <w:keepLines/>
      <w:keepNext/>
      <w:spacing w:before="360" w:after="200"/>
      <w:outlineLvl w:val="1"/>
    </w:pPr>
    <w:rPr>
      <w:rFonts w:ascii="Arial" w:hAnsi="Arial" w:eastAsia="Arial" w:cs="Arial"/>
      <w:sz w:val="34"/>
    </w:rPr>
  </w:style>
  <w:style w:type="paragraph" w:styleId="734">
    <w:name w:val="Heading 3"/>
    <w:basedOn w:val="731"/>
    <w:next w:val="731"/>
    <w:link w:val="775"/>
    <w:uiPriority w:val="9"/>
    <w:unhideWhenUsed/>
    <w:qFormat/>
    <w:pPr>
      <w:keepLines/>
      <w:keepNext/>
      <w:spacing w:before="320" w:after="200"/>
      <w:outlineLvl w:val="2"/>
    </w:pPr>
    <w:rPr>
      <w:rFonts w:ascii="Arial" w:hAnsi="Arial" w:eastAsia="Arial" w:cs="Arial"/>
      <w:sz w:val="30"/>
      <w:szCs w:val="30"/>
    </w:rPr>
  </w:style>
  <w:style w:type="paragraph" w:styleId="735">
    <w:name w:val="Heading 4"/>
    <w:basedOn w:val="731"/>
    <w:next w:val="731"/>
    <w:link w:val="776"/>
    <w:uiPriority w:val="9"/>
    <w:unhideWhenUsed/>
    <w:qFormat/>
    <w:pPr>
      <w:keepLines/>
      <w:keepNext/>
      <w:spacing w:before="320" w:after="200"/>
      <w:outlineLvl w:val="3"/>
    </w:pPr>
    <w:rPr>
      <w:rFonts w:ascii="Arial" w:hAnsi="Arial" w:eastAsia="Arial" w:cs="Arial"/>
      <w:b/>
      <w:bCs/>
      <w:sz w:val="26"/>
      <w:szCs w:val="26"/>
    </w:rPr>
  </w:style>
  <w:style w:type="paragraph" w:styleId="736">
    <w:name w:val="Heading 5"/>
    <w:basedOn w:val="731"/>
    <w:next w:val="731"/>
    <w:link w:val="777"/>
    <w:uiPriority w:val="9"/>
    <w:unhideWhenUsed/>
    <w:qFormat/>
    <w:pPr>
      <w:keepLines/>
      <w:keepNext/>
      <w:spacing w:before="320" w:after="200"/>
      <w:outlineLvl w:val="4"/>
    </w:pPr>
    <w:rPr>
      <w:rFonts w:ascii="Arial" w:hAnsi="Arial" w:eastAsia="Arial" w:cs="Arial"/>
      <w:b/>
      <w:bCs/>
      <w:sz w:val="24"/>
      <w:szCs w:val="24"/>
    </w:rPr>
  </w:style>
  <w:style w:type="paragraph" w:styleId="737">
    <w:name w:val="Heading 6"/>
    <w:basedOn w:val="731"/>
    <w:next w:val="731"/>
    <w:link w:val="778"/>
    <w:uiPriority w:val="9"/>
    <w:unhideWhenUsed/>
    <w:qFormat/>
    <w:pPr>
      <w:keepLines/>
      <w:keepNext/>
      <w:spacing w:before="320" w:after="200"/>
      <w:outlineLvl w:val="5"/>
    </w:pPr>
    <w:rPr>
      <w:rFonts w:ascii="Arial" w:hAnsi="Arial" w:eastAsia="Arial" w:cs="Arial"/>
      <w:b/>
      <w:bCs/>
      <w:sz w:val="22"/>
    </w:rPr>
  </w:style>
  <w:style w:type="paragraph" w:styleId="738">
    <w:name w:val="Heading 7"/>
    <w:basedOn w:val="731"/>
    <w:next w:val="731"/>
    <w:link w:val="779"/>
    <w:uiPriority w:val="9"/>
    <w:unhideWhenUsed/>
    <w:qFormat/>
    <w:pPr>
      <w:keepLines/>
      <w:keepNext/>
      <w:spacing w:before="320" w:after="200"/>
      <w:outlineLvl w:val="6"/>
    </w:pPr>
    <w:rPr>
      <w:rFonts w:ascii="Arial" w:hAnsi="Arial" w:eastAsia="Arial" w:cs="Arial"/>
      <w:b/>
      <w:bCs/>
      <w:i/>
      <w:iCs/>
      <w:sz w:val="22"/>
    </w:rPr>
  </w:style>
  <w:style w:type="paragraph" w:styleId="739">
    <w:name w:val="Heading 8"/>
    <w:basedOn w:val="731"/>
    <w:next w:val="731"/>
    <w:link w:val="780"/>
    <w:uiPriority w:val="9"/>
    <w:unhideWhenUsed/>
    <w:qFormat/>
    <w:pPr>
      <w:keepLines/>
      <w:keepNext/>
      <w:spacing w:before="320" w:after="200"/>
      <w:outlineLvl w:val="7"/>
    </w:pPr>
    <w:rPr>
      <w:rFonts w:ascii="Arial" w:hAnsi="Arial" w:eastAsia="Arial" w:cs="Arial"/>
      <w:i/>
      <w:iCs/>
      <w:sz w:val="22"/>
    </w:rPr>
  </w:style>
  <w:style w:type="paragraph" w:styleId="740">
    <w:name w:val="Heading 9"/>
    <w:basedOn w:val="731"/>
    <w:next w:val="731"/>
    <w:link w:val="781"/>
    <w:uiPriority w:val="9"/>
    <w:unhideWhenUsed/>
    <w:qFormat/>
    <w:pPr>
      <w:keepLines/>
      <w:keepNext/>
      <w:spacing w:before="320" w:after="200"/>
      <w:outlineLvl w:val="8"/>
    </w:pPr>
    <w:rPr>
      <w:rFonts w:ascii="Arial" w:hAnsi="Arial" w:eastAsia="Arial" w:cs="Arial"/>
      <w:i/>
      <w:iCs/>
      <w:szCs w:val="21"/>
    </w:rPr>
  </w:style>
  <w:style w:type="character" w:styleId="741" w:default="1">
    <w:name w:val="Default Paragraph Font"/>
    <w:uiPriority w:val="1"/>
    <w:unhideWhenUsed/>
    <w:qFormat/>
  </w:style>
  <w:style w:type="table" w:styleId="742" w:default="1">
    <w:name w:val="Normal Table"/>
    <w:uiPriority w:val="99"/>
    <w:unhideWhenUsed/>
    <w:qFormat/>
    <w:tblPr>
      <w:tblCellMar>
        <w:left w:w="108" w:type="dxa"/>
        <w:top w:w="0" w:type="dxa"/>
        <w:right w:w="108" w:type="dxa"/>
        <w:bottom w:w="0" w:type="dxa"/>
      </w:tblCellMar>
    </w:tblPr>
  </w:style>
  <w:style w:type="paragraph" w:styleId="743">
    <w:name w:val="toc 7"/>
    <w:basedOn w:val="731"/>
    <w:next w:val="731"/>
    <w:uiPriority w:val="39"/>
    <w:unhideWhenUsed/>
    <w:qFormat/>
    <w:pPr>
      <w:ind w:left="1701"/>
      <w:spacing w:after="57"/>
    </w:pPr>
  </w:style>
  <w:style w:type="paragraph" w:styleId="744">
    <w:name w:val="Caption"/>
    <w:basedOn w:val="731"/>
    <w:next w:val="731"/>
    <w:uiPriority w:val="35"/>
    <w:unhideWhenUsed/>
    <w:qFormat/>
    <w:pPr>
      <w:spacing w:line="276" w:lineRule="auto"/>
    </w:pPr>
    <w:rPr>
      <w:b/>
      <w:bCs/>
      <w:color w:val="4f81bd"/>
      <w:sz w:val="18"/>
      <w:szCs w:val="18"/>
    </w:rPr>
  </w:style>
  <w:style w:type="paragraph" w:styleId="745">
    <w:name w:val="annotation text"/>
    <w:basedOn w:val="731"/>
    <w:uiPriority w:val="99"/>
    <w:unhideWhenUsed/>
    <w:qFormat/>
    <w:pPr>
      <w:jc w:val="left"/>
    </w:pPr>
  </w:style>
  <w:style w:type="paragraph" w:styleId="746">
    <w:name w:val="Body Text"/>
    <w:basedOn w:val="731"/>
    <w:uiPriority w:val="0"/>
    <w:qFormat/>
    <w:pPr>
      <w:spacing w:after="120"/>
    </w:pPr>
    <w:rPr>
      <w:rFonts w:ascii="Times New Roman" w:hAnsi="Times New Roman"/>
    </w:rPr>
  </w:style>
  <w:style w:type="paragraph" w:styleId="747">
    <w:name w:val="Body Text Indent"/>
    <w:basedOn w:val="731"/>
    <w:next w:val="731"/>
    <w:uiPriority w:val="0"/>
    <w:qFormat/>
    <w:pPr>
      <w:ind w:left="420"/>
      <w:spacing w:after="120"/>
    </w:pPr>
    <w:rPr>
      <w:rFonts w:ascii="等线" w:hAnsi="等线" w:eastAsia="等线"/>
    </w:rPr>
  </w:style>
  <w:style w:type="paragraph" w:styleId="748">
    <w:name w:val="toc 5"/>
    <w:basedOn w:val="731"/>
    <w:next w:val="731"/>
    <w:uiPriority w:val="39"/>
    <w:unhideWhenUsed/>
    <w:qFormat/>
    <w:pPr>
      <w:ind w:left="1134"/>
      <w:spacing w:after="57"/>
    </w:pPr>
  </w:style>
  <w:style w:type="paragraph" w:styleId="749">
    <w:name w:val="toc 3"/>
    <w:basedOn w:val="731"/>
    <w:next w:val="731"/>
    <w:uiPriority w:val="39"/>
    <w:unhideWhenUsed/>
    <w:qFormat/>
    <w:pPr>
      <w:ind w:left="567"/>
      <w:spacing w:after="57"/>
    </w:pPr>
  </w:style>
  <w:style w:type="paragraph" w:styleId="750">
    <w:name w:val="Plain Text"/>
    <w:basedOn w:val="731"/>
    <w:uiPriority w:val="0"/>
    <w:qFormat/>
    <w:rPr>
      <w:rFonts w:ascii="宋体" w:hAnsi="Courier New"/>
      <w:sz w:val="20"/>
      <w:szCs w:val="21"/>
    </w:rPr>
  </w:style>
  <w:style w:type="paragraph" w:styleId="751">
    <w:name w:val="toc 8"/>
    <w:basedOn w:val="731"/>
    <w:next w:val="731"/>
    <w:uiPriority w:val="39"/>
    <w:unhideWhenUsed/>
    <w:qFormat/>
    <w:pPr>
      <w:ind w:left="1984"/>
      <w:spacing w:after="57"/>
    </w:pPr>
  </w:style>
  <w:style w:type="paragraph" w:styleId="752">
    <w:name w:val="endnote text"/>
    <w:basedOn w:val="731"/>
    <w:link w:val="782"/>
    <w:uiPriority w:val="99"/>
    <w:unhideWhenUsed/>
    <w:qFormat/>
    <w:rPr>
      <w:sz w:val="20"/>
    </w:rPr>
  </w:style>
  <w:style w:type="paragraph" w:styleId="753">
    <w:name w:val="Footer"/>
    <w:basedOn w:val="731"/>
    <w:link w:val="783"/>
    <w:uiPriority w:val="99"/>
    <w:unhideWhenUsed/>
    <w:qFormat/>
    <w:pPr>
      <w:tabs>
        <w:tab w:val="center" w:pos="7143" w:leader="none"/>
        <w:tab w:val="right" w:pos="14287" w:leader="none"/>
      </w:tabs>
    </w:pPr>
  </w:style>
  <w:style w:type="paragraph" w:styleId="754">
    <w:name w:val="Header"/>
    <w:basedOn w:val="731"/>
    <w:link w:val="784"/>
    <w:uiPriority w:val="99"/>
    <w:unhideWhenUsed/>
    <w:qFormat/>
    <w:pPr>
      <w:tabs>
        <w:tab w:val="center" w:pos="7143" w:leader="none"/>
        <w:tab w:val="right" w:pos="14287" w:leader="none"/>
      </w:tabs>
    </w:pPr>
  </w:style>
  <w:style w:type="paragraph" w:styleId="755">
    <w:name w:val="toc 1"/>
    <w:basedOn w:val="731"/>
    <w:next w:val="731"/>
    <w:uiPriority w:val="39"/>
    <w:unhideWhenUsed/>
    <w:qFormat/>
    <w:pPr>
      <w:spacing w:after="57"/>
    </w:pPr>
  </w:style>
  <w:style w:type="paragraph" w:styleId="756">
    <w:name w:val="toc 4"/>
    <w:basedOn w:val="731"/>
    <w:next w:val="731"/>
    <w:uiPriority w:val="39"/>
    <w:unhideWhenUsed/>
    <w:qFormat/>
    <w:pPr>
      <w:ind w:left="850"/>
      <w:spacing w:after="57"/>
    </w:pPr>
  </w:style>
  <w:style w:type="paragraph" w:styleId="757">
    <w:name w:val="Subtitle"/>
    <w:basedOn w:val="731"/>
    <w:next w:val="731"/>
    <w:link w:val="785"/>
    <w:uiPriority w:val="11"/>
    <w:qFormat/>
    <w:pPr>
      <w:spacing w:before="200" w:after="200"/>
    </w:pPr>
    <w:rPr>
      <w:sz w:val="24"/>
      <w:szCs w:val="24"/>
    </w:rPr>
  </w:style>
  <w:style w:type="paragraph" w:styleId="758">
    <w:name w:val="footnote text"/>
    <w:basedOn w:val="731"/>
    <w:link w:val="786"/>
    <w:uiPriority w:val="99"/>
    <w:unhideWhenUsed/>
    <w:qFormat/>
    <w:pPr>
      <w:spacing w:after="40"/>
    </w:pPr>
    <w:rPr>
      <w:sz w:val="18"/>
    </w:rPr>
  </w:style>
  <w:style w:type="paragraph" w:styleId="759">
    <w:name w:val="toc 6"/>
    <w:basedOn w:val="731"/>
    <w:next w:val="731"/>
    <w:uiPriority w:val="39"/>
    <w:unhideWhenUsed/>
    <w:qFormat/>
    <w:pPr>
      <w:ind w:left="1417"/>
      <w:spacing w:after="57"/>
    </w:pPr>
  </w:style>
  <w:style w:type="paragraph" w:styleId="760">
    <w:name w:val="table of figures"/>
    <w:basedOn w:val="731"/>
    <w:next w:val="731"/>
    <w:uiPriority w:val="99"/>
    <w:unhideWhenUsed/>
    <w:qFormat/>
  </w:style>
  <w:style w:type="paragraph" w:styleId="761">
    <w:name w:val="toc 2"/>
    <w:basedOn w:val="731"/>
    <w:next w:val="731"/>
    <w:uiPriority w:val="39"/>
    <w:unhideWhenUsed/>
    <w:qFormat/>
    <w:pPr>
      <w:ind w:left="283"/>
      <w:spacing w:after="57"/>
    </w:pPr>
  </w:style>
  <w:style w:type="paragraph" w:styleId="762">
    <w:name w:val="toc 9"/>
    <w:basedOn w:val="731"/>
    <w:next w:val="731"/>
    <w:uiPriority w:val="39"/>
    <w:unhideWhenUsed/>
    <w:qFormat/>
    <w:pPr>
      <w:ind w:left="2268"/>
      <w:spacing w:after="57"/>
    </w:pPr>
  </w:style>
  <w:style w:type="paragraph" w:styleId="763">
    <w:name w:val="Normal (Web)"/>
    <w:basedOn w:val="731"/>
    <w:uiPriority w:val="99"/>
    <w:unhideWhenUsed/>
    <w:qFormat/>
    <w:pPr>
      <w:jc w:val="left"/>
      <w:spacing w:beforeAutospacing="1" w:afterAutospacing="1"/>
    </w:pPr>
    <w:rPr>
      <w:sz w:val="24"/>
    </w:rPr>
  </w:style>
  <w:style w:type="paragraph" w:styleId="764">
    <w:name w:val="Title"/>
    <w:basedOn w:val="731"/>
    <w:next w:val="731"/>
    <w:link w:val="787"/>
    <w:uiPriority w:val="10"/>
    <w:qFormat/>
    <w:pPr>
      <w:contextualSpacing/>
      <w:spacing w:before="300" w:after="200"/>
    </w:pPr>
    <w:rPr>
      <w:sz w:val="48"/>
      <w:szCs w:val="48"/>
    </w:rPr>
  </w:style>
  <w:style w:type="paragraph" w:styleId="765">
    <w:name w:val="Body Text First Indent"/>
    <w:basedOn w:val="746"/>
    <w:uiPriority w:val="0"/>
    <w:unhideWhenUsed/>
    <w:qFormat/>
    <w:pPr>
      <w:ind w:firstLine="420"/>
    </w:pPr>
    <w:rPr>
      <w:szCs w:val="21"/>
    </w:rPr>
  </w:style>
  <w:style w:type="table" w:styleId="76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Strong"/>
    <w:basedOn w:val="741"/>
    <w:uiPriority w:val="22"/>
    <w:qFormat/>
    <w:rPr>
      <w:b/>
    </w:rPr>
  </w:style>
  <w:style w:type="character" w:styleId="768">
    <w:name w:val="endnote reference"/>
    <w:uiPriority w:val="99"/>
    <w:unhideWhenUsed/>
    <w:qFormat/>
    <w:rPr>
      <w:vertAlign w:val="superscript"/>
    </w:rPr>
  </w:style>
  <w:style w:type="character" w:styleId="769">
    <w:name w:val="Emphasis"/>
    <w:uiPriority w:val="0"/>
    <w:qFormat/>
    <w:rPr>
      <w:i/>
    </w:rPr>
  </w:style>
  <w:style w:type="character" w:styleId="770">
    <w:name w:val="Hyperlink"/>
    <w:uiPriority w:val="99"/>
    <w:unhideWhenUsed/>
    <w:qFormat/>
    <w:rPr>
      <w:color w:val="0000ff"/>
      <w:u w:val="single"/>
    </w:rPr>
  </w:style>
  <w:style w:type="character" w:styleId="771">
    <w:name w:val="annotation reference"/>
    <w:basedOn w:val="741"/>
    <w:uiPriority w:val="0"/>
    <w:qFormat/>
    <w:rPr>
      <w:sz w:val="21"/>
      <w:szCs w:val="21"/>
    </w:rPr>
  </w:style>
  <w:style w:type="character" w:styleId="772">
    <w:name w:val="footnote reference"/>
    <w:uiPriority w:val="99"/>
    <w:unhideWhenUsed/>
    <w:qFormat/>
    <w:rPr>
      <w:vertAlign w:val="superscript"/>
    </w:rPr>
  </w:style>
  <w:style w:type="character" w:styleId="773" w:customStyle="1">
    <w:name w:val="标题 1 字符"/>
    <w:link w:val="732"/>
    <w:uiPriority w:val="9"/>
    <w:qFormat/>
    <w:rPr>
      <w:rFonts w:ascii="Arial" w:hAnsi="Arial" w:eastAsia="宋体" w:cs="Arial"/>
      <w:b/>
      <w:sz w:val="30"/>
      <w:szCs w:val="40"/>
    </w:rPr>
  </w:style>
  <w:style w:type="character" w:styleId="774" w:customStyle="1">
    <w:name w:val="标题 2 字符"/>
    <w:link w:val="733"/>
    <w:uiPriority w:val="9"/>
    <w:qFormat/>
    <w:rPr>
      <w:rFonts w:ascii="Arial" w:hAnsi="Arial" w:eastAsia="Arial" w:cs="Arial"/>
      <w:sz w:val="34"/>
    </w:rPr>
  </w:style>
  <w:style w:type="character" w:styleId="775" w:customStyle="1">
    <w:name w:val="标题 3 字符"/>
    <w:link w:val="734"/>
    <w:uiPriority w:val="9"/>
    <w:qFormat/>
    <w:rPr>
      <w:rFonts w:ascii="Arial" w:hAnsi="Arial" w:eastAsia="Arial" w:cs="Arial"/>
      <w:sz w:val="30"/>
      <w:szCs w:val="30"/>
    </w:rPr>
  </w:style>
  <w:style w:type="character" w:styleId="776" w:customStyle="1">
    <w:name w:val="标题 4 字符"/>
    <w:link w:val="735"/>
    <w:uiPriority w:val="9"/>
    <w:qFormat/>
    <w:rPr>
      <w:rFonts w:ascii="Arial" w:hAnsi="Arial" w:eastAsia="Arial" w:cs="Arial"/>
      <w:b/>
      <w:bCs/>
      <w:sz w:val="26"/>
      <w:szCs w:val="26"/>
    </w:rPr>
  </w:style>
  <w:style w:type="character" w:styleId="777" w:customStyle="1">
    <w:name w:val="标题 5 字符"/>
    <w:link w:val="736"/>
    <w:uiPriority w:val="9"/>
    <w:qFormat/>
    <w:rPr>
      <w:rFonts w:ascii="Arial" w:hAnsi="Arial" w:eastAsia="Arial" w:cs="Arial"/>
      <w:b/>
      <w:bCs/>
      <w:sz w:val="24"/>
      <w:szCs w:val="24"/>
    </w:rPr>
  </w:style>
  <w:style w:type="character" w:styleId="778" w:customStyle="1">
    <w:name w:val="标题 6 字符"/>
    <w:link w:val="737"/>
    <w:uiPriority w:val="9"/>
    <w:qFormat/>
    <w:rPr>
      <w:rFonts w:ascii="Arial" w:hAnsi="Arial" w:eastAsia="Arial" w:cs="Arial"/>
      <w:b/>
      <w:bCs/>
      <w:sz w:val="22"/>
      <w:szCs w:val="22"/>
    </w:rPr>
  </w:style>
  <w:style w:type="character" w:styleId="779" w:customStyle="1">
    <w:name w:val="标题 7 字符"/>
    <w:link w:val="738"/>
    <w:uiPriority w:val="9"/>
    <w:qFormat/>
    <w:rPr>
      <w:rFonts w:ascii="Arial" w:hAnsi="Arial" w:eastAsia="Arial" w:cs="Arial"/>
      <w:b/>
      <w:bCs/>
      <w:i/>
      <w:iCs/>
      <w:sz w:val="22"/>
      <w:szCs w:val="22"/>
    </w:rPr>
  </w:style>
  <w:style w:type="character" w:styleId="780" w:customStyle="1">
    <w:name w:val="标题 8 字符"/>
    <w:link w:val="739"/>
    <w:uiPriority w:val="9"/>
    <w:qFormat/>
    <w:rPr>
      <w:rFonts w:ascii="Arial" w:hAnsi="Arial" w:eastAsia="Arial" w:cs="Arial"/>
      <w:i/>
      <w:iCs/>
      <w:sz w:val="22"/>
      <w:szCs w:val="22"/>
    </w:rPr>
  </w:style>
  <w:style w:type="character" w:styleId="781" w:customStyle="1">
    <w:name w:val="标题 9 字符"/>
    <w:link w:val="740"/>
    <w:uiPriority w:val="9"/>
    <w:qFormat/>
    <w:rPr>
      <w:rFonts w:ascii="Arial" w:hAnsi="Arial" w:eastAsia="Arial" w:cs="Arial"/>
      <w:i/>
      <w:iCs/>
      <w:sz w:val="21"/>
      <w:szCs w:val="21"/>
    </w:rPr>
  </w:style>
  <w:style w:type="character" w:styleId="782" w:customStyle="1">
    <w:name w:val="尾注文本 字符"/>
    <w:link w:val="752"/>
    <w:uiPriority w:val="99"/>
    <w:qFormat/>
    <w:rPr>
      <w:sz w:val="20"/>
    </w:rPr>
  </w:style>
  <w:style w:type="character" w:styleId="783" w:customStyle="1">
    <w:name w:val="页脚 字符"/>
    <w:link w:val="753"/>
    <w:uiPriority w:val="99"/>
    <w:qFormat/>
  </w:style>
  <w:style w:type="character" w:styleId="784" w:customStyle="1">
    <w:name w:val="页眉 字符"/>
    <w:link w:val="754"/>
    <w:uiPriority w:val="99"/>
    <w:qFormat/>
  </w:style>
  <w:style w:type="character" w:styleId="785" w:customStyle="1">
    <w:name w:val="副标题 字符"/>
    <w:link w:val="757"/>
    <w:uiPriority w:val="11"/>
    <w:qFormat/>
    <w:rPr>
      <w:sz w:val="24"/>
      <w:szCs w:val="24"/>
    </w:rPr>
  </w:style>
  <w:style w:type="character" w:styleId="786" w:customStyle="1">
    <w:name w:val="脚注文本 字符"/>
    <w:link w:val="758"/>
    <w:uiPriority w:val="99"/>
    <w:qFormat/>
    <w:rPr>
      <w:sz w:val="18"/>
    </w:rPr>
  </w:style>
  <w:style w:type="character" w:styleId="787" w:customStyle="1">
    <w:name w:val="标题 字符"/>
    <w:link w:val="764"/>
    <w:uiPriority w:val="10"/>
    <w:qFormat/>
    <w:rPr>
      <w:sz w:val="48"/>
      <w:szCs w:val="48"/>
    </w:rPr>
  </w:style>
  <w:style w:type="character" w:styleId="788" w:customStyle="1">
    <w:name w:val="Heading 1 Char"/>
    <w:basedOn w:val="741"/>
    <w:uiPriority w:val="9"/>
    <w:qFormat/>
    <w:rPr>
      <w:rFonts w:ascii="Arial" w:hAnsi="Arial" w:eastAsia="Arial" w:cs="Arial"/>
      <w:sz w:val="40"/>
      <w:szCs w:val="40"/>
    </w:rPr>
  </w:style>
  <w:style w:type="character" w:styleId="789" w:customStyle="1">
    <w:name w:val="Heading 2 Char"/>
    <w:basedOn w:val="741"/>
    <w:uiPriority w:val="9"/>
    <w:qFormat/>
    <w:rPr>
      <w:rFonts w:ascii="Arial" w:hAnsi="Arial" w:eastAsia="Arial" w:cs="Arial"/>
      <w:sz w:val="34"/>
    </w:rPr>
  </w:style>
  <w:style w:type="character" w:styleId="790" w:customStyle="1">
    <w:name w:val="Heading 3 Char"/>
    <w:basedOn w:val="741"/>
    <w:uiPriority w:val="9"/>
    <w:qFormat/>
    <w:rPr>
      <w:rFonts w:ascii="Arial" w:hAnsi="Arial" w:eastAsia="Arial" w:cs="Arial"/>
      <w:sz w:val="30"/>
      <w:szCs w:val="30"/>
    </w:rPr>
  </w:style>
  <w:style w:type="character" w:styleId="791" w:customStyle="1">
    <w:name w:val="Heading 4 Char"/>
    <w:basedOn w:val="741"/>
    <w:uiPriority w:val="9"/>
    <w:qFormat/>
    <w:rPr>
      <w:rFonts w:ascii="Arial" w:hAnsi="Arial" w:eastAsia="Arial" w:cs="Arial"/>
      <w:b/>
      <w:bCs/>
      <w:sz w:val="26"/>
      <w:szCs w:val="26"/>
    </w:rPr>
  </w:style>
  <w:style w:type="character" w:styleId="792" w:customStyle="1">
    <w:name w:val="Heading 5 Char"/>
    <w:basedOn w:val="741"/>
    <w:uiPriority w:val="9"/>
    <w:qFormat/>
    <w:rPr>
      <w:rFonts w:ascii="Arial" w:hAnsi="Arial" w:eastAsia="Arial" w:cs="Arial"/>
      <w:b/>
      <w:bCs/>
      <w:sz w:val="24"/>
      <w:szCs w:val="24"/>
    </w:rPr>
  </w:style>
  <w:style w:type="character" w:styleId="793" w:customStyle="1">
    <w:name w:val="Heading 6 Char"/>
    <w:basedOn w:val="741"/>
    <w:uiPriority w:val="9"/>
    <w:qFormat/>
    <w:rPr>
      <w:rFonts w:ascii="Arial" w:hAnsi="Arial" w:eastAsia="Arial" w:cs="Arial"/>
      <w:b/>
      <w:bCs/>
      <w:sz w:val="22"/>
      <w:szCs w:val="22"/>
    </w:rPr>
  </w:style>
  <w:style w:type="character" w:styleId="794" w:customStyle="1">
    <w:name w:val="Heading 7 Char"/>
    <w:basedOn w:val="741"/>
    <w:uiPriority w:val="9"/>
    <w:qFormat/>
    <w:rPr>
      <w:rFonts w:ascii="Arial" w:hAnsi="Arial" w:eastAsia="Arial" w:cs="Arial"/>
      <w:b/>
      <w:bCs/>
      <w:i/>
      <w:iCs/>
      <w:sz w:val="22"/>
      <w:szCs w:val="22"/>
    </w:rPr>
  </w:style>
  <w:style w:type="character" w:styleId="795" w:customStyle="1">
    <w:name w:val="Heading 8 Char"/>
    <w:basedOn w:val="741"/>
    <w:uiPriority w:val="9"/>
    <w:qFormat/>
    <w:rPr>
      <w:rFonts w:ascii="Arial" w:hAnsi="Arial" w:eastAsia="Arial" w:cs="Arial"/>
      <w:i/>
      <w:iCs/>
      <w:sz w:val="22"/>
      <w:szCs w:val="22"/>
    </w:rPr>
  </w:style>
  <w:style w:type="character" w:styleId="796" w:customStyle="1">
    <w:name w:val="Heading 9 Char"/>
    <w:basedOn w:val="741"/>
    <w:uiPriority w:val="9"/>
    <w:qFormat/>
    <w:rPr>
      <w:rFonts w:ascii="Arial" w:hAnsi="Arial" w:eastAsia="Arial" w:cs="Arial"/>
      <w:i/>
      <w:iCs/>
      <w:sz w:val="21"/>
      <w:szCs w:val="21"/>
    </w:rPr>
  </w:style>
  <w:style w:type="character" w:styleId="797" w:customStyle="1">
    <w:name w:val="Title Char"/>
    <w:basedOn w:val="741"/>
    <w:uiPriority w:val="10"/>
    <w:qFormat/>
    <w:rPr>
      <w:sz w:val="48"/>
      <w:szCs w:val="48"/>
    </w:rPr>
  </w:style>
  <w:style w:type="character" w:styleId="798" w:customStyle="1">
    <w:name w:val="Subtitle Char"/>
    <w:basedOn w:val="741"/>
    <w:uiPriority w:val="11"/>
    <w:qFormat/>
    <w:rPr>
      <w:sz w:val="24"/>
      <w:szCs w:val="24"/>
    </w:rPr>
  </w:style>
  <w:style w:type="character" w:styleId="799" w:customStyle="1">
    <w:name w:val="Quote Char"/>
    <w:uiPriority w:val="29"/>
    <w:qFormat/>
    <w:rPr>
      <w:i/>
    </w:rPr>
  </w:style>
  <w:style w:type="character" w:styleId="800" w:customStyle="1">
    <w:name w:val="Intense Quote Char"/>
    <w:uiPriority w:val="30"/>
    <w:qFormat/>
    <w:rPr>
      <w:i/>
    </w:rPr>
  </w:style>
  <w:style w:type="character" w:styleId="801" w:customStyle="1">
    <w:name w:val="Header Char"/>
    <w:basedOn w:val="741"/>
    <w:uiPriority w:val="99"/>
    <w:qFormat/>
  </w:style>
  <w:style w:type="character" w:styleId="802" w:customStyle="1">
    <w:name w:val="Caption Char"/>
    <w:uiPriority w:val="99"/>
    <w:qFormat/>
  </w:style>
  <w:style w:type="table" w:styleId="803" w:customStyle="1">
    <w:name w:val="无格式表格 11"/>
    <w:basedOn w:val="742"/>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21"/>
    <w:basedOn w:val="742"/>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31"/>
    <w:basedOn w:val="742"/>
    <w:uiPriority w:val="99"/>
    <w:qFormat/>
    <w:tblPr>
      <w:tblCellMar>
        <w:left w:w="0" w:type="dxa"/>
        <w:right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06" w:customStyle="1">
    <w:name w:val="无格式表格 41"/>
    <w:basedOn w:val="742"/>
    <w:uiPriority w:val="99"/>
    <w:qFormat/>
    <w:tblPr>
      <w:tblCellMar>
        <w:left w:w="0" w:type="dxa"/>
        <w:right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无格式表格 51"/>
    <w:basedOn w:val="742"/>
    <w:uiPriority w:val="99"/>
    <w:qFormat/>
    <w:tblPr>
      <w:tblCellMar>
        <w:left w:w="0" w:type="dxa"/>
        <w:right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8" w:customStyle="1">
    <w:name w:val="网格表 1 浅色1"/>
    <w:basedOn w:val="742"/>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right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9" w:customStyle="1">
    <w:name w:val="网格表 21"/>
    <w:basedOn w:val="742"/>
    <w:uiPriority w:val="99"/>
    <w:qFormat/>
    <w:tblPr>
      <w:tblBorders>
        <w:bottom w:val="single" w:color="696969" w:sz="4" w:space="0"/>
        <w:insideH w:val="single" w:color="696969" w:sz="4" w:space="0"/>
        <w:insideV w:val="single" w:color="696969" w:sz="4" w:space="0"/>
      </w:tblBorders>
      <w:tblCellMar>
        <w:left w:w="0" w:type="dxa"/>
        <w:right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0" w:customStyle="1">
    <w:name w:val="网格表 31"/>
    <w:basedOn w:val="742"/>
    <w:uiPriority w:val="99"/>
    <w:qFormat/>
    <w:tblPr>
      <w:tblBorders>
        <w:bottom w:val="single" w:color="696969" w:sz="4" w:space="0"/>
        <w:insideH w:val="single" w:color="696969" w:sz="4" w:space="0"/>
        <w:insideV w:val="single" w:color="696969" w:sz="4" w:space="0"/>
      </w:tblBorders>
      <w:tblCellMar>
        <w:left w:w="0" w:type="dxa"/>
        <w:right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1" w:customStyle="1">
    <w:name w:val="网格表 41"/>
    <w:basedOn w:val="742"/>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right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2" w:customStyle="1">
    <w:name w:val="网格表 5 深色1"/>
    <w:basedOn w:val="74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3" w:customStyle="1">
    <w:name w:val="网格表 6 彩色1"/>
    <w:basedOn w:val="742"/>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right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14" w:customStyle="1">
    <w:name w:val="网格表 7 彩色1"/>
    <w:basedOn w:val="742"/>
    <w:uiPriority w:val="99"/>
    <w:qFormat/>
    <w:tblPr>
      <w:tblBorders>
        <w:bottom w:val="single" w:color="7E7E7E" w:sz="4" w:space="0"/>
        <w:right w:val="single" w:color="7E7E7E" w:sz="4" w:space="0"/>
        <w:insideH w:val="single" w:color="7E7E7E" w:sz="4" w:space="0"/>
        <w:insideV w:val="single" w:color="7E7E7E" w:sz="4" w:space="0"/>
      </w:tblBorders>
      <w:tblCellMar>
        <w:left w:w="0" w:type="dxa"/>
        <w:right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5" w:customStyle="1">
    <w:name w:val="清单表 1 浅色1"/>
    <w:basedOn w:val="742"/>
    <w:uiPriority w:val="99"/>
    <w:qFormat/>
    <w:tblPr>
      <w:tblCellMar>
        <w:left w:w="0" w:type="dxa"/>
        <w:right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6" w:customStyle="1">
    <w:name w:val="清单表 21"/>
    <w:basedOn w:val="742"/>
    <w:uiPriority w:val="99"/>
    <w:qFormat/>
    <w:tblPr>
      <w:tblBorders>
        <w:top w:val="single" w:color="6E6E6E" w:sz="4" w:space="0"/>
        <w:bottom w:val="single" w:color="6E6E6E" w:sz="4" w:space="0"/>
        <w:insideH w:val="single" w:color="6E6E6E" w:sz="4" w:space="0"/>
      </w:tblBorders>
      <w:tblCellMar>
        <w:left w:w="0" w:type="dxa"/>
        <w:right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17" w:customStyle="1">
    <w:name w:val="清单表 31"/>
    <w:basedOn w:val="742"/>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8" w:customStyle="1">
    <w:name w:val="清单表 41"/>
    <w:basedOn w:val="74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9" w:customStyle="1">
    <w:name w:val="清单表 5 深色1"/>
    <w:basedOn w:val="742"/>
    <w:uiPriority w:val="99"/>
    <w:qFormat/>
    <w:tblPr>
      <w:tblBorders>
        <w:top w:val="single" w:color="7E7E7E" w:sz="32" w:space="0"/>
        <w:left w:val="single" w:color="7E7E7E" w:sz="32" w:space="0"/>
        <w:bottom w:val="single" w:color="7E7E7E" w:sz="32" w:space="0"/>
        <w:right w:val="single" w:color="7E7E7E" w:sz="32" w:space="0"/>
      </w:tblBorders>
      <w:tblCellMar>
        <w:left w:w="0" w:type="dxa"/>
        <w:right w:w="0" w:type="dxa"/>
      </w:tblCellMar>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820" w:customStyle="1">
    <w:name w:val="清单表 6 彩色1"/>
    <w:basedOn w:val="742"/>
    <w:uiPriority w:val="99"/>
    <w:qFormat/>
    <w:tblPr>
      <w:tblBorders>
        <w:top w:val="single" w:color="7E7E7E" w:sz="4" w:space="0"/>
        <w:bottom w:val="single" w:color="7E7E7E" w:sz="4" w:space="0"/>
      </w:tblBorders>
      <w:tblCellMar>
        <w:left w:w="0" w:type="dxa"/>
        <w:right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1" w:customStyle="1">
    <w:name w:val="清单表 7 彩色1"/>
    <w:basedOn w:val="742"/>
    <w:uiPriority w:val="99"/>
    <w:qFormat/>
    <w:tblPr>
      <w:tblBorders>
        <w:right w:val="single" w:color="7E7E7E" w:sz="4" w:space="0"/>
      </w:tblBorders>
      <w:tblCellMar>
        <w:left w:w="0" w:type="dxa"/>
        <w:right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22" w:customStyle="1">
    <w:name w:val="Footnote Text Char"/>
    <w:uiPriority w:val="99"/>
    <w:qFormat/>
    <w:rPr>
      <w:sz w:val="18"/>
    </w:rPr>
  </w:style>
  <w:style w:type="character" w:styleId="823" w:customStyle="1">
    <w:name w:val="Endnote Text Char"/>
    <w:uiPriority w:val="99"/>
    <w:qFormat/>
    <w:rPr>
      <w:sz w:val="20"/>
    </w:rPr>
  </w:style>
  <w:style w:type="paragraph" w:styleId="824" w:customStyle="1">
    <w:name w:val="TOC 标题1"/>
    <w:uiPriority w:val="39"/>
    <w:unhideWhenUsed/>
    <w:qFormat/>
    <w:rPr>
      <w:rFonts w:ascii="Times New Roman" w:hAnsi="Times New Roman" w:eastAsia="宋体" w:cs="Times New Roman"/>
      <w:lang w:val="en-US" w:eastAsia="zh-CN" w:bidi="ar-SA"/>
    </w:rPr>
  </w:style>
  <w:style w:type="paragraph" w:styleId="825" w:customStyle="1">
    <w:name w:val="Default"/>
    <w:next w:val="731"/>
    <w:uiPriority w:val="0"/>
    <w:qFormat/>
    <w:pPr>
      <w:widowControl w:val="off"/>
    </w:pPr>
    <w:rPr>
      <w:rFonts w:ascii="黑体" w:hAnsi="Times New Roman" w:eastAsia="黑体" w:cs="Times New Roman"/>
      <w:lang w:val="en-US" w:eastAsia="zh-CN" w:bidi="ar-SA"/>
    </w:rPr>
  </w:style>
  <w:style w:type="paragraph" w:styleId="826">
    <w:name w:val="List Paragraph"/>
    <w:basedOn w:val="731"/>
    <w:uiPriority w:val="34"/>
    <w:qFormat/>
    <w:pPr>
      <w:contextualSpacing/>
      <w:ind w:left="720"/>
    </w:pPr>
  </w:style>
  <w:style w:type="paragraph" w:styleId="827">
    <w:name w:val="No Spacing"/>
    <w:uiPriority w:val="1"/>
    <w:qFormat/>
    <w:rPr>
      <w:rFonts w:ascii="Times New Roman" w:hAnsi="Times New Roman" w:eastAsia="宋体" w:cs="Times New Roman"/>
      <w:lang w:val="en-US" w:eastAsia="zh-CN" w:bidi="ar-SA"/>
    </w:rPr>
  </w:style>
  <w:style w:type="paragraph" w:styleId="828">
    <w:name w:val="Quote"/>
    <w:basedOn w:val="731"/>
    <w:next w:val="731"/>
    <w:link w:val="829"/>
    <w:uiPriority w:val="29"/>
    <w:qFormat/>
    <w:pPr>
      <w:ind w:left="720" w:right="720"/>
    </w:pPr>
    <w:rPr>
      <w:i/>
    </w:rPr>
  </w:style>
  <w:style w:type="character" w:styleId="829" w:customStyle="1">
    <w:name w:val="引用 字符"/>
    <w:link w:val="828"/>
    <w:uiPriority w:val="29"/>
    <w:qFormat/>
    <w:rPr>
      <w:i/>
    </w:rPr>
  </w:style>
  <w:style w:type="paragraph" w:styleId="830">
    <w:name w:val="Intense Quote"/>
    <w:basedOn w:val="731"/>
    <w:next w:val="731"/>
    <w:link w:val="8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customStyle="1">
    <w:name w:val="明显引用 字符"/>
    <w:link w:val="830"/>
    <w:uiPriority w:val="30"/>
    <w:qFormat/>
    <w:rPr>
      <w:i/>
    </w:rPr>
  </w:style>
  <w:style w:type="character" w:styleId="832" w:customStyle="1">
    <w:name w:val="Footer Char"/>
    <w:uiPriority w:val="99"/>
    <w:qFormat/>
  </w:style>
  <w:style w:type="table" w:styleId="833"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34"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35"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3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3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38"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3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40"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1"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2"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6"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7"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8"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3"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865"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blStylePr>
  </w:style>
  <w:style w:type="table" w:styleId="866"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86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blStylePr>
  </w:style>
  <w:style w:type="table" w:styleId="86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6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7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1"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2"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6"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7"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8"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9"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0"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1"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883"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88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88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88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88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88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89"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90"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9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9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9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9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95"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9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9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9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9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0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901"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902"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90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90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90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90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7"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8"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b/>
        <w:color w:val="c2d69b"/>
      </w:rPr>
    </w:tblStylePr>
    <w:tblStylePr w:type="firstRow">
      <w:rPr>
        <w:b/>
        <w:color w:val="c2d6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69b"/>
      </w:rPr>
    </w:tblStylePr>
    <w:tblStylePr w:type="lastRow">
      <w:rPr>
        <w:b/>
        <w:color w:val="c2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ddc"/>
      </w:rPr>
    </w:tblStylePr>
    <w:tblStylePr w:type="lastRow">
      <w:rPr>
        <w:b/>
        <w:color w:val="92cd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b/>
        <w:color w:val="fabf8f"/>
      </w:rPr>
    </w:tblStylePr>
    <w:tblStylePr w:type="firstRow">
      <w:rPr>
        <w:b/>
        <w:color w:val="fabf8f"/>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f"/>
      </w:rPr>
    </w:tblStylePr>
    <w:tblStylePr w:type="lastRow">
      <w:rPr>
        <w:b/>
        <w:color w:val="fabf8f"/>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2"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3"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4"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2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5"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6"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7"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1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2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2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2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2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2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25"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26"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27"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28"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2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3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3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32"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3"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4"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7"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39" w:customStyle="1">
    <w:name w:val="TOC 标题11"/>
    <w:uiPriority w:val="39"/>
    <w:unhideWhenUsed/>
    <w:qFormat/>
    <w:rPr>
      <w:rFonts w:ascii="Times New Roman" w:hAnsi="Times New Roman" w:eastAsia="宋体" w:cs="Times New Roman"/>
      <w:lang w:val="en-US" w:eastAsia="zh-CN" w:bidi="ar-SA"/>
    </w:rPr>
  </w:style>
  <w:style w:type="paragraph" w:styleId="940" w:customStyle="1">
    <w:name w:val="标题 11"/>
    <w:basedOn w:val="731"/>
    <w:next w:val="731"/>
    <w:uiPriority w:val="9"/>
    <w:qFormat/>
    <w:pPr>
      <w:keepLines/>
      <w:keepNext/>
      <w:spacing w:before="340" w:after="330" w:line="578" w:lineRule="auto"/>
      <w:outlineLvl w:val="0"/>
    </w:pPr>
    <w:rPr>
      <w:b/>
      <w:bCs/>
      <w:sz w:val="44"/>
      <w:szCs w:val="44"/>
    </w:rPr>
  </w:style>
  <w:style w:type="paragraph" w:styleId="941" w:customStyle="1">
    <w:name w:val="标题 21"/>
    <w:basedOn w:val="731"/>
    <w:next w:val="73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2" w:customStyle="1">
    <w:name w:val="标题 31"/>
    <w:basedOn w:val="731"/>
    <w:next w:val="731"/>
    <w:uiPriority w:val="0"/>
    <w:qFormat/>
    <w:pPr>
      <w:keepLines/>
      <w:keepNext/>
      <w:spacing w:before="260" w:after="260" w:line="416" w:lineRule="auto"/>
      <w:outlineLvl w:val="2"/>
    </w:pPr>
    <w:rPr>
      <w:b/>
      <w:bCs/>
      <w:sz w:val="32"/>
      <w:szCs w:val="32"/>
    </w:rPr>
  </w:style>
  <w:style w:type="character" w:styleId="943" w:customStyle="1">
    <w:name w:val="默认段落字体1"/>
    <w:uiPriority w:val="1"/>
    <w:unhideWhenUsed/>
    <w:qFormat/>
  </w:style>
  <w:style w:type="table" w:styleId="944" w:customStyle="1">
    <w:name w:val="普通表格1"/>
    <w:uiPriority w:val="99"/>
    <w:unhideWhenUsed/>
    <w:qFormat/>
    <w:tblPr>
      <w:tblCellMar>
        <w:left w:w="0" w:type="dxa"/>
        <w:top w:w="0" w:type="dxa"/>
        <w:right w:w="0" w:type="dxa"/>
        <w:bottom w:w="0" w:type="dxa"/>
      </w:tblCellMar>
    </w:tblPr>
  </w:style>
  <w:style w:type="paragraph" w:styleId="945" w:customStyle="1">
    <w:name w:val="正文文本缩进1"/>
    <w:basedOn w:val="731"/>
    <w:next w:val="946"/>
    <w:uiPriority w:val="0"/>
    <w:qFormat/>
    <w:pPr>
      <w:ind w:left="420"/>
      <w:spacing w:after="120"/>
    </w:pPr>
    <w:rPr>
      <w:rFonts w:ascii="等线" w:hAnsi="等线" w:eastAsia="等线"/>
    </w:rPr>
  </w:style>
  <w:style w:type="paragraph" w:styleId="946" w:customStyle="1">
    <w:name w:val="寄信人地址1"/>
    <w:basedOn w:val="731"/>
    <w:uiPriority w:val="99"/>
    <w:unhideWhenUsed/>
    <w:qFormat/>
    <w:rPr>
      <w:rFonts w:ascii="Arial" w:hAnsi="Arial"/>
    </w:rPr>
  </w:style>
  <w:style w:type="paragraph" w:styleId="947" w:customStyle="1">
    <w:name w:val="正文缩进1"/>
    <w:basedOn w:val="731"/>
    <w:uiPriority w:val="0"/>
    <w:unhideWhenUsed/>
    <w:qFormat/>
    <w:pPr>
      <w:ind w:firstLine="420"/>
    </w:pPr>
  </w:style>
  <w:style w:type="paragraph" w:styleId="948" w:customStyle="1">
    <w:name w:val="批注文字1"/>
    <w:basedOn w:val="731"/>
    <w:link w:val="949"/>
    <w:uiPriority w:val="0"/>
    <w:qFormat/>
    <w:pPr>
      <w:jc w:val="left"/>
    </w:pPr>
  </w:style>
  <w:style w:type="character" w:styleId="949" w:customStyle="1">
    <w:name w:val="批注文字 Char"/>
    <w:link w:val="948"/>
    <w:uiPriority w:val="0"/>
    <w:qFormat/>
    <w:rPr>
      <w:rFonts w:ascii="Calibri" w:hAnsi="Calibri"/>
      <w:sz w:val="21"/>
      <w:szCs w:val="22"/>
    </w:rPr>
  </w:style>
  <w:style w:type="paragraph" w:styleId="950" w:customStyle="1">
    <w:name w:val="正文文本11"/>
    <w:basedOn w:val="731"/>
    <w:next w:val="951"/>
    <w:uiPriority w:val="0"/>
    <w:qFormat/>
    <w:rPr>
      <w:rFonts w:ascii="楷体_GB2312" w:hAnsi="Arial" w:eastAsia="楷体_GB2312"/>
      <w:sz w:val="28"/>
      <w:szCs w:val="28"/>
    </w:rPr>
  </w:style>
  <w:style w:type="paragraph" w:styleId="951" w:customStyle="1">
    <w:name w:val="标题1"/>
    <w:basedOn w:val="731"/>
    <w:next w:val="731"/>
    <w:uiPriority w:val="0"/>
    <w:qFormat/>
    <w:pPr>
      <w:jc w:val="center"/>
      <w:spacing w:before="240" w:after="60" w:line="360" w:lineRule="auto"/>
      <w:outlineLvl w:val="0"/>
    </w:pPr>
    <w:rPr>
      <w:rFonts w:ascii="宋体" w:hAnsi="宋体"/>
      <w:b/>
      <w:bCs/>
      <w:sz w:val="32"/>
      <w:szCs w:val="32"/>
    </w:rPr>
  </w:style>
  <w:style w:type="paragraph" w:styleId="952" w:customStyle="1">
    <w:name w:val="纯文本1"/>
    <w:basedOn w:val="731"/>
    <w:uiPriority w:val="99"/>
    <w:qFormat/>
    <w:rPr>
      <w:rFonts w:ascii="宋体" w:hAnsi="Courier New"/>
      <w:sz w:val="20"/>
      <w:szCs w:val="21"/>
    </w:rPr>
  </w:style>
  <w:style w:type="paragraph" w:styleId="953" w:customStyle="1">
    <w:name w:val="正文文本缩进 21"/>
    <w:basedOn w:val="731"/>
    <w:uiPriority w:val="0"/>
    <w:qFormat/>
    <w:pPr>
      <w:ind w:left="640"/>
      <w:spacing w:after="120" w:line="480" w:lineRule="auto"/>
    </w:pPr>
    <w:rPr>
      <w:rFonts w:eastAsia="仿宋_GB2312"/>
      <w:sz w:val="32"/>
      <w:szCs w:val="28"/>
    </w:rPr>
  </w:style>
  <w:style w:type="paragraph" w:styleId="954" w:customStyle="1">
    <w:name w:val="批注框文本1"/>
    <w:basedOn w:val="731"/>
    <w:link w:val="955"/>
    <w:uiPriority w:val="0"/>
    <w:qFormat/>
    <w:rPr>
      <w:sz w:val="18"/>
      <w:szCs w:val="18"/>
    </w:rPr>
  </w:style>
  <w:style w:type="character" w:styleId="955" w:customStyle="1">
    <w:name w:val="批注框文本 Char"/>
    <w:link w:val="954"/>
    <w:uiPriority w:val="0"/>
    <w:qFormat/>
    <w:rPr>
      <w:sz w:val="18"/>
      <w:szCs w:val="18"/>
    </w:rPr>
  </w:style>
  <w:style w:type="paragraph" w:styleId="956" w:customStyle="1">
    <w:name w:val="页脚1"/>
    <w:basedOn w:val="731"/>
    <w:uiPriority w:val="99"/>
    <w:unhideWhenUsed/>
    <w:qFormat/>
    <w:pPr>
      <w:jc w:val="left"/>
      <w:tabs>
        <w:tab w:val="center" w:pos="4153" w:leader="none"/>
        <w:tab w:val="right" w:pos="8306" w:leader="none"/>
      </w:tabs>
    </w:pPr>
    <w:rPr>
      <w:sz w:val="18"/>
      <w:szCs w:val="18"/>
    </w:rPr>
  </w:style>
  <w:style w:type="paragraph" w:styleId="957" w:customStyle="1">
    <w:name w:val="页眉1"/>
    <w:basedOn w:val="73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58" w:customStyle="1">
    <w:name w:val="目录 11"/>
    <w:basedOn w:val="731"/>
    <w:next w:val="731"/>
    <w:uiPriority w:val="39"/>
    <w:unhideWhenUsed/>
    <w:qFormat/>
  </w:style>
  <w:style w:type="paragraph" w:styleId="959" w:customStyle="1">
    <w:name w:val="目录 21"/>
    <w:basedOn w:val="731"/>
    <w:next w:val="731"/>
    <w:uiPriority w:val="0"/>
    <w:qFormat/>
    <w:pPr>
      <w:ind w:left="420"/>
    </w:pPr>
  </w:style>
  <w:style w:type="paragraph" w:styleId="960" w:customStyle="1">
    <w:name w:val="正文文本 21"/>
    <w:basedOn w:val="731"/>
    <w:uiPriority w:val="0"/>
    <w:qFormat/>
    <w:pPr>
      <w:spacing w:after="120" w:line="480" w:lineRule="auto"/>
    </w:pPr>
  </w:style>
  <w:style w:type="paragraph" w:styleId="961" w:customStyle="1">
    <w:name w:val="信息标题1"/>
    <w:basedOn w:val="731"/>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62" w:customStyle="1">
    <w:name w:val="普通(网站)1"/>
    <w:basedOn w:val="731"/>
    <w:uiPriority w:val="0"/>
    <w:qFormat/>
    <w:rPr>
      <w:rFonts w:ascii="Times New Roman" w:hAnsi="Times New Roman"/>
      <w:sz w:val="24"/>
    </w:rPr>
  </w:style>
  <w:style w:type="paragraph" w:styleId="963" w:customStyle="1">
    <w:name w:val="批注主题1"/>
    <w:basedOn w:val="948"/>
    <w:next w:val="948"/>
    <w:link w:val="964"/>
    <w:uiPriority w:val="0"/>
    <w:qFormat/>
    <w:rPr>
      <w:b/>
      <w:bCs/>
    </w:rPr>
  </w:style>
  <w:style w:type="character" w:styleId="964" w:customStyle="1">
    <w:name w:val="批注主题 Char"/>
    <w:link w:val="963"/>
    <w:uiPriority w:val="0"/>
    <w:qFormat/>
    <w:rPr>
      <w:rFonts w:ascii="Calibri" w:hAnsi="Calibri"/>
      <w:b/>
      <w:bCs/>
      <w:sz w:val="21"/>
      <w:szCs w:val="22"/>
    </w:rPr>
  </w:style>
  <w:style w:type="paragraph" w:styleId="965" w:customStyle="1">
    <w:name w:val="正文首行缩进 21"/>
    <w:basedOn w:val="945"/>
    <w:next w:val="731"/>
    <w:uiPriority w:val="0"/>
    <w:qFormat/>
    <w:pPr>
      <w:ind w:firstLine="420"/>
      <w:spacing w:before="100" w:beforeAutospacing="1"/>
    </w:pPr>
    <w:rPr>
      <w:rFonts w:ascii="Times New Roman" w:hAnsi="Times New Roman" w:eastAsia="宋体"/>
      <w:sz w:val="20"/>
      <w:szCs w:val="21"/>
    </w:rPr>
  </w:style>
  <w:style w:type="table" w:styleId="966" w:customStyle="1">
    <w:name w:val="网格型1"/>
    <w:basedOn w:val="944"/>
    <w:uiPriority w:val="0"/>
    <w:qFormat/>
    <w:pPr>
      <w:jc w:val="both"/>
      <w:widowControl w:val="off"/>
    </w:pPr>
    <w:tblPr/>
  </w:style>
  <w:style w:type="character" w:styleId="967" w:customStyle="1">
    <w:name w:val="要点1"/>
    <w:uiPriority w:val="0"/>
    <w:qFormat/>
    <w:rPr>
      <w:b/>
    </w:rPr>
  </w:style>
  <w:style w:type="character" w:styleId="968" w:customStyle="1">
    <w:name w:val="强调1"/>
    <w:uiPriority w:val="0"/>
    <w:qFormat/>
    <w:rPr>
      <w:i/>
    </w:rPr>
  </w:style>
  <w:style w:type="character" w:styleId="969" w:customStyle="1">
    <w:name w:val="超链接1"/>
    <w:uiPriority w:val="0"/>
    <w:qFormat/>
    <w:rPr>
      <w:color w:val="0000ff"/>
      <w:u w:val="single"/>
    </w:rPr>
  </w:style>
  <w:style w:type="character" w:styleId="970" w:customStyle="1">
    <w:name w:val="批注引用1"/>
    <w:uiPriority w:val="0"/>
    <w:qFormat/>
    <w:rPr>
      <w:sz w:val="21"/>
      <w:szCs w:val="21"/>
    </w:rPr>
  </w:style>
  <w:style w:type="paragraph" w:styleId="971" w:customStyle="1">
    <w:name w:val="正文（缩进）"/>
    <w:basedOn w:val="731"/>
    <w:uiPriority w:val="0"/>
    <w:qFormat/>
    <w:pPr>
      <w:ind w:firstLine="480"/>
      <w:spacing w:before="156" w:after="156"/>
    </w:pPr>
  </w:style>
  <w:style w:type="paragraph" w:styleId="972" w:customStyle="1">
    <w:name w:val="正文1"/>
    <w:basedOn w:val="731"/>
    <w:next w:val="973"/>
    <w:uiPriority w:val="0"/>
    <w:qFormat/>
    <w:pPr>
      <w:jc w:val="left"/>
      <w:spacing w:line="360" w:lineRule="atLeast"/>
    </w:pPr>
    <w:rPr>
      <w:rFonts w:ascii="宋体" w:cs="Arial"/>
      <w:sz w:val="24"/>
      <w:szCs w:val="20"/>
    </w:rPr>
  </w:style>
  <w:style w:type="paragraph" w:styleId="973" w:customStyle="1">
    <w:name w:val="正文文本1"/>
    <w:basedOn w:val="972"/>
    <w:next w:val="974"/>
    <w:uiPriority w:val="0"/>
    <w:qFormat/>
    <w:pPr>
      <w:spacing w:after="120"/>
    </w:pPr>
    <w:rPr>
      <w:lang w:eastAsia="en-US"/>
    </w:rPr>
  </w:style>
  <w:style w:type="paragraph" w:styleId="974" w:customStyle="1">
    <w:name w:val="一级条标题"/>
    <w:basedOn w:val="975"/>
    <w:next w:val="97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5" w:customStyle="1">
    <w:name w:val="章标题"/>
    <w:next w:val="73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76" w:customStyle="1">
    <w:name w:val="段"/>
    <w:basedOn w:val="972"/>
    <w:next w:val="731"/>
    <w:uiPriority w:val="0"/>
    <w:qFormat/>
    <w:pPr>
      <w:ind w:firstLine="200"/>
      <w:widowControl/>
    </w:pPr>
    <w:rPr>
      <w:sz w:val="20"/>
    </w:rPr>
  </w:style>
  <w:style w:type="paragraph" w:styleId="977" w:customStyle="1">
    <w:name w:val="普通正文"/>
    <w:basedOn w:val="731"/>
    <w:uiPriority w:val="0"/>
    <w:qFormat/>
    <w:pPr>
      <w:ind w:firstLine="480"/>
      <w:jc w:val="left"/>
      <w:spacing w:before="120" w:after="120" w:line="360" w:lineRule="auto"/>
    </w:pPr>
    <w:rPr>
      <w:rFonts w:ascii="Arial" w:hAnsi="Arial"/>
      <w:sz w:val="24"/>
      <w:szCs w:val="24"/>
    </w:rPr>
  </w:style>
  <w:style w:type="paragraph" w:styleId="978" w:customStyle="1">
    <w:name w:val="Char"/>
    <w:basedOn w:val="731"/>
    <w:uiPriority w:val="0"/>
    <w:qFormat/>
    <w:pPr>
      <w:ind w:firstLine="200"/>
      <w:tabs>
        <w:tab w:val="left" w:pos="360" w:leader="none"/>
      </w:tabs>
    </w:pPr>
    <w:rPr>
      <w:rFonts w:ascii="Times New Roman" w:hAnsi="Times New Roman"/>
      <w:sz w:val="28"/>
      <w:szCs w:val="30"/>
    </w:rPr>
  </w:style>
  <w:style w:type="paragraph" w:styleId="979" w:customStyle="1">
    <w:name w:val="Table Paragraph"/>
    <w:basedOn w:val="731"/>
    <w:uiPriority w:val="1"/>
    <w:qFormat/>
    <w:rPr>
      <w:rFonts w:ascii="Noto Sans CJK JP Regular" w:hAnsi="Noto Sans CJK JP Regular" w:eastAsia="Noto Sans CJK JP Regular" w:cs="Noto Sans CJK JP Regular"/>
    </w:rPr>
  </w:style>
  <w:style w:type="paragraph" w:styleId="980" w:customStyle="1">
    <w:name w:val="正文（1）"/>
    <w:basedOn w:val="731"/>
    <w:uiPriority w:val="0"/>
    <w:qFormat/>
    <w:pPr>
      <w:numPr>
        <w:ilvl w:val="0"/>
        <w:numId w:val="1"/>
      </w:numPr>
      <w:ind w:firstLine="200"/>
    </w:pPr>
    <w:rPr>
      <w:szCs w:val="24"/>
    </w:rPr>
  </w:style>
  <w:style w:type="paragraph" w:styleId="981" w:customStyle="1">
    <w:name w:val="朱-正文"/>
    <w:basedOn w:val="731"/>
    <w:uiPriority w:val="0"/>
    <w:qFormat/>
    <w:pPr>
      <w:ind w:firstLine="200"/>
    </w:pPr>
    <w:rPr>
      <w:rFonts w:ascii="Times New Roman"/>
      <w:color w:val="000000"/>
      <w:szCs w:val="24"/>
      <w:lang w:val="en-GB"/>
    </w:rPr>
  </w:style>
  <w:style w:type="paragraph" w:styleId="982" w:customStyle="1">
    <w:name w:val="GP正文(首行缩进)"/>
    <w:basedOn w:val="731"/>
    <w:uiPriority w:val="0"/>
    <w:qFormat/>
    <w:pPr>
      <w:ind w:firstLine="480"/>
      <w:jc w:val="left"/>
    </w:pPr>
    <w:rPr>
      <w:rFonts w:ascii="Times New Roman" w:hAnsi="宋体"/>
      <w:sz w:val="24"/>
      <w:szCs w:val="24"/>
    </w:rPr>
  </w:style>
  <w:style w:type="character" w:styleId="983" w:customStyle="1">
    <w:name w:val="font71"/>
    <w:uiPriority w:val="0"/>
    <w:qFormat/>
    <w:rPr>
      <w:rFonts w:hint="eastAsia" w:ascii="宋体" w:hAnsi="宋体" w:eastAsia="宋体" w:cs="宋体"/>
      <w:color w:val="ff0000"/>
      <w:sz w:val="21"/>
      <w:szCs w:val="21"/>
      <w:u w:val="none"/>
    </w:rPr>
  </w:style>
  <w:style w:type="character" w:styleId="984" w:customStyle="1">
    <w:name w:val="font41"/>
    <w:uiPriority w:val="0"/>
    <w:qFormat/>
    <w:rPr>
      <w:rFonts w:hint="eastAsia" w:ascii="宋体" w:hAnsi="宋体" w:eastAsia="宋体" w:cs="宋体"/>
      <w:color w:val="000000"/>
      <w:sz w:val="21"/>
      <w:szCs w:val="21"/>
      <w:u w:val="none"/>
    </w:rPr>
  </w:style>
  <w:style w:type="paragraph" w:styleId="985" w:customStyle="1">
    <w:name w:val="列出段落"/>
    <w:basedOn w:val="731"/>
    <w:uiPriority w:val="0"/>
    <w:qFormat/>
    <w:pPr>
      <w:ind w:firstLine="420"/>
    </w:pPr>
  </w:style>
  <w:style w:type="paragraph" w:styleId="986" w:customStyle="1">
    <w:name w:val="列出段落2"/>
    <w:basedOn w:val="731"/>
    <w:uiPriority w:val="34"/>
    <w:qFormat/>
    <w:pPr>
      <w:ind w:firstLine="420"/>
    </w:pPr>
    <w:rPr>
      <w:rFonts w:ascii="宋体"/>
      <w:color w:val="404040"/>
    </w:rPr>
  </w:style>
  <w:style w:type="paragraph" w:styleId="987" w:customStyle="1">
    <w:name w:val="列表段落1"/>
    <w:basedOn w:val="731"/>
    <w:uiPriority w:val="0"/>
    <w:qFormat/>
    <w:pPr>
      <w:ind w:firstLine="200"/>
    </w:pPr>
    <w:rPr>
      <w:rFonts w:cs="宋体"/>
    </w:rPr>
  </w:style>
  <w:style w:type="character" w:styleId="988" w:customStyle="1">
    <w:name w:val="font51"/>
    <w:uiPriority w:val="0"/>
    <w:qFormat/>
    <w:rPr>
      <w:rFonts w:hint="eastAsia" w:ascii="宋体" w:hAnsi="宋体" w:eastAsia="宋体" w:cs="宋体"/>
      <w:color w:val="000000"/>
      <w:sz w:val="24"/>
      <w:szCs w:val="24"/>
      <w:u w:val="none"/>
      <w:vertAlign w:val="subscript"/>
    </w:rPr>
  </w:style>
  <w:style w:type="character" w:styleId="989" w:customStyle="1">
    <w:name w:val="font61"/>
    <w:uiPriority w:val="0"/>
    <w:qFormat/>
    <w:rPr>
      <w:rFonts w:hint="eastAsia" w:ascii="宋体" w:hAnsi="宋体" w:eastAsia="宋体" w:cs="宋体"/>
      <w:color w:val="000000"/>
      <w:sz w:val="24"/>
      <w:szCs w:val="24"/>
      <w:u w:val="none"/>
    </w:rPr>
  </w:style>
  <w:style w:type="character" w:styleId="990" w:customStyle="1">
    <w:name w:val="font01"/>
    <w:uiPriority w:val="0"/>
    <w:qFormat/>
    <w:rPr>
      <w:rFonts w:hint="eastAsia" w:ascii="宋体" w:hAnsi="宋体" w:eastAsia="宋体" w:cs="宋体"/>
      <w:color w:val="000000"/>
      <w:sz w:val="24"/>
      <w:szCs w:val="24"/>
      <w:u w:val="none"/>
    </w:rPr>
  </w:style>
  <w:style w:type="character" w:styleId="991" w:customStyle="1">
    <w:name w:val="font81"/>
    <w:uiPriority w:val="0"/>
    <w:qFormat/>
    <w:rPr>
      <w:rFonts w:ascii="微软雅黑" w:hAnsi="微软雅黑" w:eastAsia="微软雅黑" w:cs="微软雅黑"/>
      <w:color w:val="000000"/>
      <w:sz w:val="24"/>
      <w:szCs w:val="24"/>
      <w:u w:val="none"/>
    </w:rPr>
  </w:style>
  <w:style w:type="character" w:styleId="992" w:customStyle="1">
    <w:name w:val="font91"/>
    <w:uiPriority w:val="0"/>
    <w:qFormat/>
    <w:rPr>
      <w:rFonts w:ascii="Segoe UI Symbol" w:hAnsi="Segoe UI Symbol" w:eastAsia="Segoe UI Symbol" w:cs="Segoe UI Symbol"/>
      <w:color w:val="000000"/>
      <w:sz w:val="24"/>
      <w:szCs w:val="24"/>
      <w:u w:val="none"/>
    </w:rPr>
  </w:style>
  <w:style w:type="character" w:styleId="993" w:customStyle="1">
    <w:name w:val="font101"/>
    <w:uiPriority w:val="0"/>
    <w:qFormat/>
    <w:rPr>
      <w:rFonts w:ascii="Calibri" w:hAnsi="Calibri" w:cs="Calibri"/>
      <w:color w:val="000000"/>
      <w:sz w:val="24"/>
      <w:szCs w:val="24"/>
      <w:u w:val="none"/>
    </w:rPr>
  </w:style>
  <w:style w:type="paragraph" w:styleId="994" w:customStyle="1">
    <w:name w:val="TableItem"/>
    <w:uiPriority w:val="0"/>
    <w:qFormat/>
    <w:rPr>
      <w:rFonts w:ascii="Verdana" w:hAnsi="Verdana" w:eastAsia="宋体" w:cs="Verdana"/>
      <w:b/>
      <w:bCs/>
      <w:color w:val="538135"/>
      <w:spacing w:val="-10"/>
      <w:sz w:val="16"/>
      <w:szCs w:val="28"/>
      <w:lang w:val="en-US" w:eastAsia="zh-CN" w:bidi="ar-SA"/>
    </w:rPr>
  </w:style>
  <w:style w:type="paragraph" w:styleId="995" w:customStyle="1">
    <w:name w:val="TableEmphasis"/>
    <w:basedOn w:val="731"/>
    <w:uiPriority w:val="0"/>
    <w:qFormat/>
    <w:rPr>
      <w:rFonts w:ascii="Times New Roman" w:hAnsi="Times New Roman" w:eastAsia="Times New Roman"/>
      <w:b/>
      <w:bCs/>
      <w:color w:val="3333ff"/>
      <w:sz w:val="16"/>
      <w:szCs w:val="18"/>
    </w:rPr>
  </w:style>
  <w:style w:type="paragraph" w:styleId="996" w:customStyle="1">
    <w:name w:val="修订1"/>
    <w:uiPriority w:val="99"/>
    <w:unhideWhenUsed/>
    <w:qFormat/>
    <w:rPr>
      <w:rFonts w:ascii="Calibri" w:hAnsi="Calibri" w:eastAsia="宋体" w:cs="Times New Roman"/>
      <w:sz w:val="21"/>
      <w:szCs w:val="22"/>
      <w:lang w:val="en-US" w:eastAsia="zh-CN" w:bidi="ar-SA"/>
    </w:rPr>
  </w:style>
  <w:style w:type="paragraph" w:styleId="997" w:customStyle="1">
    <w:name w:val="修订2"/>
    <w:uiPriority w:val="99"/>
    <w:semiHidden/>
    <w:qFormat/>
    <w:rPr>
      <w:rFonts w:ascii="Calibri" w:hAnsi="Calibri" w:eastAsia="宋体" w:cs="Times New Roman"/>
      <w:sz w:val="21"/>
      <w:szCs w:val="22"/>
      <w:lang w:val="en-US" w:eastAsia="zh-CN" w:bidi="ar-SA"/>
    </w:rPr>
  </w:style>
  <w:style w:type="character" w:styleId="998" w:customStyle="1">
    <w:name w:val="font11"/>
    <w:uiPriority w:val="0"/>
    <w:qFormat/>
    <w:rPr>
      <w:rFonts w:hint="eastAsia" w:ascii="宋体" w:hAnsi="宋体" w:eastAsia="宋体" w:cs="宋体"/>
      <w:color w:val="000000"/>
      <w:sz w:val="24"/>
      <w:szCs w:val="24"/>
      <w:u w:val="none"/>
    </w:rPr>
  </w:style>
  <w:style w:type="character" w:styleId="999" w:customStyle="1">
    <w:name w:val="font21"/>
    <w:uiPriority w:val="0"/>
    <w:qFormat/>
    <w:rPr>
      <w:rFonts w:ascii="Segoe UI Symbol" w:hAnsi="Segoe UI Symbol" w:eastAsia="Segoe UI Symbol" w:cs="Segoe UI Symbol"/>
      <w:color w:val="000000"/>
      <w:sz w:val="24"/>
      <w:szCs w:val="24"/>
      <w:u w:val="none"/>
    </w:rPr>
  </w:style>
  <w:style w:type="character" w:styleId="1000" w:customStyle="1">
    <w:name w:val="NormalCharacter1"/>
    <w:uiPriority w:val="0"/>
    <w:semiHidden/>
    <w:qFormat/>
  </w:style>
  <w:style w:type="character" w:styleId="1001" w:customStyle="1">
    <w:name w:val="font31"/>
    <w:uiPriority w:val="0"/>
    <w:qFormat/>
    <w:rPr>
      <w:rFonts w:hint="eastAsia" w:ascii="宋体" w:hAnsi="宋体" w:eastAsia="宋体" w:cs="宋体"/>
      <w:color w:val="000000"/>
      <w:sz w:val="21"/>
      <w:szCs w:val="21"/>
      <w:u w:val="none"/>
    </w:rPr>
  </w:style>
  <w:style w:type="paragraph" w:styleId="1002" w:customStyle="1">
    <w:name w:val="无间隔1"/>
    <w:uiPriority w:val="1"/>
    <w:qFormat/>
    <w:rPr>
      <w:rFonts w:ascii="Times New Roman" w:hAnsi="Times New Roman" w:eastAsia="宋体" w:cs="Times New Roman"/>
      <w:lang w:val="en-US" w:eastAsia="zh-CN" w:bidi="ar-SA"/>
    </w:rPr>
  </w:style>
  <w:style w:type="paragraph" w:styleId="1003" w:customStyle="1">
    <w:name w:val="索引 41"/>
    <w:basedOn w:val="731"/>
    <w:next w:val="731"/>
    <w:uiPriority w:val="99"/>
    <w:unhideWhenUsed/>
    <w:qFormat/>
    <w:pPr>
      <w:ind w:left="600"/>
    </w:pPr>
    <w:rPr>
      <w:rFonts w:ascii="Verdana" w:hAnsi="Verdana" w:eastAsia="微软雅黑"/>
      <w:szCs w:val="20"/>
    </w:rPr>
  </w:style>
  <w:style w:type="paragraph" w:styleId="1004" w:customStyle="1">
    <w:name w:val="首行缩进"/>
    <w:basedOn w:val="731"/>
    <w:uiPriority w:val="0"/>
    <w:qFormat/>
    <w:pPr>
      <w:ind w:firstLine="420"/>
      <w:spacing w:line="360" w:lineRule="auto"/>
    </w:pPr>
  </w:style>
  <w:style w:type="paragraph" w:styleId="1005" w:customStyle="1">
    <w:name w:val="修订3"/>
    <w:uiPriority w:val="99"/>
    <w:unhideWhenUsed/>
    <w:qFormat/>
    <w:rPr>
      <w:rFonts w:ascii="Calibri" w:hAnsi="Calibri" w:eastAsia="宋体" w:cs="Times New Roman"/>
      <w:sz w:val="21"/>
      <w:szCs w:val="22"/>
      <w:lang w:val="en-US" w:eastAsia="zh-CN" w:bidi="ar-SA"/>
    </w:rPr>
  </w:style>
  <w:style w:type="paragraph" w:styleId="1006" w:customStyle="1">
    <w:name w:val="附件正文"/>
    <w:basedOn w:val="731"/>
    <w:uiPriority w:val="0"/>
    <w:qFormat/>
    <w:pPr>
      <w:spacing w:line="360" w:lineRule="auto"/>
    </w:pPr>
    <w:rPr>
      <w:rFonts w:ascii="宋体" w:hAnsi="宋体" w:eastAsia="宋体" w:cs="Times New Roman"/>
      <w:bCs/>
      <w:sz w:val="24"/>
      <w:szCs w:val="24"/>
    </w:rPr>
  </w:style>
  <w:style w:type="numbering" w:styleId="10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阮玉婷</cp:lastModifiedBy>
  <cp:revision>2</cp:revision>
  <dcterms:created xsi:type="dcterms:W3CDTF">2026-04-18T10:04:00Z</dcterms:created>
  <dcterms:modified xsi:type="dcterms:W3CDTF">2026-09-18T11:28:44Z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974158FA701A4974BE8167DF83B6BF75_13</vt:lpwstr>
  </property>
  <property fmtid="{D5CDD505-2E9C-101B-9397-08002B2CF9AE}" pid="4" name="KSOTemplateDocerSaveRecord">
    <vt:lpwstr>eyJoZGlkIjoiMTY0MDU0ZTNhNjIyODJlZjM0NjA3YWYxYTMxMWQ0ZjMiLCJ1c2VySWQiOiIxOTI0NjExMTkifQ==</vt:lpwstr>
  </property>
</Properties>
</file>