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left"/>
        <w:pageBreakBefore w:val="0"/>
        <w:spacing w:line="520" w:lineRule="exact"/>
        <w:rPr>
          <w:rFonts w:hint="eastAsia" w:ascii="黑体" w:hAnsi="黑体" w:eastAsia="黑体" w:cs="黑体"/>
          <w:b w:val="0"/>
          <w:bCs w:val="0"/>
          <w:sz w:val="32"/>
          <w:szCs w:val="32"/>
          <w:highlight w:val="yellow"/>
          <w:lang w:eastAsia="zh-CN"/>
        </w:rPr>
      </w:pPr>
      <w:r>
        <w:rPr>
          <w:rFonts w:hint="eastAsia" w:ascii="黑体" w:hAnsi="黑体" w:eastAsia="黑体" w:cs="黑体"/>
          <w:b w:val="0"/>
          <w:bCs w:val="0"/>
          <w:sz w:val="32"/>
          <w:szCs w:val="32"/>
          <w:highlight w:val="yellow"/>
          <w:lang w:eastAsia="zh-CN"/>
        </w:rPr>
        <w:t xml:space="preserve">【</w:t>
      </w:r>
      <w:r>
        <w:rPr>
          <w:rFonts w:hint="eastAsia" w:ascii="黑体" w:hAnsi="黑体" w:eastAsia="黑体" w:cs="黑体"/>
          <w:b w:val="0"/>
          <w:bCs w:val="0"/>
          <w:sz w:val="32"/>
          <w:szCs w:val="32"/>
          <w:highlight w:val="yellow"/>
          <w:lang w:val="en-US" w:eastAsia="zh-CN"/>
        </w:rPr>
        <w:t xml:space="preserve">10.10 定稿</w:t>
      </w:r>
      <w:r>
        <w:rPr>
          <w:rFonts w:hint="eastAsia" w:ascii="黑体" w:hAnsi="黑体" w:eastAsia="黑体" w:cs="黑体"/>
          <w:b w:val="0"/>
          <w:bCs w:val="0"/>
          <w:sz w:val="32"/>
          <w:szCs w:val="32"/>
          <w:highlight w:val="yellow"/>
          <w:lang w:eastAsia="zh-CN"/>
        </w:rPr>
        <w:t xml:space="preserve">】</w:t>
      </w:r>
      <w:r/>
    </w:p>
    <w:p>
      <w:pPr>
        <w:pStyle w:val="854"/>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rPr>
      </w:pPr>
      <w:r>
        <w:rPr>
          <w:rFonts w:hint="eastAsia"/>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rPr>
          <w:rFonts w:hint="eastAsia"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竞争性磋商文件</w:t>
      </w:r>
      <w:r/>
    </w:p>
    <w:p>
      <w:pPr>
        <w:pStyle w:val="854"/>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227" w:hanging="1807"/>
        <w:jc w:val="left"/>
        <w:keepLines w:val="0"/>
        <w:keepNext w:val="0"/>
        <w:pageBreakBefore w:val="0"/>
        <w:spacing w:after="240"/>
        <w:widowControl w:val="off"/>
        <w:rPr>
          <w:rFonts w:hint="default" w:ascii="楷体" w:hAnsi="楷体" w:eastAsia="楷体"/>
          <w:b/>
          <w:bCs/>
          <w:color w:val="000000"/>
          <w:sz w:val="36"/>
          <w:u w:val="single"/>
          <w:lang w:val="en-US"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lang w:val="en-US" w:eastAsia="zh-CN"/>
        </w:rPr>
        <w:t xml:space="preserve">   兴化市行政村电子政务外网服务   </w:t>
      </w:r>
      <w:r/>
    </w:p>
    <w:p>
      <w:pPr>
        <w:ind w:left="420"/>
        <w:jc w:val="left"/>
        <w:keepLines w:val="0"/>
        <w:keepNext w:val="0"/>
        <w:pageBreakBefore w:val="0"/>
        <w:spacing w:after="240"/>
        <w:widowControl w:val="off"/>
        <w:rPr>
          <w:rFonts w:hint="default" w:ascii="楷体" w:hAnsi="楷体" w:eastAsia="楷体"/>
          <w:b/>
          <w:bCs/>
          <w:sz w:val="36"/>
          <w:lang w:val="en-US" w:eastAsia="zh-CN"/>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lang w:val="en-US" w:eastAsia="zh-CN"/>
        </w:rPr>
        <w:t xml:space="preserve">   JSZC-321281-JZCG-C2026-0015</w:t>
      </w:r>
      <w:r>
        <w:rPr>
          <w:rFonts w:hint="eastAsia" w:ascii="楷体" w:hAnsi="楷体" w:eastAsia="楷体"/>
          <w:b/>
          <w:bCs/>
          <w:sz w:val="36"/>
          <w:highlight w:val="none"/>
          <w:u w:val="single"/>
        </w:rPr>
        <w:t xml:space="preserve"> </w:t>
      </w:r>
      <w:r>
        <w:rPr>
          <w:rFonts w:hint="eastAsia" w:ascii="楷体" w:hAnsi="楷体" w:eastAsia="楷体"/>
          <w:b/>
          <w:bCs/>
          <w:sz w:val="36"/>
          <w:highlight w:val="none"/>
          <w:u w:val="single"/>
          <w:lang w:val="en-US" w:eastAsia="zh-CN"/>
        </w:rPr>
        <w:t xml:space="preserve">  </w:t>
      </w:r>
      <w:r/>
    </w:p>
    <w:p>
      <w:pPr>
        <w:ind w:left="420"/>
        <w:jc w:val="left"/>
        <w:keepLines w:val="0"/>
        <w:keepNext w:val="0"/>
        <w:pageBreakBefore w:val="0"/>
        <w:widowControl w:val="off"/>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rPr>
          <w:rFonts w:hint="eastAsia" w:ascii="楷体" w:hAnsi="楷体" w:eastAsia="楷体"/>
          <w:b/>
          <w:bCs/>
          <w:color w:val="000000"/>
          <w:sz w:val="36"/>
          <w:u w:val="single"/>
        </w:rPr>
        <w:t xml:space="preserve">兴化市</w:t>
      </w:r>
      <w:r>
        <w:rPr>
          <w:rFonts w:hint="eastAsia" w:ascii="楷体" w:hAnsi="楷体" w:eastAsia="楷体"/>
          <w:b/>
          <w:bCs/>
          <w:color w:val="000000"/>
          <w:sz w:val="36"/>
          <w:u w:val="single"/>
          <w:lang w:eastAsia="zh-CN"/>
        </w:rPr>
        <w:t xml:space="preserve">电子政务中心</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firstLine="2530"/>
        <w:spacing w:after="240"/>
        <w:rPr>
          <w:rFonts w:hint="eastAsia" w:ascii="楷体" w:hAnsi="楷体" w:eastAsia="楷体"/>
          <w:b/>
          <w:bCs/>
          <w:sz w:val="36"/>
          <w:lang w:val="en-US" w:eastAsia="zh-CN"/>
        </w:rPr>
      </w:pPr>
      <w:r>
        <w:rPr>
          <w:rFonts w:hint="eastAsia" w:ascii="楷体" w:hAnsi="楷体" w:eastAsia="楷体"/>
          <w:b/>
          <w:bCs/>
          <w:sz w:val="36"/>
          <w:lang w:val="en-US" w:eastAsia="zh-CN"/>
        </w:rPr>
        <w:t xml:space="preserve"> </w:t>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pStyle w:val="852"/>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852"/>
        <w:ind w:left="0" w:firstLine="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jc w:val="center"/>
        <w:spacing w:line="520" w:lineRule="exact"/>
        <w:rPr>
          <w:rFonts w:hint="eastAsia" w:ascii="仿宋_GB2312" w:hAnsi="仿宋_GB2312" w:eastAsia="仿宋_GB2312" w:cs="仿宋_GB2312"/>
          <w:sz w:val="28"/>
          <w:szCs w:val="28"/>
        </w:rPr>
      </w:pPr>
      <w:r>
        <w:rPr>
          <w:rFonts w:hint="eastAsia" w:ascii="黑体" w:hAnsi="Century Schoolbook" w:eastAsia="黑体"/>
          <w:color w:val="000000"/>
          <w:sz w:val="36"/>
          <w:szCs w:val="20"/>
          <w:lang w:val="en-US" w:eastAsia="zh-CN"/>
        </w:rPr>
        <w:t xml:space="preserve">2026</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10</w:t>
      </w:r>
      <w:r>
        <w:rPr>
          <w:rFonts w:hint="eastAsia" w:ascii="黑体" w:hAnsi="Century Schoolbook" w:eastAsia="黑体"/>
          <w:color w:val="000000"/>
          <w:sz w:val="36"/>
          <w:szCs w:val="20"/>
        </w:rPr>
        <w:t xml:space="preserve">月</w:t>
      </w:r>
      <w:r>
        <w:rPr>
          <w:rFonts w:hint="eastAsia" w:ascii="仿宋_GB2312" w:hAnsi="仿宋_GB2312" w:eastAsia="仿宋_GB2312" w:cs="仿宋_GB2312"/>
          <w:sz w:val="28"/>
          <w:szCs w:val="28"/>
        </w:rP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
    </w:p>
    <w:p>
      <w:pPr>
        <w:ind w:left="0" w:right="0" w:firstLine="562"/>
        <w:jc w:val="center"/>
        <w:pageBreakBefore w:val="0"/>
        <w:spacing w:line="520" w:lineRule="exact"/>
        <w:rPr>
          <w:rFonts w:hint="eastAsia" w:ascii="仿宋_GB2312" w:hAnsi="仿宋_GB2312" w:eastAsia="仿宋_GB2312" w:cs="仿宋_GB2312"/>
          <w:b/>
          <w:sz w:val="28"/>
          <w:szCs w:val="28"/>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仿宋_GB2312" w:hAnsi="仿宋_GB2312" w:eastAsia="仿宋_GB2312" w:cs="仿宋_GB2312"/>
          <w:b/>
          <w:sz w:val="28"/>
          <w:szCs w:val="28"/>
        </w:rPr>
      </w:r>
      <w:r/>
    </w:p>
    <w:p>
      <w:pPr>
        <w:jc w:val="center"/>
        <w:rPr>
          <w:rFonts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t xml:space="preserve">兴化市</w:t>
      </w:r>
      <w:r>
        <w:rPr>
          <w:rFonts w:ascii="方正小标宋简体" w:hAnsi="方正小标宋_GBK" w:eastAsia="方正小标宋简体" w:cs="Times New Roman"/>
          <w:sz w:val="36"/>
          <w:szCs w:val="36"/>
        </w:rPr>
        <w:t xml:space="preserve">政府采购</w:t>
      </w:r>
      <w:r>
        <w:rPr>
          <w:rFonts w:hint="eastAsia" w:ascii="方正小标宋简体" w:hAnsi="方正小标宋_GBK" w:eastAsia="方正小标宋简体"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52"/>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52"/>
        <w:jc w:val="center"/>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wp:posOffset>
                </wp:positionH>
                <wp:positionV relativeFrom="paragraph">
                  <wp:posOffset>59690</wp:posOffset>
                </wp:positionV>
                <wp:extent cx="5898515" cy="1791970"/>
                <wp:effectExtent l="0" t="0" r="6985" b="17780"/>
                <wp:wrapSquare wrapText="bothSides"/>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7"/>
                        <a:stretch/>
                      </pic:blipFill>
                      <pic:spPr bwMode="auto">
                        <a:xfrm>
                          <a:off x="0" y="0"/>
                          <a:ext cx="5898515" cy="1791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alse">
                <v:path textboxrect="0,0,0,0"/>
                <w10:wrap type="square"/>
                <v:imagedata r:id="rId17" o:title=""/>
              </v:shape>
            </w:pict>
          </mc:Fallback>
        </mc:AlternateContent>
      </w:r>
      <w:r/>
    </w:p>
    <w:p>
      <w:pPr>
        <w:pStyle w:val="852"/>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52"/>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52"/>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859"/>
          <w:rFonts w:hint="eastAsia" w:ascii="仿宋" w:hAnsi="仿宋" w:eastAsia="仿宋" w:cs="仿宋"/>
          <w:color w:val="auto"/>
          <w:spacing w:val="1"/>
          <w:sz w:val="28"/>
          <w:szCs w:val="28"/>
        </w:rPr>
        <w:t xml:space="preserve">http://www.ccgp-jiangsu.gov.cn/jiangsu/paying.html</w:t>
      </w:r>
      <w:r>
        <w:rPr>
          <w:rStyle w:val="859"/>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859"/>
          <w:rFonts w:hint="eastAsia" w:ascii="仿宋" w:hAnsi="仿宋" w:eastAsia="仿宋" w:cs="仿宋"/>
          <w:color w:val="auto"/>
          <w:spacing w:val="1"/>
          <w:sz w:val="28"/>
          <w:szCs w:val="28"/>
        </w:rPr>
        <w:t xml:space="preserve">https://www.crcrfsp.com/</w:t>
      </w:r>
      <w:r>
        <w:rPr>
          <w:rStyle w:val="859"/>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财政局政府采购管理科</w:t>
      </w:r>
      <w:r>
        <w:rPr>
          <w:rFonts w:hint="eastAsia" w:ascii="仿宋" w:hAnsi="仿宋" w:eastAsia="仿宋" w:cs="仿宋"/>
          <w:spacing w:val="1"/>
          <w:sz w:val="28"/>
          <w:szCs w:val="28"/>
        </w:rPr>
        <w:t xml:space="preserve">     联系电话：0523-82020605</w:t>
      </w:r>
      <w:r/>
    </w:p>
    <w:p>
      <w:pPr>
        <w:ind w:firstLine="560"/>
        <w:keepLines w:val="0"/>
        <w:keepNext w:val="0"/>
        <w:pageBreakBefore w:val="0"/>
        <w:spacing w:line="420" w:lineRule="exact"/>
        <w:widowControl w:val="off"/>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130"/>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130"/>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20" w:lineRule="exact"/>
        <w:widowControl w:val="off"/>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详见招标文件第一章</w:t>
      </w:r>
      <w:r/>
    </w:p>
    <w:p>
      <w:pPr>
        <w:ind w:firstLine="560"/>
        <w:keepLines w:val="0"/>
        <w:keepNext w:val="0"/>
        <w:pageBreakBefore w:val="0"/>
        <w:spacing w:line="4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20" w:lineRule="exact"/>
        <w:widowControl w:val="off"/>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52"/>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52"/>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854"/>
      </w:pPr>
      <w:r/>
      <w:r/>
    </w:p>
    <w:p>
      <w:pPr>
        <w:pStyle w:val="854"/>
      </w:pPr>
      <w:r/>
      <w:r/>
    </w:p>
    <w:p>
      <w:r/>
      <w:r/>
    </w:p>
    <w:p>
      <w:r/>
      <w:r/>
    </w:p>
    <w:p>
      <w:pPr>
        <w:jc w:val="center"/>
        <w:rPr>
          <w:rFonts w:hint="eastAsia" w:ascii="方正小标宋_GBK" w:hAnsi="方正小标宋_GBK" w:eastAsia="方正小标宋_GBK" w:cs="方正小标宋_GBK"/>
          <w:spacing w:val="20"/>
          <w:sz w:val="40"/>
          <w:szCs w:val="44"/>
          <w:highlight w:val="yellow"/>
          <w:lang w:val="en-US" w:eastAsia="zh-CN"/>
        </w:rPr>
      </w:pPr>
      <w:r>
        <w:rPr>
          <w:rFonts w:hint="eastAsia" w:ascii="方正小标宋_GBK" w:hAnsi="方正小标宋_GBK" w:eastAsia="方正小标宋_GBK" w:cs="方正小标宋_GBK"/>
          <w:spacing w:val="20"/>
          <w:sz w:val="40"/>
          <w:szCs w:val="44"/>
          <w:highlight w:val="yellow"/>
          <w:lang w:val="en-US" w:eastAsia="zh-CN"/>
        </w:rPr>
        <w:t xml:space="preserve">反诈提醒</w:t>
      </w:r>
      <w:r/>
    </w:p>
    <w:p>
      <w:pPr>
        <w:jc w:val="center"/>
        <w:rPr>
          <w:rFonts w:hint="eastAsia" w:ascii="黑体" w:hAnsi="黑体" w:eastAsia="黑体" w:cs="黑体"/>
          <w:sz w:val="36"/>
          <w:szCs w:val="40"/>
          <w:highlight w:val="yellow"/>
          <w:lang w:val="en-US" w:eastAsia="zh-CN"/>
        </w:rPr>
      </w:pPr>
      <w:r>
        <w:rPr>
          <w:rFonts w:hint="eastAsia" w:ascii="黑体" w:hAnsi="黑体" w:eastAsia="黑体" w:cs="黑体"/>
          <w:sz w:val="36"/>
          <w:szCs w:val="40"/>
          <w:highlight w:val="yellow"/>
          <w:lang w:val="en-US" w:eastAsia="zh-CN"/>
        </w:rPr>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近期发现有仿冒江苏省政府采购网、江苏政府采购管理交易系统（“苏采云”平台）等虚假网站，请供应商注意甄别官方渠道。</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本中心全程免费、无代办服务，不主动添加微信，谨防诈骗。如遇诈骗，请向公安部门报案。</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pacing w:val="-6"/>
          <w:sz w:val="32"/>
          <w:szCs w:val="36"/>
          <w:lang w:val="en-US" w:eastAsia="zh-CN"/>
        </w:rPr>
        <w:t xml:space="preserve">1.</w:t>
      </w:r>
      <w:r>
        <w:rPr>
          <w:rFonts w:hint="eastAsia" w:ascii="黑体" w:hAnsi="黑体" w:eastAsia="黑体" w:cs="黑体"/>
          <w:spacing w:val="0"/>
          <w:sz w:val="32"/>
          <w:szCs w:val="36"/>
          <w:lang w:val="en-US" w:eastAsia="zh-CN"/>
        </w:rPr>
        <w:t xml:space="preserve">江苏省政府采购网网址：</w:t>
      </w:r>
      <w:r>
        <w:rPr>
          <w:rFonts w:hint="eastAsia" w:ascii="黑体" w:hAnsi="黑体" w:eastAsia="黑体" w:cs="黑体"/>
          <w:spacing w:val="0"/>
          <w:sz w:val="32"/>
          <w:szCs w:val="36"/>
          <w:lang w:val="en-US" w:eastAsia="zh-CN"/>
        </w:rPr>
        <w:fldChar w:fldCharType="begin"/>
      </w:r>
      <w:r>
        <w:rPr>
          <w:rFonts w:hint="eastAsia" w:ascii="黑体" w:hAnsi="黑体" w:eastAsia="黑体" w:cs="黑体"/>
          <w:spacing w:val="0"/>
          <w:sz w:val="32"/>
          <w:szCs w:val="36"/>
          <w:lang w:val="en-US" w:eastAsia="zh-CN"/>
        </w:rPr>
        <w:instrText xml:space="preserve"> HYPERLINK "http://www.ccgp-jiangsu.gov.cn/" \t "http://jszfcg.jsczt.cn/jszc/_blank" </w:instrText>
      </w:r>
      <w:r>
        <w:rPr>
          <w:rFonts w:hint="eastAsia" w:ascii="黑体" w:hAnsi="黑体" w:eastAsia="黑体" w:cs="黑体"/>
          <w:spacing w:val="0"/>
          <w:sz w:val="32"/>
          <w:szCs w:val="36"/>
          <w:lang w:val="en-US" w:eastAsia="zh-CN"/>
        </w:rPr>
        <w:fldChar w:fldCharType="separate"/>
      </w:r>
      <w:r>
        <w:rPr>
          <w:rFonts w:hint="eastAsia" w:ascii="黑体" w:hAnsi="黑体" w:eastAsia="黑体" w:cs="黑体"/>
          <w:spacing w:val="0"/>
          <w:sz w:val="32"/>
          <w:szCs w:val="36"/>
        </w:rPr>
        <w:t xml:space="preserve">http://www.ccgp-jiangsu.gov.cn</w:t>
      </w:r>
      <w:r>
        <w:rPr>
          <w:rFonts w:hint="eastAsia" w:ascii="黑体" w:hAnsi="黑体" w:eastAsia="黑体" w:cs="黑体"/>
          <w:spacing w:val="0"/>
          <w:sz w:val="32"/>
          <w:szCs w:val="36"/>
          <w:lang w:val="en-US" w:eastAsia="zh-CN"/>
        </w:rPr>
        <w:fldChar w:fldCharType="end"/>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z w:val="32"/>
          <w:szCs w:val="36"/>
          <w:lang w:val="en-US" w:eastAsia="zh-CN"/>
        </w:rPr>
        <w:t xml:space="preserve">2.“苏采云” 平台网址：</w:t>
      </w:r>
      <w:r>
        <w:rPr>
          <w:rFonts w:hint="eastAsia" w:ascii="黑体" w:hAnsi="黑体" w:eastAsia="黑体" w:cs="黑体"/>
          <w:sz w:val="32"/>
          <w:szCs w:val="36"/>
          <w:lang w:val="en-US" w:eastAsia="zh-CN"/>
        </w:rPr>
        <w:fldChar w:fldCharType="begin"/>
      </w:r>
      <w:r>
        <w:rPr>
          <w:rFonts w:hint="eastAsia" w:ascii="黑体" w:hAnsi="黑体" w:eastAsia="黑体" w:cs="黑体"/>
          <w:sz w:val="32"/>
          <w:szCs w:val="36"/>
          <w:lang w:val="en-US" w:eastAsia="zh-CN"/>
        </w:rPr>
        <w:instrText xml:space="preserve"> HYPERLINK "http://jszfcg.jsczt.cn/" \t "http://jszfcg.jsczt.cn/jszc/_blank" </w:instrText>
      </w:r>
      <w:r>
        <w:rPr>
          <w:rFonts w:hint="eastAsia" w:ascii="黑体" w:hAnsi="黑体" w:eastAsia="黑体" w:cs="黑体"/>
          <w:sz w:val="32"/>
          <w:szCs w:val="36"/>
          <w:lang w:val="en-US" w:eastAsia="zh-CN"/>
        </w:rPr>
        <w:fldChar w:fldCharType="separate"/>
      </w:r>
      <w:r>
        <w:rPr>
          <w:rFonts w:hint="eastAsia" w:ascii="黑体" w:hAnsi="黑体" w:eastAsia="黑体" w:cs="黑体"/>
          <w:sz w:val="32"/>
          <w:szCs w:val="36"/>
        </w:rPr>
        <w:t xml:space="preserve">http://jszfcg.jsczt.cn</w:t>
      </w:r>
      <w:r>
        <w:rPr>
          <w:rFonts w:hint="eastAsia" w:ascii="黑体" w:hAnsi="黑体" w:eastAsia="黑体" w:cs="黑体"/>
          <w:sz w:val="32"/>
          <w:szCs w:val="36"/>
          <w:lang w:val="en-US" w:eastAsia="zh-CN"/>
        </w:rPr>
        <w:fldChar w:fldCharType="end"/>
      </w:r>
      <w:r/>
    </w:p>
    <w:p>
      <w:pPr>
        <w:sectPr>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r/>
    </w:p>
    <w:p>
      <w:pPr>
        <w:ind w:left="0" w:right="0" w:firstLine="562"/>
        <w:jc w:val="center"/>
        <w:pageBreakBefore w:val="0"/>
        <w:spacing w:line="520" w:lineRule="exact"/>
        <w:rPr>
          <w:rFonts w:hint="eastAsia" w:ascii="仿宋_GB2312" w:hAnsi="仿宋_GB2312" w:eastAsia="仿宋_GB2312" w:cs="仿宋_GB2312"/>
          <w:b/>
          <w:bCs w:val="0"/>
          <w:sz w:val="28"/>
          <w:szCs w:val="28"/>
        </w:rPr>
        <w:outlineLvl w:val="0"/>
      </w:pPr>
      <w:r>
        <w:rPr>
          <w:rFonts w:hint="eastAsia" w:ascii="仿宋_GB2312" w:hAnsi="仿宋_GB2312" w:eastAsia="仿宋_GB2312" w:cs="仿宋_GB2312"/>
          <w:b/>
          <w:bCs w:val="0"/>
          <w:sz w:val="28"/>
          <w:szCs w:val="28"/>
        </w:rPr>
      </w:r>
      <w:r/>
    </w:p>
    <w:p>
      <w:pPr>
        <w:ind w:left="0" w:right="0" w:firstLine="803"/>
        <w:jc w:val="center"/>
        <w:pageBreakBefore w:val="0"/>
        <w:spacing w:line="520" w:lineRule="exact"/>
        <w:rPr>
          <w:rFonts w:hint="eastAsia" w:ascii="黑体" w:hAnsi="黑体" w:eastAsia="黑体" w:cs="黑体"/>
          <w:b/>
          <w:bCs w:val="0"/>
          <w:sz w:val="40"/>
          <w:szCs w:val="40"/>
        </w:rPr>
        <w:outlineLvl w:val="0"/>
      </w:pPr>
      <w:r>
        <w:rPr>
          <w:rFonts w:hint="eastAsia" w:ascii="黑体" w:hAnsi="黑体" w:eastAsia="黑体" w:cs="黑体"/>
          <w:b/>
          <w:bCs w:val="0"/>
          <w:sz w:val="40"/>
          <w:szCs w:val="40"/>
        </w:rPr>
      </w:r>
      <w:r/>
    </w:p>
    <w:p>
      <w:pPr>
        <w:ind w:right="0"/>
        <w:jc w:val="center"/>
        <w:keepLines w:val="0"/>
        <w:keepNext w:val="0"/>
        <w:pageBreakBefore w:val="0"/>
        <w:spacing w:line="720" w:lineRule="exact"/>
        <w:widowControl w:val="off"/>
        <w:rPr>
          <w:rFonts w:hint="eastAsia" w:ascii="黑体" w:hAnsi="黑体" w:eastAsia="黑体" w:cs="黑体"/>
          <w:b/>
          <w:bCs w:val="0"/>
          <w:sz w:val="48"/>
          <w:szCs w:val="48"/>
        </w:rPr>
        <w:outlineLvl w:val="0"/>
      </w:pPr>
      <w:r>
        <w:rPr>
          <w:rFonts w:hint="eastAsia" w:ascii="黑体" w:hAnsi="黑体" w:eastAsia="黑体" w:cs="黑体"/>
          <w:b/>
          <w:bCs w:val="0"/>
          <w:sz w:val="48"/>
          <w:szCs w:val="48"/>
        </w:rPr>
        <w:t xml:space="preserve">总  目  录</w:t>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磋商邀请…………………………………… </w:t>
      </w:r>
      <w:r>
        <w:rPr>
          <w:rFonts w:hint="eastAsia" w:ascii="黑体" w:hAnsi="黑体" w:eastAsia="黑体" w:cs="黑体"/>
          <w:bCs/>
          <w:sz w:val="36"/>
          <w:szCs w:val="36"/>
          <w:lang w:val="en-US" w:eastAsia="zh-CN"/>
        </w:rPr>
        <w:t xml:space="preserve">1</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供应商须知………………………………… </w:t>
      </w:r>
      <w:r>
        <w:rPr>
          <w:rFonts w:hint="eastAsia" w:ascii="黑体" w:hAnsi="黑体" w:eastAsia="黑体" w:cs="黑体"/>
          <w:bCs/>
          <w:sz w:val="36"/>
          <w:szCs w:val="36"/>
          <w:lang w:val="en-US" w:eastAsia="zh-CN"/>
        </w:rPr>
        <w:t xml:space="preserve">5</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lang w:val="en-US" w:eastAsia="zh-CN"/>
        </w:rPr>
        <w:t xml:space="preserve">17</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lang w:val="en-US" w:eastAsia="zh-CN"/>
        </w:rPr>
        <w:t xml:space="preserve">22</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评审方法与评审标准………………………2</w:t>
      </w:r>
      <w:r>
        <w:rPr>
          <w:rFonts w:hint="eastAsia" w:ascii="黑体" w:hAnsi="黑体" w:eastAsia="黑体" w:cs="黑体"/>
          <w:bCs/>
          <w:sz w:val="36"/>
          <w:szCs w:val="36"/>
          <w:lang w:val="en-US" w:eastAsia="zh-CN"/>
        </w:rPr>
        <w:t xml:space="preserve">9</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响应文件格式………………………………</w:t>
      </w:r>
      <w:r>
        <w:rPr>
          <w:rFonts w:hint="eastAsia" w:ascii="黑体" w:hAnsi="黑体" w:eastAsia="黑体" w:cs="黑体"/>
          <w:bCs/>
          <w:sz w:val="36"/>
          <w:szCs w:val="36"/>
          <w:lang w:val="en-US" w:eastAsia="zh-CN"/>
        </w:rPr>
        <w:t xml:space="preserve">33</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Next/>
        <w:pageBreakBefore w:val="0"/>
        <w:spacing w:line="520" w:lineRule="exact"/>
        <w:rPr>
          <w:rFonts w:hint="eastAsia"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hint="eastAsia" w:ascii="黑体" w:hAnsi="黑体" w:eastAsia="黑体" w:cs="黑体"/>
          <w:sz w:val="36"/>
          <w:szCs w:val="36"/>
        </w:rPr>
      </w:r>
      <w:r/>
    </w:p>
    <w:p>
      <w:pPr>
        <w:rPr>
          <w:rFonts w:hint="eastAsia" w:ascii="仿宋" w:hAnsi="仿宋" w:eastAsia="仿宋"/>
          <w:b/>
          <w:sz w:val="36"/>
          <w:szCs w:val="36"/>
        </w:rPr>
      </w:pPr>
      <w:r>
        <w:rPr>
          <w:rFonts w:hint="eastAsia" w:ascii="仿宋" w:hAnsi="仿宋" w:eastAsia="仿宋"/>
          <w:b/>
          <w:sz w:val="36"/>
          <w:szCs w:val="36"/>
        </w:rPr>
      </w:r>
      <w:r/>
    </w:p>
    <w:p>
      <w:pPr>
        <w:ind w:right="0"/>
        <w:jc w:val="center"/>
        <w:keepNext/>
        <w:pageBreakBefore w:val="0"/>
        <w:spacing w:line="520" w:lineRule="exact"/>
        <w:rPr>
          <w:rFonts w:hint="eastAsia"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磋商邀请</w:t>
      </w:r>
      <w:r/>
    </w:p>
    <w:p>
      <w:pPr>
        <w:ind w:right="0"/>
        <w:jc w:val="center"/>
        <w:keepNext/>
        <w:pageBreakBefore w:val="0"/>
        <w:spacing w:line="520" w:lineRule="exact"/>
        <w:rPr>
          <w:rFonts w:hint="eastAsia" w:ascii="黑体" w:hAnsi="黑体" w:eastAsia="黑体" w:cs="黑体"/>
          <w:sz w:val="28"/>
          <w:szCs w:val="28"/>
        </w:rPr>
        <w:outlineLvl w:val="0"/>
      </w:pPr>
      <w:r>
        <w:rPr>
          <w:rFonts w:hint="eastAsia" w:ascii="黑体" w:hAnsi="黑体" w:eastAsia="黑体" w:cs="黑体"/>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lang w:eastAsia="zh-CN"/>
        </w:rPr>
        <w:t xml:space="preserve">兴化市电子政务中心</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的委托，兴化市政务服务中心就</w:t>
      </w:r>
      <w:r>
        <w:rPr>
          <w:rFonts w:hint="eastAsia" w:ascii="仿宋_GB2312" w:hAnsi="仿宋_GB2312" w:eastAsia="仿宋_GB2312" w:cs="仿宋_GB2312"/>
          <w:sz w:val="28"/>
          <w:szCs w:val="28"/>
          <w:u w:val="single"/>
          <w:lang w:eastAsia="zh-CN"/>
        </w:rPr>
        <w:t xml:space="preserve">兴化市行政村电子政务外网服务</w:t>
      </w:r>
      <w:r>
        <w:rPr>
          <w:rFonts w:hint="eastAsia" w:ascii="仿宋_GB2312" w:hAnsi="仿宋_GB2312" w:eastAsia="仿宋_GB2312" w:cs="仿宋_GB2312"/>
          <w:sz w:val="28"/>
          <w:szCs w:val="28"/>
        </w:rPr>
        <w:t xml:space="preserve">(JSZC-321281-JZCG-C2026-0015</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rPr>
        <w:t xml:space="preserve">进行竞争性磋商采购，欢迎符合条件的供应商参加磋商。</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b/>
          <w:bCs/>
          <w:sz w:val="28"/>
          <w:szCs w:val="28"/>
        </w:rPr>
        <w:t xml:space="preserve">项目概况</w:t>
      </w:r>
      <w:r/>
    </w:p>
    <w:p>
      <w:pPr>
        <w:ind w:left="0" w:right="0" w:firstLine="560"/>
        <w:pageBreakBefore w:val="0"/>
        <w:spacing w:line="520" w:lineRule="exact"/>
        <w:rPr>
          <w:rFonts w:hint="eastAsia" w:ascii="仿宋_GB2312" w:hAnsi="仿宋_GB2312" w:eastAsia="仿宋_GB2312" w:cs="仿宋_GB2312"/>
          <w:b w:val="0"/>
          <w:bCs w:val="0"/>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sz w:val="28"/>
          <w:szCs w:val="28"/>
          <w:u w:val="single"/>
          <w:lang w:eastAsia="zh-CN"/>
        </w:rPr>
        <w:t xml:space="preserve">兴化市行政村电子政务外网服务</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val="0"/>
          <w:bCs w:val="0"/>
          <w:color w:val="auto"/>
          <w:sz w:val="28"/>
          <w:szCs w:val="28"/>
          <w:highlight w:val="none"/>
        </w:rPr>
        <w:t xml:space="preserve">竞争性磋商项目的潜在供应商可在</w:t>
      </w:r>
      <w:r>
        <w:rPr>
          <w:rFonts w:hint="eastAsia" w:ascii="仿宋_GB2312" w:hAnsi="仿宋_GB2312" w:eastAsia="仿宋_GB2312" w:cs="仿宋_GB2312"/>
          <w:b w:val="0"/>
          <w:bCs w:val="0"/>
          <w:color w:val="auto"/>
          <w:sz w:val="28"/>
          <w:szCs w:val="28"/>
          <w:highlight w:val="none"/>
          <w:u w:val="single"/>
        </w:rPr>
        <w:t xml:space="preserve">“苏采云”系统</w:t>
      </w:r>
      <w:r>
        <w:rPr>
          <w:rFonts w:hint="eastAsia" w:ascii="仿宋_GB2312" w:hAnsi="仿宋_GB2312" w:eastAsia="仿宋_GB2312" w:cs="仿宋_GB2312"/>
          <w:b w:val="0"/>
          <w:bCs w:val="0"/>
          <w:color w:val="auto"/>
          <w:sz w:val="28"/>
          <w:szCs w:val="28"/>
          <w:highlight w:val="none"/>
          <w:u w:val="none"/>
          <w:lang w:eastAsia="zh-CN"/>
        </w:rPr>
        <w:t xml:space="preserve">获取</w:t>
      </w:r>
      <w:r>
        <w:rPr>
          <w:rFonts w:hint="eastAsia" w:ascii="仿宋_GB2312" w:hAnsi="仿宋_GB2312" w:eastAsia="仿宋_GB2312" w:cs="仿宋_GB2312"/>
          <w:b w:val="0"/>
          <w:bCs w:val="0"/>
          <w:sz w:val="28"/>
          <w:szCs w:val="28"/>
          <w:highlight w:val="none"/>
        </w:rPr>
        <w:t xml:space="preserve">磋商文件，</w:t>
      </w:r>
      <w:r>
        <w:rPr>
          <w:rFonts w:hint="eastAsia" w:ascii="仿宋_GB2312" w:hAnsi="仿宋_GB2312" w:eastAsia="仿宋_GB2312" w:cs="仿宋_GB2312"/>
          <w:b w:val="0"/>
          <w:bCs w:val="0"/>
          <w:color w:val="auto"/>
          <w:sz w:val="28"/>
          <w:szCs w:val="28"/>
          <w:highlight w:val="none"/>
        </w:rPr>
        <w:t xml:space="preserve">并于</w:t>
      </w:r>
      <w:r>
        <w:rPr>
          <w:rFonts w:hint="eastAsia" w:ascii="仿宋_GB2312" w:hAnsi="仿宋_GB2312" w:eastAsia="仿宋_GB2312" w:cs="仿宋_GB2312"/>
          <w:b/>
          <w:bCs/>
          <w:color w:val="auto"/>
          <w:sz w:val="28"/>
          <w:szCs w:val="28"/>
          <w:highlight w:val="none"/>
          <w:u w:val="single"/>
        </w:rPr>
        <w:t xml:space="preserve">202</w:t>
      </w:r>
      <w:r>
        <w:rPr>
          <w:rFonts w:hint="eastAsia" w:ascii="仿宋_GB2312" w:hAnsi="仿宋_GB2312" w:eastAsia="仿宋_GB2312" w:cs="仿宋_GB2312"/>
          <w:b/>
          <w:bCs/>
          <w:color w:val="auto"/>
          <w:sz w:val="28"/>
          <w:szCs w:val="28"/>
          <w:highlight w:val="none"/>
          <w:u w:val="single"/>
          <w:lang w:val="en-US" w:eastAsia="zh-CN"/>
        </w:rPr>
        <w:t xml:space="preserve">6</w:t>
      </w:r>
      <w:r>
        <w:rPr>
          <w:rFonts w:hint="eastAsia" w:ascii="仿宋_GB2312" w:hAnsi="仿宋_GB2312" w:eastAsia="仿宋_GB2312" w:cs="仿宋_GB2312"/>
          <w:b/>
          <w:bCs/>
          <w:color w:val="auto"/>
          <w:sz w:val="28"/>
          <w:szCs w:val="28"/>
          <w:highlight w:val="none"/>
          <w:u w:val="single"/>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10</w:t>
      </w:r>
      <w:r>
        <w:rPr>
          <w:rFonts w:hint="eastAsia" w:ascii="仿宋_GB2312" w:hAnsi="仿宋_GB2312" w:eastAsia="仿宋_GB2312" w:cs="仿宋_GB2312"/>
          <w:b/>
          <w:bCs/>
          <w:color w:val="auto"/>
          <w:sz w:val="28"/>
          <w:szCs w:val="28"/>
          <w:highlight w:val="yellow"/>
          <w:u w:val="single"/>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27</w:t>
      </w:r>
      <w:r>
        <w:rPr>
          <w:rFonts w:hint="eastAsia" w:ascii="仿宋_GB2312" w:hAnsi="仿宋_GB2312" w:eastAsia="仿宋_GB2312" w:cs="仿宋_GB2312"/>
          <w:b/>
          <w:bCs/>
          <w:color w:val="auto"/>
          <w:sz w:val="28"/>
          <w:szCs w:val="28"/>
          <w:highlight w:val="yellow"/>
          <w:u w:val="single"/>
        </w:rPr>
        <w:t xml:space="preserve">日</w:t>
      </w:r>
      <w:r>
        <w:rPr>
          <w:rFonts w:hint="eastAsia" w:ascii="仿宋_GB2312" w:hAnsi="仿宋_GB2312" w:eastAsia="仿宋_GB2312" w:cs="仿宋_GB2312"/>
          <w:b/>
          <w:bCs/>
          <w:color w:val="auto"/>
          <w:sz w:val="28"/>
          <w:szCs w:val="28"/>
          <w:highlight w:val="none"/>
          <w:u w:val="single"/>
          <w:lang w:val="en-US" w:eastAsia="zh-CN"/>
        </w:rPr>
        <w:t xml:space="preserve">9</w:t>
      </w:r>
      <w:r>
        <w:rPr>
          <w:rFonts w:hint="eastAsia" w:ascii="仿宋_GB2312" w:hAnsi="仿宋_GB2312" w:eastAsia="仿宋_GB2312" w:cs="仿宋_GB2312"/>
          <w:b/>
          <w:bCs/>
          <w:color w:val="auto"/>
          <w:sz w:val="28"/>
          <w:szCs w:val="28"/>
          <w:highlight w:val="none"/>
          <w:u w:val="single"/>
        </w:rPr>
        <w:t xml:space="preserve">点</w:t>
      </w:r>
      <w:r>
        <w:rPr>
          <w:rFonts w:hint="eastAsia" w:ascii="仿宋_GB2312" w:hAnsi="仿宋_GB2312" w:eastAsia="仿宋_GB2312" w:cs="仿宋_GB2312"/>
          <w:b/>
          <w:bCs/>
          <w:color w:val="auto"/>
          <w:sz w:val="28"/>
          <w:szCs w:val="28"/>
          <w:highlight w:val="none"/>
          <w:u w:val="single"/>
          <w:lang w:val="en-US" w:eastAsia="zh-CN"/>
        </w:rPr>
        <w:t xml:space="preserve">30</w:t>
      </w:r>
      <w:r>
        <w:rPr>
          <w:rFonts w:hint="eastAsia" w:ascii="仿宋_GB2312" w:hAnsi="仿宋_GB2312" w:eastAsia="仿宋_GB2312" w:cs="仿宋_GB2312"/>
          <w:b/>
          <w:bCs/>
          <w:color w:val="auto"/>
          <w:sz w:val="28"/>
          <w:szCs w:val="28"/>
          <w:highlight w:val="none"/>
          <w:u w:val="single"/>
        </w:rPr>
        <w:t xml:space="preserve">分</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rPr>
        <w:t xml:space="preserve">北京时间）前递交响应文件。</w:t>
      </w:r>
      <w:r/>
    </w:p>
    <w:p>
      <w:pPr>
        <w:ind w:left="0" w:right="0" w:firstLine="560"/>
        <w:keepLines/>
        <w:keepNext/>
        <w:pageBreakBefore w:val="0"/>
        <w:spacing w:line="520" w:lineRule="exact"/>
        <w:rPr>
          <w:rFonts w:hint="eastAsia" w:ascii="黑体" w:hAnsi="黑体" w:eastAsia="黑体" w:cs="黑体"/>
          <w:b w:val="0"/>
          <w:bCs w:val="0"/>
          <w:color w:val="auto"/>
          <w:sz w:val="28"/>
          <w:szCs w:val="28"/>
          <w:highlight w:val="none"/>
        </w:rPr>
        <w:outlineLvl w:val="2"/>
      </w:pPr>
      <w:r/>
      <w:bookmarkStart w:id="7" w:name="_Toc38985263"/>
      <w:r/>
      <w:bookmarkStart w:id="8" w:name="_Toc28359079"/>
      <w:r/>
      <w:bookmarkStart w:id="9" w:name="_Toc35393621"/>
      <w:r/>
      <w:bookmarkStart w:id="10" w:name="_Toc35393790"/>
      <w:r/>
      <w:bookmarkStart w:id="11" w:name="_Toc28359002"/>
      <w:r/>
      <w:bookmarkStart w:id="12" w:name="_Hlk24379207"/>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一、项目基本情况</w:t>
      </w:r>
      <w:bookmarkEnd w:id="7"/>
      <w:r/>
      <w:bookmarkEnd w:id="8"/>
      <w:r/>
      <w:bookmarkEnd w:id="9"/>
      <w:r/>
      <w:bookmarkEnd w:id="10"/>
      <w:r/>
      <w:bookmarkEnd w:id="11"/>
      <w:r/>
      <w:bookmarkEnd w:id="12"/>
      <w:r/>
      <w:r/>
    </w:p>
    <w:p>
      <w:pPr>
        <w:ind w:left="0" w:right="0" w:firstLine="560"/>
        <w:keepLines w:val="0"/>
        <w:keepNext w:val="0"/>
        <w:pageBreakBefore w:val="0"/>
        <w:spacing w:line="500" w:lineRule="exact"/>
        <w:widowControl w:val="off"/>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1.项目编号：JSZC-321281-JZCG-C2026-0015</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2.项目名称：</w:t>
      </w:r>
      <w:r>
        <w:rPr>
          <w:rFonts w:hint="eastAsia" w:ascii="仿宋_GB2312" w:hAnsi="仿宋_GB2312" w:eastAsia="仿宋_GB2312" w:cs="仿宋_GB2312"/>
          <w:color w:val="auto"/>
          <w:sz w:val="28"/>
          <w:szCs w:val="28"/>
          <w:highlight w:val="none"/>
          <w:lang w:eastAsia="zh-CN"/>
        </w:rPr>
        <w:t xml:space="preserve">兴化市行政村电子政务外网服务</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lang w:eastAsia="zh-CN"/>
        </w:rPr>
        <w:t xml:space="preserve">采购方式：竞争性磋商</w:t>
      </w:r>
      <w:r/>
    </w:p>
    <w:p>
      <w:pPr>
        <w:ind w:left="0" w:right="0" w:firstLine="560"/>
        <w:pageBreakBefore w:val="0"/>
        <w:spacing w:line="500" w:lineRule="exact"/>
        <w:widowControl w:val="off"/>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预算金额</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pacing w:val="-11"/>
          <w:sz w:val="28"/>
          <w:szCs w:val="28"/>
          <w:highlight w:val="none"/>
          <w:lang w:eastAsia="zh-CN"/>
        </w:rPr>
        <w:t xml:space="preserve">项目总预算为</w:t>
      </w:r>
      <w:r>
        <w:rPr>
          <w:rFonts w:hint="eastAsia" w:ascii="仿宋_GB2312" w:hAnsi="仿宋_GB2312" w:eastAsia="仿宋_GB2312" w:cs="仿宋_GB2312"/>
          <w:color w:val="auto"/>
          <w:sz w:val="28"/>
          <w:szCs w:val="28"/>
          <w:highlight w:val="none"/>
          <w:lang w:eastAsia="zh-CN"/>
        </w:rPr>
        <w:t xml:space="preserve">人民币</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b/>
          <w:bCs/>
          <w:color w:val="auto"/>
          <w:sz w:val="28"/>
          <w:szCs w:val="28"/>
          <w:highlight w:val="none"/>
          <w:lang w:eastAsia="zh-CN"/>
        </w:rPr>
        <w:t xml:space="preserve">壹佰肆拾柒万壹仟贰佰元</w:t>
      </w:r>
      <w:r>
        <w:rPr>
          <w:rFonts w:hint="eastAsia" w:ascii="仿宋_GB2312" w:hAnsi="仿宋_GB2312" w:eastAsia="仿宋_GB2312" w:cs="仿宋_GB2312"/>
          <w:b/>
          <w:bCs/>
          <w:color w:val="auto"/>
          <w:sz w:val="28"/>
          <w:szCs w:val="28"/>
          <w:highlight w:val="none"/>
          <w:lang w:val="en-US" w:eastAsia="zh-CN"/>
        </w:rPr>
        <w:t xml:space="preserve">/</w:t>
      </w:r>
      <w:r>
        <w:rPr>
          <w:rFonts w:hint="eastAsia" w:ascii="仿宋_GB2312" w:hAnsi="仿宋_GB2312" w:eastAsia="仿宋_GB2312" w:cs="仿宋_GB2312"/>
          <w:b/>
          <w:bCs/>
          <w:color w:val="auto"/>
          <w:sz w:val="28"/>
          <w:szCs w:val="28"/>
          <w:highlight w:val="none"/>
          <w:lang w:eastAsia="zh-CN"/>
        </w:rPr>
        <w:t xml:space="preserve">每</w:t>
      </w:r>
      <w:bookmarkStart w:id="211" w:name="_GoBack"/>
      <w:r/>
      <w:bookmarkEnd w:id="211"/>
      <w:r>
        <w:rPr>
          <w:rFonts w:hint="eastAsia" w:ascii="仿宋_GB2312" w:hAnsi="仿宋_GB2312" w:eastAsia="仿宋_GB2312" w:cs="仿宋_GB2312"/>
          <w:b/>
          <w:bCs/>
          <w:color w:val="auto"/>
          <w:sz w:val="28"/>
          <w:szCs w:val="28"/>
          <w:highlight w:val="none"/>
          <w:lang w:eastAsia="zh-CN"/>
        </w:rPr>
        <w:t xml:space="preserve">年（</w:t>
      </w:r>
      <w:r>
        <w:rPr>
          <w:rFonts w:hint="default" w:ascii="Arial" w:hAnsi="Arial" w:eastAsia="仿宋_GB2312" w:cs="Arial"/>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1471200.00</w:t>
      </w:r>
      <w:r>
        <w:rPr>
          <w:rFonts w:hint="eastAsia" w:ascii="仿宋_GB2312" w:hAnsi="仿宋_GB2312" w:eastAsia="仿宋_GB2312" w:cs="仿宋_GB2312"/>
          <w:b/>
          <w:bCs/>
          <w:color w:val="auto"/>
          <w:sz w:val="28"/>
          <w:szCs w:val="28"/>
          <w:highlight w:val="none"/>
          <w:lang w:eastAsia="zh-CN"/>
        </w:rPr>
        <w:t xml:space="preserve">元/年）</w:t>
      </w:r>
      <w:r>
        <w:rPr>
          <w:rFonts w:hint="eastAsia" w:ascii="仿宋_GB2312" w:hAnsi="仿宋_GB2312" w:eastAsia="仿宋_GB2312" w:cs="仿宋_GB2312"/>
          <w:color w:val="auto"/>
          <w:spacing w:val="-11"/>
          <w:sz w:val="28"/>
          <w:szCs w:val="28"/>
          <w:highlight w:val="none"/>
          <w:lang w:eastAsia="zh-CN"/>
        </w:rPr>
        <w:t xml:space="preserve">，</w:t>
      </w:r>
      <w:r>
        <w:rPr>
          <w:rFonts w:hint="eastAsia" w:ascii="仿宋_GB2312" w:hAnsi="仿宋_GB2312" w:eastAsia="仿宋_GB2312" w:cs="仿宋_GB2312"/>
          <w:color w:val="auto"/>
          <w:sz w:val="28"/>
          <w:szCs w:val="28"/>
          <w:highlight w:val="none"/>
          <w:lang w:eastAsia="zh-CN"/>
        </w:rPr>
        <w:t xml:space="preserve">其中：</w:t>
      </w:r>
      <w:r>
        <w:rPr>
          <w:rFonts w:hint="eastAsia" w:ascii="仿宋_GB2312" w:hAnsi="仿宋_GB2312" w:eastAsia="仿宋_GB2312" w:cs="仿宋_GB2312"/>
          <w:b/>
          <w:bCs/>
          <w:color w:val="auto"/>
          <w:sz w:val="28"/>
          <w:szCs w:val="28"/>
          <w:highlight w:val="none"/>
          <w:lang w:eastAsia="zh-CN"/>
        </w:rPr>
        <w:t xml:space="preserve">第1包</w:t>
      </w:r>
      <w:r>
        <w:rPr>
          <w:rFonts w:hint="eastAsia" w:ascii="仿宋_GB2312" w:hAnsi="仿宋_GB2312" w:eastAsia="仿宋_GB2312" w:cs="仿宋_GB2312"/>
          <w:color w:val="auto"/>
          <w:sz w:val="28"/>
          <w:szCs w:val="28"/>
          <w:highlight w:val="none"/>
          <w:lang w:eastAsia="zh-CN"/>
        </w:rPr>
        <w:t xml:space="preserve">预算为人民币</w:t>
      </w:r>
      <w:r>
        <w:rPr>
          <w:rFonts w:hint="eastAsia" w:ascii="仿宋_GB2312" w:hAnsi="仿宋_GB2312" w:eastAsia="仿宋_GB2312" w:cs="仿宋_GB2312"/>
          <w:b/>
          <w:bCs/>
          <w:color w:val="auto"/>
          <w:sz w:val="28"/>
          <w:szCs w:val="28"/>
          <w:highlight w:val="none"/>
          <w:lang w:val="en-US" w:eastAsia="zh-CN"/>
        </w:rPr>
        <w:t xml:space="preserve"> </w:t>
      </w:r>
      <w:r>
        <w:rPr>
          <w:rFonts w:hint="eastAsia" w:ascii="仿宋_GB2312" w:hAnsi="仿宋_GB2312" w:eastAsia="仿宋_GB2312" w:cs="仿宋_GB2312"/>
          <w:b/>
          <w:bCs/>
          <w:color w:val="auto"/>
          <w:sz w:val="28"/>
          <w:szCs w:val="28"/>
          <w:highlight w:val="none"/>
          <w:lang w:eastAsia="zh-CN"/>
        </w:rPr>
        <w:t xml:space="preserve">柒拾伍万陆仟贰佰元</w:t>
      </w:r>
      <w:r>
        <w:rPr>
          <w:rFonts w:hint="eastAsia" w:ascii="仿宋_GB2312" w:hAnsi="仿宋_GB2312" w:eastAsia="仿宋_GB2312" w:cs="仿宋_GB2312"/>
          <w:b/>
          <w:bCs/>
          <w:color w:val="auto"/>
          <w:sz w:val="28"/>
          <w:szCs w:val="28"/>
          <w:highlight w:val="none"/>
          <w:lang w:val="en-US" w:eastAsia="zh-CN"/>
        </w:rPr>
        <w:t xml:space="preserve">/</w:t>
      </w:r>
      <w:r>
        <w:rPr>
          <w:rFonts w:hint="eastAsia" w:ascii="仿宋_GB2312" w:hAnsi="仿宋_GB2312" w:eastAsia="仿宋_GB2312" w:cs="仿宋_GB2312"/>
          <w:b/>
          <w:bCs/>
          <w:color w:val="auto"/>
          <w:sz w:val="28"/>
          <w:szCs w:val="28"/>
          <w:highlight w:val="none"/>
          <w:lang w:eastAsia="zh-CN"/>
        </w:rPr>
        <w:t xml:space="preserve">每年</w:t>
      </w:r>
      <w:r>
        <w:rPr>
          <w:rFonts w:hint="default" w:ascii="仿宋_GB2312" w:hAnsi="仿宋_GB2312" w:eastAsia="仿宋_GB2312" w:cs="仿宋_GB2312"/>
          <w:b/>
          <w:bCs/>
          <w:color w:val="auto"/>
          <w:sz w:val="28"/>
          <w:szCs w:val="28"/>
          <w:highlight w:val="none"/>
          <w:lang w:eastAsia="zh-CN"/>
        </w:rPr>
        <w:t xml:space="preserve">（¥756200.00</w:t>
      </w:r>
      <w:r>
        <w:rPr>
          <w:rFonts w:hint="eastAsia" w:ascii="仿宋_GB2312" w:hAnsi="仿宋_GB2312" w:eastAsia="仿宋_GB2312" w:cs="仿宋_GB2312"/>
          <w:b/>
          <w:bCs/>
          <w:color w:val="auto"/>
          <w:sz w:val="28"/>
          <w:szCs w:val="28"/>
          <w:highlight w:val="none"/>
          <w:lang w:eastAsia="zh-CN"/>
        </w:rPr>
        <w:t xml:space="preserve">元/年</w:t>
      </w:r>
      <w:r>
        <w:rPr>
          <w:rFonts w:hint="default"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，第2包</w:t>
      </w:r>
      <w:r>
        <w:rPr>
          <w:rFonts w:hint="eastAsia" w:ascii="仿宋_GB2312" w:hAnsi="仿宋_GB2312" w:eastAsia="仿宋_GB2312" w:cs="仿宋_GB2312"/>
          <w:b w:val="0"/>
          <w:bCs w:val="0"/>
          <w:color w:val="auto"/>
          <w:sz w:val="28"/>
          <w:szCs w:val="28"/>
          <w:highlight w:val="none"/>
          <w:lang w:eastAsia="zh-CN"/>
        </w:rPr>
        <w:t xml:space="preserve">预算为人民币</w:t>
      </w:r>
      <w:r>
        <w:rPr>
          <w:rFonts w:hint="eastAsia" w:ascii="仿宋_GB2312" w:hAnsi="仿宋_GB2312" w:eastAsia="仿宋_GB2312" w:cs="仿宋_GB2312"/>
          <w:b w:val="0"/>
          <w:bCs w:val="0"/>
          <w:color w:val="auto"/>
          <w:sz w:val="28"/>
          <w:szCs w:val="28"/>
          <w:highlight w:val="none"/>
          <w:lang w:val="en-US" w:eastAsia="zh-CN"/>
        </w:rPr>
        <w:t xml:space="preserve"> </w:t>
      </w:r>
      <w:r>
        <w:rPr>
          <w:rFonts w:hint="eastAsia" w:ascii="仿宋_GB2312" w:hAnsi="仿宋_GB2312" w:eastAsia="仿宋_GB2312" w:cs="仿宋_GB2312"/>
          <w:b/>
          <w:bCs/>
          <w:color w:val="auto"/>
          <w:sz w:val="28"/>
          <w:szCs w:val="28"/>
          <w:highlight w:val="none"/>
          <w:lang w:eastAsia="zh-CN"/>
        </w:rPr>
        <w:t xml:space="preserve">柒拾壹万伍仟元</w:t>
      </w:r>
      <w:r>
        <w:rPr>
          <w:rFonts w:hint="eastAsia" w:ascii="仿宋_GB2312" w:hAnsi="仿宋_GB2312" w:eastAsia="仿宋_GB2312" w:cs="仿宋_GB2312"/>
          <w:b/>
          <w:bCs/>
          <w:color w:val="auto"/>
          <w:sz w:val="28"/>
          <w:szCs w:val="28"/>
          <w:highlight w:val="none"/>
          <w:lang w:val="en-US" w:eastAsia="zh-CN"/>
        </w:rPr>
        <w:t xml:space="preserve">/</w:t>
      </w:r>
      <w:r>
        <w:rPr>
          <w:rFonts w:hint="eastAsia" w:ascii="仿宋_GB2312" w:hAnsi="仿宋_GB2312" w:eastAsia="仿宋_GB2312" w:cs="仿宋_GB2312"/>
          <w:b/>
          <w:bCs/>
          <w:color w:val="auto"/>
          <w:sz w:val="28"/>
          <w:szCs w:val="28"/>
          <w:highlight w:val="none"/>
          <w:lang w:eastAsia="zh-CN"/>
        </w:rPr>
        <w:t xml:space="preserve">每年</w:t>
      </w:r>
      <w:r>
        <w:rPr>
          <w:rFonts w:hint="default" w:ascii="仿宋_GB2312" w:hAnsi="仿宋_GB2312" w:eastAsia="仿宋_GB2312" w:cs="仿宋_GB2312"/>
          <w:b/>
          <w:bCs/>
          <w:color w:val="auto"/>
          <w:sz w:val="28"/>
          <w:szCs w:val="28"/>
          <w:highlight w:val="none"/>
          <w:lang w:eastAsia="zh-CN"/>
        </w:rPr>
        <w:t xml:space="preserve">（¥715000.00</w:t>
      </w:r>
      <w:r>
        <w:rPr>
          <w:rFonts w:hint="eastAsia" w:ascii="仿宋_GB2312" w:hAnsi="仿宋_GB2312" w:eastAsia="仿宋_GB2312" w:cs="仿宋_GB2312"/>
          <w:b/>
          <w:bCs/>
          <w:color w:val="auto"/>
          <w:sz w:val="28"/>
          <w:szCs w:val="28"/>
          <w:highlight w:val="none"/>
          <w:lang w:eastAsia="zh-CN"/>
        </w:rPr>
        <w:t xml:space="preserve">元/年</w:t>
      </w:r>
      <w:r>
        <w:rPr>
          <w:rFonts w:hint="default"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w:t>
      </w:r>
      <w:r/>
    </w:p>
    <w:p>
      <w:pPr>
        <w:ind w:left="0" w:right="0" w:firstLine="560"/>
        <w:keepLines w:val="0"/>
        <w:keepNext w:val="0"/>
        <w:pageBreakBefore w:val="0"/>
        <w:spacing w:line="500" w:lineRule="exact"/>
        <w:widowControl w:val="off"/>
        <w:rPr>
          <w:rFonts w:hint="eastAsia" w:ascii="黑体" w:hAnsi="黑体" w:eastAsia="黑体" w:cs="黑体"/>
          <w:i/>
          <w:iCs/>
          <w:color w:val="auto"/>
          <w:spacing w:val="0"/>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 xml:space="preserve">5.最高限价：</w:t>
      </w:r>
      <w:r>
        <w:rPr>
          <w:rFonts w:hint="eastAsia" w:ascii="黑体" w:hAnsi="黑体" w:eastAsia="黑体" w:cs="仿宋"/>
          <w:i/>
          <w:iCs w:val="0"/>
          <w:sz w:val="28"/>
          <w:szCs w:val="28"/>
          <w:u w:val="single"/>
          <w:lang w:eastAsia="zh-CN"/>
        </w:rPr>
        <w:t xml:space="preserve">响应</w:t>
      </w:r>
      <w:r>
        <w:rPr>
          <w:rFonts w:hint="eastAsia" w:ascii="黑体" w:hAnsi="黑体" w:eastAsia="黑体" w:cs="仿宋"/>
          <w:i/>
          <w:iCs w:val="0"/>
          <w:sz w:val="28"/>
          <w:szCs w:val="28"/>
          <w:u w:val="single"/>
        </w:rPr>
        <w:t xml:space="preserve">报价超出预算价的将视为无效</w:t>
      </w:r>
      <w:r>
        <w:rPr>
          <w:rFonts w:hint="eastAsia" w:ascii="黑体" w:hAnsi="黑体" w:eastAsia="黑体" w:cs="仿宋"/>
          <w:i/>
          <w:iCs w:val="0"/>
          <w:sz w:val="28"/>
          <w:szCs w:val="28"/>
          <w:u w:val="single"/>
          <w:lang w:eastAsia="zh-CN"/>
        </w:rPr>
        <w:t xml:space="preserve">响应</w:t>
      </w:r>
      <w:r>
        <w:rPr>
          <w:rFonts w:hint="eastAsia" w:ascii="仿宋_GB2312" w:hAnsi="仿宋_GB2312" w:eastAsia="仿宋_GB2312" w:cs="仿宋_GB2312"/>
          <w:color w:val="auto"/>
          <w:sz w:val="28"/>
          <w:szCs w:val="28"/>
          <w:highlight w:val="none"/>
          <w:lang w:val="en-US" w:eastAsia="zh-CN"/>
        </w:rPr>
        <w:t xml:space="preserve">。</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zh-CN" w:eastAsia="zh-CN"/>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w:t>
      </w:r>
      <w:bookmarkStart w:id="13" w:name="_Hlk134691785"/>
      <w:r>
        <w:rPr>
          <w:rFonts w:hint="eastAsia" w:ascii="仿宋_GB2312" w:hAnsi="仿宋_GB2312" w:eastAsia="仿宋_GB2312" w:cs="仿宋_GB2312"/>
          <w:color w:val="auto"/>
          <w:sz w:val="28"/>
          <w:szCs w:val="28"/>
          <w:highlight w:val="none"/>
          <w:lang w:val="en-US" w:eastAsia="zh-CN"/>
        </w:rPr>
        <w:t xml:space="preserve">为兴化市所有行政村提供新一代电子政务外网服务，全部采用50M线路接入。</w:t>
      </w:r>
      <w:r>
        <w:rPr>
          <w:rFonts w:hint="eastAsia" w:ascii="仿宋_GB2312" w:hAnsi="仿宋_GB2312" w:eastAsia="仿宋_GB2312" w:cs="仿宋_GB2312"/>
          <w:color w:val="auto"/>
          <w:sz w:val="28"/>
          <w:szCs w:val="28"/>
          <w:highlight w:val="none"/>
          <w:lang w:eastAsia="zh-CN"/>
        </w:rPr>
        <w:t xml:space="preserve">项目分为两个包，</w:t>
      </w:r>
      <w:r>
        <w:rPr>
          <w:rFonts w:hint="eastAsia" w:ascii="仿宋_GB2312" w:hAnsi="仿宋_GB2312" w:eastAsia="仿宋_GB2312" w:cs="仿宋_GB2312"/>
          <w:b/>
          <w:bCs/>
          <w:color w:val="auto"/>
          <w:sz w:val="28"/>
          <w:szCs w:val="28"/>
          <w:highlight w:val="none"/>
          <w:lang w:eastAsia="zh-CN"/>
        </w:rPr>
        <w:t xml:space="preserve">第1包</w:t>
      </w:r>
      <w:r>
        <w:rPr>
          <w:rFonts w:hint="eastAsia" w:ascii="仿宋_GB2312" w:hAnsi="仿宋_GB2312" w:eastAsia="仿宋_GB2312" w:cs="仿宋_GB2312"/>
          <w:color w:val="auto"/>
          <w:sz w:val="28"/>
          <w:szCs w:val="28"/>
          <w:highlight w:val="none"/>
          <w:lang w:eastAsia="zh-CN"/>
        </w:rPr>
        <w:t xml:space="preserve">包含城市和东北、西北片14个乡镇(街道)238个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第2包</w:t>
      </w:r>
      <w:r>
        <w:rPr>
          <w:rFonts w:hint="eastAsia" w:ascii="仿宋_GB2312" w:hAnsi="仿宋_GB2312" w:eastAsia="仿宋_GB2312" w:cs="仿宋_GB2312"/>
          <w:color w:val="auto"/>
          <w:sz w:val="28"/>
          <w:szCs w:val="28"/>
          <w:highlight w:val="none"/>
          <w:lang w:eastAsia="zh-CN"/>
        </w:rPr>
        <w:t xml:space="preserve">包含东南、西南片12个乡镇225个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lang w:eastAsia="zh-CN"/>
        </w:rPr>
        <w:t xml:space="preserve">。</w:t>
      </w:r>
      <w:bookmarkEnd w:id="13"/>
      <w:r>
        <w:rPr>
          <w:rFonts w:hint="eastAsia" w:ascii="仿宋_GB2312" w:hAnsi="仿宋_GB2312" w:eastAsia="仿宋_GB2312" w:cs="仿宋_GB2312"/>
          <w:sz w:val="28"/>
          <w:szCs w:val="28"/>
          <w:highlight w:val="none"/>
          <w:lang w:val="zh-CN"/>
        </w:rPr>
        <w:t xml:space="preserve">详见磋商文件第四章</w:t>
      </w: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zh-CN"/>
        </w:rPr>
        <w:t xml:space="preserve">项目需求</w:t>
      </w:r>
      <w:r>
        <w:rPr>
          <w:rFonts w:hint="eastAsia" w:ascii="仿宋_GB2312" w:hAnsi="仿宋_GB2312" w:eastAsia="仿宋_GB2312" w:cs="仿宋_GB2312"/>
          <w:color w:val="auto"/>
          <w:sz w:val="28"/>
          <w:szCs w:val="28"/>
          <w:highlight w:val="none"/>
          <w:lang w:val="zh-CN" w:eastAsia="zh-CN"/>
        </w:rPr>
        <w:t xml:space="preserve">。</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7</w:t>
      </w:r>
      <w:r>
        <w:rPr>
          <w:rFonts w:hint="eastAsia" w:ascii="仿宋_GB2312" w:hAnsi="仿宋_GB2312" w:eastAsia="仿宋_GB2312" w:cs="仿宋_GB2312"/>
          <w:color w:val="auto"/>
          <w:sz w:val="28"/>
          <w:szCs w:val="28"/>
          <w:highlight w:val="none"/>
        </w:rPr>
        <w:t xml:space="preserve">.合同履行期限：1年。（</w:t>
      </w:r>
      <w:r>
        <w:rPr>
          <w:rFonts w:hint="eastAsia" w:ascii="仿宋_GB2312" w:hAnsi="仿宋_GB2312" w:eastAsia="仿宋_GB2312" w:cs="仿宋_GB2312"/>
          <w:color w:val="auto"/>
          <w:sz w:val="28"/>
          <w:szCs w:val="28"/>
          <w:highlight w:val="none"/>
          <w:lang w:eastAsia="zh-CN"/>
        </w:rPr>
        <w:t xml:space="preserve">注：</w:t>
      </w:r>
      <w:r>
        <w:rPr>
          <w:rFonts w:hint="eastAsia" w:ascii="仿宋_GB2312" w:hAnsi="仿宋_GB2312" w:eastAsia="仿宋_GB2312" w:cs="仿宋_GB2312"/>
          <w:color w:val="auto"/>
          <w:sz w:val="28"/>
          <w:szCs w:val="28"/>
          <w:highlight w:val="none"/>
        </w:rPr>
        <w:t xml:space="preserve">本项目采取</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lang w:eastAsia="zh-CN"/>
        </w:rPr>
        <w:t xml:space="preserve">次招标</w:t>
      </w: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lang w:eastAsia="zh-CN"/>
        </w:rPr>
        <w:t xml:space="preserve">年沿用”方式</w:t>
      </w:r>
      <w:r>
        <w:rPr>
          <w:rFonts w:hint="eastAsia" w:ascii="仿宋_GB2312" w:hAnsi="仿宋_GB2312" w:eastAsia="仿宋_GB2312" w:cs="仿宋_GB2312"/>
          <w:color w:val="auto"/>
          <w:sz w:val="28"/>
          <w:szCs w:val="28"/>
          <w:highlight w:val="none"/>
        </w:rPr>
        <w:t xml:space="preserve">，实行一年一考核一签合同的办法。如中标单位年度考核不合格，采购人有权终止合同，不再续签下一年合同。）</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8</w:t>
      </w:r>
      <w:r>
        <w:rPr>
          <w:rFonts w:hint="eastAsia" w:ascii="仿宋_GB2312" w:hAnsi="仿宋_GB2312" w:eastAsia="仿宋_GB2312" w:cs="仿宋_GB2312"/>
          <w:color w:val="auto"/>
          <w:sz w:val="28"/>
          <w:szCs w:val="28"/>
          <w:highlight w:val="none"/>
          <w:lang w:val="zh-CN"/>
        </w:rPr>
        <w:t xml:space="preserve">.本次招标</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zh-CN"/>
        </w:rPr>
        <w:t xml:space="preserve">不收取</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zh-CN"/>
        </w:rPr>
        <w:t xml:space="preserve">磋商保证金。</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9.</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不接受</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联合体参与</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bookmarkStart w:id="14" w:name="_Toc35393791"/>
      <w:r/>
      <w:bookmarkStart w:id="15" w:name="_Toc28359003"/>
      <w:r/>
      <w:bookmarkStart w:id="16" w:name="_Toc35393622"/>
      <w:r/>
      <w:bookmarkStart w:id="17" w:name="_Toc28359080"/>
      <w:r/>
      <w:bookmarkStart w:id="18" w:name="_Toc38985264"/>
      <w:r>
        <w:rPr>
          <w:rFonts w:hint="eastAsia" w:ascii="黑体" w:hAnsi="黑体" w:eastAsia="黑体" w:cs="黑体"/>
          <w:b w:val="0"/>
          <w:bCs w:val="0"/>
          <w:color w:val="auto"/>
          <w:sz w:val="28"/>
          <w:szCs w:val="28"/>
          <w:highlight w:val="none"/>
        </w:rPr>
        <w:t xml:space="preserve">二、申请人的资格要求</w:t>
      </w:r>
      <w:bookmarkEnd w:id="14"/>
      <w:r/>
      <w:bookmarkEnd w:id="15"/>
      <w:r/>
      <w:bookmarkEnd w:id="16"/>
      <w:r/>
      <w:bookmarkEnd w:id="17"/>
      <w:r/>
      <w:bookmarkEnd w:id="18"/>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bookmarkStart w:id="19" w:name="_Toc28359081"/>
      <w:r/>
      <w:bookmarkStart w:id="20" w:name="_Toc38985265"/>
      <w:r/>
      <w:bookmarkStart w:id="21" w:name="_Toc28359004"/>
      <w:r/>
      <w:bookmarkStart w:id="22" w:name="_Toc35393623"/>
      <w:r/>
      <w:bookmarkStart w:id="23" w:name="_Toc35393792"/>
      <w:r>
        <w:rPr>
          <w:rFonts w:hint="eastAsia" w:ascii="方正楷体_GBK" w:hAnsi="方正楷体_GBK" w:eastAsia="方正楷体_GBK" w:cs="方正楷体_GBK"/>
          <w:b/>
          <w:bCs/>
          <w:color w:val="auto"/>
          <w:sz w:val="28"/>
          <w:szCs w:val="28"/>
          <w:highlight w:val="none"/>
        </w:rPr>
        <w:t xml:space="preserve">（一）通用资格要求</w:t>
      </w:r>
      <w:r>
        <w:rPr>
          <w:rFonts w:hint="eastAsia" w:ascii="方正楷体_GBK" w:hAnsi="方正楷体_GBK" w:eastAsia="方正楷体_GBK" w:cs="方正楷体_GBK"/>
          <w:b/>
          <w:bCs/>
          <w:color w:val="auto"/>
          <w:sz w:val="28"/>
          <w:szCs w:val="28"/>
          <w:highlight w:val="none"/>
          <w:lang w:eastAsia="zh-CN"/>
        </w:rPr>
        <w:t xml:space="preserve">：</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1.满足《中华人民共和国政府采购法》第二十二条规定，并提供下列材料：</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 法人或者其他组织的营业执照等证明文件；</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1.2</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财务状况报告（成立不满一年无需提供）；</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1.3</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依法缴纳税收和社会保障资金的相关材料；</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具备履行合同所必需的设备和专业技术能力的书面声明；</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参加政府采购活动前3年内在经营活动中没有重大违法记录的书面声明。</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numPr>
          <w:ilvl w:val="0"/>
          <w:numId w:val="0"/>
        </w:numPr>
        <w:ind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3.落实政府采购政策需满足的资格要求：</w:t>
      </w:r>
      <w:r>
        <w:rPr>
          <w:rFonts w:hint="eastAsia" w:ascii="仿宋_GB2312" w:hAnsi="仿宋_GB2312" w:eastAsia="仿宋_GB2312" w:cs="仿宋_GB2312"/>
          <w:i w:val="0"/>
          <w:iCs w:val="0"/>
          <w:color w:val="auto"/>
          <w:sz w:val="28"/>
          <w:szCs w:val="28"/>
          <w:highlight w:val="none"/>
          <w:u w:val="none"/>
          <w:lang w:eastAsia="zh-CN"/>
        </w:rPr>
        <w:t xml:space="preserve">无</w:t>
      </w:r>
      <w:r>
        <w:rPr>
          <w:rFonts w:hint="eastAsia" w:ascii="黑体" w:hAnsi="黑体" w:eastAsia="黑体" w:cs="黑体"/>
          <w:b w:val="0"/>
          <w:bCs w:val="0"/>
          <w:i w:val="0"/>
          <w:iCs w:val="0"/>
          <w:color w:val="auto"/>
          <w:sz w:val="28"/>
          <w:szCs w:val="28"/>
          <w:highlight w:val="none"/>
          <w:u w:val="none"/>
          <w:lang w:eastAsia="zh-CN"/>
        </w:rPr>
        <w:t xml:space="preserve">。</w:t>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rPr>
          <w:rFonts w:hint="eastAsia" w:ascii="方正楷体_GBK" w:hAnsi="方正楷体_GBK" w:eastAsia="方正楷体_GBK" w:cs="方正楷体_GBK"/>
          <w:b/>
          <w:bCs/>
          <w:color w:val="auto"/>
          <w:sz w:val="28"/>
          <w:szCs w:val="28"/>
          <w:highlight w:val="none"/>
        </w:rPr>
        <w:t xml:space="preserve">（二）本项目的特定资格要求</w:t>
      </w:r>
      <w:r>
        <w:rPr>
          <w:rFonts w:hint="eastAsia" w:ascii="方正楷体_GBK" w:hAnsi="方正楷体_GBK" w:eastAsia="方正楷体_GBK" w:cs="方正楷体_GBK"/>
          <w:b/>
          <w:bCs/>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黑体" w:hAnsi="黑体" w:eastAsia="黑体" w:cs="黑体"/>
          <w:i/>
          <w:iCs/>
          <w:color w:val="auto"/>
          <w:sz w:val="28"/>
          <w:szCs w:val="28"/>
          <w:u w:val="single"/>
          <w:lang w:val="en-US" w:eastAsia="zh-CN"/>
        </w:rPr>
      </w:pPr>
      <w:r>
        <w:rPr>
          <w:rFonts w:hint="eastAsia" w:ascii="黑体" w:hAnsi="黑体" w:eastAsia="黑体" w:cs="黑体"/>
          <w:i/>
          <w:iCs/>
          <w:color w:val="auto"/>
          <w:sz w:val="28"/>
          <w:szCs w:val="28"/>
          <w:u w:val="single"/>
          <w:lang w:val="en-US" w:eastAsia="zh-CN"/>
        </w:rPr>
        <w:t xml:space="preserve">1.具有基础电信业务经营许可，或具备增值电信业务经营许可且依据省级以上相关文件可以提供“数据专网服务”的独立法人或其分支机构，响应文件中需提供许可证或资质证书扫描件。</w:t>
      </w:r>
      <w:r/>
    </w:p>
    <w:p>
      <w:pPr>
        <w:ind w:firstLine="560"/>
        <w:keepLines w:val="0"/>
        <w:keepNext w:val="0"/>
        <w:pageBreakBefore w:val="0"/>
        <w:spacing w:line="500" w:lineRule="exact"/>
        <w:widowControl w:val="off"/>
        <w:rPr>
          <w:rFonts w:hint="eastAsia" w:ascii="黑体" w:hAnsi="黑体" w:eastAsia="黑体" w:cs="黑体"/>
          <w:i/>
          <w:iCs/>
          <w:color w:val="auto"/>
          <w:sz w:val="28"/>
          <w:szCs w:val="28"/>
          <w:highlight w:val="none"/>
          <w:u w:val="single"/>
          <w:lang w:eastAsia="zh-CN"/>
        </w:rPr>
      </w:pPr>
      <w:r>
        <w:rPr>
          <w:rFonts w:hint="eastAsia" w:ascii="黑体" w:hAnsi="黑体" w:eastAsia="黑体" w:cs="黑体"/>
          <w:i/>
          <w:iCs/>
          <w:color w:val="auto"/>
          <w:sz w:val="28"/>
          <w:szCs w:val="28"/>
          <w:u w:val="single"/>
          <w:lang w:val="en-US" w:eastAsia="zh-CN"/>
        </w:rPr>
        <w:t xml:space="preserve">2.接受分公司投标，但总公司（法人）和分公司不得同时参与本项目投标，同一法人的不同分支机构不得同时参与本项目投标。</w:t>
      </w:r>
      <w:r>
        <w:rPr>
          <w:rFonts w:hint="eastAsia" w:ascii="黑体" w:hAnsi="黑体" w:eastAsia="黑体" w:cs="黑体"/>
          <w:i/>
          <w:iCs/>
          <w:sz w:val="28"/>
          <w:szCs w:val="28"/>
          <w:u w:val="single"/>
          <w:lang w:eastAsia="zh-CN"/>
        </w:rPr>
        <w:t xml:space="preserve">（供应商需提供承诺函，格式自拟）</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三、获取</w:t>
      </w:r>
      <w:bookmarkEnd w:id="19"/>
      <w:r/>
      <w:bookmarkEnd w:id="20"/>
      <w:r/>
      <w:bookmarkEnd w:id="21"/>
      <w:r/>
      <w:bookmarkEnd w:id="22"/>
      <w:r/>
      <w:bookmarkEnd w:id="23"/>
      <w:r>
        <w:rPr>
          <w:rFonts w:hint="eastAsia" w:ascii="黑体" w:hAnsi="黑体" w:eastAsia="黑体" w:cs="黑体"/>
          <w:b w:val="0"/>
          <w:bCs w:val="0"/>
          <w:color w:val="auto"/>
          <w:sz w:val="28"/>
          <w:szCs w:val="28"/>
          <w:highlight w:val="none"/>
        </w:rPr>
        <w:t xml:space="preserve">磋商文件</w:t>
      </w:r>
      <w:bookmarkStart w:id="24" w:name="_Toc28359082"/>
      <w:r/>
      <w:bookmarkStart w:id="25" w:name="_Toc28359005"/>
      <w:r/>
      <w:bookmarkStart w:id="26" w:name="_Toc35393793"/>
      <w:r/>
      <w:bookmarkStart w:id="27" w:name="_Toc35393624"/>
      <w:r/>
      <w:bookmarkStart w:id="28" w:name="_Toc38985266"/>
      <w:r/>
      <w:r/>
    </w:p>
    <w:p>
      <w:pPr>
        <w:ind w:left="0" w:right="0" w:firstLine="560"/>
        <w:keepLines/>
        <w:keepNext/>
        <w:pageBreakBefore w:val="0"/>
        <w:spacing w:line="500" w:lineRule="exact"/>
        <w:widowControl w:val="off"/>
        <w:rPr>
          <w:rFonts w:hint="eastAsia" w:ascii="仿宋_GB2312" w:hAnsi="仿宋_GB2312" w:eastAsia="仿宋_GB2312" w:cs="仿宋_GB2312"/>
          <w:b/>
          <w:color w:val="auto"/>
          <w:sz w:val="28"/>
          <w:szCs w:val="28"/>
          <w:highlight w:val="none"/>
        </w:rPr>
        <w:outlineLvl w:val="2"/>
      </w:pPr>
      <w:r>
        <w:rPr>
          <w:rFonts w:hint="eastAsia" w:ascii="仿宋_GB2312" w:hAnsi="仿宋_GB2312" w:eastAsia="仿宋_GB2312" w:cs="仿宋_GB2312"/>
          <w:color w:val="auto"/>
          <w:sz w:val="28"/>
          <w:szCs w:val="28"/>
          <w:highlight w:val="none"/>
        </w:rPr>
        <w:t xml:space="preserve">1.时间：自磋商文件公告发布之日起5个工作日。</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2.</w:t>
      </w:r>
      <w:r>
        <w:rPr>
          <w:rFonts w:hint="eastAsia" w:ascii="仿宋_GB2312" w:hAnsi="仿宋_GB2312" w:eastAsia="仿宋_GB2312" w:cs="仿宋_GB2312"/>
          <w:color w:val="auto"/>
          <w:sz w:val="28"/>
          <w:szCs w:val="28"/>
          <w:highlight w:val="none"/>
          <w:lang w:eastAsia="zh-CN"/>
        </w:rPr>
        <w:t xml:space="preserve">地点</w:t>
      </w:r>
      <w:r>
        <w:rPr>
          <w:rFonts w:hint="eastAsia" w:ascii="仿宋_GB2312" w:hAnsi="仿宋_GB2312" w:eastAsia="仿宋_GB2312" w:cs="仿宋_GB2312"/>
          <w:color w:val="auto"/>
          <w:sz w:val="28"/>
          <w:szCs w:val="28"/>
          <w:highlight w:val="none"/>
        </w:rPr>
        <w:t xml:space="preserve">：“苏采云”系统</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方式：“苏采云”系统获取</w:t>
      </w:r>
      <w:r/>
    </w:p>
    <w:p>
      <w:pPr>
        <w:ind w:left="0" w:right="0" w:firstLine="560"/>
        <w:pageBreakBefore w:val="0"/>
        <w:spacing w:line="50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售价：0.00元</w:t>
      </w:r>
      <w:bookmarkEnd w:id="24"/>
      <w:r/>
      <w:bookmarkEnd w:id="25"/>
      <w:r/>
      <w:bookmarkEnd w:id="26"/>
      <w:r/>
      <w:bookmarkEnd w:id="27"/>
      <w:r/>
      <w:bookmarkEnd w:id="28"/>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u w:val="none"/>
          <w:lang w:val="en-US" w:eastAsia="zh-CN"/>
        </w:rPr>
        <w:outlineLvl w:val="2"/>
      </w:pPr>
      <w:r/>
      <w:bookmarkStart w:id="29" w:name="_Toc28359007"/>
      <w:r/>
      <w:bookmarkStart w:id="30" w:name="_Toc35393794"/>
      <w:r/>
      <w:bookmarkStart w:id="31" w:name="_Toc38985267"/>
      <w:r/>
      <w:bookmarkStart w:id="32" w:name="_Toc35393625"/>
      <w:r/>
      <w:bookmarkStart w:id="33" w:name="_Toc28359084"/>
      <w:r>
        <w:rPr>
          <w:rFonts w:hint="eastAsia" w:ascii="黑体" w:hAnsi="黑体" w:eastAsia="黑体" w:cs="黑体"/>
          <w:b w:val="0"/>
          <w:bCs w:val="0"/>
          <w:color w:val="auto"/>
          <w:sz w:val="28"/>
          <w:szCs w:val="28"/>
          <w:highlight w:val="none"/>
          <w:lang w:val="en-US" w:eastAsia="zh-CN"/>
        </w:rPr>
        <w:t xml:space="preserve">四、响</w:t>
      </w:r>
      <w:r>
        <w:rPr>
          <w:rFonts w:hint="eastAsia" w:ascii="黑体" w:hAnsi="黑体" w:eastAsia="黑体" w:cs="黑体"/>
          <w:b w:val="0"/>
          <w:bCs w:val="0"/>
          <w:color w:val="auto"/>
          <w:sz w:val="28"/>
          <w:szCs w:val="28"/>
          <w:highlight w:val="none"/>
          <w:u w:val="none"/>
          <w:lang w:val="en-US" w:eastAsia="zh-CN"/>
        </w:rPr>
        <w:t xml:space="preserve">应文件提交</w:t>
      </w:r>
      <w:r/>
    </w:p>
    <w:p>
      <w:pPr>
        <w:ind w:left="0" w:right="0" w:firstLine="560"/>
        <w:pageBreakBefore w:val="0"/>
        <w:spacing w:line="500" w:lineRule="exact"/>
        <w:widowControl w:val="off"/>
        <w:rPr>
          <w:rFonts w:hint="eastAsia" w:ascii="仿宋_GB2312" w:hAnsi="仿宋_GB2312" w:eastAsia="仿宋_GB2312" w:cs="仿宋_GB2312"/>
          <w:bCs/>
          <w:color w:val="auto"/>
          <w:sz w:val="28"/>
          <w:szCs w:val="28"/>
          <w:highlight w:val="none"/>
          <w:u w:val="none"/>
          <w:lang w:val="en-US" w:eastAsia="zh-CN"/>
        </w:rPr>
      </w:pPr>
      <w:r>
        <w:rPr>
          <w:rFonts w:hint="eastAsia" w:ascii="仿宋_GB2312" w:hAnsi="仿宋_GB2312" w:eastAsia="仿宋_GB2312" w:cs="仿宋_GB2312"/>
          <w:bCs/>
          <w:color w:val="auto"/>
          <w:sz w:val="28"/>
          <w:szCs w:val="28"/>
          <w:highlight w:val="none"/>
          <w:u w:val="none"/>
          <w:lang w:val="en-US" w:eastAsia="zh-CN"/>
        </w:rPr>
        <w:t xml:space="preserve">截止时间</w:t>
      </w:r>
      <w:r>
        <w:rPr>
          <w:rFonts w:hint="eastAsia" w:ascii="仿宋_GB2312" w:hAnsi="仿宋_GB2312" w:eastAsia="仿宋_GB2312" w:cs="仿宋_GB2312"/>
          <w:bCs/>
          <w:color w:val="auto"/>
          <w:sz w:val="28"/>
          <w:szCs w:val="28"/>
          <w:highlight w:val="none"/>
          <w:u w:val="none"/>
        </w:rPr>
        <w:t xml:space="preserve">：</w:t>
      </w:r>
      <w:r>
        <w:rPr>
          <w:rFonts w:hint="eastAsia" w:ascii="仿宋_GB2312" w:hAnsi="仿宋_GB2312" w:eastAsia="仿宋_GB2312" w:cs="仿宋_GB2312"/>
          <w:b/>
          <w:bCs/>
          <w:color w:val="auto"/>
          <w:sz w:val="28"/>
          <w:szCs w:val="28"/>
          <w:highlight w:val="yellow"/>
          <w:u w:val="single"/>
        </w:rPr>
        <w:t xml:space="preserve">202</w:t>
      </w:r>
      <w:r>
        <w:rPr>
          <w:rFonts w:hint="eastAsia" w:ascii="仿宋_GB2312" w:hAnsi="仿宋_GB2312" w:eastAsia="仿宋_GB2312" w:cs="仿宋_GB2312"/>
          <w:b/>
          <w:bCs/>
          <w:color w:val="auto"/>
          <w:sz w:val="28"/>
          <w:szCs w:val="28"/>
          <w:highlight w:val="yellow"/>
          <w:u w:val="single"/>
          <w:lang w:val="en-US" w:eastAsia="zh-CN"/>
        </w:rPr>
        <w:t xml:space="preserve">6</w:t>
      </w:r>
      <w:r>
        <w:rPr>
          <w:rFonts w:hint="eastAsia" w:ascii="仿宋_GB2312" w:hAnsi="仿宋_GB2312" w:eastAsia="仿宋_GB2312" w:cs="仿宋_GB2312"/>
          <w:b/>
          <w:bCs/>
          <w:color w:val="auto"/>
          <w:sz w:val="28"/>
          <w:szCs w:val="28"/>
          <w:highlight w:val="yellow"/>
          <w:u w:val="single"/>
        </w:rPr>
        <w:t xml:space="preserve">-</w:t>
      </w:r>
      <w:r>
        <w:rPr>
          <w:rFonts w:hint="eastAsia" w:ascii="仿宋_GB2312" w:hAnsi="仿宋_GB2312" w:eastAsia="仿宋_GB2312" w:cs="仿宋_GB2312"/>
          <w:b/>
          <w:bCs/>
          <w:color w:val="auto"/>
          <w:sz w:val="28"/>
          <w:szCs w:val="28"/>
          <w:highlight w:val="yellow"/>
          <w:u w:val="single"/>
          <w:lang w:val="en-US" w:eastAsia="zh-CN"/>
        </w:rPr>
        <w:t xml:space="preserve">10</w:t>
      </w:r>
      <w:r>
        <w:rPr>
          <w:rFonts w:hint="eastAsia" w:ascii="仿宋_GB2312" w:hAnsi="仿宋_GB2312" w:eastAsia="仿宋_GB2312" w:cs="仿宋_GB2312"/>
          <w:b/>
          <w:bCs/>
          <w:color w:val="auto"/>
          <w:sz w:val="28"/>
          <w:szCs w:val="28"/>
          <w:highlight w:val="yellow"/>
          <w:u w:val="single"/>
        </w:rPr>
        <w:t xml:space="preserve">-</w:t>
      </w:r>
      <w:r>
        <w:rPr>
          <w:rFonts w:hint="eastAsia" w:ascii="仿宋_GB2312" w:hAnsi="仿宋_GB2312" w:eastAsia="仿宋_GB2312" w:cs="仿宋_GB2312"/>
          <w:b/>
          <w:bCs/>
          <w:color w:val="auto"/>
          <w:sz w:val="28"/>
          <w:szCs w:val="28"/>
          <w:highlight w:val="yellow"/>
          <w:u w:val="single"/>
          <w:lang w:val="en-US" w:eastAsia="zh-CN"/>
        </w:rPr>
        <w:t xml:space="preserve">27  </w:t>
      </w:r>
      <w:r>
        <w:rPr>
          <w:rFonts w:hint="eastAsia" w:ascii="仿宋_GB2312" w:hAnsi="仿宋_GB2312" w:eastAsia="仿宋_GB2312" w:cs="仿宋_GB2312"/>
          <w:b/>
          <w:bCs/>
          <w:color w:val="auto"/>
          <w:sz w:val="28"/>
          <w:szCs w:val="28"/>
          <w:highlight w:val="yellow"/>
          <w:u w:val="single"/>
        </w:rPr>
        <w:t xml:space="preserve">09:30</w:t>
      </w:r>
      <w:r>
        <w:rPr>
          <w:rFonts w:hint="eastAsia" w:ascii="仿宋_GB2312" w:hAnsi="仿宋_GB2312" w:eastAsia="仿宋_GB2312" w:cs="仿宋_GB2312"/>
          <w:b/>
          <w:bCs/>
          <w:color w:val="auto"/>
          <w:sz w:val="28"/>
          <w:szCs w:val="28"/>
          <w:highlight w:val="none"/>
          <w:u w:val="single"/>
        </w:rPr>
        <w:t xml:space="preserve">（北京时间）</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bookmarkStart w:id="34" w:name="_Hlk76636893"/>
      <w:r>
        <w:rPr>
          <w:rFonts w:hint="eastAsia" w:ascii="仿宋_GB2312" w:hAnsi="仿宋_GB2312" w:eastAsia="仿宋_GB2312" w:cs="仿宋_GB2312"/>
          <w:color w:val="auto"/>
          <w:sz w:val="28"/>
          <w:szCs w:val="28"/>
          <w:highlight w:val="none"/>
        </w:rPr>
        <w:t xml:space="preserve">地点：“苏采云”系统</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lang w:eastAsia="zh-CN"/>
        </w:rPr>
        <w:outlineLvl w:val="2"/>
      </w:pPr>
      <w:r>
        <w:rPr>
          <w:rFonts w:hint="eastAsia" w:ascii="黑体" w:hAnsi="黑体" w:eastAsia="黑体" w:cs="黑体"/>
          <w:b w:val="0"/>
          <w:bCs w:val="0"/>
          <w:color w:val="auto"/>
          <w:sz w:val="28"/>
          <w:szCs w:val="28"/>
          <w:highlight w:val="none"/>
          <w:lang w:eastAsia="zh-CN"/>
        </w:rPr>
        <w:t xml:space="preserve">五、开启</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时间：</w:t>
      </w:r>
      <w:r>
        <w:rPr>
          <w:rFonts w:hint="eastAsia" w:ascii="仿宋_GB2312" w:hAnsi="仿宋_GB2312" w:eastAsia="仿宋_GB2312" w:cs="仿宋_GB2312"/>
          <w:b/>
          <w:bCs/>
          <w:color w:val="auto"/>
          <w:sz w:val="28"/>
          <w:szCs w:val="28"/>
          <w:highlight w:val="yellow"/>
          <w:u w:val="single"/>
        </w:rPr>
        <w:t xml:space="preserve">202</w:t>
      </w:r>
      <w:r>
        <w:rPr>
          <w:rFonts w:hint="eastAsia" w:ascii="仿宋_GB2312" w:hAnsi="仿宋_GB2312" w:eastAsia="仿宋_GB2312" w:cs="仿宋_GB2312"/>
          <w:b/>
          <w:bCs/>
          <w:color w:val="auto"/>
          <w:sz w:val="28"/>
          <w:szCs w:val="28"/>
          <w:highlight w:val="yellow"/>
          <w:u w:val="single"/>
          <w:lang w:val="en-US" w:eastAsia="zh-CN"/>
        </w:rPr>
        <w:t xml:space="preserve">6</w:t>
      </w:r>
      <w:r>
        <w:rPr>
          <w:rFonts w:hint="eastAsia" w:ascii="仿宋_GB2312" w:hAnsi="仿宋_GB2312" w:eastAsia="仿宋_GB2312" w:cs="仿宋_GB2312"/>
          <w:b/>
          <w:bCs/>
          <w:color w:val="auto"/>
          <w:sz w:val="28"/>
          <w:szCs w:val="28"/>
          <w:highlight w:val="yellow"/>
          <w:u w:val="single"/>
        </w:rPr>
        <w:t xml:space="preserve">-</w:t>
      </w:r>
      <w:r>
        <w:rPr>
          <w:rFonts w:hint="eastAsia" w:ascii="仿宋_GB2312" w:hAnsi="仿宋_GB2312" w:eastAsia="仿宋_GB2312" w:cs="仿宋_GB2312"/>
          <w:b/>
          <w:bCs/>
          <w:color w:val="auto"/>
          <w:sz w:val="28"/>
          <w:szCs w:val="28"/>
          <w:highlight w:val="yellow"/>
          <w:u w:val="single"/>
          <w:lang w:val="en-US" w:eastAsia="zh-CN"/>
        </w:rPr>
        <w:t xml:space="preserve">10-27</w:t>
      </w:r>
      <w:r>
        <w:rPr>
          <w:rFonts w:hint="eastAsia" w:ascii="仿宋_GB2312" w:hAnsi="仿宋_GB2312" w:eastAsia="仿宋_GB2312" w:cs="仿宋_GB2312"/>
          <w:b/>
          <w:bCs/>
          <w:color w:val="auto"/>
          <w:sz w:val="28"/>
          <w:szCs w:val="28"/>
          <w:highlight w:val="yellow"/>
          <w:u w:val="single"/>
        </w:rPr>
        <w:t xml:space="preserve"> 09:30 </w:t>
      </w:r>
      <w:r>
        <w:rPr>
          <w:rFonts w:hint="eastAsia" w:ascii="仿宋_GB2312" w:hAnsi="仿宋_GB2312" w:eastAsia="仿宋_GB2312" w:cs="仿宋_GB2312"/>
          <w:b/>
          <w:bCs/>
          <w:color w:val="auto"/>
          <w:sz w:val="28"/>
          <w:szCs w:val="28"/>
          <w:highlight w:val="none"/>
          <w:u w:val="single"/>
        </w:rPr>
        <w:t xml:space="preserve">（北京时间）</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地点：“苏采云”</w:t>
      </w:r>
      <w:r>
        <w:rPr>
          <w:rFonts w:hint="eastAsia" w:ascii="仿宋_GB2312" w:hAnsi="仿宋_GB2312" w:eastAsia="仿宋_GB2312" w:cs="仿宋_GB2312"/>
          <w:color w:val="auto"/>
          <w:sz w:val="28"/>
          <w:szCs w:val="28"/>
          <w:highlight w:val="none"/>
          <w:lang w:eastAsia="zh-CN"/>
        </w:rPr>
        <w:t xml:space="preserve">系统</w:t>
      </w:r>
      <w:bookmarkEnd w:id="34"/>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lang w:eastAsia="zh-CN"/>
        </w:rPr>
        <w:t xml:space="preserve">六</w:t>
      </w:r>
      <w:r>
        <w:rPr>
          <w:rFonts w:hint="eastAsia" w:ascii="黑体" w:hAnsi="黑体" w:eastAsia="黑体" w:cs="黑体"/>
          <w:b w:val="0"/>
          <w:bCs w:val="0"/>
          <w:color w:val="auto"/>
          <w:sz w:val="28"/>
          <w:szCs w:val="28"/>
          <w:highlight w:val="none"/>
        </w:rPr>
        <w:t xml:space="preserve">、公告期限</w:t>
      </w:r>
      <w:bookmarkEnd w:id="29"/>
      <w:r/>
      <w:bookmarkEnd w:id="30"/>
      <w:r/>
      <w:bookmarkEnd w:id="31"/>
      <w:r/>
      <w:bookmarkEnd w:id="32"/>
      <w:r/>
      <w:bookmarkEnd w:id="33"/>
      <w:r/>
      <w:r/>
    </w:p>
    <w:p>
      <w:pPr>
        <w:ind w:left="0" w:right="0" w:firstLine="560"/>
        <w:pageBreakBefore w:val="0"/>
        <w:spacing w:line="500" w:lineRule="exact"/>
        <w:widowControl w:val="off"/>
        <w:rPr>
          <w:rFonts w:hint="eastAsia" w:ascii="仿宋_GB2312" w:hAnsi="仿宋_GB2312" w:eastAsia="仿宋_GB2312" w:cs="仿宋_GB2312"/>
          <w:sz w:val="28"/>
          <w:szCs w:val="28"/>
          <w:highlight w:val="none"/>
        </w:rPr>
      </w:pPr>
      <w:r/>
      <w:bookmarkStart w:id="35" w:name="_Toc35393626"/>
      <w:r/>
      <w:bookmarkStart w:id="36" w:name="_Toc38985268"/>
      <w:r/>
      <w:bookmarkStart w:id="37" w:name="_Toc35393795"/>
      <w:r>
        <w:rPr>
          <w:rFonts w:hint="eastAsia" w:ascii="仿宋_GB2312" w:hAnsi="仿宋_GB2312" w:eastAsia="仿宋_GB2312" w:cs="仿宋_GB2312"/>
          <w:color w:val="auto"/>
          <w:sz w:val="28"/>
          <w:szCs w:val="28"/>
          <w:highlight w:val="none"/>
        </w:rPr>
        <w:t xml:space="preserve">磋商公告及磋商文件公告期限为自本公告发布之日起</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个</w:t>
      </w:r>
      <w:r>
        <w:rPr>
          <w:rFonts w:hint="eastAsia" w:ascii="仿宋_GB2312" w:hAnsi="仿宋_GB2312" w:eastAsia="仿宋_GB2312" w:cs="仿宋_GB2312"/>
          <w:sz w:val="28"/>
          <w:szCs w:val="28"/>
          <w:highlight w:val="none"/>
        </w:rPr>
        <w:t xml:space="preserve">工作日。</w:t>
      </w:r>
      <w:r/>
    </w:p>
    <w:p>
      <w:pPr>
        <w:ind w:left="0" w:right="0" w:firstLine="560"/>
        <w:keepLines/>
        <w:keepNext/>
        <w:pageBreakBefore w:val="0"/>
        <w:spacing w:line="50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lang w:eastAsia="zh-CN"/>
        </w:rPr>
        <w:t xml:space="preserve">七</w:t>
      </w:r>
      <w:r>
        <w:rPr>
          <w:rFonts w:hint="eastAsia" w:ascii="黑体" w:hAnsi="黑体" w:eastAsia="黑体" w:cs="黑体"/>
          <w:b w:val="0"/>
          <w:bCs w:val="0"/>
          <w:sz w:val="28"/>
          <w:szCs w:val="28"/>
          <w:highlight w:val="none"/>
        </w:rPr>
        <w:t xml:space="preserve">、其他补充事宜</w:t>
      </w:r>
      <w:bookmarkEnd w:id="35"/>
      <w:r/>
      <w:bookmarkEnd w:id="36"/>
      <w:r/>
      <w:bookmarkEnd w:id="37"/>
      <w:r/>
      <w:r/>
    </w:p>
    <w:p>
      <w:pPr>
        <w:ind w:firstLine="560"/>
        <w:pageBreakBefore w:val="0"/>
        <w:spacing w:line="500" w:lineRule="exact"/>
        <w:rPr>
          <w:rFonts w:hint="eastAsia" w:ascii="仿宋_GB2312" w:hAnsi="仿宋_GB2312" w:eastAsia="仿宋_GB2312" w:cs="仿宋_GB2312"/>
          <w:color w:val="auto"/>
          <w:sz w:val="28"/>
          <w:szCs w:val="28"/>
          <w:highlight w:val="none"/>
        </w:rPr>
      </w:pPr>
      <w:r/>
      <w:bookmarkStart w:id="38" w:name="_Toc28359085"/>
      <w:r/>
      <w:bookmarkStart w:id="39" w:name="_Toc28359008"/>
      <w:r/>
      <w:bookmarkStart w:id="40" w:name="_Toc35393796"/>
      <w:r/>
      <w:bookmarkStart w:id="41" w:name="_Toc35393627"/>
      <w:r/>
      <w:bookmarkStart w:id="42" w:name="_Toc38985269"/>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 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50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泰州市高港区泰州大道388号（原中国医药城会展交易中心W3馆西南角）公共资源交易中心一楼大厅6号窗口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500" w:lineRule="exact"/>
        <w:rPr>
          <w:rFonts w:hint="eastAsia" w:ascii="黑体" w:hAnsi="黑体" w:eastAsia="黑体" w:cs="黑体"/>
          <w:i/>
          <w:iCs/>
          <w:color w:val="auto"/>
          <w:sz w:val="28"/>
          <w:szCs w:val="28"/>
          <w:highlight w:val="none"/>
          <w:u w:val="single"/>
          <w:lang w:eastAsia="zh-CN"/>
        </w:rPr>
      </w:pPr>
      <w:r>
        <w:rPr>
          <w:rFonts w:hint="eastAsia" w:ascii="黑体" w:hAnsi="黑体" w:eastAsia="黑体" w:cs="黑体"/>
          <w:i/>
          <w:iCs/>
          <w:color w:val="auto"/>
          <w:sz w:val="28"/>
          <w:szCs w:val="28"/>
          <w:highlight w:val="none"/>
          <w:u w:val="single"/>
        </w:rPr>
        <w:t xml:space="preserve">如潜在</w:t>
      </w:r>
      <w:r>
        <w:rPr>
          <w:rFonts w:hint="eastAsia" w:ascii="黑体" w:hAnsi="黑体" w:eastAsia="黑体" w:cs="黑体"/>
          <w:i/>
          <w:iCs/>
          <w:color w:val="auto"/>
          <w:sz w:val="28"/>
          <w:szCs w:val="28"/>
          <w:highlight w:val="none"/>
          <w:u w:val="single"/>
          <w:lang w:eastAsia="zh-CN"/>
        </w:rPr>
        <w:t xml:space="preserve">投标人</w:t>
      </w:r>
      <w:r>
        <w:rPr>
          <w:rFonts w:hint="eastAsia" w:ascii="黑体" w:hAnsi="黑体" w:eastAsia="黑体" w:cs="黑体"/>
          <w:i/>
          <w:iCs/>
          <w:color w:val="auto"/>
          <w:sz w:val="28"/>
          <w:szCs w:val="28"/>
          <w:highlight w:val="none"/>
          <w:u w:val="single"/>
        </w:rPr>
        <w:t xml:space="preserve">未按上述要求操作，将自行承担所产生的风险。</w:t>
      </w:r>
      <w:r/>
    </w:p>
    <w:p>
      <w:pPr>
        <w:ind w:firstLine="560"/>
        <w:pageBreakBefore w:val="0"/>
        <w:spacing w:line="50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500" w:lineRule="exact"/>
        <w:rPr>
          <w:rFonts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ind w:left="0" w:right="0" w:firstLine="560"/>
        <w:keepLines/>
        <w:keepNext/>
        <w:pageBreakBefore w:val="0"/>
        <w:spacing w:line="50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rPr>
        <w:t xml:space="preserve">七、本次磋商联系方式</w:t>
      </w:r>
      <w:bookmarkEnd w:id="38"/>
      <w:r/>
      <w:bookmarkEnd w:id="39"/>
      <w:r/>
      <w:bookmarkEnd w:id="40"/>
      <w:r/>
      <w:bookmarkEnd w:id="41"/>
      <w:r/>
      <w:bookmarkEnd w:id="42"/>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bookmarkStart w:id="43" w:name="OLE_LINK3"/>
      <w:r/>
      <w:bookmarkStart w:id="44" w:name="_Toc28359010"/>
      <w:r/>
      <w:bookmarkStart w:id="45" w:name="OLE_LINK9"/>
      <w:r/>
      <w:bookmarkStart w:id="46" w:name="OLE_LINK22"/>
      <w:r/>
      <w:bookmarkStart w:id="47" w:name="_Toc28359087"/>
      <w:r/>
      <w:bookmarkStart w:id="48" w:name="OLE_LINK4"/>
      <w:r>
        <w:rPr>
          <w:rFonts w:hint="eastAsia" w:ascii="仿宋_GB2312" w:hAnsi="仿宋_GB2312" w:eastAsia="仿宋_GB2312" w:cs="仿宋_GB2312"/>
          <w:sz w:val="28"/>
          <w:szCs w:val="28"/>
          <w:highlight w:val="none"/>
        </w:rPr>
        <w:t xml:space="preserve">1.采购人信息</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bookmarkStart w:id="49" w:name="_Toc28359009"/>
      <w:r/>
      <w:bookmarkStart w:id="50" w:name="_Toc28359086"/>
      <w:r>
        <w:rPr>
          <w:rFonts w:hint="eastAsia" w:ascii="仿宋_GB2312" w:hAnsi="仿宋_GB2312" w:eastAsia="仿宋_GB2312" w:cs="仿宋_GB2312"/>
          <w:color w:val="auto"/>
          <w:sz w:val="28"/>
          <w:szCs w:val="28"/>
          <w:highlight w:val="none"/>
          <w:lang w:val="en-US" w:eastAsia="zh-CN"/>
        </w:rPr>
        <w:t xml:space="preserve">名称：兴化市电子政务中心</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地址：兴化市行政中心8号楼8201室</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联系方式：倪先生   17768624678</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2.采购代理机构信息</w:t>
      </w:r>
      <w:bookmarkEnd w:id="49"/>
      <w:r/>
      <w:bookmarkEnd w:id="50"/>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名称：兴化市政务服务中心</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地址：</w:t>
      </w:r>
      <w:r>
        <w:rPr>
          <w:rFonts w:hint="eastAsia" w:ascii="仿宋_GB2312" w:hAnsi="仿宋_GB2312" w:eastAsia="仿宋_GB2312" w:cs="仿宋_GB2312"/>
          <w:sz w:val="28"/>
          <w:szCs w:val="28"/>
          <w:highlight w:val="none"/>
          <w:lang w:eastAsia="zh-CN"/>
        </w:rPr>
        <w:t xml:space="preserve">兴化市长安中路</w:t>
      </w:r>
      <w:r>
        <w:rPr>
          <w:rFonts w:hint="eastAsia" w:ascii="仿宋_GB2312" w:hAnsi="仿宋_GB2312" w:eastAsia="仿宋_GB2312" w:cs="仿宋_GB2312"/>
          <w:sz w:val="28"/>
          <w:szCs w:val="28"/>
          <w:highlight w:val="none"/>
          <w:lang w:val="en-US" w:eastAsia="zh-CN"/>
        </w:rPr>
        <w:t xml:space="preserve">13-1号</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联系方式：</w:t>
      </w:r>
      <w:r>
        <w:rPr>
          <w:rFonts w:hint="eastAsia" w:ascii="仿宋_GB2312" w:hAnsi="仿宋_GB2312" w:eastAsia="仿宋_GB2312" w:cs="仿宋_GB2312"/>
          <w:sz w:val="28"/>
          <w:szCs w:val="28"/>
          <w:highlight w:val="none"/>
          <w:lang w:eastAsia="zh-CN"/>
        </w:rPr>
        <w:t xml:space="preserve">刘</w:t>
      </w:r>
      <w:r>
        <w:rPr>
          <w:rFonts w:hint="eastAsia" w:ascii="仿宋_GB2312" w:hAnsi="仿宋_GB2312" w:eastAsia="仿宋_GB2312" w:cs="仿宋_GB2312"/>
          <w:sz w:val="28"/>
          <w:szCs w:val="28"/>
          <w:highlight w:val="none"/>
        </w:rPr>
        <w:t xml:space="preserve">先生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 xml:space="preserve">0523-83388218 </w:t>
      </w:r>
      <w:bookmarkEnd w:id="43"/>
      <w:r/>
      <w:bookmarkEnd w:id="44"/>
      <w:r/>
      <w:bookmarkEnd w:id="45"/>
      <w:r/>
      <w:bookmarkEnd w:id="46"/>
      <w:r/>
      <w:bookmarkEnd w:id="47"/>
      <w:r/>
      <w:bookmarkEnd w:id="48"/>
      <w:r/>
      <w:r/>
    </w:p>
    <w:p>
      <w:pPr>
        <w:ind w:firstLine="600"/>
        <w:jc w:val="left"/>
        <w:keepLines w:val="0"/>
        <w:keepNext w:val="0"/>
        <w:pageBreakBefore w:val="0"/>
        <w:spacing w:line="500" w:lineRule="exact"/>
        <w:widowControl/>
        <w:rPr>
          <w:rFonts w:hint="eastAsia" w:ascii="仿宋_GB2312" w:hAnsi="仿宋_GB2312" w:eastAsia="仿宋_GB2312" w:cs="仿宋_GB2312"/>
          <w:color w:val="auto"/>
          <w:sz w:val="30"/>
          <w:szCs w:val="30"/>
          <w:highlight w:val="none"/>
          <w:lang w:val="en-US" w:eastAsia="zh-CN"/>
        </w:rPr>
        <w:outlineLvl w:val="1"/>
      </w:pPr>
      <w:r>
        <w:rPr>
          <w:rFonts w:hint="eastAsia" w:ascii="仿宋_GB2312" w:hAnsi="仿宋_GB2312" w:eastAsia="仿宋_GB2312" w:cs="仿宋_GB2312"/>
          <w:color w:val="auto"/>
          <w:sz w:val="30"/>
          <w:szCs w:val="30"/>
          <w:highlight w:val="none"/>
          <w:lang w:val="en-US" w:eastAsia="zh-CN"/>
        </w:rPr>
        <w:t xml:space="preserve">3.项目联系方式</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联系人：</w:t>
      </w:r>
      <w:r>
        <w:rPr>
          <w:rFonts w:hint="eastAsia" w:ascii="仿宋_GB2312" w:hAnsi="仿宋_GB2312" w:eastAsia="仿宋_GB2312" w:cs="仿宋_GB2312"/>
          <w:color w:val="auto"/>
          <w:sz w:val="28"/>
          <w:szCs w:val="28"/>
          <w:highlight w:val="none"/>
          <w:lang w:val="en-US" w:eastAsia="zh-CN"/>
        </w:rPr>
        <w:t xml:space="preserve">倪先生   17768624678</w:t>
      </w:r>
      <w:r>
        <w:rPr>
          <w:rFonts w:hint="eastAsia" w:ascii="仿宋_GB2312" w:hAnsi="仿宋_GB2312" w:eastAsia="仿宋_GB2312" w:cs="仿宋_GB2312"/>
          <w:sz w:val="28"/>
          <w:szCs w:val="28"/>
          <w:highlight w:val="none"/>
          <w:lang w:eastAsia="zh-CN"/>
        </w:rPr>
        <w:t xml:space="preserve">（采购人）</w:t>
      </w:r>
      <w:r/>
    </w:p>
    <w:p>
      <w:pPr>
        <w:ind w:left="0" w:right="0" w:firstLine="168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sz w:val="28"/>
          <w:szCs w:val="28"/>
          <w:highlight w:val="none"/>
          <w:lang w:eastAsia="zh-CN"/>
        </w:rPr>
        <w:t xml:space="preserve">刘先生   0523-83388218（代理机构）</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bookmarkStart w:id="51" w:name="_Toc120614211"/>
      <w:r>
        <w:rPr>
          <w:rFonts w:hint="eastAsia" w:ascii="黑体" w:hAnsi="黑体" w:eastAsia="黑体" w:cs="黑体"/>
          <w:b w:val="0"/>
          <w:bCs w:val="0"/>
          <w:sz w:val="36"/>
          <w:szCs w:val="36"/>
        </w:rPr>
        <w:t xml:space="preserve">第二章  </w:t>
      </w:r>
      <w:bookmarkEnd w:id="1"/>
      <w:r/>
      <w:bookmarkEnd w:id="2"/>
      <w:r/>
      <w:bookmarkEnd w:id="3"/>
      <w:r/>
      <w:bookmarkEnd w:id="4"/>
      <w:r/>
      <w:bookmarkEnd w:id="5"/>
      <w:r/>
      <w:bookmarkEnd w:id="51"/>
      <w:r>
        <w:rPr>
          <w:rFonts w:hint="eastAsia" w:ascii="黑体" w:hAnsi="黑体" w:eastAsia="黑体" w:cs="黑体"/>
          <w:b w:val="0"/>
          <w:bCs w:val="0"/>
          <w:sz w:val="36"/>
          <w:szCs w:val="36"/>
        </w:rPr>
        <w:t xml:space="preserve">供应商须知</w:t>
      </w:r>
      <w:r/>
    </w:p>
    <w:p>
      <w:pPr>
        <w:ind w:firstLine="436"/>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52" w:name="_Toc120614214"/>
      <w:r/>
      <w:bookmarkStart w:id="53" w:name="_Toc16938519"/>
      <w:r/>
      <w:bookmarkStart w:id="54" w:name="_Toc513029203"/>
      <w:r/>
      <w:bookmarkStart w:id="55" w:name="_Toc20823275"/>
      <w:r/>
      <w:bookmarkStart w:id="56" w:name="_Toc120614221"/>
      <w:r/>
      <w:bookmarkStart w:id="57" w:name="_Toc20823314"/>
      <w:r/>
      <w:bookmarkStart w:id="58" w:name="_Toc513029242"/>
      <w:r/>
      <w:bookmarkStart w:id="59" w:name="_Toc16938558"/>
      <w:r/>
      <w:bookmarkStart w:id="60" w:name="_Toc479757207"/>
      <w:r>
        <w:rPr>
          <w:rFonts w:hint="eastAsia" w:ascii="仿宋_GB2312" w:hAnsi="仿宋_GB2312" w:eastAsia="仿宋_GB2312" w:cs="仿宋_GB2312"/>
          <w:b/>
          <w:bCs/>
          <w:sz w:val="28"/>
          <w:szCs w:val="28"/>
        </w:rPr>
        <w:t xml:space="preserve">一、总则</w:t>
      </w:r>
      <w:bookmarkEnd w:id="52"/>
      <w:r/>
      <w:bookmarkEnd w:id="53"/>
      <w:r/>
      <w:bookmarkEnd w:id="54"/>
      <w:r/>
      <w:bookmarkEnd w:id="55"/>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1" w:name="_Hlt16619475"/>
      <w:r/>
      <w:bookmarkEnd w:id="61"/>
      <w:r/>
      <w:bookmarkStart w:id="62" w:name="_Toc458694821"/>
      <w:r/>
      <w:bookmarkStart w:id="63" w:name="_Toc513029204"/>
      <w:r/>
      <w:bookmarkStart w:id="64" w:name="_Toc16938520"/>
      <w:r/>
      <w:bookmarkStart w:id="65" w:name="_Toc20823276"/>
      <w:r>
        <w:rPr>
          <w:rFonts w:hint="eastAsia" w:ascii="仿宋_GB2312" w:hAnsi="仿宋_GB2312" w:eastAsia="仿宋_GB2312" w:cs="仿宋_GB2312"/>
          <w:sz w:val="28"/>
          <w:szCs w:val="28"/>
        </w:rPr>
        <w:t xml:space="preserve">1</w:t>
      </w:r>
      <w:bookmarkEnd w:id="62"/>
      <w:r>
        <w:rPr>
          <w:rFonts w:hint="eastAsia" w:ascii="仿宋_GB2312" w:hAnsi="仿宋_GB2312" w:eastAsia="仿宋_GB2312" w:cs="仿宋_GB2312"/>
          <w:sz w:val="28"/>
          <w:szCs w:val="28"/>
        </w:rPr>
        <w:t xml:space="preserve">、采购方式</w:t>
      </w:r>
      <w:bookmarkEnd w:id="63"/>
      <w:r/>
      <w:bookmarkEnd w:id="64"/>
      <w:r/>
      <w:bookmarkEnd w:id="6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本次政府采购活动采取竞争性磋商(以下简称磋商)方式，本磋商文件仅适用于磋商公告中所述项目。</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6" w:name="_Toc513029205"/>
      <w:r/>
      <w:bookmarkStart w:id="67" w:name="_Toc16938521"/>
      <w:r/>
      <w:bookmarkStart w:id="68" w:name="_Toc20823277"/>
      <w:r>
        <w:rPr>
          <w:rFonts w:hint="eastAsia" w:ascii="仿宋_GB2312" w:hAnsi="仿宋_GB2312" w:eastAsia="仿宋_GB2312" w:cs="仿宋_GB2312"/>
          <w:sz w:val="28"/>
          <w:szCs w:val="28"/>
        </w:rPr>
        <w:t xml:space="preserve">2、合格的</w:t>
      </w:r>
      <w:bookmarkEnd w:id="66"/>
      <w:r/>
      <w:bookmarkEnd w:id="67"/>
      <w:r/>
      <w:bookmarkEnd w:id="68"/>
      <w:r>
        <w:rPr>
          <w:rFonts w:hint="eastAsia" w:ascii="仿宋_GB2312" w:hAnsi="仿宋_GB2312" w:eastAsia="仿宋_GB2312" w:cs="仿宋_GB2312"/>
          <w:sz w:val="28"/>
          <w:szCs w:val="28"/>
        </w:rPr>
        <w:t xml:space="preserve">供应商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2.1满足磋商公告中供应商资格要求的规定。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满足本磋商文件实质性要求和条件的规定。</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9" w:name="_Toc513029206"/>
      <w:r/>
      <w:bookmarkStart w:id="70" w:name="_Toc16938522"/>
      <w:r/>
      <w:bookmarkStart w:id="71" w:name="_Toc20823278"/>
      <w:r>
        <w:rPr>
          <w:rFonts w:hint="eastAsia" w:ascii="仿宋_GB2312" w:hAnsi="仿宋_GB2312" w:eastAsia="仿宋_GB2312" w:cs="仿宋_GB2312"/>
          <w:sz w:val="28"/>
          <w:szCs w:val="28"/>
        </w:rPr>
        <w:t xml:space="preserve">3、适用法律</w:t>
      </w:r>
      <w:bookmarkEnd w:id="69"/>
      <w:r/>
      <w:bookmarkEnd w:id="70"/>
      <w:r/>
      <w:bookmarkEnd w:id="71"/>
      <w:r/>
      <w:r/>
    </w:p>
    <w:p>
      <w:pPr>
        <w:ind w:firstLine="49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本次磋商及由此产生的合同受中华人民共和国有关的法律法规制约和保护。</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72" w:name="_Toc20823279"/>
      <w:r/>
      <w:bookmarkStart w:id="73" w:name="_Toc462564067"/>
      <w:r/>
      <w:bookmarkStart w:id="74" w:name="_Toc513029207"/>
      <w:r/>
      <w:bookmarkStart w:id="75" w:name="_Toc16938523"/>
      <w:r>
        <w:rPr>
          <w:rFonts w:hint="eastAsia" w:ascii="仿宋_GB2312" w:hAnsi="仿宋_GB2312" w:eastAsia="仿宋_GB2312" w:cs="仿宋_GB2312"/>
          <w:sz w:val="28"/>
          <w:szCs w:val="28"/>
        </w:rPr>
        <w:t xml:space="preserve">4、磋商费用</w:t>
      </w:r>
      <w:bookmarkEnd w:id="72"/>
      <w:r/>
      <w:bookmarkEnd w:id="73"/>
      <w:r/>
      <w:bookmarkEnd w:id="74"/>
      <w:r/>
      <w:bookmarkEnd w:id="7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供应商应自行承担所有与参加本次磋商有关的费用，无论磋商过程中的做法和结果如何，</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（以下简称</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）在任何情况下均无义务和责任承担这些费用。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4.2本次磋商</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和采购人不收取标书工本费与成交服务费。</w:t>
      </w:r>
      <w:r/>
    </w:p>
    <w:p>
      <w:pPr>
        <w:ind w:firstLine="281"/>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磋商文件的约束力</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供应商一旦参加本项目采购活动，即被认为接受了本磋商文件的规定和约束。</w:t>
      </w:r>
      <w:r/>
    </w:p>
    <w:p>
      <w:pPr>
        <w:ind w:firstLine="281"/>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76" w:name="_Toc120614215"/>
      <w:r/>
      <w:bookmarkStart w:id="77" w:name="_Toc513029209"/>
      <w:r/>
      <w:bookmarkStart w:id="78" w:name="_Toc16938525"/>
      <w:r/>
      <w:bookmarkStart w:id="79" w:name="_Toc20823281"/>
      <w:r>
        <w:rPr>
          <w:rFonts w:hint="eastAsia" w:ascii="仿宋_GB2312" w:hAnsi="仿宋_GB2312" w:eastAsia="仿宋_GB2312" w:cs="仿宋_GB2312"/>
          <w:b/>
          <w:bCs/>
          <w:sz w:val="28"/>
          <w:szCs w:val="28"/>
        </w:rPr>
        <w:t xml:space="preserve">二、</w:t>
      </w:r>
      <w:bookmarkEnd w:id="76"/>
      <w:r/>
      <w:bookmarkEnd w:id="77"/>
      <w:r/>
      <w:bookmarkEnd w:id="78"/>
      <w:r/>
      <w:bookmarkEnd w:id="79"/>
      <w:r>
        <w:rPr>
          <w:rFonts w:hint="eastAsia" w:ascii="仿宋_GB2312" w:hAnsi="仿宋_GB2312" w:eastAsia="仿宋_GB2312" w:cs="仿宋_GB2312"/>
          <w:b/>
          <w:bCs/>
          <w:sz w:val="28"/>
          <w:szCs w:val="28"/>
        </w:rPr>
        <w:t xml:space="preserve">磋商文件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0" w:name="_Toc16938526"/>
      <w:r/>
      <w:bookmarkStart w:id="81" w:name="_Toc513029210"/>
      <w:r/>
      <w:bookmarkStart w:id="82" w:name="_Toc20823282"/>
      <w:r>
        <w:rPr>
          <w:rFonts w:hint="eastAsia" w:ascii="仿宋_GB2312" w:hAnsi="仿宋_GB2312" w:eastAsia="仿宋_GB2312" w:cs="仿宋_GB2312"/>
          <w:sz w:val="28"/>
          <w:szCs w:val="28"/>
        </w:rPr>
        <w:t xml:space="preserve">6、磋商文件构成</w:t>
      </w:r>
      <w:bookmarkEnd w:id="80"/>
      <w:r/>
      <w:bookmarkEnd w:id="81"/>
      <w:r/>
      <w:bookmarkEnd w:id="8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磋商文件由以下部分组成：</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（1）磋商邀请</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（5）评审方法与评审标准</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（6）响应文件格式</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请仔细检查磋商文件是否齐全，如有缺漏请立即与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联系解决。</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3" w:name="_Toc462564070"/>
      <w:r/>
      <w:bookmarkStart w:id="84" w:name="_Toc513029211"/>
      <w:r/>
      <w:bookmarkStart w:id="85" w:name="_Toc16938527"/>
      <w:r/>
      <w:bookmarkStart w:id="86" w:name="_Toc20823283"/>
      <w:r>
        <w:rPr>
          <w:rFonts w:hint="eastAsia" w:ascii="仿宋_GB2312" w:hAnsi="仿宋_GB2312" w:eastAsia="仿宋_GB2312" w:cs="仿宋_GB2312"/>
          <w:sz w:val="28"/>
          <w:szCs w:val="28"/>
        </w:rPr>
        <w:t xml:space="preserve">7、磋商文件的澄清</w:t>
      </w:r>
      <w:bookmarkEnd w:id="83"/>
      <w:r/>
      <w:bookmarkEnd w:id="84"/>
      <w:r/>
      <w:bookmarkEnd w:id="85"/>
      <w:r/>
      <w:bookmarkEnd w:id="86"/>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任何要求对磋商文件进行澄清的供应商，应在磋商截止期5日前按磋商公告中的通讯地址，以书面形式通知</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7" w:name="_Toc16938528"/>
      <w:r/>
      <w:bookmarkStart w:id="88" w:name="_Toc513029212"/>
      <w:r/>
      <w:bookmarkStart w:id="89" w:name="_Toc462564071"/>
      <w:r/>
      <w:bookmarkStart w:id="90" w:name="_Toc20823284"/>
      <w:r>
        <w:rPr>
          <w:rFonts w:hint="eastAsia" w:ascii="仿宋_GB2312" w:hAnsi="仿宋_GB2312" w:eastAsia="仿宋_GB2312" w:cs="仿宋_GB2312"/>
          <w:sz w:val="28"/>
          <w:szCs w:val="28"/>
        </w:rPr>
        <w:t xml:space="preserve">8、磋商文件的澄清和修改</w:t>
      </w:r>
      <w:bookmarkEnd w:id="87"/>
      <w:r/>
      <w:bookmarkEnd w:id="88"/>
      <w:r/>
      <w:bookmarkEnd w:id="89"/>
      <w:r/>
      <w:bookmarkEnd w:id="90"/>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 在响应文件提交截止时间前，</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可以对磋商文件进行澄清和修改, 澄清或者修改的内容作为磋商文件的组成部分。澄清或者修改的内容可能影响响应文件编制的，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将顺延提交首次响应文件截止时间。</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8.2</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可以视采购项目的具体情况，组织供应商进行现场考察或召开磋商前答疑会，但不单独或分别组织只有一个供应商参加的现场考察和答疑会。</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91" w:name="_Toc462564072"/>
      <w:r/>
      <w:bookmarkStart w:id="92" w:name="_Toc20823285"/>
      <w:r/>
      <w:bookmarkStart w:id="93" w:name="_Toc513029213"/>
      <w:r/>
      <w:bookmarkStart w:id="94" w:name="_Toc16938529"/>
      <w:r/>
      <w:bookmarkStart w:id="95" w:name="_Toc120614216"/>
      <w:r>
        <w:rPr>
          <w:rFonts w:hint="eastAsia" w:ascii="仿宋_GB2312" w:hAnsi="仿宋_GB2312" w:eastAsia="仿宋_GB2312" w:cs="仿宋_GB2312"/>
          <w:b/>
          <w:bCs/>
          <w:sz w:val="28"/>
          <w:szCs w:val="28"/>
        </w:rPr>
        <w:t xml:space="preserve">三、响应文件的编制</w:t>
      </w:r>
      <w:bookmarkEnd w:id="91"/>
      <w:r/>
      <w:bookmarkEnd w:id="92"/>
      <w:r/>
      <w:bookmarkEnd w:id="93"/>
      <w:r/>
      <w:bookmarkEnd w:id="94"/>
      <w:r/>
      <w:bookmarkEnd w:id="95"/>
      <w:r/>
      <w:r/>
    </w:p>
    <w:p>
      <w:pPr>
        <w:ind w:firstLine="560"/>
        <w:keepLines/>
        <w:keepNext/>
        <w:pageBreakBefore w:val="0"/>
        <w:spacing w:line="500" w:lineRule="exact"/>
        <w:widowControl w:val="off"/>
        <w:rPr>
          <w:rFonts w:hint="eastAsia" w:ascii="仿宋_GB2312" w:hAnsi="仿宋_GB2312" w:eastAsia="仿宋_GB2312" w:cs="仿宋_GB2312"/>
          <w:b/>
          <w:sz w:val="28"/>
          <w:szCs w:val="28"/>
        </w:rPr>
        <w:outlineLvl w:val="3"/>
      </w:pPr>
      <w:r/>
      <w:bookmarkStart w:id="96" w:name="_Toc20823286"/>
      <w:r/>
      <w:bookmarkStart w:id="97" w:name="_Toc513029214"/>
      <w:r/>
      <w:bookmarkStart w:id="98" w:name="_Toc16938530"/>
      <w:r/>
      <w:bookmarkStart w:id="99" w:name="_Toc462564073"/>
      <w:r>
        <w:rPr>
          <w:rFonts w:hint="eastAsia" w:ascii="仿宋_GB2312" w:hAnsi="仿宋_GB2312" w:eastAsia="仿宋_GB2312" w:cs="仿宋_GB2312"/>
          <w:sz w:val="28"/>
          <w:szCs w:val="28"/>
        </w:rPr>
        <w:t xml:space="preserve">9、响应文件的语言及度量衡单位</w:t>
      </w:r>
      <w:bookmarkEnd w:id="96"/>
      <w:r/>
      <w:bookmarkEnd w:id="97"/>
      <w:r/>
      <w:bookmarkEnd w:id="98"/>
      <w:r/>
      <w:bookmarkEnd w:id="9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供应商提交的响应文件以及供应商与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就有关磋商的所有来往通知、函件和文件均应使用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0" w:name="_Toc20823287"/>
      <w:r/>
      <w:bookmarkStart w:id="101" w:name="_Toc16938531"/>
      <w:r/>
      <w:bookmarkStart w:id="102" w:name="_Toc462564074"/>
      <w:r/>
      <w:bookmarkStart w:id="103" w:name="_Toc513029215"/>
      <w:r>
        <w:rPr>
          <w:rFonts w:hint="eastAsia" w:ascii="仿宋_GB2312" w:hAnsi="仿宋_GB2312" w:eastAsia="仿宋_GB2312" w:cs="仿宋_GB2312"/>
          <w:sz w:val="28"/>
          <w:szCs w:val="28"/>
        </w:rPr>
        <w:t xml:space="preserve">10、响应文件构成</w:t>
      </w:r>
      <w:bookmarkEnd w:id="100"/>
      <w:r/>
      <w:bookmarkEnd w:id="101"/>
      <w:r/>
      <w:bookmarkEnd w:id="102"/>
      <w:r/>
      <w:bookmarkEnd w:id="103"/>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10.1</w:t>
      </w:r>
      <w:r>
        <w:rPr>
          <w:rFonts w:hint="eastAsia" w:ascii="仿宋_GB2312" w:hAnsi="仿宋_GB2312" w:eastAsia="仿宋_GB2312" w:cs="仿宋_GB2312"/>
          <w:sz w:val="28"/>
          <w:szCs w:val="28"/>
        </w:rPr>
        <w:t xml:space="preserve">供应商编写的响应文件应包括资格证明文件、符合性证明文件、分项报价表、技术要求响应及偏离表、商务要求响应及偏离表、其他证明文件、磋商响应函等部分。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如标书制作工具中格式和内容与“江苏政府采购网”发布的磋商文件不一致，请以“江苏政府采购网”发布的磋商文件为准。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4" w:name="_Hlt26670360"/>
      <w:r/>
      <w:bookmarkEnd w:id="104"/>
      <w:r/>
      <w:bookmarkStart w:id="105" w:name="_Hlt26668975"/>
      <w:r/>
      <w:bookmarkEnd w:id="105"/>
      <w:r/>
      <w:bookmarkStart w:id="106" w:name="_Hlt26954838"/>
      <w:r/>
      <w:bookmarkEnd w:id="106"/>
      <w:r/>
      <w:bookmarkStart w:id="107" w:name="_Toc14577357"/>
      <w:r/>
      <w:bookmarkStart w:id="108" w:name="_Toc49090509"/>
      <w:r/>
      <w:bookmarkStart w:id="109" w:name="_Toc513029219"/>
      <w:r/>
      <w:bookmarkStart w:id="110" w:name="_Toc49090507"/>
      <w:r/>
      <w:bookmarkStart w:id="111" w:name="_Toc14577354"/>
      <w:r/>
      <w:bookmarkStart w:id="112" w:name="_Toc513029216"/>
      <w:r/>
      <w:bookmarkStart w:id="113" w:name="_Toc49090508"/>
      <w:r/>
      <w:bookmarkStart w:id="114" w:name="_Toc14577355"/>
      <w:r>
        <w:rPr>
          <w:rFonts w:hint="eastAsia" w:ascii="仿宋_GB2312" w:hAnsi="仿宋_GB2312" w:eastAsia="仿宋_GB2312" w:cs="仿宋_GB2312"/>
          <w:sz w:val="28"/>
          <w:szCs w:val="28"/>
        </w:rPr>
        <w:t xml:space="preserve">11、证明磋商响应标的符合磋商文件规定的文件</w:t>
      </w:r>
      <w:bookmarkEnd w:id="107"/>
      <w:r/>
      <w:bookmarkEnd w:id="108"/>
      <w:r/>
      <w:bookmarkEnd w:id="109"/>
      <w:r/>
      <w:bookmarkEnd w:id="110"/>
      <w:r/>
      <w:bookmarkEnd w:id="111"/>
      <w:r/>
      <w:bookmarkEnd w:id="112"/>
      <w:r/>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11.1供应商应按照磋商文件要求提交证明文件，证明其及磋商响应标的符合磋商文件规定。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11.2磋商文件对证明文件无明确形式要求的，证明文件可以以文字资料、图纸和数据等形式提交。</w:t>
      </w:r>
      <w:bookmarkEnd w:id="113"/>
      <w:r/>
      <w:bookmarkEnd w:id="114"/>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12、分项报价表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12.1</w:t>
      </w:r>
      <w:r>
        <w:rPr>
          <w:rFonts w:hint="eastAsia" w:ascii="仿宋_GB2312" w:hAnsi="仿宋_GB2312" w:eastAsia="仿宋_GB2312" w:cs="仿宋_GB2312"/>
          <w:sz w:val="28"/>
          <w:szCs w:val="28"/>
        </w:rPr>
        <w:t xml:space="preserve">供应商应按照磋商文件规定格式填报分项报价表。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12.2</w:t>
      </w:r>
      <w:r>
        <w:rPr>
          <w:rFonts w:hint="eastAsia" w:ascii="仿宋_GB2312" w:hAnsi="仿宋_GB2312" w:eastAsia="仿宋_GB2312" w:cs="仿宋_GB2312"/>
          <w:bCs/>
          <w:sz w:val="28"/>
          <w:szCs w:val="28"/>
        </w:rPr>
        <w:t xml:space="preserve">磋商货币。响应文件中的单价和总价无特殊规定的采用人民币报价，以元为单位标注。</w:t>
      </w:r>
      <w:r>
        <w:rPr>
          <w:rFonts w:hint="eastAsia" w:ascii="仿宋_GB2312" w:hAnsi="仿宋_GB2312" w:eastAsia="仿宋_GB2312" w:cs="仿宋_GB2312"/>
          <w:sz w:val="28"/>
          <w:szCs w:val="28"/>
        </w:rPr>
        <w:t xml:space="preserve">磋商文件中另有规定的按规定执行。</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15" w:name="_Hlt26670486"/>
      <w:r/>
      <w:bookmarkEnd w:id="115"/>
      <w:r/>
      <w:bookmarkStart w:id="116" w:name="_Hlt26670482"/>
      <w:r/>
      <w:bookmarkEnd w:id="116"/>
      <w:r/>
      <w:bookmarkStart w:id="117" w:name="_Hlt26954731"/>
      <w:r/>
      <w:bookmarkEnd w:id="117"/>
      <w:r/>
      <w:bookmarkStart w:id="118" w:name="_Hlt26954846"/>
      <w:r/>
      <w:bookmarkEnd w:id="118"/>
      <w:r/>
      <w:bookmarkStart w:id="119" w:name="_Hlt26954848"/>
      <w:r/>
      <w:bookmarkEnd w:id="119"/>
      <w:r>
        <w:rPr>
          <w:rFonts w:hint="eastAsia" w:ascii="仿宋_GB2312" w:hAnsi="仿宋_GB2312" w:eastAsia="仿宋_GB2312" w:cs="仿宋_GB2312"/>
          <w:sz w:val="28"/>
          <w:szCs w:val="28"/>
        </w:rPr>
        <w:t xml:space="preserve">13、技术要求响应及偏离表、商务要求响应及偏离表</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13.1</w:t>
      </w:r>
      <w:r>
        <w:rPr>
          <w:rFonts w:hint="eastAsia" w:ascii="仿宋_GB2312" w:hAnsi="仿宋_GB2312" w:eastAsia="仿宋_GB2312" w:cs="仿宋_GB2312"/>
          <w:sz w:val="28"/>
          <w:szCs w:val="28"/>
          <w:lang w:val="zh-CN"/>
        </w:rPr>
        <w:t xml:space="preserve">供应商需对磋商文件中的技术要求与商务要求逐项作出响应或偏离，并说明原因。</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13.2供应商可在响应文件中提供认为需要的其他技术文件或说明。</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14、服务承诺、培训计划、人员安排及其他</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14.2供应商需根据磋商文件要求提供培训计划。</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14.3供应商需根据磋商文件要求提供</w:t>
      </w:r>
      <w:r>
        <w:rPr>
          <w:rFonts w:hint="eastAsia" w:ascii="仿宋_GB2312" w:hAnsi="仿宋_GB2312" w:eastAsia="仿宋_GB2312" w:cs="仿宋_GB2312"/>
          <w:sz w:val="28"/>
          <w:szCs w:val="28"/>
          <w:lang w:val="zh-CN"/>
        </w:rPr>
        <w:t xml:space="preserve">磋商响应标的的主要组成部分、功能设计、实现思路及关键技术等。</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0" w:name="_Toc49090510"/>
      <w:r/>
      <w:bookmarkStart w:id="121" w:name="_Toc14577359"/>
      <w:r>
        <w:rPr>
          <w:rFonts w:hint="eastAsia" w:ascii="仿宋_GB2312" w:hAnsi="仿宋_GB2312" w:eastAsia="仿宋_GB2312" w:cs="仿宋_GB2312"/>
          <w:sz w:val="28"/>
          <w:szCs w:val="28"/>
        </w:rPr>
        <w:t xml:space="preserve">15、磋商响应函</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15.1</w:t>
      </w:r>
      <w:r>
        <w:rPr>
          <w:rFonts w:hint="eastAsia" w:ascii="仿宋_GB2312" w:hAnsi="仿宋_GB2312" w:eastAsia="仿宋_GB2312" w:cs="仿宋_GB2312"/>
          <w:sz w:val="28"/>
          <w:szCs w:val="28"/>
        </w:rPr>
        <w:t xml:space="preserve">供应商应按照磋商文件中提供的格式完整、正确填写磋商响应函。</w:t>
      </w:r>
      <w:bookmarkEnd w:id="120"/>
      <w:r/>
      <w:bookmarkEnd w:id="121"/>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2" w:name="_Toc14577360"/>
      <w:r/>
      <w:bookmarkStart w:id="123" w:name="_Toc49090511"/>
      <w:r>
        <w:rPr>
          <w:rFonts w:hint="eastAsia" w:ascii="仿宋_GB2312" w:hAnsi="仿宋_GB2312" w:eastAsia="仿宋_GB2312" w:cs="仿宋_GB2312"/>
          <w:sz w:val="28"/>
          <w:szCs w:val="28"/>
        </w:rPr>
        <w:t xml:space="preserve">16、磋商有效期</w:t>
      </w:r>
      <w:bookmarkEnd w:id="122"/>
      <w:r/>
      <w:bookmarkEnd w:id="123"/>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16.1磋商有效期为</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。磋商有效期比规定短的将被视为非实质性响应磋商文件而予以拒绝。</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17、磋商有效期的延长</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17.1在特殊情况下，</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于原磋商有效期满之前，可向供应商提出延长磋商有效期的要求。这种要求与答复均应采用书面形式。供应商可以拒绝</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的这一要求而放弃磋商，同意延长磋商有效期的供应商既不能要求也不允许修改其响应文件。</w:t>
      </w:r>
      <w:r>
        <w:rPr>
          <w:rFonts w:hint="eastAsia" w:ascii="仿宋_GB2312" w:hAnsi="仿宋_GB2312" w:eastAsia="仿宋_GB2312" w:cs="仿宋_GB2312"/>
          <w:sz w:val="28"/>
          <w:szCs w:val="28"/>
        </w:rPr>
        <w:t xml:space="preserve">受磋商有效期约束的所有权利与义务均延长至新的有效期</w:t>
      </w:r>
      <w:r>
        <w:rPr>
          <w:rFonts w:hint="eastAsia" w:ascii="仿宋_GB2312" w:hAnsi="仿宋_GB2312" w:eastAsia="仿宋_GB2312" w:cs="仿宋_GB2312"/>
          <w:bCs/>
          <w:sz w:val="28"/>
          <w:szCs w:val="28"/>
        </w:rPr>
        <w:t xml:space="preserve">。</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24" w:name="_Hlt26954852"/>
      <w:r/>
      <w:bookmarkEnd w:id="124"/>
      <w:r/>
      <w:bookmarkStart w:id="125" w:name="_Hlt26954739"/>
      <w:r/>
      <w:bookmarkEnd w:id="125"/>
      <w:r/>
      <w:bookmarkStart w:id="126" w:name="_Toc20823296"/>
      <w:r/>
      <w:bookmarkStart w:id="127" w:name="_Toc513029224"/>
      <w:r/>
      <w:bookmarkStart w:id="128" w:name="_Toc16938540"/>
      <w:r/>
      <w:bookmarkStart w:id="129" w:name="_Toc120614217"/>
      <w:r>
        <w:rPr>
          <w:rFonts w:hint="eastAsia" w:ascii="仿宋_GB2312" w:hAnsi="仿宋_GB2312" w:eastAsia="仿宋_GB2312" w:cs="仿宋_GB2312"/>
          <w:b/>
          <w:bCs/>
          <w:sz w:val="28"/>
          <w:szCs w:val="28"/>
        </w:rPr>
        <w:t xml:space="preserve">四、响应文件的递交</w:t>
      </w:r>
      <w:bookmarkEnd w:id="126"/>
      <w:r/>
      <w:bookmarkEnd w:id="127"/>
      <w:r/>
      <w:bookmarkEnd w:id="128"/>
      <w:r/>
      <w:bookmarkEnd w:id="129"/>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0" w:name="_Toc462564084"/>
      <w:r/>
      <w:bookmarkStart w:id="131" w:name="_Toc16938541"/>
      <w:r/>
      <w:bookmarkStart w:id="132" w:name="_Toc513029225"/>
      <w:r/>
      <w:bookmarkStart w:id="133" w:name="_Toc20823297"/>
      <w:r>
        <w:rPr>
          <w:rFonts w:hint="eastAsia" w:ascii="仿宋_GB2312" w:hAnsi="仿宋_GB2312" w:eastAsia="仿宋_GB2312" w:cs="仿宋_GB2312"/>
          <w:sz w:val="28"/>
          <w:szCs w:val="28"/>
        </w:rPr>
        <w:t xml:space="preserve">18、电子磋商</w:t>
      </w:r>
      <w:bookmarkEnd w:id="130"/>
      <w:r/>
      <w:bookmarkEnd w:id="131"/>
      <w:r/>
      <w:bookmarkEnd w:id="132"/>
      <w:r/>
      <w:bookmarkEnd w:id="133"/>
      <w:r>
        <w:rPr>
          <w:rFonts w:hint="eastAsia" w:ascii="仿宋_GB2312" w:hAnsi="仿宋_GB2312" w:eastAsia="仿宋_GB2312" w:cs="仿宋_GB2312"/>
          <w:sz w:val="28"/>
          <w:szCs w:val="28"/>
        </w:rPr>
        <w:t xml:space="preserve">响应文件的递交</w:t>
      </w:r>
      <w:r/>
    </w:p>
    <w:p>
      <w:pPr>
        <w:ind w:firstLine="70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18.1供应商应当按照《操作手册》规定，在提交响应文件截止时间前制作并上传电子响应文件。</w:t>
      </w:r>
      <w:bookmarkStart w:id="134" w:name="_Toc16938542"/>
      <w:r/>
      <w:bookmarkStart w:id="135" w:name="_Toc20823298"/>
      <w:r/>
      <w:bookmarkStart w:id="136" w:name="_Toc513029226"/>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19、提交响应文件截止时间</w:t>
      </w:r>
      <w:bookmarkEnd w:id="134"/>
      <w:r/>
      <w:bookmarkEnd w:id="135"/>
      <w:r/>
      <w:bookmarkEnd w:id="136"/>
      <w:r/>
      <w:r/>
    </w:p>
    <w:p>
      <w:pPr>
        <w:ind w:firstLine="560"/>
        <w:pageBreakBefore w:val="0"/>
        <w:spacing w:line="500" w:lineRule="exact"/>
        <w:widowControl w:val="off"/>
        <w:rPr>
          <w:rFonts w:hint="eastAsia" w:ascii="黑体" w:hAnsi="黑体" w:eastAsia="黑体" w:cs="黑体"/>
          <w:bCs/>
          <w:i/>
          <w:sz w:val="28"/>
          <w:szCs w:val="28"/>
          <w:u w:val="single"/>
        </w:rPr>
      </w:pPr>
      <w:r>
        <w:rPr>
          <w:rFonts w:hint="eastAsia" w:ascii="黑体" w:hAnsi="黑体" w:eastAsia="黑体" w:cs="黑体"/>
          <w:i/>
          <w:sz w:val="28"/>
          <w:szCs w:val="28"/>
          <w:u w:val="single"/>
        </w:rPr>
        <w:t xml:space="preserve">19.1</w:t>
      </w:r>
      <w:r>
        <w:rPr>
          <w:rFonts w:hint="eastAsia" w:ascii="黑体" w:hAnsi="黑体" w:eastAsia="黑体" w:cs="黑体"/>
          <w:bCs/>
          <w:i/>
          <w:sz w:val="28"/>
          <w:szCs w:val="28"/>
          <w:u w:val="single"/>
        </w:rPr>
        <w:t xml:space="preserve">供应商上传电子响应文件的时间不得迟于磋商公告中规定的提交响应文件截止时间。</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19.2</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7" w:name="_Toc20823299"/>
      <w:r/>
      <w:bookmarkStart w:id="138" w:name="_Toc513029227"/>
      <w:r/>
      <w:bookmarkStart w:id="139" w:name="_Toc16938543"/>
      <w:r>
        <w:rPr>
          <w:rFonts w:hint="eastAsia" w:ascii="仿宋_GB2312" w:hAnsi="仿宋_GB2312" w:eastAsia="仿宋_GB2312" w:cs="仿宋_GB2312"/>
          <w:sz w:val="28"/>
          <w:szCs w:val="28"/>
        </w:rPr>
        <w:t xml:space="preserve">20、响应文件</w:t>
      </w:r>
      <w:bookmarkEnd w:id="137"/>
      <w:r/>
      <w:bookmarkEnd w:id="138"/>
      <w:r/>
      <w:bookmarkEnd w:id="139"/>
      <w:r>
        <w:rPr>
          <w:rFonts w:hint="eastAsia" w:ascii="仿宋_GB2312" w:hAnsi="仿宋_GB2312" w:eastAsia="仿宋_GB2312" w:cs="仿宋_GB2312"/>
          <w:sz w:val="28"/>
          <w:szCs w:val="28"/>
        </w:rPr>
        <w:t xml:space="preserve">的拒收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20.1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拒绝接收在其规定的提交响应文件截止时间后上传的任何电子响应文件。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40" w:name="_Toc513029228"/>
      <w:r/>
      <w:bookmarkStart w:id="141" w:name="_Toc20823300"/>
      <w:r/>
      <w:bookmarkStart w:id="142" w:name="_Toc16938544"/>
      <w:r>
        <w:rPr>
          <w:rFonts w:hint="eastAsia" w:ascii="仿宋_GB2312" w:hAnsi="仿宋_GB2312" w:eastAsia="仿宋_GB2312" w:cs="仿宋_GB2312"/>
          <w:sz w:val="28"/>
          <w:szCs w:val="28"/>
        </w:rPr>
        <w:t xml:space="preserve">21、响应文件的撤回和修改</w:t>
      </w:r>
      <w:bookmarkEnd w:id="140"/>
      <w:r/>
      <w:bookmarkEnd w:id="141"/>
      <w:r/>
      <w:bookmarkEnd w:id="14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21.1.1 电子响应文件的撤回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21.1.2供应商撤回电子响应文件，则认为其不再参与本项目磋商活动。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21.2响应文件的修改</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21.4</w:t>
      </w:r>
      <w:r>
        <w:rPr>
          <w:rFonts w:hint="eastAsia" w:ascii="仿宋_GB2312" w:hAnsi="仿宋_GB2312" w:eastAsia="仿宋_GB2312" w:cs="仿宋_GB2312"/>
          <w:bCs/>
          <w:sz w:val="28"/>
          <w:szCs w:val="28"/>
        </w:rPr>
        <w:t xml:space="preserve"> 在提交响应文件截止时间至磋商文件中规定的磋商有效期满之间的这段时间内，供应商不得撤回其响应文件。</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43" w:name="_Toc513029229"/>
      <w:r/>
      <w:bookmarkStart w:id="144" w:name="_Toc120614218"/>
      <w:r/>
      <w:bookmarkStart w:id="145" w:name="_Toc20823301"/>
      <w:r/>
      <w:bookmarkStart w:id="146" w:name="_Toc16938545"/>
      <w:r>
        <w:rPr>
          <w:rFonts w:hint="eastAsia" w:ascii="仿宋_GB2312" w:hAnsi="仿宋_GB2312" w:eastAsia="仿宋_GB2312" w:cs="仿宋_GB2312"/>
          <w:b/>
          <w:bCs/>
          <w:sz w:val="28"/>
          <w:szCs w:val="28"/>
        </w:rPr>
        <w:t xml:space="preserve">五、响应文件</w:t>
      </w:r>
      <w:r>
        <w:rPr>
          <w:rFonts w:hint="eastAsia" w:ascii="仿宋_GB2312" w:hAnsi="仿宋_GB2312" w:eastAsia="仿宋_GB2312" w:cs="仿宋_GB2312"/>
          <w:b/>
          <w:bCs/>
          <w:color w:val="auto"/>
          <w:sz w:val="28"/>
          <w:szCs w:val="28"/>
        </w:rPr>
        <w:t xml:space="preserve">的解密与评审</w:t>
      </w:r>
      <w:bookmarkEnd w:id="143"/>
      <w:r/>
      <w:bookmarkEnd w:id="144"/>
      <w:r/>
      <w:bookmarkEnd w:id="145"/>
      <w:r/>
      <w:bookmarkEnd w:id="146"/>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47" w:name="_Toc16938546"/>
      <w:r/>
      <w:bookmarkStart w:id="148" w:name="_Toc513029230"/>
      <w:r/>
      <w:bookmarkStart w:id="149" w:name="_Toc20823302"/>
      <w:r>
        <w:rPr>
          <w:rFonts w:hint="eastAsia" w:ascii="仿宋_GB2312" w:hAnsi="仿宋_GB2312" w:eastAsia="仿宋_GB2312" w:cs="仿宋_GB2312"/>
          <w:color w:val="auto"/>
          <w:sz w:val="28"/>
          <w:szCs w:val="28"/>
        </w:rPr>
        <w:t xml:space="preserve">22、</w:t>
      </w:r>
      <w:bookmarkEnd w:id="147"/>
      <w:r/>
      <w:bookmarkEnd w:id="148"/>
      <w:r/>
      <w:bookmarkEnd w:id="149"/>
      <w:r>
        <w:rPr>
          <w:rFonts w:hint="eastAsia" w:ascii="仿宋_GB2312" w:hAnsi="仿宋_GB2312" w:eastAsia="仿宋_GB2312" w:cs="仿宋_GB2312"/>
          <w:color w:val="auto"/>
          <w:sz w:val="28"/>
          <w:szCs w:val="28"/>
        </w:rPr>
        <w:t xml:space="preserve">响应文件解密</w:t>
      </w:r>
      <w:r/>
    </w:p>
    <w:p>
      <w:pPr>
        <w:ind w:firstLine="42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22.1供应商应当按照《操作手册》规定，在苏采云系统规定的时间内对磋商响应文件进行解密。</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0" w:name="_Toc513029231"/>
      <w:r/>
      <w:bookmarkStart w:id="151" w:name="_Toc20823303"/>
      <w:r/>
      <w:bookmarkStart w:id="152" w:name="_Toc16938547"/>
      <w:r>
        <w:rPr>
          <w:rFonts w:hint="eastAsia" w:ascii="仿宋_GB2312" w:hAnsi="仿宋_GB2312" w:eastAsia="仿宋_GB2312" w:cs="仿宋_GB2312"/>
          <w:color w:val="auto"/>
          <w:sz w:val="28"/>
          <w:szCs w:val="28"/>
        </w:rPr>
        <w:t xml:space="preserve">23、磋商小组</w:t>
      </w:r>
      <w:r/>
    </w:p>
    <w:p>
      <w:pPr>
        <w:pageBreakBefore w:val="0"/>
        <w:spacing w:line="500" w:lineRule="exact"/>
        <w:widowControl w:val="off"/>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  </w:t>
      </w:r>
      <w:r>
        <w:rPr>
          <w:rFonts w:hint="eastAsia" w:ascii="仿宋_GB2312" w:hAnsi="仿宋_GB2312" w:eastAsia="仿宋_GB2312" w:cs="仿宋_GB2312"/>
          <w:color w:val="auto"/>
          <w:sz w:val="28"/>
          <w:szCs w:val="28"/>
        </w:rPr>
        <w:t xml:space="preserve"> 23.1</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23.2磋商小组独立工作，负责评审所有响应文件并确定成交侯选人。</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24、评审过程的保密与公正</w:t>
      </w:r>
      <w:bookmarkEnd w:id="150"/>
      <w:r/>
      <w:bookmarkEnd w:id="151"/>
      <w:r/>
      <w:bookmarkEnd w:id="152"/>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24.1</w:t>
      </w:r>
      <w:r>
        <w:rPr>
          <w:rFonts w:hint="eastAsia" w:ascii="仿宋_GB2312" w:hAnsi="仿宋_GB2312" w:eastAsia="仿宋_GB2312" w:cs="仿宋_GB2312"/>
          <w:bCs/>
          <w:sz w:val="28"/>
          <w:szCs w:val="28"/>
        </w:rPr>
        <w:t xml:space="preserve">磋商小组、采购人和</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工作人员、相关监督人员等与评审工作有关的人员，对评审情况以及在评审过程中获悉的国家秘密、商业秘密负有保密责任。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24.2在评审过程中，供应商不得以任何行为影响磋商评审过程，否则其响应文件将被作为无效响应文件。</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24.3在项目评审期间，</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将设专门人员与供应商联系。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24.4 </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和磋商小组不向未成交的供应商解释未成交原因，也不公布评审过程中的相关细节。</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53" w:name="_Toc16938548"/>
      <w:r/>
      <w:bookmarkStart w:id="154" w:name="_Toc513029232"/>
      <w:r/>
      <w:bookmarkStart w:id="155" w:name="_Toc20823304"/>
      <w:r>
        <w:rPr>
          <w:rFonts w:hint="eastAsia" w:ascii="仿宋_GB2312" w:hAnsi="仿宋_GB2312" w:eastAsia="仿宋_GB2312" w:cs="仿宋_GB2312"/>
          <w:sz w:val="28"/>
          <w:szCs w:val="28"/>
        </w:rPr>
        <w:t xml:space="preserve">25、评审过程中的的澄清</w:t>
      </w:r>
      <w:bookmarkEnd w:id="153"/>
      <w:r/>
      <w:bookmarkEnd w:id="154"/>
      <w:r/>
      <w:bookmarkEnd w:id="155"/>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25.1项目评审期间，磋商小组有权要求供应商对响应文件中含义不明确、同类问题表述不一致或者有明显文字和计算错误的内容等作出必要的澄清、说明或者更正。供应商的澄清</w:t>
      </w:r>
      <w:r>
        <w:rPr>
          <w:rFonts w:hint="eastAsia" w:ascii="仿宋_GB2312" w:hAnsi="仿宋_GB2312" w:eastAsia="仿宋_GB2312" w:cs="仿宋_GB2312"/>
          <w:color w:val="auto"/>
          <w:sz w:val="28"/>
          <w:szCs w:val="28"/>
        </w:rPr>
        <w:t xml:space="preserve">、说明或者更正不得超出响应文件的范围或者改变响应文件的实质性内容。</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磋商小组并非对每个供应商都作澄清要求。</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25.3 接到磋商小组澄清、说明和更正要求的供应商如未按规定做出澄清、说明和更正，其风险由供应商自行承担。</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6" w:name="_Toc20823305"/>
      <w:r/>
      <w:bookmarkStart w:id="157" w:name="_Toc16938549"/>
      <w:r/>
      <w:bookmarkStart w:id="158" w:name="_Toc513029233"/>
      <w:r>
        <w:rPr>
          <w:rFonts w:hint="eastAsia" w:ascii="仿宋_GB2312" w:hAnsi="仿宋_GB2312" w:eastAsia="仿宋_GB2312" w:cs="仿宋_GB2312"/>
          <w:color w:val="auto"/>
          <w:sz w:val="28"/>
          <w:szCs w:val="28"/>
        </w:rPr>
        <w:t xml:space="preserve">26、对响应文件的审</w:t>
      </w:r>
      <w:bookmarkEnd w:id="156"/>
      <w:r/>
      <w:bookmarkEnd w:id="157"/>
      <w:r/>
      <w:bookmarkEnd w:id="158"/>
      <w:r>
        <w:rPr>
          <w:rFonts w:hint="eastAsia" w:ascii="仿宋_GB2312" w:hAnsi="仿宋_GB2312" w:eastAsia="仿宋_GB2312" w:cs="仿宋_GB2312"/>
          <w:color w:val="auto"/>
          <w:sz w:val="28"/>
          <w:szCs w:val="28"/>
        </w:rPr>
        <w:t xml:space="preserve">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26.1</w:t>
      </w:r>
      <w:r>
        <w:rPr>
          <w:rFonts w:hint="eastAsia" w:ascii="仿宋_GB2312" w:hAnsi="仿宋_GB2312" w:eastAsia="仿宋_GB2312" w:cs="仿宋_GB2312"/>
          <w:bCs/>
          <w:color w:val="auto"/>
          <w:sz w:val="28"/>
          <w:szCs w:val="28"/>
        </w:rPr>
        <w:t xml:space="preserve">响应文件审查分为资格审查和符合性审查。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26.1.1 资格审查：由磋商小组依据法律法规和磋商文件的规定，对响应文件中的资格证明文件进行审查，以确定供应商是否具备参加磋商的资格。</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磋商小组在进行资格审查的同时，将在“信用中国”网站（www.creditchina.gov.cn）查询供应商的信用记录，以确定供应商是否具备磋商资格,查询结果留存并归档。</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26.1.3 未通过资格审查或符合性审查的供应商，磋商小组将在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中告知未通过资格审查或符合性审查的原因，评审结束后，磋商小组将不再告知未通过资格审查或符合性审查的原因。</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所谓重大偏离或保留是指与磋商文件规定的实质性要求存在负偏离，或者在实质上与磋商文件不一致，而且限制了合同中买方和</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26.3未实质性响应磋商文件的情形</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26.3.1供应商在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规定的时间内未成功解密电子响应文件的。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26.3.2供应商未按照磋商文件要求上传电子响应文件的。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26.3.3同一供应商提交两个（含两个）以上不同的响应文件或者最后报价的。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26.3.4供应商不具备磋商文件中规定资格要求的。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26.3.5供应商的最后报价超过了采购预算。</w:t>
      </w:r>
      <w:r/>
    </w:p>
    <w:p>
      <w:pPr>
        <w:ind w:firstLine="560"/>
        <w:pageBreakBefore w:val="0"/>
        <w:spacing w:line="500" w:lineRule="exact"/>
        <w:widowControl w:val="off"/>
        <w:rPr>
          <w:rFonts w:hint="eastAsia" w:ascii="黑体" w:hAnsi="黑体" w:eastAsia="黑体" w:cs="黑体"/>
          <w:bCs/>
          <w:sz w:val="28"/>
          <w:szCs w:val="28"/>
        </w:rPr>
      </w:pPr>
      <w:r>
        <w:rPr>
          <w:rFonts w:hint="eastAsia" w:ascii="仿宋_GB2312" w:hAnsi="仿宋_GB2312" w:eastAsia="仿宋_GB2312" w:cs="仿宋_GB2312"/>
          <w:bCs/>
          <w:sz w:val="28"/>
          <w:szCs w:val="28"/>
        </w:rPr>
        <w:t xml:space="preserve">26.3.6不符合磋商文件中规定的实质性要求和条件的</w:t>
      </w:r>
      <w:r>
        <w:rPr>
          <w:rFonts w:hint="eastAsia" w:ascii="黑体" w:hAnsi="黑体" w:eastAsia="黑体" w:cs="黑体"/>
          <w:bCs/>
          <w:i/>
          <w:sz w:val="28"/>
          <w:szCs w:val="28"/>
          <w:u w:val="single"/>
        </w:rPr>
        <w:t xml:space="preserve">（本磋商文件中斜体且有下划线部分为实质性要求和条件）。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26.3.8  响应文件含有采购人不能接受的附加条件的。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26.3.10响应文件未按照磋商文件要求加盖CA电子公章的。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sz w:val="28"/>
          <w:szCs w:val="28"/>
        </w:rPr>
        <w:t xml:space="preserve">26.4未实质性响应磋商文件的响应</w:t>
      </w:r>
      <w:r>
        <w:rPr>
          <w:rFonts w:hint="eastAsia" w:ascii="仿宋_GB2312" w:hAnsi="仿宋_GB2312" w:eastAsia="仿宋_GB2312" w:cs="仿宋_GB2312"/>
          <w:bCs/>
          <w:color w:val="auto"/>
          <w:sz w:val="28"/>
          <w:szCs w:val="28"/>
        </w:rPr>
        <w:t xml:space="preserve">文件按无效响应处理。</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26.5</w:t>
      </w:r>
      <w:r>
        <w:rPr>
          <w:rFonts w:hint="eastAsia" w:ascii="仿宋_GB2312" w:hAnsi="仿宋_GB2312" w:eastAsia="仿宋_GB2312" w:cs="仿宋_GB2312"/>
          <w:bCs/>
          <w:color w:val="auto"/>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pageBreakBefore w:val="0"/>
        <w:spacing w:line="500" w:lineRule="exact"/>
        <w:widowControl w:val="off"/>
        <w:rPr>
          <w:rFonts w:hint="eastAsia" w:ascii="仿宋_GB2312" w:hAnsi="仿宋_GB2312" w:eastAsia="仿宋_GB2312" w:cs="仿宋_GB2312"/>
          <w:color w:val="auto"/>
          <w:sz w:val="28"/>
          <w:szCs w:val="28"/>
        </w:rPr>
      </w:pPr>
      <w:r/>
      <w:bookmarkStart w:id="159" w:name="_Toc16938550"/>
      <w:r/>
      <w:bookmarkStart w:id="160" w:name="_Toc20823306"/>
      <w:r/>
      <w:bookmarkStart w:id="161" w:name="_Toc513029234"/>
      <w:r>
        <w:rPr>
          <w:rFonts w:hint="eastAsia" w:ascii="仿宋_GB2312" w:hAnsi="仿宋_GB2312" w:eastAsia="仿宋_GB2312" w:cs="仿宋_GB2312"/>
          <w:color w:val="auto"/>
          <w:sz w:val="28"/>
          <w:szCs w:val="28"/>
        </w:rPr>
        <w:t xml:space="preserve">26.6供应商在项目评审全过程中应保持通讯畅通，并安排专人与</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及磋商小组联系。</w:t>
      </w:r>
      <w:r/>
    </w:p>
    <w:p>
      <w:pPr>
        <w:ind w:firstLine="56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rPr>
          <w:rFonts w:hint="eastAsia" w:ascii="仿宋_GB2312" w:hAnsi="仿宋_GB2312" w:eastAsia="仿宋_GB2312" w:cs="仿宋_GB2312"/>
          <w:color w:val="auto"/>
          <w:sz w:val="28"/>
          <w:szCs w:val="28"/>
        </w:rPr>
        <w:t xml:space="preserve">27、</w:t>
      </w:r>
      <w:bookmarkEnd w:id="159"/>
      <w:r/>
      <w:bookmarkEnd w:id="160"/>
      <w:r/>
      <w:bookmarkEnd w:id="161"/>
      <w:r>
        <w:rPr>
          <w:rFonts w:hint="eastAsia" w:ascii="仿宋_GB2312" w:hAnsi="仿宋_GB2312" w:eastAsia="仿宋_GB2312" w:cs="仿宋_GB2312"/>
          <w:color w:val="auto"/>
          <w:sz w:val="28"/>
          <w:szCs w:val="28"/>
        </w:rPr>
        <w:t xml:space="preserve">磋商程序及评审方法和评审标准</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27.1磋商程序</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27.1.2磋商文件能够详细列明采购标的的技术、服务要求的，磋商结束后，磋商小组将在苏采云系统向所有实质性响应的供应商发布“最后报价要求函”，要求所有实质性响应的供应商在规定时间内提交最后报价。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ageBreakBefore w:val="0"/>
        <w:spacing w:line="500" w:lineRule="exact"/>
        <w:widowControl w:val="off"/>
        <w:tabs>
          <w:tab w:val="left" w:pos="900" w:leader="none"/>
        </w:tabs>
        <w:rPr>
          <w:rFonts w:hint="eastAsia" w:ascii="仿宋_GB2312" w:hAnsi="仿宋_GB2312" w:eastAsia="仿宋_GB2312" w:cs="仿宋_GB2312"/>
          <w:sz w:val="30"/>
          <w:szCs w:val="30"/>
        </w:rPr>
      </w:pPr>
      <w:r>
        <w:rPr>
          <w:rFonts w:hint="eastAsia" w:ascii="仿宋" w:hAnsi="仿宋" w:eastAsia="仿宋" w:cs="仿宋_GB2312"/>
          <w:b/>
          <w:bCs/>
          <w:sz w:val="30"/>
          <w:szCs w:val="30"/>
          <w:highlight w:val="yellow"/>
        </w:rPr>
        <w:t xml:space="preserve">（</w:t>
      </w:r>
      <w:r>
        <w:rPr>
          <w:rFonts w:hint="eastAsia" w:ascii="仿宋" w:hAnsi="仿宋" w:eastAsia="仿宋" w:cs="仿宋_GB2312"/>
          <w:b/>
          <w:bCs/>
          <w:sz w:val="30"/>
          <w:szCs w:val="30"/>
          <w:highlight w:val="yellow"/>
          <w:lang w:eastAsia="zh-CN"/>
        </w:rPr>
        <w:t xml:space="preserve">特别提醒：</w:t>
      </w:r>
      <w:r>
        <w:rPr>
          <w:rFonts w:hint="eastAsia" w:ascii="仿宋" w:hAnsi="仿宋" w:eastAsia="仿宋"/>
          <w:b/>
          <w:color w:val="ff0000"/>
          <w:sz w:val="30"/>
          <w:szCs w:val="30"/>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30"/>
          <w:szCs w:val="30"/>
        </w:rPr>
        <w:t xml:space="preserve">20</w:t>
      </w:r>
      <w:r>
        <w:rPr>
          <w:rFonts w:hint="eastAsia" w:ascii="仿宋" w:hAnsi="仿宋" w:eastAsia="仿宋"/>
          <w:b/>
          <w:color w:val="ff0000"/>
          <w:sz w:val="30"/>
          <w:szCs w:val="30"/>
        </w:rPr>
        <w:t xml:space="preserve">分钟，</w:t>
      </w:r>
      <w:r>
        <w:rPr>
          <w:rFonts w:ascii="仿宋" w:hAnsi="仿宋" w:eastAsia="仿宋"/>
          <w:b/>
          <w:color w:val="ff0000"/>
          <w:sz w:val="30"/>
          <w:szCs w:val="30"/>
        </w:rPr>
        <w:t xml:space="preserve">20</w:t>
      </w:r>
      <w:r>
        <w:rPr>
          <w:rFonts w:hint="eastAsia" w:ascii="仿宋" w:hAnsi="仿宋" w:eastAsia="仿宋"/>
          <w:b/>
          <w:color w:val="ff0000"/>
          <w:sz w:val="30"/>
          <w:szCs w:val="30"/>
        </w:rPr>
        <w:t xml:space="preserve">分钟内供应商可以对所提交的最后报价进行撤回和更改操作，未在规定时间内提交最后报价的，视同退出本次</w:t>
      </w:r>
      <w:r>
        <w:rPr>
          <w:rFonts w:hint="eastAsia" w:ascii="仿宋" w:hAnsi="仿宋" w:eastAsia="仿宋"/>
          <w:b/>
          <w:color w:val="ff0000"/>
          <w:sz w:val="30"/>
          <w:szCs w:val="30"/>
          <w:lang w:eastAsia="zh-CN"/>
        </w:rPr>
        <w:t xml:space="preserve">磋商。</w:t>
      </w:r>
      <w:r>
        <w:rPr>
          <w:rFonts w:hint="eastAsia" w:ascii="仿宋" w:hAnsi="仿宋" w:eastAsia="仿宋" w:cs="仿宋_GB2312"/>
          <w:sz w:val="30"/>
          <w:szCs w:val="30"/>
        </w:rPr>
        <w:t xml:space="preserve">）</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 评审方法和评审标准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27.2.2评审标准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见本磋商文件第五章规定。</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27.3采购活动终止的情况</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出现下列情形之一的，本次竞争性磋商采购活动将被终止：</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27.3.1因情况变化，不再符合规定的竞争性磋商采购方式适用情形的。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27.3.2出现影响采购公正的违法、违规行为的。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27.3.3除本磋商文件第二章第27.1.2条第三款规定的情形外，在采购过程中符合要求的供应商或者最后报价未超过采购预算的供应商不足3家的。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27.3.4在苏采云系统规定时间内成功解密电子响应文件的供应商不足3家的。</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62" w:name="_Toc120614219"/>
      <w:r/>
      <w:bookmarkStart w:id="163" w:name="_Toc513029235"/>
      <w:r/>
      <w:bookmarkStart w:id="164" w:name="_Toc16938551"/>
      <w:r/>
      <w:bookmarkStart w:id="165" w:name="_Toc20823307"/>
      <w:r>
        <w:rPr>
          <w:rFonts w:hint="eastAsia" w:ascii="仿宋_GB2312" w:hAnsi="仿宋_GB2312" w:eastAsia="仿宋_GB2312" w:cs="仿宋_GB2312"/>
          <w:b/>
          <w:bCs/>
          <w:color w:val="auto"/>
          <w:sz w:val="28"/>
          <w:szCs w:val="28"/>
        </w:rPr>
        <w:t xml:space="preserve">六、</w:t>
      </w:r>
      <w:bookmarkEnd w:id="162"/>
      <w:r/>
      <w:bookmarkEnd w:id="163"/>
      <w:r/>
      <w:bookmarkEnd w:id="164"/>
      <w:r/>
      <w:bookmarkEnd w:id="165"/>
      <w:r>
        <w:rPr>
          <w:rFonts w:hint="eastAsia" w:ascii="仿宋_GB2312" w:hAnsi="仿宋_GB2312" w:eastAsia="仿宋_GB2312" w:cs="仿宋_GB2312"/>
          <w:b/>
          <w:bCs/>
          <w:color w:val="auto"/>
          <w:sz w:val="28"/>
          <w:szCs w:val="28"/>
        </w:rPr>
        <w:t xml:space="preserve">成交</w:t>
      </w:r>
      <w:r/>
    </w:p>
    <w:p>
      <w:pPr>
        <w:ind w:firstLine="560"/>
        <w:keepLines/>
        <w:keepNext/>
        <w:pageBreakBefore w:val="0"/>
        <w:spacing w:line="500" w:lineRule="exact"/>
        <w:widowControl w:val="off"/>
        <w:rPr>
          <w:rFonts w:hint="eastAsia" w:ascii="仿宋_GB2312" w:hAnsi="仿宋_GB2312" w:eastAsia="仿宋_GB2312" w:cs="仿宋_GB2312"/>
          <w:bCs/>
          <w:color w:val="auto"/>
          <w:sz w:val="28"/>
          <w:szCs w:val="28"/>
        </w:rPr>
        <w:outlineLvl w:val="3"/>
      </w:pPr>
      <w:r/>
      <w:bookmarkStart w:id="166" w:name="_Toc513029238"/>
      <w:r/>
      <w:bookmarkStart w:id="167" w:name="_Toc16938554"/>
      <w:r/>
      <w:bookmarkStart w:id="168" w:name="_Toc20823310"/>
      <w:r>
        <w:rPr>
          <w:rFonts w:hint="eastAsia" w:ascii="仿宋_GB2312" w:hAnsi="仿宋_GB2312" w:eastAsia="仿宋_GB2312" w:cs="仿宋_GB2312"/>
          <w:bCs/>
          <w:color w:val="auto"/>
          <w:sz w:val="28"/>
          <w:szCs w:val="28"/>
        </w:rPr>
        <w:t xml:space="preserve">28、</w:t>
      </w:r>
      <w:bookmarkEnd w:id="166"/>
      <w:r>
        <w:rPr>
          <w:rFonts w:hint="eastAsia" w:ascii="仿宋_GB2312" w:hAnsi="仿宋_GB2312" w:eastAsia="仿宋_GB2312" w:cs="仿宋_GB2312"/>
          <w:bCs/>
          <w:color w:val="auto"/>
          <w:sz w:val="28"/>
          <w:szCs w:val="28"/>
        </w:rPr>
        <w:t xml:space="preserve">确定</w:t>
      </w:r>
      <w:bookmarkEnd w:id="167"/>
      <w:r/>
      <w:bookmarkEnd w:id="168"/>
      <w:r>
        <w:rPr>
          <w:rFonts w:hint="eastAsia" w:ascii="仿宋_GB2312" w:hAnsi="仿宋_GB2312" w:eastAsia="仿宋_GB2312" w:cs="仿宋_GB2312"/>
          <w:bCs/>
          <w:color w:val="auto"/>
          <w:sz w:val="28"/>
          <w:szCs w:val="28"/>
        </w:rPr>
        <w:t xml:space="preserve">成交单位</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bCs/>
          <w:color w:val="auto"/>
          <w:sz w:val="28"/>
          <w:szCs w:val="28"/>
        </w:rPr>
        <w:t xml:space="preserve">28.1</w:t>
      </w:r>
      <w:r>
        <w:rPr>
          <w:rFonts w:hint="eastAsia" w:ascii="仿宋_GB2312" w:hAnsi="仿宋_GB2312" w:eastAsia="仿宋_GB2312" w:cs="仿宋_GB2312"/>
          <w:color w:val="auto"/>
          <w:sz w:val="28"/>
          <w:szCs w:val="28"/>
        </w:rPr>
        <w:t xml:space="preserve">磋商小组根据综合评分情况，按照评审得分由高到低顺序推荐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w:t>
      </w:r>
      <w:r>
        <w:rPr>
          <w:rFonts w:hint="eastAsia" w:ascii="仿宋_GB2312" w:hAnsi="仿宋_GB2312" w:eastAsia="仿宋_GB2312" w:cs="仿宋_GB2312"/>
          <w:sz w:val="28"/>
          <w:szCs w:val="28"/>
        </w:rPr>
        <w:t xml:space="preserve">一个供应商获得成交供应商推荐资格，磋商文件未规定的采取随机抽取方式确定，其他同品牌同型号供应商不作为成交候选人。</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28.2采购人从评审报告提出的成交候选供应商中，按照排序由高到低的原则确定成交供应商。采购人确定成交供应商后，</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将在“江苏政府采购网”发布成交结果公告，公告期限为1个工作日。</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28.3若有充分证据证明，成交供应商出现下列情况之一的，一经查实，将被取消成交资格：</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28.3.1提供虚假材料谋取成交的。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28.3.2与评审专家、采购人、其他供应商或者</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工作人员恶意串通的。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28.3.3向评审专家、采购人或</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工作人员行贿或者提供其他不正当利益的。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28.3.4恶意竞争，最后报价明显低于其自身合理成本且又无法提供证明的。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28.3.5不满足本磋商文件规定的实质性要求，但在评审过程中又未被磋商小组发现的。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28.3.6成交后无正当理由拒不与采购人签订政府采购合同或者未按照磋商文件确定的事项签订政府采购合同的。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28.3.7将政府采购合同转包的。</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69" w:name="_Toc200451960"/>
      <w:r>
        <w:rPr>
          <w:rFonts w:hint="eastAsia" w:ascii="仿宋_GB2312" w:hAnsi="仿宋_GB2312" w:eastAsia="仿宋_GB2312" w:cs="仿宋_GB2312"/>
          <w:bCs/>
          <w:sz w:val="28"/>
          <w:szCs w:val="28"/>
        </w:rPr>
        <w:t xml:space="preserve">29、质疑处理</w:t>
      </w:r>
      <w:bookmarkEnd w:id="16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 提出质疑的供应商应当是参与所质疑项目采购活动的供应商。潜在供应商依法获取其可质疑的采购文件的，可以对采购文件提出质疑。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或采购人提出质疑。上述应知其权益受到损害之日，是指：</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29.2.1</w:t>
      </w:r>
      <w:r>
        <w:rPr>
          <w:rFonts w:hint="eastAsia" w:ascii="仿宋_GB2312" w:hAnsi="仿宋_GB2312" w:eastAsia="仿宋_GB2312" w:cs="仿宋_GB2312"/>
          <w:sz w:val="28"/>
          <w:szCs w:val="28"/>
        </w:rPr>
        <w:t xml:space="preserve">对可以质疑的采购文件提出质疑的，为收到采购文件之日或者采购文件公告期限届满之日。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29.2.2</w:t>
      </w:r>
      <w:r>
        <w:rPr>
          <w:rFonts w:hint="eastAsia" w:ascii="仿宋_GB2312" w:hAnsi="仿宋_GB2312" w:eastAsia="仿宋_GB2312" w:cs="仿宋_GB2312"/>
          <w:sz w:val="28"/>
          <w:szCs w:val="28"/>
        </w:rPr>
        <w:t xml:space="preserve">对采购过程提出质疑的，为各采购程序环节结束之日。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29.2.3</w:t>
      </w:r>
      <w:r>
        <w:rPr>
          <w:rFonts w:hint="eastAsia" w:ascii="仿宋_GB2312" w:hAnsi="仿宋_GB2312" w:eastAsia="仿宋_GB2312" w:cs="仿宋_GB2312"/>
          <w:sz w:val="28"/>
          <w:szCs w:val="28"/>
        </w:rPr>
        <w:t xml:space="preserve">对成交结果提出质疑的，为成交结果公告期限届满之日。</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、采购人将只对供应商第一次质疑作出答复。</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lang w:val="en-US" w:eastAsia="zh-CN"/>
        </w:rPr>
        <w:t xml:space="preserve">29</w:t>
      </w:r>
      <w:r>
        <w:rPr>
          <w:rFonts w:hint="eastAsia" w:ascii="仿宋_GB2312" w:hAnsi="仿宋_GB2312" w:eastAsia="仿宋_GB2312" w:cs="仿宋_GB2312"/>
          <w:sz w:val="28"/>
          <w:szCs w:val="28"/>
        </w:rPr>
        <w:t xml:space="preserve">.4</w:t>
      </w:r>
      <w:r>
        <w:rPr>
          <w:rFonts w:hint="eastAsia" w:ascii="仿宋_GB2312" w:hAnsi="仿宋_GB2312" w:eastAsia="仿宋_GB2312" w:cs="仿宋_GB2312"/>
          <w:sz w:val="28"/>
          <w:szCs w:val="28"/>
          <w:lang w:val="en-US" w:eastAsia="zh-CN"/>
        </w:rPr>
        <w:t xml:space="preserve"> 供应商（含潜在供应商）对采购方式、采购需求、供应商资格条件及审查结果、评</w:t>
      </w:r>
      <w:r>
        <w:rPr>
          <w:rFonts w:hint="eastAsia" w:ascii="仿宋_GB2312" w:hAnsi="仿宋_GB2312" w:eastAsia="仿宋_GB2312" w:cs="仿宋_GB2312"/>
          <w:b w:val="0"/>
          <w:bCs w:val="0"/>
          <w:sz w:val="28"/>
          <w:szCs w:val="28"/>
          <w:lang w:val="en-US" w:eastAsia="zh-CN"/>
        </w:rPr>
        <w:t xml:space="preserve">标方法和评标标准、合同文本的询问、质疑请向采购人提出，由采购人负责答复。供应商对除上述事项以外其他事项的询问、质疑请向政务中心提出，由政务中心负责答复</w:t>
      </w:r>
      <w:r>
        <w:rPr>
          <w:rFonts w:hint="eastAsia" w:ascii="仿宋_GB2312" w:hAnsi="仿宋_GB2312" w:eastAsia="仿宋_GB2312" w:cs="仿宋_GB2312"/>
          <w:b w:val="0"/>
          <w:bCs w:val="0"/>
          <w:sz w:val="28"/>
          <w:szCs w:val="28"/>
        </w:rPr>
        <w:t xml:space="preserve">。</w:t>
      </w:r>
      <w:r/>
    </w:p>
    <w:p>
      <w:pPr>
        <w:ind w:firstLine="560"/>
        <w:pageBreakBefore w:val="0"/>
        <w:spacing w:line="500" w:lineRule="exact"/>
        <w:widowControl w:val="off"/>
        <w:rPr>
          <w:rFonts w:hint="eastAsia" w:ascii="仿宋_GB2312" w:hAnsi="仿宋_GB2312" w:eastAsia="仿宋_GB2312" w:cs="仿宋_GB2312"/>
          <w:b/>
          <w:bCs/>
          <w:color w:val="auto"/>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只接收以纸质原件形式送达的质疑,建议供应商尽量通过邮寄方式提交质疑</w:t>
      </w:r>
      <w:r>
        <w:rPr>
          <w:rFonts w:hint="eastAsia" w:ascii="仿宋_GB2312" w:hAnsi="仿宋_GB2312" w:eastAsia="仿宋_GB2312" w:cs="仿宋_GB2312"/>
          <w:b/>
          <w:bCs/>
          <w:color w:val="auto"/>
          <w:sz w:val="28"/>
          <w:szCs w:val="28"/>
        </w:rPr>
        <w:t xml:space="preserve">（采购人</w:t>
      </w:r>
      <w:r>
        <w:rPr>
          <w:rFonts w:hint="eastAsia" w:ascii="仿宋_GB2312" w:hAnsi="仿宋_GB2312" w:eastAsia="仿宋_GB2312" w:cs="仿宋_GB2312"/>
          <w:b/>
          <w:bCs/>
          <w:color w:val="auto"/>
          <w:sz w:val="28"/>
          <w:szCs w:val="28"/>
          <w:lang w:eastAsia="zh-CN"/>
        </w:rPr>
        <w:t xml:space="preserve">、政务中心</w:t>
      </w:r>
      <w:r>
        <w:rPr>
          <w:rFonts w:hint="eastAsia" w:ascii="仿宋_GB2312" w:hAnsi="仿宋_GB2312" w:eastAsia="仿宋_GB2312" w:cs="仿宋_GB2312"/>
          <w:b/>
          <w:bCs/>
          <w:color w:val="auto"/>
          <w:sz w:val="28"/>
          <w:szCs w:val="28"/>
        </w:rPr>
        <w:t xml:space="preserve">不接受未填写快递运单的快件）。</w:t>
      </w:r>
      <w:r/>
    </w:p>
    <w:p>
      <w:pPr>
        <w:ind w:firstLine="560"/>
        <w:pageBreakBefore w:val="0"/>
        <w:spacing w:line="500" w:lineRule="exact"/>
        <w:widowControl w:val="off"/>
        <w:rPr>
          <w:rFonts w:hint="eastAsia" w:ascii="仿宋_GB2312" w:hAnsi="仿宋_GB2312" w:eastAsia="仿宋_GB2312" w:cs="仿宋_GB2312"/>
          <w:b/>
          <w:bCs/>
          <w:color w:val="auto"/>
          <w:sz w:val="28"/>
          <w:szCs w:val="28"/>
          <w:u w:val="single"/>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质疑接收人及联系方式见本磋商文件第一章。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 以下情形的质疑不予受理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29.5.1 内容不符合《政府采购质疑和投诉办法》第十二条规定的质疑。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29.5.2 超出政府采购法定期限的质疑。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29.5.3 以传真、电子邮件等方式递交的非原件形式的质疑。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29.5.4 未参加磋商活动的供应商或在磋商活动中自身权益未受到损害的供应商所提出的质疑。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29.5.5供应商组成联合体参加磋商，联合体中任何一方或多方未按要求签字、盖章、加盖公章的质疑。</w:t>
      </w:r>
      <w:r/>
    </w:p>
    <w:p>
      <w:pPr>
        <w:ind w:firstLine="546"/>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29.6  供应商提出书面质疑必须有理、有据，不得捏造事实、提供虚假材料进行恶意质疑。否则，一经查实，</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有权依据政府采购的有关规定，报请政府采购监管部门对该供应商进行相应的行政处罚和记录该供应商的失信信息。</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30、成交通知书</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30.1成交结果确定后，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将向成交供应商发出成交通知书。</w:t>
      </w:r>
      <w:r>
        <w:rPr>
          <w:rFonts w:hint="eastAsia" w:ascii="仿宋_GB2312" w:hAnsi="仿宋_GB2312" w:eastAsia="仿宋_GB2312" w:cs="仿宋_GB2312"/>
          <w:color w:val="auto"/>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30.2成交通知书将是合同的一个组成部分。对采购人和成交供应商均具有法律效力。成交通知书发出后，采购人改</w:t>
      </w:r>
      <w:r>
        <w:rPr>
          <w:rFonts w:hint="eastAsia" w:ascii="仿宋_GB2312" w:hAnsi="仿宋_GB2312" w:eastAsia="仿宋_GB2312" w:cs="仿宋_GB2312"/>
          <w:sz w:val="28"/>
          <w:szCs w:val="28"/>
        </w:rPr>
        <w:t xml:space="preserve">变成交结果的，或者成交供应商放弃成交项目的，应当依法承担法律责任。</w:t>
      </w:r>
      <w:r/>
    </w:p>
    <w:p>
      <w:pPr>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70" w:name="_Toc120614220"/>
      <w:r/>
      <w:bookmarkStart w:id="171" w:name="_Toc16938552"/>
      <w:r/>
      <w:bookmarkStart w:id="172" w:name="_Toc513029236"/>
      <w:r/>
      <w:bookmarkStart w:id="173" w:name="_Toc20823308"/>
      <w:r>
        <w:rPr>
          <w:rFonts w:hint="eastAsia" w:ascii="仿宋_GB2312" w:hAnsi="仿宋_GB2312" w:eastAsia="仿宋_GB2312" w:cs="仿宋_GB2312"/>
          <w:b/>
          <w:bCs/>
          <w:sz w:val="28"/>
          <w:szCs w:val="28"/>
        </w:rPr>
        <w:t xml:space="preserve">七、授予合同</w:t>
      </w:r>
      <w:bookmarkEnd w:id="170"/>
      <w:r/>
      <w:bookmarkEnd w:id="171"/>
      <w:r/>
      <w:bookmarkEnd w:id="172"/>
      <w:r/>
      <w:bookmarkEnd w:id="173"/>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74" w:name="_Toc16938553"/>
      <w:r/>
      <w:bookmarkStart w:id="175" w:name="_Toc513029237"/>
      <w:r/>
      <w:bookmarkStart w:id="176" w:name="_Toc20823309"/>
      <w:r>
        <w:rPr>
          <w:rFonts w:hint="eastAsia" w:ascii="仿宋_GB2312" w:hAnsi="仿宋_GB2312" w:eastAsia="仿宋_GB2312" w:cs="仿宋_GB2312"/>
          <w:bCs/>
          <w:sz w:val="28"/>
          <w:szCs w:val="28"/>
        </w:rPr>
        <w:t xml:space="preserve">31. 签订合同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31</w:t>
      </w:r>
      <w:r>
        <w:rPr>
          <w:rFonts w:hint="eastAsia" w:ascii="仿宋_GB2312" w:hAnsi="仿宋_GB2312" w:eastAsia="仿宋_GB2312" w:cs="仿宋_GB2312"/>
          <w:sz w:val="28"/>
          <w:szCs w:val="28"/>
        </w:rPr>
        <w:t xml:space="preserve">.l成交供应商应当在成交通知书发出之日起三十日内，按照磋商文件确定的事项与采购人签订政府采购合同。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31.2磋商文件、成交供应商的响应文件及磋商过程中有关澄清、承诺文件均应作为合同附件。</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31.3 签订合同后</w:t>
      </w:r>
      <w:r>
        <w:rPr>
          <w:rFonts w:hint="eastAsia" w:ascii="黑体" w:hAnsi="黑体" w:eastAsia="黑体" w:cs="黑体"/>
          <w:sz w:val="28"/>
          <w:szCs w:val="28"/>
        </w:rPr>
        <w:t xml:space="preserve">，</w:t>
      </w:r>
      <w:r>
        <w:rPr>
          <w:rFonts w:hint="eastAsia" w:ascii="黑体" w:hAnsi="黑体" w:eastAsia="黑体" w:cs="黑体"/>
          <w:i/>
          <w:sz w:val="28"/>
          <w:szCs w:val="28"/>
          <w:u w:val="single"/>
        </w:rPr>
        <w:t xml:space="preserve">成交供应商不得将合同标的进行转包</w:t>
      </w:r>
      <w:r>
        <w:rPr>
          <w:rFonts w:hint="eastAsia" w:ascii="黑体" w:hAnsi="黑体" w:eastAsia="黑体" w:cs="黑体"/>
          <w:sz w:val="28"/>
          <w:szCs w:val="28"/>
        </w:rPr>
        <w:t xml:space="preserve">。</w:t>
      </w:r>
      <w:r>
        <w:rPr>
          <w:rFonts w:hint="eastAsia" w:ascii="仿宋_GB2312" w:hAnsi="仿宋_GB2312" w:eastAsia="仿宋_GB2312" w:cs="仿宋_GB2312"/>
          <w:color w:val="auto"/>
          <w:sz w:val="28"/>
          <w:szCs w:val="28"/>
        </w:rPr>
        <w:t xml:space="preserve">未经采购人同意，成交供应商也不得采用分包形式履行合同,否则采购人有权终止合同。转包或分包造成采购人损失的，成交供应商应承担相应赔偿责任。</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32、标的物的追加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4"/>
      <w:r/>
      <w:bookmarkEnd w:id="175"/>
      <w:r/>
      <w:bookmarkEnd w:id="176"/>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33、政府采购履约资金扶持政策</w:t>
      </w:r>
      <w:r/>
    </w:p>
    <w:p>
      <w:pPr>
        <w:ind w:firstLine="555"/>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ind w:firstLine="560"/>
        <w:keepLines w:val="0"/>
        <w:keepNext w:val="0"/>
        <w:pageBreakBefore w:val="0"/>
        <w:spacing w:line="500" w:lineRule="exact"/>
        <w:widowControl w:val="off"/>
        <w:rPr>
          <w:rFonts w:hint="eastAsia" w:ascii="仿宋" w:hAnsi="仿宋" w:eastAsia="仿宋"/>
          <w:sz w:val="28"/>
          <w:szCs w:val="28"/>
        </w:rPr>
      </w:pPr>
      <w:r>
        <w:rPr>
          <w:rFonts w:hint="eastAsia" w:ascii="黑体" w:hAnsi="黑体" w:eastAsia="黑体" w:cs="黑体"/>
          <w:sz w:val="28"/>
          <w:szCs w:val="28"/>
        </w:rPr>
        <w:t xml:space="preserve">声明：当出现损害国家利益或采购人利益的情形时，采购人及本中心保留依法选择或拒绝任何供应商的权利，且对该等决定无需主动说明原因。涉及国家安全或重大公共利益的，依相关规定执行。</w:t>
      </w:r>
      <w:r/>
    </w:p>
    <w:p>
      <w:pPr>
        <w:jc w:val="center"/>
        <w:rPr>
          <w:rFonts w:eastAsia="黑体"/>
        </w:rPr>
      </w:pPr>
      <w:r>
        <w:rPr>
          <w:rFonts w:eastAsia="黑体"/>
        </w:rPr>
      </w:r>
      <w:r/>
    </w:p>
    <w:p>
      <w:pPr>
        <w:ind w:firstLine="555"/>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center"/>
        <w:pageBreakBefore w:val="0"/>
        <w:spacing w:line="520" w:lineRule="exact"/>
        <w:widowControl w:val="off"/>
        <w:rPr>
          <w:rFonts w:hint="eastAsia" w:ascii="黑体" w:hAnsi="黑体" w:eastAsia="黑体" w:cs="黑体"/>
          <w:b w:val="0"/>
          <w:bCs w:val="0"/>
          <w:sz w:val="36"/>
          <w:szCs w:val="36"/>
        </w:rPr>
      </w:pPr>
      <w:r>
        <w:rPr>
          <w:rFonts w:hint="eastAsia" w:ascii="仿宋_GB2312" w:hAnsi="仿宋_GB2312" w:eastAsia="仿宋_GB2312" w:cs="仿宋_GB2312"/>
          <w:bCs/>
          <w:sz w:val="28"/>
          <w:szCs w:val="28"/>
        </w:rPr>
        <w:br w:type="page" w:clear="all"/>
      </w:r>
      <w:r>
        <w:rPr>
          <w:rFonts w:hint="eastAsia" w:ascii="黑体" w:hAnsi="黑体" w:eastAsia="黑体" w:cs="黑体"/>
          <w:b w:val="0"/>
          <w:bCs w:val="0"/>
          <w:sz w:val="36"/>
          <w:szCs w:val="36"/>
        </w:rPr>
        <w:t xml:space="preserve">第三章  合同</w:t>
      </w:r>
      <w:bookmarkEnd w:id="56"/>
      <w:r/>
      <w:bookmarkEnd w:id="57"/>
      <w:r/>
      <w:bookmarkEnd w:id="58"/>
      <w:r/>
      <w:bookmarkEnd w:id="59"/>
      <w:r/>
      <w:bookmarkEnd w:id="60"/>
      <w:r>
        <w:rPr>
          <w:rFonts w:hint="eastAsia" w:ascii="黑体" w:hAnsi="黑体" w:eastAsia="黑体" w:cs="黑体"/>
          <w:b w:val="0"/>
          <w:bCs w:val="0"/>
          <w:sz w:val="36"/>
          <w:szCs w:val="36"/>
        </w:rPr>
        <w:t xml:space="preserve">文本</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bookmarkStart w:id="177" w:name="_Toc20823315"/>
      <w:r/>
      <w:bookmarkStart w:id="178" w:name="_Toc16938559"/>
      <w:r/>
      <w:bookmarkStart w:id="179" w:name="_Toc513029243"/>
      <w:r>
        <w:rPr>
          <w:rFonts w:hint="eastAsia" w:ascii="仿宋_GB2312" w:hAnsi="仿宋_GB2312" w:eastAsia="仿宋_GB2312" w:cs="仿宋_GB2312"/>
          <w:bCs/>
          <w:sz w:val="28"/>
          <w:szCs w:val="28"/>
        </w:rPr>
        <w:t xml:space="preserve">以下为成交后签定本项目合同的通用条款，成交供应商不得提出实质性的修改。</w:t>
      </w:r>
      <w:r/>
    </w:p>
    <w:p>
      <w:pPr>
        <w:ind w:left="0" w:right="0" w:firstLine="562"/>
        <w:jc w:val="center"/>
        <w:pageBreakBefore w:val="0"/>
        <w:spacing w:line="520" w:lineRule="exact"/>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r>
      <w:bookmarkEnd w:id="177"/>
      <w:r/>
      <w:bookmarkEnd w:id="178"/>
      <w:r/>
      <w:bookmarkEnd w:id="179"/>
      <w:r/>
      <w:r/>
    </w:p>
    <w:p>
      <w:pPr>
        <w:ind w:firstLine="800"/>
        <w:jc w:val="center"/>
        <w:spacing w:line="520" w:lineRule="exact"/>
        <w:rPr>
          <w:rFonts w:ascii="方正小标宋_GBK" w:hAnsi="方正小标宋_GBK" w:eastAsia="方正小标宋_GBK" w:cs="方正小标宋_GBK"/>
          <w:bCs/>
          <w:sz w:val="40"/>
          <w:szCs w:val="40"/>
        </w:rPr>
        <w:outlineLvl w:val="0"/>
      </w:pPr>
      <w:r/>
      <w:bookmarkStart w:id="180" w:name="_Hlt16619369"/>
      <w:r/>
      <w:bookmarkEnd w:id="180"/>
      <w:r/>
      <w:bookmarkStart w:id="181" w:name="_Toc16938590"/>
      <w:r/>
      <w:bookmarkStart w:id="182" w:name="_Hlt16619350"/>
      <w:r/>
      <w:bookmarkStart w:id="183" w:name="_Toc20823346"/>
      <w:r/>
      <w:bookmarkStart w:id="184" w:name="_Toc120614244"/>
      <w:r/>
      <w:bookmarkStart w:id="185" w:name="_Toc479757211"/>
      <w:r/>
      <w:bookmarkStart w:id="186" w:name="_Toc462564139"/>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1048"/>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1048"/>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1048"/>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1048"/>
        <w:ind w:firstLine="560"/>
        <w:spacing w:line="50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项目的</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结果，签署本合同。</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标的质量：</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履行方式：</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本合同金额为（大写）：________（________元）人民币。</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48"/>
        <w:ind w:firstLine="562"/>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1048"/>
        <w:ind w:firstLine="560"/>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乙方保证所交付的服务（包含与服务相关的货物）的所有权完全属于乙方且无任何抵押、查封等产权瑕疵。</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1048"/>
        <w:ind w:firstLine="560"/>
        <w:spacing w:line="500" w:lineRule="exact"/>
        <w:rPr>
          <w:rFonts w:hint="eastAsia" w:ascii="仿宋_GB2312" w:hAnsi="仿宋_GB2312" w:eastAsia="仿宋_GB2312" w:cs="仿宋_GB2312"/>
          <w:b/>
          <w:bCs/>
          <w:sz w:val="28"/>
          <w:szCs w:val="28"/>
          <w:u w:val="single"/>
        </w:rPr>
      </w:pPr>
      <w:r>
        <w:rPr>
          <w:rFonts w:hint="eastAsia" w:ascii="仿宋_GB2312" w:hAnsi="仿宋_GB2312" w:eastAsia="仿宋_GB2312" w:cs="仿宋_GB2312"/>
          <w:sz w:val="28"/>
          <w:szCs w:val="28"/>
        </w:rPr>
        <w:t xml:space="preserve">6.1 本项目</w:t>
      </w:r>
      <w:r>
        <w:rPr>
          <w:rFonts w:hint="eastAsia" w:ascii="仿宋_GB2312" w:hAnsi="仿宋_GB2312" w:eastAsia="仿宋_GB2312" w:cs="仿宋_GB2312"/>
          <w:b/>
          <w:bCs/>
          <w:sz w:val="28"/>
          <w:szCs w:val="28"/>
          <w:u w:val="single"/>
          <w:lang w:eastAsia="zh-CN"/>
        </w:rPr>
        <w:t xml:space="preserve">未设置</w:t>
      </w:r>
      <w:r>
        <w:rPr>
          <w:rFonts w:hint="eastAsia" w:ascii="仿宋_GB2312" w:hAnsi="仿宋_GB2312" w:eastAsia="仿宋_GB2312" w:cs="仿宋_GB2312"/>
          <w:sz w:val="28"/>
          <w:szCs w:val="28"/>
        </w:rPr>
        <w:t xml:space="preserve">履约保证金</w:t>
      </w:r>
      <w:r>
        <w:rPr>
          <w:rFonts w:hint="eastAsia" w:ascii="仿宋_GB2312" w:hAnsi="仿宋_GB2312" w:eastAsia="仿宋_GB2312" w:cs="仿宋_GB2312"/>
          <w:b/>
          <w:bCs/>
          <w:sz w:val="28"/>
          <w:szCs w:val="28"/>
          <w:u w:val="none"/>
        </w:rPr>
        <w:t xml:space="preserve">。</w:t>
      </w:r>
      <w:r/>
    </w:p>
    <w:p>
      <w:pPr>
        <w:ind w:firstLine="562"/>
        <w:spacing w:line="500" w:lineRule="exact"/>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七、合同转包或分包</w:t>
      </w:r>
      <w:r/>
    </w:p>
    <w:p>
      <w:pPr>
        <w:ind w:firstLine="560"/>
        <w:spacing w:line="50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7.1乙方不得将合同标的转包给他人履行。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在合同有效期内，任何一方因不可抗力事件导致不能履行合同，则合同履行期可延长，其延长期与不可抗力影响期相同。</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1048"/>
        <w:ind w:firstLine="562"/>
        <w:spacing w:line="500" w:lineRule="exact"/>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1048"/>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48"/>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1048"/>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1048"/>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1048"/>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1048"/>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left="0" w:right="0" w:firstLine="560"/>
        <w:jc w:val="center"/>
        <w:keepNext/>
        <w:pageBreakBefore w:val="0"/>
        <w:spacing w:line="520" w:lineRule="exact"/>
        <w:rPr>
          <w:rFonts w:hint="eastAsia" w:ascii="黑体" w:hAnsi="黑体" w:eastAsia="黑体" w:cs="黑体"/>
          <w:b w:val="0"/>
          <w:bCs w:val="0"/>
          <w:sz w:val="36"/>
          <w:szCs w:val="36"/>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bookmarkEnd w:id="181"/>
      <w:r/>
      <w:bookmarkEnd w:id="182"/>
      <w:r/>
      <w:bookmarkEnd w:id="183"/>
      <w:r/>
      <w:bookmarkEnd w:id="184"/>
      <w:r/>
      <w:bookmarkStart w:id="187" w:name="_Toc49090575"/>
      <w:r/>
      <w:bookmarkStart w:id="188" w:name="_Toc26554093"/>
      <w:r/>
      <w:r/>
    </w:p>
    <w:p>
      <w:pPr>
        <w:pStyle w:val="1048"/>
        <w:jc w:val="center"/>
        <w:spacing w:before="120" w:after="120" w:line="520" w:lineRule="exact"/>
        <w:rPr>
          <w:rFonts w:ascii="黑体" w:hAnsi="黑体" w:eastAsia="黑体" w:cs="黑体"/>
          <w:sz w:val="36"/>
          <w:szCs w:val="36"/>
        </w:rPr>
      </w:pPr>
      <w:r>
        <w:rPr>
          <w:rFonts w:hint="eastAsia" w:ascii="黑体" w:hAnsi="黑体" w:eastAsia="黑体" w:cs="黑体"/>
          <w:bCs/>
          <w:sz w:val="36"/>
          <w:szCs w:val="36"/>
        </w:rPr>
        <w:t xml:space="preserve">第四章 采购需求</w:t>
      </w:r>
      <w:r/>
    </w:p>
    <w:p>
      <w:pPr>
        <w:rPr>
          <w:rFonts w:hint="eastAsia"/>
        </w:rPr>
      </w:pPr>
      <w:r>
        <w:rPr>
          <w:rFonts w:hint="eastAsia"/>
        </w:rPr>
      </w:r>
      <w:r/>
    </w:p>
    <w:p>
      <w:pPr>
        <w:rPr>
          <w:rFonts w:hint="eastAsia"/>
        </w:rPr>
      </w:pPr>
      <w:r>
        <w:rPr>
          <w:rFonts w:hint="eastAsia"/>
        </w:rPr>
      </w:r>
      <w: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①项目属性:服务类项目。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Style w:val="828"/>
        <w:tblW w:w="8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3612"/>
        <w:gridCol w:w="3794"/>
      </w:tblGrid>
      <w:tr>
        <w:trPr>
          <w:cantSplit/>
          <w:jc w:val="center"/>
          <w:trHeight w:val="835"/>
        </w:trPr>
        <w:tc>
          <w:tcPr>
            <w:tcW w:w="1393"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3612"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采购标的</w:t>
            </w:r>
            <w:r/>
          </w:p>
        </w:tc>
        <w:tc>
          <w:tcPr>
            <w:tcW w:w="3794"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对应中小企业划分标准所属行业</w:t>
            </w:r>
            <w:r/>
          </w:p>
        </w:tc>
      </w:tr>
      <w:tr>
        <w:trPr>
          <w:cantSplit/>
          <w:jc w:val="center"/>
          <w:trHeight w:val="899"/>
        </w:trPr>
        <w:tc>
          <w:tcPr>
            <w:tcW w:w="1393"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3612" w:type="dxa"/>
            <w:vAlign w:val="center"/>
            <w:textDirection w:val="lrTb"/>
            <w:noWrap w:val="false"/>
          </w:tcPr>
          <w:p>
            <w:pPr>
              <w:jc w:val="center"/>
              <w:spacing w:line="0" w:lineRule="atLeast"/>
              <w:tabs>
                <w:tab w:val="left" w:pos="2020" w:leader="none"/>
              </w:tabs>
              <w:rPr>
                <w:rFonts w:hint="default" w:ascii="仿宋_GB2312" w:hAnsi="仿宋_GB2312" w:eastAsia="仿宋_GB2312" w:cs="仿宋_GB2312"/>
                <w:sz w:val="28"/>
                <w:szCs w:val="28"/>
                <w:lang w:val="en-US"/>
              </w:rPr>
            </w:pPr>
            <w:r>
              <w:rPr>
                <w:rFonts w:hint="eastAsia" w:ascii="仿宋_GB2312" w:hAnsi="仿宋_GB2312" w:eastAsia="仿宋_GB2312" w:cs="仿宋_GB2312"/>
                <w:color w:val="auto"/>
                <w:sz w:val="28"/>
                <w:szCs w:val="28"/>
                <w:highlight w:val="none"/>
                <w:lang w:eastAsia="zh-CN"/>
              </w:rPr>
              <w:t xml:space="preserve">兴化市行政村电子政务外网服务</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包</w:t>
            </w:r>
            <w:r/>
          </w:p>
        </w:tc>
        <w:tc>
          <w:tcPr>
            <w:tcW w:w="3794"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信息传输业</w:t>
            </w:r>
            <w:r/>
          </w:p>
        </w:tc>
      </w:tr>
      <w:tr>
        <w:trPr>
          <w:cantSplit/>
          <w:jc w:val="center"/>
          <w:trHeight w:val="929"/>
        </w:trPr>
        <w:tc>
          <w:tcPr>
            <w:tcW w:w="1393"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w:t>
            </w:r>
            <w:r/>
          </w:p>
        </w:tc>
        <w:tc>
          <w:tcPr>
            <w:tcW w:w="3612"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兴化市行政村电子政务外网服务</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包</w:t>
            </w:r>
            <w:r/>
          </w:p>
        </w:tc>
        <w:tc>
          <w:tcPr>
            <w:tcW w:w="3794"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信息传输业</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Style w:val="828"/>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7372"/>
      </w:tblGrid>
      <w:tr>
        <w:trPr>
          <w:jc w:val="center"/>
          <w:trHeight w:val="623"/>
        </w:trPr>
        <w:tc>
          <w:tcPr>
            <w:tcW w:w="1487"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7372"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是否接受进口产品投标（是/否）</w:t>
            </w:r>
            <w:r/>
          </w:p>
        </w:tc>
      </w:tr>
      <w:tr>
        <w:trPr>
          <w:jc w:val="center"/>
          <w:trHeight w:val="686"/>
        </w:trPr>
        <w:tc>
          <w:tcPr>
            <w:tcW w:w="1487"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372"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r>
        <w:trPr>
          <w:jc w:val="center"/>
          <w:trHeight w:val="703"/>
        </w:trPr>
        <w:tc>
          <w:tcPr>
            <w:tcW w:w="1487" w:type="dxa"/>
            <w:vAlign w:val="center"/>
            <w:textDirection w:val="lrTb"/>
            <w:noWrap w:val="false"/>
          </w:tcPr>
          <w:p>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w:t>
            </w:r>
            <w:r/>
          </w:p>
        </w:tc>
        <w:tc>
          <w:tcPr>
            <w:tcW w:w="7372"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ind w:firstLine="482"/>
        <w:keepLines w:val="0"/>
        <w:keepNext w:val="0"/>
        <w:pageBreakBefore w:val="0"/>
        <w:spacing w:line="0" w:lineRule="atLeast"/>
        <w:rPr>
          <w:rFonts w:ascii="宋体"/>
          <w:b/>
          <w:color w:val="000000"/>
          <w:sz w:val="24"/>
          <w:szCs w:val="24"/>
        </w:rPr>
      </w:pPr>
      <w:r>
        <w:rPr>
          <w:rFonts w:ascii="宋体"/>
          <w:b/>
          <w:color w:val="000000"/>
          <w:sz w:val="24"/>
          <w:szCs w:val="24"/>
        </w:rPr>
      </w:r>
      <w:r/>
    </w:p>
    <w:p>
      <w:pPr>
        <w:numPr>
          <w:ilvl w:val="0"/>
          <w:numId w:val="0"/>
        </w:numPr>
        <w:ind w:firstLine="560"/>
        <w:keepLines w:val="0"/>
        <w:keepNext w:val="0"/>
        <w:pageBreakBefore w:val="0"/>
        <w:spacing w:line="500" w:lineRule="exact"/>
        <w:widowControl w:val="off"/>
        <w:rPr>
          <w:rFonts w:hint="eastAsia" w:ascii="黑体" w:hAnsi="黑体" w:eastAsia="黑体" w:cs="方正黑体_GBK"/>
          <w:bCs/>
          <w:color w:val="000000"/>
          <w:sz w:val="28"/>
          <w:szCs w:val="28"/>
        </w:rPr>
      </w:pPr>
      <w:r/>
      <w:bookmarkStart w:id="189" w:name="_Toc515706159"/>
      <w:r>
        <w:rPr>
          <w:rFonts w:hint="eastAsia" w:ascii="黑体" w:hAnsi="黑体" w:eastAsia="黑体" w:cs="方正黑体_GBK"/>
          <w:bCs/>
          <w:color w:val="000000"/>
          <w:sz w:val="28"/>
          <w:szCs w:val="28"/>
        </w:rPr>
        <w:t xml:space="preserve">项目概况</w:t>
      </w:r>
      <w:bookmarkEnd w:id="189"/>
      <w:r/>
      <w:r/>
    </w:p>
    <w:p>
      <w:pPr>
        <w:pStyle w:val="1118"/>
        <w:ind w:firstLine="560"/>
        <w:keepLines w:val="0"/>
        <w:keepNext w:val="0"/>
        <w:pageBreakBefore w:val="0"/>
        <w:spacing w:before="0" w:beforeAutospacing="0" w:after="0" w:afterAutospacing="0" w:line="500" w:lineRule="exact"/>
        <w:widowControl/>
        <w:rPr>
          <w:rFonts w:hint="eastAsia" w:ascii="黑体" w:hAnsi="黑体" w:eastAsia="黑体" w:cs="仿宋"/>
          <w:i w:val="0"/>
          <w:iCs w:val="0"/>
          <w:color w:val="auto"/>
          <w:sz w:val="28"/>
          <w:szCs w:val="28"/>
          <w:highlight w:val="none"/>
          <w:u w:val="none"/>
          <w:lang w:val="en-US" w:eastAsia="zh-CN" w:bidi="ar-SA"/>
        </w:rPr>
      </w:pPr>
      <w:r>
        <w:rPr>
          <w:rFonts w:hint="eastAsia" w:ascii="仿宋_GB2312" w:hAnsi="仿宋_GB2312" w:eastAsia="仿宋_GB2312" w:cs="仿宋_GB2312"/>
          <w:i w:val="0"/>
          <w:iCs w:val="0"/>
          <w:color w:val="000000"/>
          <w:sz w:val="28"/>
          <w:szCs w:val="28"/>
          <w:lang w:val="en-US" w:eastAsia="zh-CN" w:bidi="ar-SA"/>
        </w:rPr>
        <w:t xml:space="preserve">1.</w:t>
      </w:r>
      <w:r>
        <w:rPr>
          <w:rFonts w:hint="eastAsia" w:ascii="黑体" w:hAnsi="黑体" w:eastAsia="黑体" w:cs="仿宋"/>
          <w:i w:val="0"/>
          <w:iCs w:val="0"/>
          <w:color w:val="auto"/>
          <w:sz w:val="28"/>
          <w:szCs w:val="28"/>
          <w:highlight w:val="none"/>
          <w:u w:val="none"/>
          <w:lang w:val="en-US" w:eastAsia="zh-CN" w:bidi="ar-SA"/>
        </w:rPr>
        <w:t xml:space="preserve">本项目总预算为：人民币 壹佰肆拾柒万壹仟贰佰元/每年（¥：1471200.00元/年），其中：</w:t>
      </w:r>
      <w:r/>
    </w:p>
    <w:p>
      <w:pPr>
        <w:pStyle w:val="1118"/>
        <w:ind w:firstLine="560"/>
        <w:keepLines w:val="0"/>
        <w:keepNext w:val="0"/>
        <w:pageBreakBefore w:val="0"/>
        <w:spacing w:before="0" w:beforeAutospacing="0" w:after="0" w:afterAutospacing="0" w:line="500" w:lineRule="exact"/>
        <w:widowControl/>
        <w:rPr>
          <w:rFonts w:hint="eastAsia" w:ascii="黑体" w:hAnsi="黑体" w:eastAsia="黑体" w:cs="仿宋"/>
          <w:i w:val="0"/>
          <w:iCs w:val="0"/>
          <w:color w:val="auto"/>
          <w:sz w:val="28"/>
          <w:szCs w:val="28"/>
          <w:highlight w:val="none"/>
          <w:u w:val="none"/>
          <w:lang w:val="en-US" w:eastAsia="zh-CN" w:bidi="ar-SA"/>
        </w:rPr>
      </w:pPr>
      <w:r>
        <w:rPr>
          <w:rFonts w:hint="eastAsia" w:ascii="黑体" w:hAnsi="黑体" w:eastAsia="黑体" w:cs="仿宋"/>
          <w:i w:val="0"/>
          <w:iCs w:val="0"/>
          <w:color w:val="auto"/>
          <w:sz w:val="28"/>
          <w:szCs w:val="28"/>
          <w:highlight w:val="none"/>
          <w:u w:val="none"/>
          <w:lang w:val="en-US" w:eastAsia="zh-CN" w:bidi="ar-SA"/>
        </w:rPr>
        <w:t xml:space="preserve">第1包预算为：柒拾伍万陆仟贰佰元/每年（¥：756200.00元/年），</w:t>
      </w:r>
      <w:r/>
    </w:p>
    <w:p>
      <w:pPr>
        <w:pStyle w:val="1118"/>
        <w:ind w:firstLine="560"/>
        <w:keepLines w:val="0"/>
        <w:keepNext w:val="0"/>
        <w:pageBreakBefore w:val="0"/>
        <w:spacing w:before="0" w:beforeAutospacing="0" w:after="0" w:afterAutospacing="0" w:line="500" w:lineRule="exact"/>
        <w:widowControl/>
        <w:rPr>
          <w:rFonts w:hint="eastAsia" w:ascii="黑体" w:hAnsi="黑体" w:eastAsia="黑体" w:cs="仿宋"/>
          <w:i w:val="0"/>
          <w:iCs w:val="0"/>
          <w:color w:val="auto"/>
          <w:sz w:val="28"/>
          <w:szCs w:val="28"/>
          <w:highlight w:val="none"/>
          <w:u w:val="none"/>
          <w:lang w:val="en-US" w:eastAsia="zh-CN" w:bidi="ar-SA"/>
        </w:rPr>
      </w:pPr>
      <w:r>
        <w:rPr>
          <w:rFonts w:hint="eastAsia" w:ascii="黑体" w:hAnsi="黑体" w:eastAsia="黑体" w:cs="仿宋"/>
          <w:i w:val="0"/>
          <w:iCs w:val="0"/>
          <w:color w:val="auto"/>
          <w:sz w:val="28"/>
          <w:szCs w:val="28"/>
          <w:highlight w:val="none"/>
          <w:u w:val="none"/>
          <w:lang w:val="en-US" w:eastAsia="zh-CN" w:bidi="ar-SA"/>
        </w:rPr>
        <w:t xml:space="preserve">第2包预算为：柒拾壹万伍仟元/每年（¥：715000.00元/年）。</w:t>
      </w:r>
      <w:r/>
    </w:p>
    <w:p>
      <w:pPr>
        <w:pStyle w:val="1118"/>
        <w:ind w:firstLine="560"/>
        <w:keepLines w:val="0"/>
        <w:keepNext w:val="0"/>
        <w:pageBreakBefore w:val="0"/>
        <w:spacing w:before="0" w:beforeAutospacing="0" w:after="0" w:afterAutospacing="0" w:line="500" w:lineRule="exact"/>
        <w:widowControl/>
        <w:rPr>
          <w:rFonts w:hint="eastAsia" w:ascii="黑体" w:hAnsi="黑体" w:eastAsia="黑体" w:cs="仿宋"/>
          <w:i/>
          <w:sz w:val="28"/>
          <w:szCs w:val="28"/>
          <w:highlight w:val="none"/>
          <w:u w:val="single"/>
          <w:lang w:val="en-US" w:eastAsia="zh-CN" w:bidi="ar-SA"/>
        </w:rPr>
      </w:pPr>
      <w:r>
        <w:rPr>
          <w:rFonts w:hint="eastAsia" w:ascii="黑体" w:hAnsi="黑体" w:eastAsia="黑体" w:cs="仿宋"/>
          <w:i/>
          <w:color w:val="auto"/>
          <w:sz w:val="28"/>
          <w:szCs w:val="28"/>
          <w:highlight w:val="none"/>
          <w:u w:val="single"/>
          <w:lang w:val="en-US" w:eastAsia="zh-CN" w:bidi="ar-SA"/>
        </w:rPr>
        <w:t xml:space="preserve">最后响应报价高于采购预算价的，将被判定为无效投标文件。  </w:t>
      </w:r>
      <w:r/>
    </w:p>
    <w:p>
      <w:pPr>
        <w:pStyle w:val="1136"/>
        <w:ind w:left="0" w:right="0" w:firstLine="560"/>
        <w:keepLines w:val="0"/>
        <w:keepNext w:val="0"/>
        <w:pageBreakBefore w:val="0"/>
        <w:spacing w:before="0" w:beforeAutospacing="0" w:after="0" w:afterAutospacing="0" w:line="500" w:lineRule="exact"/>
        <w:shd w:val="clear" w:color="auto" w:fill="auto"/>
        <w:widowControl/>
        <w:rPr>
          <w:rFonts w:hint="eastAsia" w:ascii="仿宋_GB2312" w:hAnsi="仿宋_GB2312" w:eastAsia="仿宋_GB2312" w:cs="仿宋_GB2312"/>
          <w:color w:val="auto"/>
          <w:sz w:val="28"/>
          <w:szCs w:val="28"/>
          <w:highlight w:val="none"/>
        </w:rPr>
        <w:suppressLineNumbers w:val="0"/>
      </w:pP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简介</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为兴化市所有行政村提供新一代电子政务外网服务，全部采用50M线路接入。本</w:t>
      </w:r>
      <w:r>
        <w:rPr>
          <w:rFonts w:hint="eastAsia" w:ascii="仿宋_GB2312" w:hAnsi="仿宋_GB2312" w:eastAsia="仿宋_GB2312" w:cs="仿宋_GB2312"/>
          <w:color w:val="auto"/>
          <w:sz w:val="28"/>
          <w:szCs w:val="28"/>
          <w:highlight w:val="none"/>
        </w:rPr>
        <w:t xml:space="preserve">项目分为两个包，</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包包含城</w:t>
      </w:r>
      <w:r>
        <w:rPr>
          <w:rFonts w:hint="eastAsia" w:ascii="仿宋_GB2312" w:hAnsi="仿宋_GB2312" w:eastAsia="仿宋_GB2312" w:cs="仿宋_GB2312"/>
          <w:color w:val="auto"/>
          <w:sz w:val="28"/>
          <w:szCs w:val="28"/>
          <w:highlight w:val="none"/>
          <w:lang w:eastAsia="zh-CN"/>
        </w:rPr>
        <w:t xml:space="preserve">市</w:t>
      </w:r>
      <w:r>
        <w:rPr>
          <w:rFonts w:hint="eastAsia" w:ascii="仿宋_GB2312" w:hAnsi="仿宋_GB2312" w:eastAsia="仿宋_GB2312" w:cs="仿宋_GB2312"/>
          <w:color w:val="auto"/>
          <w:sz w:val="28"/>
          <w:szCs w:val="28"/>
          <w:highlight w:val="none"/>
        </w:rPr>
        <w:t xml:space="preserve">和东北、西北片14个乡镇(街道)238个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包包含东南、西南片12个乡镇225个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rPr>
        <w:t xml:space="preserve">。</w:t>
      </w:r>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clear="all"/>
      </w:r>
      <w:r/>
    </w:p>
    <w:p>
      <w:pPr>
        <w:pStyle w:val="1136"/>
        <w:ind w:left="0" w:right="0" w:firstLine="560"/>
        <w:keepLines w:val="0"/>
        <w:keepNext w:val="0"/>
        <w:pageBreakBefore w:val="0"/>
        <w:spacing w:before="0" w:beforeAutospacing="0" w:after="0" w:afterAutospacing="0" w:line="500" w:lineRule="exact"/>
        <w:shd w:val="clear" w:color="auto" w:fill="auto"/>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r>
      <w:r/>
    </w:p>
    <w:tbl>
      <w:tblPr>
        <w:tblStyle w:val="828"/>
        <w:tblW w:w="487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4"/>
        <w:gridCol w:w="2064"/>
        <w:gridCol w:w="1455"/>
        <w:gridCol w:w="1332"/>
        <w:gridCol w:w="1479"/>
        <w:gridCol w:w="1504"/>
      </w:tblGrid>
      <w:tr>
        <w:trPr>
          <w:jc w:val="center"/>
          <w:trHeight w:val="588"/>
        </w:trPr>
        <w:tc>
          <w:tcPr>
            <w:gridSpan w:val="3"/>
            <w:shd w:val="clear" w:color="auto" w:fill="auto"/>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黑体" w:hAnsi="黑体" w:eastAsia="黑体" w:cs="黑体"/>
                <w:b/>
                <w:bCs/>
                <w:i w:val="0"/>
                <w:iCs w:val="0"/>
                <w:color w:val="auto"/>
                <w:sz w:val="24"/>
                <w:szCs w:val="24"/>
                <w:highlight w:val="none"/>
                <w:u w:val="none"/>
                <w:lang w:val="en-US" w:eastAsia="zh-CN" w:bidi="ar"/>
              </w:rPr>
              <w:suppressLineNumbers w:val="0"/>
            </w:pPr>
            <w:r>
              <w:rPr>
                <w:rFonts w:hint="eastAsia" w:ascii="黑体" w:hAnsi="黑体" w:eastAsia="黑体" w:cs="黑体"/>
                <w:b/>
                <w:bCs/>
                <w:color w:val="auto"/>
                <w:sz w:val="24"/>
                <w:szCs w:val="24"/>
                <w:highlight w:val="none"/>
                <w:lang w:eastAsia="zh-CN"/>
              </w:rPr>
              <w:t xml:space="preserve">第</w:t>
            </w:r>
            <w:r>
              <w:rPr>
                <w:rFonts w:hint="eastAsia" w:ascii="黑体" w:hAnsi="黑体" w:eastAsia="黑体" w:cs="黑体"/>
                <w:b/>
                <w:bCs/>
                <w:color w:val="auto"/>
                <w:sz w:val="24"/>
                <w:szCs w:val="24"/>
                <w:highlight w:val="none"/>
                <w:lang w:val="en-US" w:eastAsia="zh-CN"/>
              </w:rPr>
              <w:t xml:space="preserve">1</w:t>
            </w:r>
            <w:r>
              <w:rPr>
                <w:rFonts w:hint="eastAsia" w:ascii="黑体" w:hAnsi="黑体" w:eastAsia="黑体" w:cs="黑体"/>
                <w:b/>
                <w:bCs/>
                <w:color w:val="auto"/>
                <w:sz w:val="24"/>
                <w:szCs w:val="24"/>
                <w:highlight w:val="none"/>
              </w:rPr>
              <w:t xml:space="preserve">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81" w:type="pct"/>
            <w:vAlign w:val="center"/>
            <w:textDirection w:val="lrTb"/>
            <w:noWrap/>
          </w:tcPr>
          <w:p>
            <w:pPr>
              <w:jc w:val="center"/>
              <w:keepLines w:val="0"/>
              <w:keepNext w:val="0"/>
              <w:widowControl/>
              <w:rPr>
                <w:rFonts w:hint="eastAsia" w:ascii="黑体" w:hAnsi="黑体" w:eastAsia="黑体" w:cs="黑体"/>
                <w:b/>
                <w:bCs/>
                <w:i w:val="0"/>
                <w:iCs w:val="0"/>
                <w:color w:val="auto"/>
                <w:sz w:val="24"/>
                <w:szCs w:val="24"/>
                <w:highlight w:val="none"/>
                <w:u w:val="none"/>
                <w:lang w:val="en-US" w:eastAsia="zh-CN" w:bidi="ar"/>
              </w:rPr>
              <w:suppressLineNumbers w:val="0"/>
            </w:pPr>
            <w:r>
              <w:rPr>
                <w:rFonts w:hint="eastAsia" w:ascii="黑体" w:hAnsi="黑体" w:eastAsia="黑体" w:cs="黑体"/>
                <w:b/>
                <w:bCs/>
                <w:color w:val="auto"/>
                <w:sz w:val="24"/>
                <w:szCs w:val="24"/>
                <w:highlight w:val="none"/>
                <w:lang w:eastAsia="zh-CN"/>
              </w:rPr>
              <w:t xml:space="preserve">第</w:t>
            </w:r>
            <w:r>
              <w:rPr>
                <w:rFonts w:hint="eastAsia" w:ascii="黑体" w:hAnsi="黑体" w:eastAsia="黑体" w:cs="黑体"/>
                <w:b/>
                <w:bCs/>
                <w:color w:val="auto"/>
                <w:sz w:val="24"/>
                <w:szCs w:val="24"/>
                <w:highlight w:val="none"/>
                <w:lang w:val="en-US" w:eastAsia="zh-CN"/>
              </w:rPr>
              <w:t xml:space="preserve">2</w:t>
            </w:r>
            <w:r>
              <w:rPr>
                <w:rFonts w:hint="eastAsia" w:ascii="黑体" w:hAnsi="黑体" w:eastAsia="黑体" w:cs="黑体"/>
                <w:b/>
                <w:bCs/>
                <w:color w:val="auto"/>
                <w:sz w:val="24"/>
                <w:szCs w:val="24"/>
                <w:highlight w:val="none"/>
              </w:rPr>
              <w:t xml:space="preserve">包</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片市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乡镇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片市</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乡镇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行政村</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城市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临城街道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戴南镇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58</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城市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昭阳街道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大垛镇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城市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垛田街道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荻垛镇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15</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海南镇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戴窑镇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25</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大邹镇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合陈镇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20</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永丰镇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昌荣镇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安丰镇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陶庄镇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14</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新垛镇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陈堡镇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15</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钓鱼镇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周庄镇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大营镇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竹泓镇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13</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沙沟镇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林湖乡</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9</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千垛镇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沈伦镇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中堡镇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r>
      <w:tr>
        <w:trPr>
          <w:jc w:val="center"/>
          <w:trHeight w:val="665"/>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兴东镇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r>
    </w:tbl>
    <w:p>
      <w:pPr>
        <w:ind w:left="0" w:right="0" w:firstLine="562"/>
        <w:pageBreakBefore w:val="0"/>
        <w:spacing w:line="520"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lang w:val="en-US" w:eastAsia="zh-CN" w:bidi="ar-SA"/>
        </w:rPr>
        <w:t xml:space="preserve">3.</w:t>
      </w:r>
      <w:r>
        <w:rPr>
          <w:rFonts w:hint="eastAsia" w:ascii="仿宋_GB2312" w:hAnsi="仿宋_GB2312" w:eastAsia="仿宋_GB2312" w:cs="仿宋_GB2312"/>
          <w:b/>
          <w:bCs/>
          <w:color w:val="000000"/>
          <w:sz w:val="28"/>
          <w:szCs w:val="28"/>
        </w:rPr>
        <w:t xml:space="preserve">本项目按分包</w:t>
      </w:r>
      <w:r>
        <w:rPr>
          <w:rFonts w:hint="eastAsia" w:ascii="仿宋_GB2312" w:hAnsi="仿宋_GB2312" w:eastAsia="仿宋_GB2312" w:cs="仿宋_GB2312"/>
          <w:b/>
          <w:bCs/>
          <w:color w:val="000000"/>
          <w:sz w:val="28"/>
          <w:szCs w:val="28"/>
          <w:lang w:val="en-US" w:eastAsia="zh-CN"/>
        </w:rPr>
        <w:t xml:space="preserve">1至分包2的</w:t>
      </w:r>
      <w:r>
        <w:rPr>
          <w:rFonts w:hint="eastAsia" w:ascii="仿宋_GB2312" w:hAnsi="仿宋_GB2312" w:eastAsia="仿宋_GB2312" w:cs="仿宋_GB2312"/>
          <w:b/>
          <w:bCs/>
          <w:color w:val="000000"/>
          <w:sz w:val="28"/>
          <w:szCs w:val="28"/>
        </w:rPr>
        <w:t xml:space="preserve">顺序开评标，供应商可参与所有分包的投标，</w:t>
      </w:r>
      <w:r>
        <w:rPr>
          <w:rFonts w:hint="eastAsia" w:ascii="仿宋_GB2312" w:hAnsi="仿宋_GB2312" w:eastAsia="仿宋_GB2312" w:cs="仿宋_GB2312"/>
          <w:b/>
          <w:bCs/>
          <w:color w:val="auto"/>
          <w:sz w:val="28"/>
          <w:szCs w:val="28"/>
          <w:highlight w:val="none"/>
        </w:rPr>
        <w:t xml:space="preserve">可兼投不可兼中</w:t>
      </w:r>
      <w:r>
        <w:rPr>
          <w:rFonts w:hint="eastAsia" w:ascii="仿宋_GB2312" w:hAnsi="仿宋_GB2312" w:eastAsia="仿宋_GB2312" w:cs="仿宋_GB2312"/>
          <w:b/>
          <w:bCs/>
          <w:color w:val="auto"/>
          <w:sz w:val="28"/>
          <w:szCs w:val="28"/>
          <w:highlight w:val="none"/>
          <w:lang w:val="en-US" w:eastAsia="zh-CN"/>
        </w:rPr>
        <w:t xml:space="preserve">,即供应商在第1包被推荐为中选候选人的，在第2包不得推荐为中选候选人</w:t>
      </w:r>
      <w:r>
        <w:rPr>
          <w:rFonts w:hint="eastAsia" w:ascii="仿宋_GB2312" w:hAnsi="仿宋_GB2312" w:eastAsia="仿宋_GB2312" w:cs="仿宋_GB2312"/>
          <w:b/>
          <w:bCs/>
          <w:color w:val="auto"/>
          <w:sz w:val="28"/>
          <w:szCs w:val="28"/>
          <w:highlight w:val="none"/>
        </w:rPr>
        <w:t xml:space="preserve">。</w:t>
      </w:r>
      <w:r/>
    </w:p>
    <w:p>
      <w:pPr>
        <w:ind w:firstLine="560"/>
        <w:spacing w:line="480" w:lineRule="exact"/>
        <w:rPr>
          <w:rFonts w:hint="eastAsia" w:ascii="Times New Roman" w:hAnsi="Times New Roman" w:eastAsia="黑体" w:cs="Times New Roman"/>
          <w:color w:val="auto"/>
          <w:sz w:val="28"/>
          <w:szCs w:val="24"/>
          <w:highlight w:val="none"/>
          <w:lang w:eastAsia="zh-CN"/>
        </w:rPr>
        <w:outlineLvl w:val="1"/>
      </w:pPr>
      <w:r>
        <w:rPr>
          <w:rFonts w:hint="eastAsia" w:ascii="Times New Roman" w:hAnsi="Times New Roman" w:eastAsia="黑体" w:cs="Times New Roman"/>
          <w:color w:val="auto"/>
          <w:sz w:val="28"/>
          <w:szCs w:val="24"/>
          <w:highlight w:val="none"/>
          <w:lang w:eastAsia="zh-CN"/>
        </w:rPr>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一、项目背景</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电子政务外网是全</w:t>
      </w:r>
      <w:r>
        <w:rPr>
          <w:rFonts w:hint="eastAsia" w:ascii="仿宋_GB2312" w:hAnsi="仿宋_GB2312" w:eastAsia="仿宋_GB2312" w:cs="仿宋_GB2312"/>
          <w:color w:val="auto"/>
          <w:sz w:val="28"/>
          <w:szCs w:val="28"/>
          <w:highlight w:val="none"/>
          <w:lang w:val="en-US" w:eastAsia="zh-CN"/>
        </w:rPr>
        <w:t xml:space="preserve">市</w:t>
      </w:r>
      <w:r>
        <w:rPr>
          <w:rFonts w:hint="eastAsia" w:ascii="仿宋_GB2312" w:hAnsi="仿宋_GB2312" w:eastAsia="仿宋_GB2312" w:cs="仿宋_GB2312"/>
          <w:color w:val="auto"/>
          <w:sz w:val="28"/>
          <w:szCs w:val="28"/>
          <w:highlight w:val="none"/>
        </w:rPr>
        <w:t xml:space="preserve">电子政务传输骨干网，主要运行政务部门面向社会的专业性服务业务和不需在涉密内网运行的业务，满足各级政务部门社会管理和公共服务需要，是各级政府开展业务的重要支撑平台。</w:t>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rPr>
        <w:t xml:space="preserve">根据《省政府办公厅关于加快推进全省电子政务外网建设的意见》（苏政办发〔2016〕147号）《省政府办公厅关于启用省电子政务外网的通知》（苏政传发〔2017〕150号）《江苏省电子政务外网管理办法（试行）》（苏政办发〔2023〕32号）</w:t>
      </w:r>
      <w:r>
        <w:rPr>
          <w:rFonts w:hint="eastAsia" w:ascii="仿宋_GB2312" w:hAnsi="仿宋_GB2312" w:eastAsia="仿宋_GB2312" w:cs="仿宋_GB2312"/>
          <w:color w:val="auto"/>
          <w:sz w:val="28"/>
          <w:szCs w:val="28"/>
          <w:highlight w:val="none"/>
          <w:lang w:val="en-US" w:eastAsia="zh-CN"/>
        </w:rPr>
        <w:t xml:space="preserve">《关于加强全省新“一张网”高质量建设管理有关工作的通知》（苏数发〔2025〕42号）《江苏省新一代电子政务外网建设指南》等文件</w:t>
      </w:r>
      <w:r>
        <w:rPr>
          <w:rFonts w:hint="eastAsia" w:ascii="仿宋_GB2312" w:hAnsi="仿宋_GB2312" w:eastAsia="仿宋_GB2312" w:cs="仿宋_GB2312"/>
          <w:color w:val="auto"/>
          <w:sz w:val="28"/>
          <w:szCs w:val="28"/>
          <w:highlight w:val="none"/>
        </w:rPr>
        <w:t xml:space="preserve">要求，通过租用光纤链路，建成横向连接全</w:t>
      </w:r>
      <w:r>
        <w:rPr>
          <w:rFonts w:hint="eastAsia" w:ascii="仿宋_GB2312" w:hAnsi="仿宋_GB2312" w:eastAsia="仿宋_GB2312" w:cs="仿宋_GB2312"/>
          <w:color w:val="auto"/>
          <w:sz w:val="28"/>
          <w:szCs w:val="28"/>
          <w:highlight w:val="none"/>
          <w:lang w:val="en-US" w:eastAsia="zh-CN"/>
        </w:rPr>
        <w:t xml:space="preserve">市</w:t>
      </w:r>
      <w:r>
        <w:rPr>
          <w:rFonts w:hint="eastAsia" w:ascii="仿宋_GB2312" w:hAnsi="仿宋_GB2312" w:eastAsia="仿宋_GB2312" w:cs="仿宋_GB2312"/>
          <w:color w:val="auto"/>
          <w:sz w:val="28"/>
          <w:szCs w:val="28"/>
          <w:highlight w:val="none"/>
        </w:rPr>
        <w:t xml:space="preserve">各级党政机关、群团组织、事业单位等，纵向实现国家、省、市、</w:t>
      </w:r>
      <w:r>
        <w:rPr>
          <w:rFonts w:hint="eastAsia" w:ascii="仿宋_GB2312" w:hAnsi="仿宋_GB2312" w:eastAsia="仿宋_GB2312" w:cs="仿宋_GB2312"/>
          <w:color w:val="auto"/>
          <w:sz w:val="28"/>
          <w:szCs w:val="28"/>
          <w:highlight w:val="none"/>
          <w:lang w:eastAsia="zh-CN"/>
        </w:rPr>
        <w:t xml:space="preserve">市</w:t>
      </w:r>
      <w:r>
        <w:rPr>
          <w:rFonts w:hint="eastAsia" w:ascii="仿宋_GB2312" w:hAnsi="仿宋_GB2312" w:eastAsia="仿宋_GB2312" w:cs="仿宋_GB2312"/>
          <w:color w:val="auto"/>
          <w:sz w:val="28"/>
          <w:szCs w:val="28"/>
          <w:highlight w:val="none"/>
        </w:rPr>
        <w:t xml:space="preserve">、镇、村六级互联互通的全</w:t>
      </w:r>
      <w:r>
        <w:rPr>
          <w:rFonts w:hint="eastAsia" w:ascii="仿宋_GB2312" w:hAnsi="仿宋_GB2312" w:eastAsia="仿宋_GB2312" w:cs="仿宋_GB2312"/>
          <w:color w:val="auto"/>
          <w:sz w:val="28"/>
          <w:szCs w:val="28"/>
          <w:highlight w:val="none"/>
          <w:lang w:val="en-US" w:eastAsia="zh-CN"/>
        </w:rPr>
        <w:t xml:space="preserve">市</w:t>
      </w:r>
      <w:r>
        <w:rPr>
          <w:rFonts w:hint="eastAsia" w:ascii="仿宋_GB2312" w:hAnsi="仿宋_GB2312" w:eastAsia="仿宋_GB2312" w:cs="仿宋_GB2312"/>
          <w:color w:val="auto"/>
          <w:sz w:val="28"/>
          <w:szCs w:val="28"/>
          <w:highlight w:val="none"/>
        </w:rPr>
        <w:t xml:space="preserve">统一电子政务外网网络体系，</w:t>
      </w:r>
      <w:r>
        <w:rPr>
          <w:rFonts w:hint="eastAsia" w:ascii="仿宋_GB2312" w:hAnsi="仿宋_GB2312" w:eastAsia="仿宋_GB2312" w:cs="仿宋_GB2312"/>
          <w:color w:val="auto"/>
          <w:sz w:val="28"/>
          <w:szCs w:val="28"/>
          <w:highlight w:val="none"/>
          <w:lang w:val="en-US" w:eastAsia="zh-CN"/>
        </w:rPr>
        <w:t xml:space="preserve">并同步配套网络核心路由器、汇聚交换机等网络设备及运维保障服务。</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二、建设目标</w:t>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eastAsia="zh-CN"/>
        </w:rPr>
        <w:suppressLineNumbers w:val="0"/>
      </w:pPr>
      <w:r>
        <w:rPr>
          <w:rFonts w:hint="eastAsia" w:ascii="仿宋_GB2312" w:hAnsi="仿宋_GB2312" w:eastAsia="仿宋_GB2312" w:cs="仿宋_GB2312"/>
          <w:color w:val="auto"/>
          <w:sz w:val="28"/>
          <w:szCs w:val="28"/>
          <w:highlight w:val="none"/>
          <w:lang w:val="en-US" w:eastAsia="zh-CN"/>
        </w:rPr>
        <w:t xml:space="preserve">对标省级电子政务外网建设规范、技术参数与安全准则，实现租赁网络等同自建水平，适配政务业务长效运行。统筹整合链路、设备、平台、人力等各类资源，融合SDN、零信任等前沿技术，搭建统一管控、全域承载、智能防护的一体化政务网络架构，着力打造高速畅通、智能高效、安全可控的电子政务网络体系，全面提升网络承载、业务支撑、安全防护、运维管理综合能力，夯实数字政府基础设施根基，为全市数字化政务建设筑牢坚实网络底座。</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三、建设原则</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按照国</w:t>
      </w:r>
      <w:r>
        <w:rPr>
          <w:rFonts w:hint="eastAsia" w:ascii="仿宋_GB2312" w:hAnsi="仿宋_GB2312" w:eastAsia="仿宋_GB2312" w:cs="仿宋_GB2312"/>
          <w:color w:val="auto"/>
          <w:sz w:val="28"/>
          <w:szCs w:val="28"/>
          <w:highlight w:val="none"/>
        </w:rPr>
        <w:t xml:space="preserve">家、省、市电子政务外网建设相关技术规范，在本次电子政务外网链路组网时遵循以下基本原则：</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1.网络设计标准化</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本项目网络改造组网设计所采用的组网技术和设备应符合国标标准和行业标准，为网络系统的扩展升级改造提供基础。</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2.组网技术的先进性和成熟性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本项目网络建设应适应自身的发展特点及网络通信技术的更新换代，在网络结构设计、网络配置、网络管理方式等方面具有一定的先进性和前瞻性，同时又是成熟、实用的技术，尽量避免技术风险。</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3.高度的网络安全性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提供完备的安全防护策略，能防止对网络资源的非法访问，保护网络使用者的合法权益。</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4.高度的网络可靠性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组网设计应能有效避免单点故障，在设备的选择和关键设备互连时，应提供充分的冗余备份，一方面最大限度地减少故障的可能性，另一方面要保证网络能在最短时间内修复。</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5.良好的扩展能力</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能够根据未来业务的增长和变化，平滑扩充和升级现有的网络覆盖范围，扩大网络容量和提高网络的各层次节点的功能，最大程度地减少对网络架构和现有设备的调整。</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6.良好的管理能力</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在组网设计中，需建立有效的网络管理解决方案。通过先进的管理策略、管理工具提高网络的运维效率，简化网络的维护工作。</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7.经济性和实用性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建设原则以实际需求为出发点，以满足网络应用需求和适应一定时间内的发展规划为原则。</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outlineLvl w:val="2"/>
      </w:pPr>
      <w:r>
        <w:rPr>
          <w:rFonts w:hint="eastAsia" w:ascii="仿宋_GB2312" w:hAnsi="仿宋_GB2312" w:eastAsia="仿宋_GB2312" w:cs="仿宋_GB2312"/>
          <w:b/>
          <w:bCs/>
          <w:color w:val="auto"/>
          <w:sz w:val="28"/>
          <w:szCs w:val="28"/>
          <w:highlight w:val="none"/>
          <w:lang w:val="en-US" w:eastAsia="zh-CN"/>
        </w:rPr>
        <w:t xml:space="preserve">8.业务过渡平滑性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为保障采购人业务的连续性，</w:t>
      </w:r>
      <w:r>
        <w:rPr>
          <w:rFonts w:hint="eastAsia" w:ascii="仿宋_GB2312" w:hAnsi="仿宋_GB2312" w:eastAsia="仿宋_GB2312" w:cs="仿宋_GB2312"/>
          <w:color w:val="auto"/>
          <w:sz w:val="28"/>
          <w:szCs w:val="28"/>
          <w:highlight w:val="none"/>
          <w:lang w:eastAsia="zh-CN"/>
        </w:rPr>
        <w:t xml:space="preserve">供应商</w:t>
      </w:r>
      <w:r>
        <w:rPr>
          <w:rFonts w:hint="eastAsia" w:ascii="仿宋_GB2312" w:hAnsi="仿宋_GB2312" w:eastAsia="仿宋_GB2312" w:cs="仿宋_GB2312"/>
          <w:color w:val="auto"/>
          <w:sz w:val="28"/>
          <w:szCs w:val="28"/>
          <w:highlight w:val="none"/>
        </w:rPr>
        <w:t xml:space="preserve">应在充分调研客户业务架构和运行情况的基础上，就电子政务外网制定符合项目需求的组网方案，尽可能降低实施过程对现有网络运行的影响。</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四、技术要求</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1.技术</w:t>
      </w:r>
      <w:r>
        <w:rPr>
          <w:rFonts w:hint="eastAsia" w:ascii="仿宋_GB2312" w:hAnsi="仿宋_GB2312" w:eastAsia="仿宋_GB2312" w:cs="仿宋_GB2312"/>
          <w:color w:val="auto"/>
          <w:sz w:val="28"/>
          <w:szCs w:val="28"/>
          <w:highlight w:val="none"/>
        </w:rPr>
        <w:t xml:space="preserve">参数要求</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专线电路组网</w:t>
      </w:r>
      <w:r/>
    </w:p>
    <w:tbl>
      <w:tblPr>
        <w:tblStyle w:val="8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7871"/>
      </w:tblGrid>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序号</w:t>
            </w:r>
            <w:r/>
          </w:p>
        </w:tc>
        <w:tc>
          <w:tcPr>
            <w:tcW w:w="7871"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技术要求</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p>
        </w:tc>
        <w:tc>
          <w:tcPr>
            <w:tcW w:w="7871" w:type="dxa"/>
            <w:vAlign w:val="center"/>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行政村新一代电子政务外网接入所需的传输、</w:t>
            </w:r>
            <w:r>
              <w:rPr>
                <w:rFonts w:hint="eastAsia" w:ascii="仿宋_GB2312" w:hAnsi="仿宋_GB2312" w:eastAsia="仿宋_GB2312" w:cs="仿宋_GB2312"/>
                <w:color w:val="auto"/>
                <w:sz w:val="24"/>
                <w:szCs w:val="24"/>
                <w:highlight w:val="none"/>
              </w:rPr>
              <w:t xml:space="preserve">交换</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安全</w:t>
            </w:r>
            <w:r>
              <w:rPr>
                <w:rFonts w:hint="eastAsia" w:ascii="仿宋_GB2312" w:hAnsi="仿宋_GB2312" w:eastAsia="仿宋_GB2312" w:cs="仿宋_GB2312"/>
                <w:color w:val="auto"/>
                <w:sz w:val="24"/>
                <w:szCs w:val="24"/>
                <w:highlight w:val="none"/>
              </w:rPr>
              <w:t xml:space="preserve">设备</w:t>
            </w:r>
            <w:r>
              <w:rPr>
                <w:rFonts w:hint="eastAsia" w:ascii="仿宋_GB2312" w:hAnsi="仿宋_GB2312" w:eastAsia="仿宋_GB2312" w:cs="仿宋_GB2312"/>
                <w:color w:val="auto"/>
                <w:sz w:val="24"/>
                <w:szCs w:val="24"/>
                <w:highlight w:val="none"/>
                <w:lang w:val="en-US" w:eastAsia="zh-CN"/>
              </w:rPr>
              <w:t xml:space="preserve">由供应商提供，其</w:t>
            </w:r>
            <w:r>
              <w:rPr>
                <w:rFonts w:hint="eastAsia" w:ascii="仿宋_GB2312" w:hAnsi="仿宋_GB2312" w:eastAsia="仿宋_GB2312" w:cs="仿宋_GB2312"/>
                <w:color w:val="auto"/>
                <w:sz w:val="24"/>
                <w:szCs w:val="24"/>
                <w:highlight w:val="none"/>
              </w:rPr>
              <w:t xml:space="preserve">维护更换</w:t>
            </w:r>
            <w:r>
              <w:rPr>
                <w:rFonts w:hint="eastAsia" w:ascii="仿宋_GB2312" w:hAnsi="仿宋_GB2312" w:eastAsia="仿宋_GB2312" w:cs="仿宋_GB2312"/>
                <w:color w:val="auto"/>
                <w:sz w:val="24"/>
                <w:szCs w:val="24"/>
                <w:highlight w:val="none"/>
                <w:lang w:val="en-US" w:eastAsia="zh-CN"/>
              </w:rPr>
              <w:t xml:space="preserve">亦</w:t>
            </w:r>
            <w:r>
              <w:rPr>
                <w:rFonts w:hint="eastAsia" w:ascii="仿宋_GB2312" w:hAnsi="仿宋_GB2312" w:eastAsia="仿宋_GB2312" w:cs="仿宋_GB2312"/>
                <w:color w:val="auto"/>
                <w:sz w:val="24"/>
                <w:szCs w:val="24"/>
                <w:highlight w:val="none"/>
              </w:rPr>
              <w:t xml:space="preserve">由</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自行负责</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所有设备需满足省级所需要求</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p>
        </w:tc>
        <w:tc>
          <w:tcPr>
            <w:tcW w:w="7871" w:type="dxa"/>
            <w:vAlign w:val="center"/>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每条光纤专线业务两端发送和接收光功率应符合设备光功率技术要求，且正常情况下接收</w:t>
            </w:r>
            <w:r>
              <w:rPr>
                <w:rFonts w:hint="eastAsia" w:ascii="仿宋_GB2312" w:hAnsi="仿宋_GB2312" w:eastAsia="仿宋_GB2312" w:cs="仿宋_GB2312"/>
                <w:color w:val="auto"/>
                <w:sz w:val="24"/>
                <w:szCs w:val="24"/>
                <w:highlight w:val="none"/>
                <w:lang w:eastAsia="zh-CN"/>
              </w:rPr>
              <w:t xml:space="preserve">光功率不低于</w:t>
            </w:r>
            <w:r>
              <w:rPr>
                <w:rFonts w:hint="eastAsia" w:ascii="仿宋_GB2312" w:hAnsi="仿宋_GB2312" w:eastAsia="仿宋_GB2312" w:cs="仿宋_GB2312"/>
                <w:color w:val="auto"/>
                <w:sz w:val="24"/>
                <w:szCs w:val="24"/>
                <w:highlight w:val="none"/>
              </w:rPr>
              <w:t xml:space="preserve">-15dBm。</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w:t>
            </w:r>
            <w:r/>
          </w:p>
        </w:tc>
        <w:tc>
          <w:tcPr>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每条光纤专线业务两端发送和接收光功率应基本保持一致，两端接收光功率差值应小于1dBm。</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4</w:t>
            </w:r>
            <w:r/>
          </w:p>
        </w:tc>
        <w:tc>
          <w:tcPr>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每条光纤专线业务每个跳纤点衰耗不应大于0.5dBm，且跳纤尾纤原则上不允许采用增加法兰头短纤用作长纤的方式。</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5</w:t>
            </w:r>
            <w:r/>
          </w:p>
        </w:tc>
        <w:tc>
          <w:tcPr>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每条光纤专线业务的吞吐量、丢包率、时延和抖动等指标测试均应符合承载业务要求。</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6</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rPr>
              <w:t xml:space="preserve">▲在采购人规定的时限内完成</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电子政务外网IP地址规划、配置（包括编制所有接入单位IPV4的地址规划表，并配合做好各接入单位网络设备及业务终端的IPV4地址配置；IPV6地址规划表及各接入单位网络设备和业务终端的IPV6配置待上级明确统一规划和标准后，</w:t>
            </w:r>
            <w:r>
              <w:rPr>
                <w:rFonts w:hint="eastAsia" w:ascii="仿宋_GB2312" w:hAnsi="仿宋_GB2312" w:eastAsia="仿宋_GB2312" w:cs="仿宋_GB2312"/>
                <w:color w:val="auto"/>
                <w:sz w:val="24"/>
                <w:szCs w:val="24"/>
                <w:highlight w:val="none"/>
                <w:lang w:eastAsia="zh-CN"/>
              </w:rPr>
              <w:t xml:space="preserve">无偿配合采购人</w:t>
            </w:r>
            <w:r>
              <w:rPr>
                <w:rFonts w:hint="eastAsia" w:ascii="仿宋_GB2312" w:hAnsi="仿宋_GB2312" w:eastAsia="仿宋_GB2312" w:cs="仿宋_GB2312"/>
                <w:color w:val="auto"/>
                <w:sz w:val="24"/>
                <w:szCs w:val="24"/>
                <w:highlight w:val="none"/>
              </w:rPr>
              <w:t xml:space="preserve">完成；服务期内省市</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IP规划调整的，</w:t>
            </w:r>
            <w:r>
              <w:rPr>
                <w:rFonts w:hint="eastAsia" w:ascii="仿宋_GB2312" w:hAnsi="仿宋_GB2312" w:eastAsia="仿宋_GB2312" w:cs="仿宋_GB2312"/>
                <w:color w:val="auto"/>
                <w:sz w:val="24"/>
                <w:szCs w:val="24"/>
                <w:highlight w:val="none"/>
                <w:lang w:eastAsia="zh-CN"/>
              </w:rPr>
              <w:t xml:space="preserve">无偿配合采购人</w:t>
            </w:r>
            <w:r>
              <w:rPr>
                <w:rFonts w:hint="eastAsia" w:ascii="仿宋_GB2312" w:hAnsi="仿宋_GB2312" w:eastAsia="仿宋_GB2312" w:cs="仿宋_GB2312"/>
                <w:color w:val="auto"/>
                <w:sz w:val="24"/>
                <w:szCs w:val="24"/>
                <w:highlight w:val="none"/>
              </w:rPr>
              <w:t xml:space="preserve">完成），确保所有设备符合要求，100%接入</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电子政务外网，与省市电子政务外网互联互通。（</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7</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 xml:space="preserve">所有</w:t>
            </w:r>
            <w:r>
              <w:rPr>
                <w:rFonts w:hint="eastAsia" w:ascii="仿宋_GB2312" w:hAnsi="仿宋_GB2312" w:eastAsia="仿宋_GB2312" w:cs="仿宋_GB2312"/>
                <w:color w:val="auto"/>
                <w:sz w:val="24"/>
                <w:szCs w:val="24"/>
                <w:highlight w:val="none"/>
              </w:rPr>
              <w:t xml:space="preserve">线缆两端应附注标签，且符合国家及行业标准规范。</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8</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rPr>
              <w:t xml:space="preserve">根据各级网络安全通报、等保测评建议，及时配合处置各部门接入网络设备和用户终端（PC等）安全风险漏洞或事件。</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9</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rPr>
              <w:t xml:space="preserve">▲针对2025年省、市、</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新一轮电子政务外网改造计划，</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在服务期内需根据相关标准规范和政策要求制定相关详细实施方案，并报采购人审核，并最终修改完善定稿，同时积极无偿配合采购人做好方案的落实与交付，包括但不限于网络规划、IP划分、配置变、线路布放或调整、平台对接、配套网络、终端接入设备调试、线路检测等工作。（</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10</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需对全市行政村进行扎口出口，增加防火墙等安全设备，确保网络稳定安全。</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11</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yellow"/>
              </w:rPr>
            </w:pPr>
            <w:r>
              <w:rPr>
                <w:rFonts w:hint="eastAsia" w:ascii="仿宋_GB2312" w:hAnsi="仿宋_GB2312" w:eastAsia="仿宋_GB2312" w:cs="仿宋_GB2312"/>
                <w:color w:val="auto"/>
                <w:sz w:val="24"/>
                <w:szCs w:val="24"/>
              </w:rPr>
              <w:t xml:space="preserve">电子政务外网专线</w:t>
            </w:r>
            <w:r>
              <w:rPr>
                <w:rFonts w:hint="eastAsia" w:ascii="仿宋_GB2312" w:hAnsi="仿宋_GB2312" w:eastAsia="仿宋_GB2312" w:cs="仿宋_GB2312"/>
                <w:color w:val="auto"/>
                <w:sz w:val="24"/>
                <w:szCs w:val="24"/>
                <w:lang w:val="en-US" w:eastAsia="zh-CN"/>
              </w:rPr>
              <w:t xml:space="preserve">须和其他网络隔离</w:t>
            </w:r>
            <w:r>
              <w:rPr>
                <w:rFonts w:hint="eastAsia" w:ascii="仿宋_GB2312" w:hAnsi="仿宋_GB2312" w:eastAsia="仿宋_GB2312" w:cs="仿宋_GB2312"/>
                <w:color w:val="auto"/>
                <w:sz w:val="24"/>
                <w:szCs w:val="24"/>
                <w:lang w:eastAsia="zh-CN"/>
              </w:rPr>
              <w:t xml:space="preserve">，</w:t>
            </w:r>
            <w:r>
              <w:rPr>
                <w:rFonts w:hint="eastAsia" w:ascii="仿宋_GB2312" w:hAnsi="仿宋_GB2312" w:eastAsia="仿宋_GB2312" w:cs="仿宋_GB2312"/>
                <w:color w:val="auto"/>
                <w:sz w:val="24"/>
                <w:szCs w:val="24"/>
                <w:lang w:val="en-US" w:eastAsia="zh-CN"/>
              </w:rPr>
              <w:t xml:space="preserve">符合</w:t>
            </w:r>
            <w:r>
              <w:rPr>
                <w:rFonts w:hint="eastAsia" w:ascii="仿宋_GB2312" w:hAnsi="仿宋_GB2312" w:eastAsia="仿宋_GB2312" w:cs="仿宋_GB2312"/>
                <w:color w:val="auto"/>
                <w:sz w:val="24"/>
                <w:szCs w:val="24"/>
              </w:rPr>
              <w:t xml:space="preserve">《江苏省电子政务外网管理办法（试行）》</w:t>
            </w:r>
            <w:r>
              <w:rPr>
                <w:rFonts w:hint="eastAsia" w:ascii="仿宋_GB2312" w:hAnsi="仿宋_GB2312" w:eastAsia="仿宋_GB2312" w:cs="仿宋_GB2312"/>
                <w:color w:val="auto"/>
                <w:sz w:val="24"/>
                <w:szCs w:val="24"/>
                <w:lang w:val="en-US" w:eastAsia="zh-CN"/>
              </w:rPr>
              <w:t xml:space="preserve">安全要求</w:t>
            </w:r>
            <w:r>
              <w:rPr>
                <w:rFonts w:hint="eastAsia" w:ascii="仿宋_GB2312" w:hAnsi="仿宋_GB2312" w:eastAsia="仿宋_GB2312" w:cs="仿宋_GB2312"/>
                <w:color w:val="auto"/>
                <w:sz w:val="24"/>
                <w:szCs w:val="24"/>
              </w:rPr>
              <w:t xml:space="preserve">。（投标人需提供承诺函加盖投标人公章，原件扫描上传）</w:t>
            </w:r>
            <w:r/>
          </w:p>
        </w:tc>
      </w:tr>
    </w:tbl>
    <w:p>
      <w:pPr>
        <w:ind w:firstLine="480"/>
        <w:keepLines w:val="0"/>
        <w:keepNext w:val="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▲供应商需对如下内容作出承诺</w:t>
      </w:r>
      <w:r>
        <w:rPr>
          <w:rFonts w:hint="eastAsia" w:ascii="仿宋_GB2312" w:hAnsi="仿宋_GB2312" w:eastAsia="仿宋_GB2312" w:cs="仿宋_GB2312"/>
          <w:color w:val="auto"/>
          <w:sz w:val="28"/>
          <w:szCs w:val="28"/>
          <w:highlight w:val="none"/>
        </w:rPr>
        <w:t xml:space="preserve">：在项目实施过程中，遇到接入单位办公场所变动、线路带宽调整、相应点位合署办公或机构撤并等情形，</w:t>
      </w:r>
      <w:r>
        <w:rPr>
          <w:rFonts w:hint="eastAsia" w:ascii="仿宋_GB2312" w:hAnsi="仿宋_GB2312" w:eastAsia="仿宋_GB2312" w:cs="仿宋_GB2312"/>
          <w:color w:val="auto"/>
          <w:sz w:val="28"/>
          <w:szCs w:val="28"/>
          <w:highlight w:val="none"/>
          <w:lang w:eastAsia="zh-CN"/>
        </w:rPr>
        <w:t xml:space="preserve">供应商</w:t>
      </w:r>
      <w:r>
        <w:rPr>
          <w:rFonts w:hint="eastAsia" w:ascii="仿宋_GB2312" w:hAnsi="仿宋_GB2312" w:eastAsia="仿宋_GB2312" w:cs="仿宋_GB2312"/>
          <w:color w:val="auto"/>
          <w:sz w:val="28"/>
          <w:szCs w:val="28"/>
          <w:highlight w:val="none"/>
        </w:rPr>
        <w:t xml:space="preserve">需按照采购人要求开通或调试接入点位，确保成功接入电子政务外网。同时，</w:t>
      </w:r>
      <w:r>
        <w:rPr>
          <w:rFonts w:hint="eastAsia" w:ascii="仿宋_GB2312" w:hAnsi="仿宋_GB2312" w:eastAsia="仿宋_GB2312" w:cs="仿宋_GB2312"/>
          <w:color w:val="auto"/>
          <w:sz w:val="28"/>
          <w:szCs w:val="28"/>
          <w:highlight w:val="none"/>
          <w:lang w:eastAsia="zh-CN"/>
        </w:rPr>
        <w:t xml:space="preserve">供应商</w:t>
      </w:r>
      <w:r>
        <w:rPr>
          <w:rFonts w:hint="eastAsia" w:ascii="仿宋_GB2312" w:hAnsi="仿宋_GB2312" w:eastAsia="仿宋_GB2312" w:cs="仿宋_GB2312"/>
          <w:color w:val="auto"/>
          <w:sz w:val="28"/>
          <w:szCs w:val="28"/>
          <w:highlight w:val="none"/>
        </w:rPr>
        <w:t xml:space="preserve">应全力配合采购人开展各项网络安全工作，包含但不限于网络安全基础设施安装部署、网络安全运营保障等相关事宜。</w:t>
      </w:r>
      <w:r>
        <w:rPr>
          <w:rFonts w:hint="eastAsia" w:ascii="仿宋_GB2312" w:hAnsi="仿宋_GB2312" w:eastAsia="仿宋_GB2312" w:cs="仿宋_GB2312"/>
          <w:color w:val="auto"/>
          <w:sz w:val="28"/>
          <w:szCs w:val="28"/>
          <w:highlight w:val="none"/>
          <w:lang w:eastAsia="zh-CN"/>
        </w:rPr>
        <w:t xml:space="preserve">（投标文件中提供承诺</w:t>
      </w:r>
      <w:r>
        <w:rPr>
          <w:rFonts w:hint="eastAsia" w:ascii="仿宋_GB2312" w:hAnsi="仿宋_GB2312" w:eastAsia="仿宋_GB2312" w:cs="仿宋_GB2312"/>
          <w:color w:val="auto"/>
          <w:sz w:val="28"/>
          <w:szCs w:val="28"/>
          <w:highlight w:val="none"/>
          <w:lang w:val="en-US" w:eastAsia="zh-CN"/>
        </w:rPr>
        <w:t xml:space="preserve">函加盖供应商公章</w:t>
      </w:r>
      <w:r>
        <w:rPr>
          <w:rFonts w:hint="eastAsia" w:ascii="仿宋_GB2312" w:hAnsi="仿宋_GB2312" w:eastAsia="仿宋_GB2312" w:cs="仿宋_GB2312"/>
          <w:color w:val="auto"/>
          <w:sz w:val="28"/>
          <w:szCs w:val="28"/>
          <w:highlight w:val="none"/>
          <w:lang w:eastAsia="zh-CN"/>
        </w:rPr>
        <w:t xml:space="preserve">，格式自拟。）</w:t>
      </w:r>
      <w:r/>
    </w:p>
    <w:p>
      <w:pPr>
        <w:ind w:firstLine="560"/>
        <w:keepLines w:val="0"/>
        <w:keepNext w:val="0"/>
        <w:pageBreakBefore w:val="0"/>
        <w:spacing w:line="520" w:lineRule="exact"/>
        <w:rPr>
          <w:rFonts w:hint="eastAsia"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五、安全运维服务要求</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1.1</w:t>
      </w:r>
      <w:r>
        <w:rPr>
          <w:rFonts w:hint="eastAsia" w:ascii="仿宋_GB2312" w:hAnsi="仿宋_GB2312" w:eastAsia="仿宋_GB2312" w:cs="仿宋_GB2312"/>
          <w:b/>
          <w:bCs/>
          <w:color w:val="auto"/>
          <w:sz w:val="28"/>
          <w:szCs w:val="28"/>
          <w:highlight w:val="none"/>
        </w:rPr>
        <w:t xml:space="preserve">总体服务要求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（1）成立运维服务项目团队，并指定一名专职的项目经理协调沟通与调度。</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（2）提供日常事件管理、应急事件管理、问题管理和变更管理等相应的处理流程、机制，并应符合IT服务管理标准。</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w:t>
      </w:r>
      <w:r>
        <w:rPr>
          <w:rFonts w:hint="eastAsia" w:ascii="仿宋_GB2312" w:hAnsi="仿宋_GB2312" w:eastAsia="仿宋_GB2312" w:cs="仿宋_GB2312"/>
          <w:color w:val="auto"/>
          <w:sz w:val="28"/>
          <w:szCs w:val="28"/>
          <w:highlight w:val="none"/>
          <w:lang w:val="en-US" w:eastAsia="zh-CN" w:bidi="ar-SA"/>
        </w:rPr>
        <w:t xml:space="preserve">供应商</w:t>
      </w:r>
      <w:r>
        <w:rPr>
          <w:rFonts w:hint="eastAsia" w:ascii="仿宋_GB2312" w:hAnsi="仿宋_GB2312" w:eastAsia="仿宋_GB2312" w:cs="仿宋_GB2312"/>
          <w:color w:val="auto"/>
          <w:sz w:val="28"/>
          <w:szCs w:val="28"/>
          <w:highlight w:val="none"/>
        </w:rPr>
        <w:t xml:space="preserve">应承诺提供7×24全天候技术支持响应，设立7×24技术支持热线电话，提供7×24不间断链路监控。</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（4）根据用户业务不同，提供不同的业务受理服务，投标方应提供完善的业务受理流程。</w:t>
      </w:r>
      <w:r/>
    </w:p>
    <w:p>
      <w:pPr>
        <w:pStyle w:val="1137"/>
        <w:ind w:firstLine="480"/>
        <w:keepLines w:val="0"/>
        <w:keepNext w:val="0"/>
        <w:pageBreakBefore w:val="0"/>
        <w:spacing w:after="0" w:line="52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lang w:eastAsia="zh-CN"/>
        </w:rPr>
        <w:t xml:space="preserve">）本次</w:t>
      </w:r>
      <w:r>
        <w:rPr>
          <w:rFonts w:hint="eastAsia" w:ascii="仿宋_GB2312" w:hAnsi="仿宋_GB2312" w:eastAsia="仿宋_GB2312" w:cs="仿宋_GB2312"/>
          <w:color w:val="auto"/>
          <w:sz w:val="28"/>
          <w:szCs w:val="28"/>
          <w:highlight w:val="none"/>
          <w:lang w:val="en-US" w:eastAsia="zh-CN"/>
        </w:rPr>
        <w:t xml:space="preserve">磋商</w:t>
      </w:r>
      <w:r>
        <w:rPr>
          <w:rFonts w:hint="eastAsia" w:ascii="仿宋_GB2312" w:hAnsi="仿宋_GB2312" w:eastAsia="仿宋_GB2312" w:cs="仿宋_GB2312"/>
          <w:color w:val="auto"/>
          <w:sz w:val="28"/>
          <w:szCs w:val="28"/>
          <w:highlight w:val="none"/>
          <w:lang w:eastAsia="zh-CN"/>
        </w:rPr>
        <w:t xml:space="preserve">所涉电子政务外网线路需满足省电子政务外网新建要求，除提供专线外还需提供配套</w:t>
      </w:r>
      <w:r>
        <w:rPr>
          <w:rFonts w:hint="eastAsia" w:ascii="仿宋_GB2312" w:hAnsi="仿宋_GB2312" w:eastAsia="仿宋_GB2312" w:cs="仿宋_GB2312"/>
          <w:color w:val="auto"/>
          <w:sz w:val="28"/>
          <w:szCs w:val="28"/>
          <w:highlight w:val="none"/>
          <w:lang w:val="en-US" w:eastAsia="zh-CN"/>
        </w:rPr>
        <w:t xml:space="preserve">接入</w:t>
      </w:r>
      <w:r>
        <w:rPr>
          <w:rFonts w:hint="eastAsia" w:ascii="仿宋_GB2312" w:hAnsi="仿宋_GB2312" w:eastAsia="仿宋_GB2312" w:cs="仿宋_GB2312"/>
          <w:color w:val="auto"/>
          <w:sz w:val="28"/>
          <w:szCs w:val="28"/>
          <w:highlight w:val="none"/>
          <w:lang w:eastAsia="zh-CN"/>
        </w:rPr>
        <w:t xml:space="preserve">设备（部署于用户端，非ONU设备），设备能够直接被SDN平台纳管，并完成省、市数据局关于电子政务外网相关信息上报的要求。路由设备性能和功能均须能够满足用户侧日常访问电子政务外网的需求。</w:t>
      </w:r>
      <w:r/>
    </w:p>
    <w:p>
      <w:pPr>
        <w:ind w:firstLine="48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（6）中标供应商须积极配合采购人开展电子政务外网安全评估和管理等相关工作。</w:t>
      </w:r>
      <w:r/>
    </w:p>
    <w:p>
      <w:pPr>
        <w:ind w:firstLine="48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（7）本项目所涉及的相关设备应满足国产技术路线及信创要求。</w:t>
      </w:r>
      <w:r/>
    </w:p>
    <w:p>
      <w:pPr>
        <w:ind w:firstLine="48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8）对于磋商要求未尽事宜，按照《关于加强全省“一张网”高质量建设管理有关工作的通知（苏数发〔2025〕42）》《江苏省新一代电子政务外网固定网络省市对接标准》《江苏省新一代电子政务外网建设指南》等相关规范要求执行。</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w:t>
      </w:r>
      <w:r>
        <w:rPr>
          <w:rFonts w:hint="eastAsia" w:ascii="仿宋_GB2312" w:hAnsi="仿宋_GB2312" w:eastAsia="仿宋_GB2312" w:cs="仿宋_GB2312"/>
          <w:b/>
          <w:bCs/>
          <w:color w:val="auto"/>
          <w:sz w:val="28"/>
          <w:szCs w:val="28"/>
          <w:highlight w:val="none"/>
        </w:rPr>
        <w:t xml:space="preserve">.</w:t>
      </w:r>
      <w:r>
        <w:rPr>
          <w:rFonts w:hint="eastAsia" w:ascii="仿宋_GB2312" w:hAnsi="仿宋_GB2312" w:eastAsia="仿宋_GB2312" w:cs="仿宋_GB2312"/>
          <w:b/>
          <w:bCs/>
          <w:color w:val="auto"/>
          <w:sz w:val="28"/>
          <w:szCs w:val="28"/>
          <w:highlight w:val="none"/>
          <w:lang w:val="en-US" w:eastAsia="zh-CN"/>
        </w:rPr>
        <w:t xml:space="preserve">2</w:t>
      </w:r>
      <w:r>
        <w:rPr>
          <w:rFonts w:hint="eastAsia" w:ascii="仿宋_GB2312" w:hAnsi="仿宋_GB2312" w:eastAsia="仿宋_GB2312" w:cs="仿宋_GB2312"/>
          <w:b/>
          <w:bCs/>
          <w:color w:val="auto"/>
          <w:sz w:val="28"/>
          <w:szCs w:val="28"/>
          <w:highlight w:val="none"/>
        </w:rPr>
        <w:t xml:space="preserve">运维管理要求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（1）满足用户接入需求，</w:t>
      </w:r>
      <w:r>
        <w:rPr>
          <w:rFonts w:hint="eastAsia" w:ascii="仿宋_GB2312" w:hAnsi="仿宋_GB2312" w:eastAsia="仿宋_GB2312" w:cs="仿宋_GB2312"/>
          <w:color w:val="auto"/>
          <w:sz w:val="28"/>
          <w:szCs w:val="28"/>
          <w:highlight w:val="none"/>
          <w:lang w:val="en-US" w:eastAsia="zh-CN"/>
        </w:rPr>
        <w:t xml:space="preserve">30</w:t>
      </w:r>
      <w:r>
        <w:rPr>
          <w:rFonts w:hint="eastAsia" w:ascii="仿宋_GB2312" w:hAnsi="仿宋_GB2312" w:eastAsia="仿宋_GB2312" w:cs="仿宋_GB2312"/>
          <w:color w:val="auto"/>
          <w:sz w:val="28"/>
          <w:szCs w:val="28"/>
          <w:highlight w:val="none"/>
        </w:rPr>
        <w:t xml:space="preserve">个工作日内完成用户光纤链路接入、链路拆改迁、链路升级工作、IP地址分配、数据规划配置和设备安装调试工作。重点工作任务和临时性任务按采购人要求时限完成。</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（2）定期完成重要用户接入设备的巡检及参数的备份工作，按采购人要求做好链路流量和运行状态的监控。</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网络设备软件升级、线路割接、设备更换和检修等需要中断通信时，必须提前5天向采购人申请，内容包括中断原因、地点、设备、时间、影响用户范围以及完整的实施方案，待批准后实施。实施48小时前告知所涉及的用户。</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做好重大活动期间的网络保障工作，做好各种保障方案预案，并严格落实。对重点链路要在活动保障前3天做好链路检测工作，查找风险并防范，同时在活动保障间加强重要部位的现场值守及重点链路的监控。</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（5）配合建立接入用户满意度测评指标体系及满意度调查。</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（6）建立详细完备的用户维护资料、线路档案和运行维护档案。</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（7）按照运维服务技术要求，做好年度运维工作方案。同时，根据年度运维工作实际及业务实际需求，做好规划工作。</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（8）按需召开运维例会，</w:t>
      </w:r>
      <w:r>
        <w:rPr>
          <w:rFonts w:hint="eastAsia" w:ascii="仿宋_GB2312" w:hAnsi="仿宋_GB2312" w:eastAsia="仿宋_GB2312" w:cs="仿宋_GB2312"/>
          <w:color w:val="auto"/>
          <w:sz w:val="28"/>
          <w:szCs w:val="28"/>
          <w:highlight w:val="none"/>
          <w:lang w:eastAsia="zh-CN"/>
        </w:rPr>
        <w:t xml:space="preserve">按季度提供</w:t>
      </w:r>
      <w:r>
        <w:rPr>
          <w:rFonts w:hint="eastAsia" w:ascii="仿宋_GB2312" w:hAnsi="仿宋_GB2312" w:eastAsia="仿宋_GB2312" w:cs="仿宋_GB2312"/>
          <w:color w:val="auto"/>
          <w:sz w:val="28"/>
          <w:szCs w:val="28"/>
          <w:highlight w:val="none"/>
        </w:rPr>
        <w:t xml:space="preserve">运行维护报告。</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1.3</w:t>
      </w:r>
      <w:r>
        <w:rPr>
          <w:rFonts w:hint="eastAsia" w:ascii="仿宋_GB2312" w:hAnsi="仿宋_GB2312" w:eastAsia="仿宋_GB2312" w:cs="仿宋_GB2312"/>
          <w:b/>
          <w:bCs/>
          <w:color w:val="auto"/>
          <w:sz w:val="28"/>
          <w:szCs w:val="28"/>
          <w:highlight w:val="none"/>
        </w:rPr>
        <w:t xml:space="preserve">故障处理要求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故障响应率（指统计周期内，故障响应回复次数/故障申告次数×100%，统计周期为1年）达到100%；故障恢复率（指统计周期内，恢复的故障次数/故障总次数×100%，统计周期为1年）达到100%；故障恢复及时率（指针对节点故障，及时恢复的故障次数/故障总次数×100%，统计周期为1年）达到95%。</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（2）提供完善故障处理流程及反馈制度，及时处理和恢复故障，并进行总结分析，制定故障预防措施。出现重大故障，及时启动应急预案，事后将应急预案执行情况报告、重大故障处理报告上报采购人备案。</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（3）在所提供的汇聚设备发生持续10分钟以上的中断时，在30分钟之内通知所影响的用户，并给出初步的故障判断报告，故障应在2小时内排除。</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1.4</w:t>
      </w:r>
      <w:r>
        <w:rPr>
          <w:rFonts w:hint="eastAsia" w:ascii="仿宋_GB2312" w:hAnsi="仿宋_GB2312" w:eastAsia="仿宋_GB2312" w:cs="仿宋_GB2312"/>
          <w:b/>
          <w:bCs/>
          <w:color w:val="auto"/>
          <w:sz w:val="28"/>
          <w:szCs w:val="28"/>
          <w:highlight w:val="none"/>
        </w:rPr>
        <w:t xml:space="preserve">备品备件要求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提供接入层各类接入设备备件，备品率不低于在线运行设备的5%。</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1.5</w:t>
      </w:r>
      <w:r>
        <w:rPr>
          <w:rFonts w:hint="eastAsia" w:ascii="仿宋_GB2312" w:hAnsi="仿宋_GB2312" w:eastAsia="仿宋_GB2312" w:cs="仿宋_GB2312"/>
          <w:b/>
          <w:bCs/>
          <w:color w:val="auto"/>
          <w:sz w:val="28"/>
          <w:szCs w:val="28"/>
          <w:highlight w:val="none"/>
        </w:rPr>
        <w:t xml:space="preserve">应急工作要求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（1）完善的应急预案体系。实行用户分级管理，确保突发事件和重要时期的链路畅通。</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（2）完善的重大故障解决方案。网络重要设备出现故障时及时更换。故障排除后，提交重大故障处置报告。</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提交应急预案。预案应包含值班安排、人员安排、车辆安排、备品备件安排、事件处置预案、信息报送等内容。制定合理、可行的应急演练方案，并做好重要用户链路故障应急演练，检验故障处理能力及相关信息报送流程。演练结束后总结经验，编制总结报告，提交采购人。</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1.6线路接入要求</w:t>
      </w:r>
      <w:r/>
    </w:p>
    <w:p>
      <w:pPr>
        <w:pStyle w:val="1136"/>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本项目涉及的电子政务外网线路覆盖兴化市所有行政村，均采用50M线路接入。具体接入点位、数量及带宽标准以采购人实际需求为准。</w:t>
      </w:r>
      <w:r/>
    </w:p>
    <w:p>
      <w:pPr>
        <w:pStyle w:val="1136"/>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b/>
          <w:bCs/>
          <w:color w:val="auto"/>
          <w:sz w:val="28"/>
          <w:szCs w:val="28"/>
          <w:highlight w:val="none"/>
          <w:lang w:val="en-US" w:eastAsia="zh-CN" w:bidi="ar-SA"/>
        </w:rPr>
        <w:t xml:space="preserve">特别说明：</w:t>
      </w:r>
      <w:r>
        <w:rPr>
          <w:rFonts w:hint="eastAsia" w:ascii="仿宋_GB2312" w:hAnsi="仿宋_GB2312" w:eastAsia="仿宋_GB2312" w:cs="仿宋_GB2312"/>
          <w:color w:val="auto"/>
          <w:sz w:val="28"/>
          <w:szCs w:val="28"/>
          <w:highlight w:val="none"/>
          <w:lang w:val="en-US" w:eastAsia="zh-CN" w:bidi="ar-SA"/>
        </w:rPr>
        <w:t xml:space="preserve">在项目服务期内，采购人有权根据网络规划、场地调整、合并办公等实际情况，对上述预估数量进行不超过±8%的调整。供应商在进行报价时，应充分考虑此项因素，将±8%范围内的数量浮动风险纳入总价考量。在此调整范围内，无论最终实际开通的线路数量较预估数量增加或减少，合同总价均不作调整。</w:t>
      </w:r>
      <w:r/>
    </w:p>
    <w:p>
      <w:pPr>
        <w:ind w:firstLine="482"/>
        <w:jc w:val="left"/>
        <w:keepLines w:val="0"/>
        <w:keepNext w:val="0"/>
        <w:pageBreakBefore w:val="0"/>
        <w:spacing w:after="181" w:line="520" w:lineRule="exact"/>
        <w:widowControl/>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1.7电子政务外网安全服务考核要求</w:t>
      </w:r>
      <w:r/>
    </w:p>
    <w:tbl>
      <w:tblPr>
        <w:tblStyle w:val="1139"/>
        <w:tblW w:w="92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6"/>
        <w:gridCol w:w="1290"/>
        <w:gridCol w:w="5287"/>
        <w:gridCol w:w="678"/>
        <w:gridCol w:w="1296"/>
      </w:tblGrid>
      <w:tr>
        <w:trPr>
          <w:jc w:val="center"/>
          <w:trHeight w:val="622"/>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 xml:space="preserve">序号</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rPr>
            </w:pPr>
            <w:r>
              <w:rPr>
                <w:rFonts w:hint="eastAsia" w:ascii="仿宋_GB2312" w:hAnsi="仿宋_GB2312" w:eastAsia="仿宋_GB2312" w:cs="仿宋_GB2312"/>
                <w:b/>
                <w:bCs/>
                <w:color w:val="auto"/>
                <w:spacing w:val="-5"/>
                <w:sz w:val="24"/>
                <w:szCs w:val="24"/>
                <w:highlight w:val="none"/>
              </w:rPr>
              <w:t xml:space="preserve">服务项</w:t>
            </w:r>
            <w:r/>
          </w:p>
        </w:tc>
        <w:tc>
          <w:tcPr>
            <w:tcW w:w="5287"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rPr>
            </w:pPr>
            <w:r>
              <w:rPr>
                <w:rFonts w:hint="eastAsia" w:ascii="仿宋_GB2312" w:hAnsi="仿宋_GB2312" w:eastAsia="仿宋_GB2312" w:cs="仿宋_GB2312"/>
                <w:b/>
                <w:bCs/>
                <w:color w:val="auto"/>
                <w:spacing w:val="-5"/>
                <w:sz w:val="24"/>
                <w:szCs w:val="24"/>
                <w:highlight w:val="none"/>
              </w:rPr>
              <w:t xml:space="preserve">服务内容</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lang w:val="en-US" w:eastAsia="zh-CN"/>
              </w:rPr>
            </w:pPr>
            <w:r>
              <w:rPr>
                <w:rFonts w:hint="eastAsia" w:ascii="仿宋_GB2312" w:hAnsi="仿宋_GB2312" w:eastAsia="仿宋_GB2312" w:cs="仿宋_GB2312"/>
                <w:b/>
                <w:bCs/>
                <w:color w:val="auto"/>
                <w:spacing w:val="-5"/>
                <w:sz w:val="24"/>
                <w:szCs w:val="24"/>
                <w:highlight w:val="none"/>
                <w:lang w:val="en-US" w:eastAsia="zh-CN"/>
              </w:rPr>
              <w:t xml:space="preserve">分值</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pacing w:val="-5"/>
                <w:sz w:val="24"/>
                <w:szCs w:val="24"/>
                <w:highlight w:val="none"/>
              </w:rPr>
              <w:t xml:space="preserve">服务周期</w:t>
            </w:r>
            <w:r/>
          </w:p>
        </w:tc>
      </w:tr>
      <w:tr>
        <w:trPr>
          <w:jc w:val="center"/>
          <w:trHeight w:val="1776"/>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1</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漏洞扫描</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利用漏洞扫描评估工具采取远程或现场的方式对评估目标范围内对象进行漏洞扫描，并验证所发现的web</w:t>
            </w:r>
            <w:r>
              <w:rPr>
                <w:rFonts w:hint="eastAsia" w:ascii="仿宋_GB2312" w:hAnsi="仿宋_GB2312" w:eastAsia="仿宋_GB2312" w:cs="仿宋_GB2312"/>
                <w:b w:val="0"/>
                <w:bCs w:val="0"/>
                <w:color w:val="auto"/>
                <w:spacing w:val="-3"/>
                <w:sz w:val="24"/>
                <w:szCs w:val="24"/>
                <w:highlight w:val="none"/>
              </w:rPr>
              <w:t xml:space="preserve">应用漏</w:t>
            </w:r>
            <w:r>
              <w:rPr>
                <w:rFonts w:hint="eastAsia" w:ascii="仿宋_GB2312" w:hAnsi="仿宋_GB2312" w:eastAsia="仿宋_GB2312" w:cs="仿宋_GB2312"/>
                <w:b w:val="0"/>
                <w:bCs w:val="0"/>
                <w:color w:val="auto"/>
                <w:spacing w:val="-5"/>
                <w:sz w:val="24"/>
                <w:szCs w:val="24"/>
                <w:highlight w:val="none"/>
              </w:rPr>
              <w:t xml:space="preserve">洞、主机操作系统漏洞、数据库漏洞、逻辑缺陷、弱</w:t>
            </w:r>
            <w:r>
              <w:rPr>
                <w:rFonts w:hint="eastAsia" w:ascii="仿宋_GB2312" w:hAnsi="仿宋_GB2312" w:eastAsia="仿宋_GB2312" w:cs="仿宋_GB2312"/>
                <w:b w:val="0"/>
                <w:bCs w:val="0"/>
                <w:color w:val="auto"/>
                <w:spacing w:val="-38"/>
                <w:sz w:val="24"/>
                <w:szCs w:val="24"/>
                <w:highlight w:val="none"/>
              </w:rPr>
              <w:t xml:space="preserve"> </w:t>
            </w:r>
            <w:r>
              <w:rPr>
                <w:rFonts w:hint="eastAsia" w:ascii="仿宋_GB2312" w:hAnsi="仿宋_GB2312" w:eastAsia="仿宋_GB2312" w:cs="仿宋_GB2312"/>
                <w:b w:val="0"/>
                <w:bCs w:val="0"/>
                <w:color w:val="auto"/>
                <w:spacing w:val="-5"/>
                <w:sz w:val="24"/>
                <w:szCs w:val="24"/>
                <w:highlight w:val="none"/>
              </w:rPr>
              <w:t xml:space="preserve">口</w:t>
            </w:r>
            <w:r>
              <w:rPr>
                <w:rFonts w:hint="eastAsia" w:ascii="仿宋_GB2312" w:hAnsi="仿宋_GB2312" w:eastAsia="仿宋_GB2312" w:cs="仿宋_GB2312"/>
                <w:b w:val="0"/>
                <w:bCs w:val="0"/>
                <w:color w:val="auto"/>
                <w:spacing w:val="-2"/>
                <w:sz w:val="24"/>
                <w:szCs w:val="24"/>
                <w:highlight w:val="none"/>
              </w:rPr>
              <w:t xml:space="preserve">令、信息泄露及配置不当等脆弱性问题，发现潜在的脆弱点。每月5日前向电子政务中心提交当月扫描报</w:t>
            </w:r>
            <w:r>
              <w:rPr>
                <w:rFonts w:hint="eastAsia" w:ascii="仿宋_GB2312" w:hAnsi="仿宋_GB2312" w:eastAsia="仿宋_GB2312" w:cs="仿宋_GB2312"/>
                <w:b w:val="0"/>
                <w:bCs w:val="0"/>
                <w:color w:val="auto"/>
                <w:spacing w:val="-3"/>
                <w:sz w:val="24"/>
                <w:szCs w:val="24"/>
                <w:highlight w:val="none"/>
              </w:rPr>
              <w:t xml:space="preserve">告并处</w:t>
            </w:r>
            <w:r>
              <w:rPr>
                <w:rFonts w:hint="eastAsia" w:ascii="仿宋_GB2312" w:hAnsi="仿宋_GB2312" w:eastAsia="仿宋_GB2312" w:cs="仿宋_GB2312"/>
                <w:b w:val="0"/>
                <w:bCs w:val="0"/>
                <w:color w:val="auto"/>
                <w:spacing w:val="-9"/>
                <w:sz w:val="24"/>
                <w:szCs w:val="24"/>
                <w:highlight w:val="none"/>
              </w:rPr>
              <w:t xml:space="preserve">理。</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1次/月</w:t>
            </w:r>
            <w:r/>
          </w:p>
        </w:tc>
      </w:tr>
      <w:tr>
        <w:trPr>
          <w:jc w:val="center"/>
          <w:trHeight w:val="1256"/>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2</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渗透测试</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模拟黑客入侵的方式对服务目标系统进行模拟入侵测试，主要评估目标系统是否存在SQL注入、跨站脚本</w:t>
            </w:r>
            <w:r>
              <w:rPr>
                <w:rFonts w:hint="eastAsia" w:ascii="仿宋_GB2312" w:hAnsi="仿宋_GB2312" w:eastAsia="仿宋_GB2312" w:cs="仿宋_GB2312"/>
                <w:b w:val="0"/>
                <w:bCs w:val="0"/>
                <w:color w:val="auto"/>
                <w:spacing w:val="-3"/>
                <w:sz w:val="24"/>
                <w:szCs w:val="24"/>
                <w:highlight w:val="none"/>
              </w:rPr>
              <w:t xml:space="preserve">、跨站伪</w:t>
            </w:r>
            <w:r>
              <w:rPr>
                <w:rFonts w:hint="eastAsia" w:ascii="仿宋_GB2312" w:hAnsi="仿宋_GB2312" w:eastAsia="仿宋_GB2312" w:cs="仿宋_GB2312"/>
                <w:b w:val="0"/>
                <w:bCs w:val="0"/>
                <w:color w:val="auto"/>
                <w:spacing w:val="-5"/>
                <w:sz w:val="24"/>
                <w:szCs w:val="24"/>
                <w:highlight w:val="none"/>
              </w:rPr>
              <w:t xml:space="preserve">造请求、认证会话管理、弱</w:t>
            </w:r>
            <w:r>
              <w:rPr>
                <w:rFonts w:hint="eastAsia" w:ascii="仿宋_GB2312" w:hAnsi="仿宋_GB2312" w:eastAsia="仿宋_GB2312" w:cs="仿宋_GB2312"/>
                <w:b w:val="0"/>
                <w:bCs w:val="0"/>
                <w:color w:val="auto"/>
                <w:spacing w:val="-39"/>
                <w:sz w:val="24"/>
                <w:szCs w:val="24"/>
                <w:highlight w:val="none"/>
              </w:rPr>
              <w:t xml:space="preserve"> </w:t>
            </w:r>
            <w:r>
              <w:rPr>
                <w:rFonts w:hint="eastAsia" w:ascii="仿宋_GB2312" w:hAnsi="仿宋_GB2312" w:eastAsia="仿宋_GB2312" w:cs="仿宋_GB2312"/>
                <w:b w:val="0"/>
                <w:bCs w:val="0"/>
                <w:color w:val="auto"/>
                <w:spacing w:val="-5"/>
                <w:sz w:val="24"/>
                <w:szCs w:val="24"/>
                <w:highlight w:val="none"/>
              </w:rPr>
              <w:t xml:space="preserve">口令、信息加密性、文件包</w:t>
            </w:r>
            <w:r>
              <w:rPr>
                <w:rFonts w:hint="eastAsia" w:ascii="仿宋_GB2312" w:hAnsi="仿宋_GB2312" w:eastAsia="仿宋_GB2312" w:cs="仿宋_GB2312"/>
                <w:b w:val="0"/>
                <w:bCs w:val="0"/>
                <w:color w:val="auto"/>
                <w:sz w:val="24"/>
                <w:szCs w:val="24"/>
                <w:highlight w:val="none"/>
              </w:rPr>
              <w:t xml:space="preserve"> </w:t>
            </w:r>
            <w:r>
              <w:rPr>
                <w:rFonts w:hint="eastAsia" w:ascii="仿宋_GB2312" w:hAnsi="仿宋_GB2312" w:eastAsia="仿宋_GB2312" w:cs="仿宋_GB2312"/>
                <w:b w:val="0"/>
                <w:bCs w:val="0"/>
                <w:color w:val="auto"/>
                <w:spacing w:val="-4"/>
                <w:sz w:val="24"/>
                <w:szCs w:val="24"/>
                <w:highlight w:val="none"/>
              </w:rPr>
              <w:t xml:space="preserve">含、</w:t>
            </w:r>
            <w:r>
              <w:rPr>
                <w:rFonts w:hint="eastAsia" w:ascii="仿宋_GB2312" w:hAnsi="仿宋_GB2312" w:eastAsia="仿宋_GB2312" w:cs="仿宋_GB2312"/>
                <w:b w:val="0"/>
                <w:bCs w:val="0"/>
                <w:color w:val="auto"/>
                <w:spacing w:val="-56"/>
                <w:sz w:val="24"/>
                <w:szCs w:val="24"/>
                <w:highlight w:val="none"/>
              </w:rPr>
              <w:t xml:space="preserve"> </w:t>
            </w:r>
            <w:r>
              <w:rPr>
                <w:rFonts w:hint="eastAsia" w:ascii="仿宋_GB2312" w:hAnsi="仿宋_GB2312" w:eastAsia="仿宋_GB2312" w:cs="仿宋_GB2312"/>
                <w:b w:val="0"/>
                <w:bCs w:val="0"/>
                <w:color w:val="auto"/>
                <w:spacing w:val="-4"/>
                <w:sz w:val="24"/>
                <w:szCs w:val="24"/>
                <w:highlight w:val="none"/>
              </w:rPr>
              <w:t xml:space="preserve">目录浏览、不安全的跳转、溢出、上传、</w:t>
            </w:r>
            <w:r>
              <w:rPr>
                <w:rFonts w:hint="eastAsia" w:ascii="仿宋_GB2312" w:hAnsi="仿宋_GB2312" w:eastAsia="仿宋_GB2312" w:cs="仿宋_GB2312"/>
                <w:b w:val="0"/>
                <w:bCs w:val="0"/>
                <w:color w:val="auto"/>
                <w:spacing w:val="-5"/>
                <w:sz w:val="24"/>
                <w:szCs w:val="24"/>
                <w:highlight w:val="none"/>
              </w:rPr>
              <w:t xml:space="preserve">不安全的数</w:t>
            </w:r>
            <w:r>
              <w:rPr>
                <w:rFonts w:hint="eastAsia" w:ascii="仿宋_GB2312" w:hAnsi="仿宋_GB2312" w:eastAsia="仿宋_GB2312" w:cs="仿宋_GB2312"/>
                <w:b w:val="0"/>
                <w:bCs w:val="0"/>
                <w:color w:val="auto"/>
                <w:spacing w:val="-2"/>
                <w:sz w:val="24"/>
                <w:szCs w:val="24"/>
                <w:highlight w:val="none"/>
              </w:rPr>
              <w:t xml:space="preserve">据传输、未授权的访问等脆弱性问题,识别服务目</w:t>
            </w:r>
            <w:r>
              <w:rPr>
                <w:rFonts w:hint="eastAsia" w:ascii="仿宋_GB2312" w:hAnsi="仿宋_GB2312" w:eastAsia="仿宋_GB2312" w:cs="仿宋_GB2312"/>
                <w:b w:val="0"/>
                <w:bCs w:val="0"/>
                <w:color w:val="auto"/>
                <w:spacing w:val="-3"/>
                <w:sz w:val="24"/>
                <w:szCs w:val="24"/>
                <w:highlight w:val="none"/>
              </w:rPr>
              <w:t xml:space="preserve">标存在</w:t>
            </w:r>
            <w:r>
              <w:rPr>
                <w:rFonts w:hint="eastAsia" w:ascii="仿宋_GB2312" w:hAnsi="仿宋_GB2312" w:eastAsia="仿宋_GB2312" w:cs="仿宋_GB2312"/>
                <w:b w:val="0"/>
                <w:bCs w:val="0"/>
                <w:color w:val="auto"/>
                <w:spacing w:val="-2"/>
                <w:sz w:val="24"/>
                <w:szCs w:val="24"/>
                <w:highlight w:val="none"/>
              </w:rPr>
              <w:t xml:space="preserve">的安全风险。3、6、9、12月5日前向电子政务中心提</w:t>
            </w:r>
            <w:r>
              <w:rPr>
                <w:rFonts w:hint="eastAsia" w:ascii="仿宋_GB2312" w:hAnsi="仿宋_GB2312" w:eastAsia="仿宋_GB2312" w:cs="仿宋_GB2312"/>
                <w:b w:val="0"/>
                <w:bCs w:val="0"/>
                <w:color w:val="auto"/>
                <w:spacing w:val="-3"/>
                <w:sz w:val="24"/>
                <w:szCs w:val="24"/>
                <w:highlight w:val="none"/>
              </w:rPr>
              <w:t xml:space="preserve">交当</w:t>
            </w:r>
            <w:r>
              <w:rPr>
                <w:rFonts w:hint="eastAsia" w:ascii="仿宋_GB2312" w:hAnsi="仿宋_GB2312" w:eastAsia="仿宋_GB2312" w:cs="仿宋_GB2312"/>
                <w:b w:val="0"/>
                <w:bCs w:val="0"/>
                <w:color w:val="auto"/>
                <w:spacing w:val="-4"/>
                <w:sz w:val="24"/>
                <w:szCs w:val="24"/>
                <w:highlight w:val="none"/>
              </w:rPr>
              <w:t xml:space="preserve">季测试报告并处理。</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7"/>
                <w:sz w:val="24"/>
                <w:szCs w:val="24"/>
                <w:highlight w:val="none"/>
                <w:lang w:val="en-US" w:eastAsia="zh-CN"/>
              </w:rPr>
            </w:pPr>
            <w:r>
              <w:rPr>
                <w:rFonts w:hint="eastAsia" w:ascii="仿宋_GB2312" w:hAnsi="仿宋_GB2312" w:eastAsia="仿宋_GB2312" w:cs="仿宋_GB2312"/>
                <w:b w:val="0"/>
                <w:bCs w:val="0"/>
                <w:color w:val="auto"/>
                <w:spacing w:val="-7"/>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1次/季度</w:t>
            </w:r>
            <w:r/>
          </w:p>
        </w:tc>
      </w:tr>
      <w:tr>
        <w:trPr>
          <w:jc w:val="center"/>
          <w:trHeight w:val="605"/>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3</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态势感知</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对态感知平台发现的兴化范围内的</w:t>
            </w:r>
            <w:r>
              <w:rPr>
                <w:rFonts w:hint="eastAsia" w:ascii="仿宋_GB2312" w:hAnsi="仿宋_GB2312" w:eastAsia="仿宋_GB2312" w:cs="仿宋_GB2312"/>
                <w:b w:val="0"/>
                <w:bCs w:val="0"/>
                <w:color w:val="auto"/>
                <w:spacing w:val="-4"/>
                <w:sz w:val="24"/>
                <w:szCs w:val="24"/>
                <w:highlight w:val="none"/>
              </w:rPr>
              <w:t xml:space="preserve">问题，及时封控相关IP，年度提供台账资料。</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605"/>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4</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工程师培</w:t>
            </w:r>
            <w:r>
              <w:rPr>
                <w:rFonts w:hint="eastAsia" w:ascii="仿宋_GB2312" w:hAnsi="仿宋_GB2312" w:eastAsia="仿宋_GB2312" w:cs="仿宋_GB2312"/>
                <w:b w:val="0"/>
                <w:bCs w:val="0"/>
                <w:color w:val="auto"/>
                <w:spacing w:val="-3"/>
                <w:sz w:val="24"/>
                <w:szCs w:val="24"/>
                <w:highlight w:val="none"/>
              </w:rPr>
              <w:t xml:space="preserve">训</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每年对专线工程师专项培训，并提供台账资料。</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835"/>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5</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工程师基</w:t>
            </w:r>
            <w:r>
              <w:rPr>
                <w:rFonts w:hint="eastAsia" w:ascii="仿宋_GB2312" w:hAnsi="仿宋_GB2312" w:eastAsia="仿宋_GB2312" w:cs="仿宋_GB2312"/>
                <w:b w:val="0"/>
                <w:bCs w:val="0"/>
                <w:color w:val="auto"/>
                <w:spacing w:val="-9"/>
                <w:sz w:val="24"/>
                <w:szCs w:val="24"/>
                <w:highlight w:val="none"/>
              </w:rPr>
              <w:t xml:space="preserve">线核查</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专线工程师定期对管辖区域排查安全隐患，做好相关记</w:t>
            </w:r>
            <w:r>
              <w:rPr>
                <w:rFonts w:hint="eastAsia" w:ascii="仿宋_GB2312" w:hAnsi="仿宋_GB2312" w:eastAsia="仿宋_GB2312" w:cs="仿宋_GB2312"/>
                <w:b w:val="0"/>
                <w:bCs w:val="0"/>
                <w:color w:val="auto"/>
                <w:spacing w:val="-4"/>
                <w:sz w:val="24"/>
                <w:szCs w:val="24"/>
                <w:highlight w:val="none"/>
              </w:rPr>
              <w:t xml:space="preserve">录，随机抽查并提供台账资料。</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2069"/>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6</w:t>
            </w:r>
            <w:r/>
          </w:p>
        </w:tc>
        <w:tc>
          <w:tcPr>
            <w:tcW w:w="1290"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应急响应</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采用高效的信息安全事件响应处置机制对客户网络</w:t>
            </w:r>
            <w:r>
              <w:rPr>
                <w:rFonts w:hint="eastAsia" w:ascii="仿宋_GB2312" w:hAnsi="仿宋_GB2312" w:eastAsia="仿宋_GB2312" w:cs="仿宋_GB2312"/>
                <w:b w:val="0"/>
                <w:bCs w:val="0"/>
                <w:color w:val="auto"/>
                <w:spacing w:val="-3"/>
                <w:sz w:val="24"/>
                <w:szCs w:val="24"/>
                <w:highlight w:val="none"/>
              </w:rPr>
              <w:t xml:space="preserve">或业务</w:t>
            </w:r>
            <w:r>
              <w:rPr>
                <w:rFonts w:hint="eastAsia" w:ascii="仿宋_GB2312" w:hAnsi="仿宋_GB2312" w:eastAsia="仿宋_GB2312" w:cs="仿宋_GB2312"/>
                <w:b w:val="0"/>
                <w:bCs w:val="0"/>
                <w:color w:val="auto"/>
                <w:spacing w:val="-2"/>
                <w:sz w:val="24"/>
                <w:szCs w:val="24"/>
                <w:highlight w:val="none"/>
              </w:rPr>
              <w:t xml:space="preserve">系统遭到的安全事件快速作出响应，根据安全事件等</w:t>
            </w:r>
            <w:r>
              <w:rPr>
                <w:rFonts w:hint="eastAsia" w:ascii="仿宋_GB2312" w:hAnsi="仿宋_GB2312" w:eastAsia="仿宋_GB2312" w:cs="仿宋_GB2312"/>
                <w:b w:val="0"/>
                <w:bCs w:val="0"/>
                <w:color w:val="auto"/>
                <w:spacing w:val="-3"/>
                <w:sz w:val="24"/>
                <w:szCs w:val="24"/>
                <w:highlight w:val="none"/>
              </w:rPr>
              <w:t xml:space="preserve">级，</w:t>
            </w:r>
            <w:r>
              <w:rPr>
                <w:rFonts w:hint="eastAsia" w:ascii="仿宋_GB2312" w:hAnsi="仿宋_GB2312" w:eastAsia="仿宋_GB2312" w:cs="仿宋_GB2312"/>
                <w:b w:val="0"/>
                <w:bCs w:val="0"/>
                <w:color w:val="auto"/>
                <w:spacing w:val="-2"/>
                <w:sz w:val="24"/>
                <w:szCs w:val="24"/>
                <w:highlight w:val="none"/>
              </w:rPr>
              <w:t xml:space="preserve">可在第一时间采用现场或远程的方式对安全事件进行</w:t>
            </w:r>
            <w:r>
              <w:rPr>
                <w:rFonts w:hint="eastAsia" w:ascii="仿宋_GB2312" w:hAnsi="仿宋_GB2312" w:eastAsia="仿宋_GB2312" w:cs="仿宋_GB2312"/>
                <w:b w:val="0"/>
                <w:bCs w:val="0"/>
                <w:color w:val="auto"/>
                <w:spacing w:val="-3"/>
                <w:sz w:val="24"/>
                <w:szCs w:val="24"/>
                <w:highlight w:val="none"/>
              </w:rPr>
              <w:t xml:space="preserve">应急</w:t>
            </w:r>
            <w:r>
              <w:rPr>
                <w:rFonts w:hint="eastAsia" w:ascii="仿宋_GB2312" w:hAnsi="仿宋_GB2312" w:eastAsia="仿宋_GB2312" w:cs="仿宋_GB2312"/>
                <w:b w:val="0"/>
                <w:bCs w:val="0"/>
                <w:color w:val="auto"/>
                <w:spacing w:val="-2"/>
                <w:sz w:val="24"/>
                <w:szCs w:val="24"/>
                <w:highlight w:val="none"/>
              </w:rPr>
              <w:t xml:space="preserve">处置，最大限度地降低安全事故带来的危害，抑制事</w:t>
            </w:r>
            <w:r>
              <w:rPr>
                <w:rFonts w:hint="eastAsia" w:ascii="仿宋_GB2312" w:hAnsi="仿宋_GB2312" w:eastAsia="仿宋_GB2312" w:cs="仿宋_GB2312"/>
                <w:b w:val="0"/>
                <w:bCs w:val="0"/>
                <w:color w:val="auto"/>
                <w:spacing w:val="-3"/>
                <w:sz w:val="24"/>
                <w:szCs w:val="24"/>
                <w:highlight w:val="none"/>
              </w:rPr>
              <w:t xml:space="preserve">件影</w:t>
            </w:r>
            <w:r>
              <w:rPr>
                <w:rFonts w:hint="eastAsia" w:ascii="仿宋_GB2312" w:hAnsi="仿宋_GB2312" w:eastAsia="仿宋_GB2312" w:cs="仿宋_GB2312"/>
                <w:b w:val="0"/>
                <w:bCs w:val="0"/>
                <w:color w:val="auto"/>
                <w:spacing w:val="-2"/>
                <w:sz w:val="24"/>
                <w:szCs w:val="24"/>
                <w:highlight w:val="none"/>
              </w:rPr>
              <w:t xml:space="preserve">响扩散，帮助客户将损失降至最低程度。严格落实值</w:t>
            </w:r>
            <w:r>
              <w:rPr>
                <w:rFonts w:hint="eastAsia" w:ascii="仿宋_GB2312" w:hAnsi="仿宋_GB2312" w:eastAsia="仿宋_GB2312" w:cs="仿宋_GB2312"/>
                <w:b w:val="0"/>
                <w:bCs w:val="0"/>
                <w:color w:val="auto"/>
                <w:spacing w:val="-3"/>
                <w:sz w:val="24"/>
                <w:szCs w:val="24"/>
                <w:highlight w:val="none"/>
              </w:rPr>
              <w:t xml:space="preserve">班值守制度，保持</w:t>
            </w:r>
            <w:r>
              <w:rPr>
                <w:rFonts w:hint="eastAsia" w:ascii="仿宋_GB2312" w:hAnsi="仿宋_GB2312" w:eastAsia="仿宋_GB2312" w:cs="仿宋_GB2312"/>
                <w:b w:val="0"/>
                <w:bCs w:val="0"/>
                <w:color w:val="auto"/>
                <w:spacing w:val="-39"/>
                <w:sz w:val="24"/>
                <w:szCs w:val="24"/>
                <w:highlight w:val="none"/>
              </w:rPr>
              <w:t xml:space="preserve"> </w:t>
            </w:r>
            <w:r>
              <w:rPr>
                <w:rFonts w:hint="eastAsia" w:ascii="仿宋_GB2312" w:hAnsi="仿宋_GB2312" w:eastAsia="仿宋_GB2312" w:cs="仿宋_GB2312"/>
                <w:b w:val="0"/>
                <w:bCs w:val="0"/>
                <w:color w:val="auto"/>
                <w:spacing w:val="-3"/>
                <w:sz w:val="24"/>
                <w:szCs w:val="24"/>
                <w:highlight w:val="none"/>
              </w:rPr>
              <w:t xml:space="preserve">24</w:t>
            </w:r>
            <w:r>
              <w:rPr>
                <w:rFonts w:hint="eastAsia" w:ascii="仿宋_GB2312" w:hAnsi="仿宋_GB2312" w:eastAsia="仿宋_GB2312" w:cs="仿宋_GB2312"/>
                <w:b w:val="0"/>
                <w:bCs w:val="0"/>
                <w:color w:val="auto"/>
                <w:spacing w:val="-36"/>
                <w:sz w:val="24"/>
                <w:szCs w:val="24"/>
                <w:highlight w:val="none"/>
              </w:rPr>
              <w:t xml:space="preserve"> </w:t>
            </w:r>
            <w:r>
              <w:rPr>
                <w:rFonts w:hint="eastAsia" w:ascii="仿宋_GB2312" w:hAnsi="仿宋_GB2312" w:eastAsia="仿宋_GB2312" w:cs="仿宋_GB2312"/>
                <w:b w:val="0"/>
                <w:bCs w:val="0"/>
                <w:color w:val="auto"/>
                <w:spacing w:val="-3"/>
                <w:sz w:val="24"/>
                <w:szCs w:val="24"/>
                <w:highlight w:val="none"/>
              </w:rPr>
              <w:t xml:space="preserve">小时通信畅通，确保一旦发生网</w:t>
            </w:r>
            <w:r>
              <w:rPr>
                <w:rFonts w:hint="eastAsia" w:ascii="仿宋_GB2312" w:hAnsi="仿宋_GB2312" w:eastAsia="仿宋_GB2312" w:cs="仿宋_GB2312"/>
                <w:b w:val="0"/>
                <w:bCs w:val="0"/>
                <w:color w:val="auto"/>
                <w:spacing w:val="-4"/>
                <w:sz w:val="24"/>
                <w:szCs w:val="24"/>
                <w:highlight w:val="none"/>
              </w:rPr>
              <w:t xml:space="preserve">络安全</w:t>
            </w:r>
            <w:r>
              <w:rPr>
                <w:rFonts w:hint="eastAsia" w:ascii="仿宋_GB2312" w:hAnsi="仿宋_GB2312" w:eastAsia="仿宋_GB2312" w:cs="仿宋_GB2312"/>
                <w:b w:val="0"/>
                <w:bCs w:val="0"/>
                <w:color w:val="auto"/>
                <w:spacing w:val="-3"/>
                <w:sz w:val="24"/>
                <w:szCs w:val="24"/>
                <w:highlight w:val="none"/>
              </w:rPr>
              <w:t xml:space="preserve">问题能快速响应处置，提高安全应急处置能力。</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4"/>
                <w:sz w:val="24"/>
                <w:szCs w:val="24"/>
                <w:highlight w:val="none"/>
                <w:lang w:val="en-US" w:eastAsia="zh-CN"/>
              </w:rPr>
            </w:pPr>
            <w:r>
              <w:rPr>
                <w:rFonts w:hint="eastAsia" w:ascii="仿宋_GB2312" w:hAnsi="仿宋_GB2312" w:eastAsia="仿宋_GB2312" w:cs="仿宋_GB2312"/>
                <w:b w:val="0"/>
                <w:bCs w:val="0"/>
                <w:color w:val="auto"/>
                <w:spacing w:val="-4"/>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4"/>
                <w:sz w:val="24"/>
                <w:szCs w:val="24"/>
                <w:highlight w:val="none"/>
              </w:rPr>
              <w:t xml:space="preserve">7*24小时</w:t>
            </w:r>
            <w:r/>
          </w:p>
        </w:tc>
      </w:tr>
      <w:tr>
        <w:trPr>
          <w:jc w:val="center"/>
          <w:trHeight w:val="1482"/>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7</w:t>
            </w:r>
            <w:r/>
          </w:p>
        </w:tc>
        <w:tc>
          <w:tcPr>
            <w:tcW w:w="1290"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安全加固</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针对在安全评估、应急响应、攻防对抗过程中发现的安全风险、不合规项、漏洞扫描报告等提供具体落地的加固方案并协助客户进行加固整改服务，包括但不限于系统漏洞加固、中间件加固、数据库加固、设备策略加固、基线标</w:t>
            </w:r>
            <w:r>
              <w:rPr>
                <w:rFonts w:hint="eastAsia" w:ascii="仿宋_GB2312" w:hAnsi="仿宋_GB2312" w:eastAsia="仿宋_GB2312" w:cs="仿宋_GB2312"/>
                <w:b w:val="0"/>
                <w:bCs w:val="0"/>
                <w:color w:val="auto"/>
                <w:spacing w:val="-5"/>
                <w:sz w:val="24"/>
                <w:szCs w:val="24"/>
                <w:highlight w:val="none"/>
              </w:rPr>
              <w:t xml:space="preserve">准加固等。</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6"/>
                <w:sz w:val="24"/>
                <w:szCs w:val="24"/>
                <w:highlight w:val="none"/>
                <w:lang w:val="en-US" w:eastAsia="zh-CN"/>
              </w:rPr>
            </w:pPr>
            <w:r>
              <w:rPr>
                <w:rFonts w:hint="eastAsia" w:ascii="仿宋_GB2312" w:hAnsi="仿宋_GB2312" w:eastAsia="仿宋_GB2312" w:cs="仿宋_GB2312"/>
                <w:b w:val="0"/>
                <w:bCs w:val="0"/>
                <w:color w:val="auto"/>
                <w:spacing w:val="-6"/>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按实际情</w:t>
            </w:r>
            <w:r>
              <w:rPr>
                <w:rFonts w:hint="eastAsia" w:ascii="仿宋_GB2312" w:hAnsi="仿宋_GB2312" w:eastAsia="仿宋_GB2312" w:cs="仿宋_GB2312"/>
                <w:b w:val="0"/>
                <w:bCs w:val="0"/>
                <w:color w:val="auto"/>
                <w:spacing w:val="-3"/>
                <w:sz w:val="24"/>
                <w:szCs w:val="24"/>
                <w:highlight w:val="none"/>
              </w:rPr>
              <w:t xml:space="preserve">况</w:t>
            </w:r>
            <w:r/>
          </w:p>
        </w:tc>
      </w:tr>
      <w:tr>
        <w:trPr>
          <w:jc w:val="center"/>
          <w:trHeight w:val="898"/>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8</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安全通报</w:t>
            </w:r>
            <w:r>
              <w:rPr>
                <w:rFonts w:hint="eastAsia" w:ascii="仿宋_GB2312" w:hAnsi="仿宋_GB2312" w:eastAsia="仿宋_GB2312" w:cs="仿宋_GB2312"/>
                <w:b w:val="0"/>
                <w:bCs w:val="0"/>
                <w:color w:val="auto"/>
                <w:spacing w:val="-10"/>
                <w:sz w:val="24"/>
                <w:szCs w:val="24"/>
                <w:highlight w:val="none"/>
              </w:rPr>
              <w:t xml:space="preserve">处置</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lang w:eastAsia="zh-CN"/>
              </w:rPr>
            </w:pPr>
            <w:r>
              <w:rPr>
                <w:rFonts w:hint="eastAsia" w:ascii="仿宋_GB2312" w:hAnsi="仿宋_GB2312" w:eastAsia="仿宋_GB2312" w:cs="仿宋_GB2312"/>
                <w:b w:val="0"/>
                <w:bCs w:val="0"/>
                <w:color w:val="auto"/>
                <w:spacing w:val="-4"/>
                <w:sz w:val="24"/>
                <w:szCs w:val="24"/>
                <w:highlight w:val="none"/>
              </w:rPr>
              <w:t xml:space="preserve">第一时间响应并处置上级的安全通报，并及时做好反馈</w:t>
            </w:r>
            <w:r>
              <w:rPr>
                <w:rFonts w:hint="eastAsia" w:ascii="仿宋_GB2312" w:hAnsi="仿宋_GB2312" w:eastAsia="仿宋_GB2312" w:cs="仿宋_GB2312"/>
                <w:b w:val="0"/>
                <w:bCs w:val="0"/>
                <w:color w:val="auto"/>
                <w:spacing w:val="-4"/>
                <w:sz w:val="24"/>
                <w:szCs w:val="24"/>
                <w:highlight w:val="none"/>
                <w:lang w:eastAsia="zh-CN"/>
              </w:rPr>
              <w:t xml:space="preserve">。</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6"/>
                <w:sz w:val="24"/>
                <w:szCs w:val="24"/>
                <w:highlight w:val="none"/>
                <w:lang w:val="en-US" w:eastAsia="zh-CN"/>
              </w:rPr>
            </w:pPr>
            <w:r>
              <w:rPr>
                <w:rFonts w:hint="eastAsia" w:ascii="仿宋_GB2312" w:hAnsi="仿宋_GB2312" w:eastAsia="仿宋_GB2312" w:cs="仿宋_GB2312"/>
                <w:b w:val="0"/>
                <w:bCs w:val="0"/>
                <w:color w:val="auto"/>
                <w:spacing w:val="-6"/>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按实际情</w:t>
            </w:r>
            <w:r>
              <w:rPr>
                <w:rFonts w:hint="eastAsia" w:ascii="仿宋_GB2312" w:hAnsi="仿宋_GB2312" w:eastAsia="仿宋_GB2312" w:cs="仿宋_GB2312"/>
                <w:b w:val="0"/>
                <w:bCs w:val="0"/>
                <w:color w:val="auto"/>
                <w:spacing w:val="-3"/>
                <w:sz w:val="24"/>
                <w:szCs w:val="24"/>
                <w:highlight w:val="none"/>
              </w:rPr>
              <w:t xml:space="preserve">况</w:t>
            </w:r>
            <w:r/>
          </w:p>
        </w:tc>
      </w:tr>
      <w:tr>
        <w:trPr>
          <w:jc w:val="center"/>
          <w:trHeight w:val="481"/>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9</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应急演练</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每年至少进行一次应急演练，并提交应急演练报告。</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5</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1192"/>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position w:val="1"/>
                <w:sz w:val="24"/>
                <w:szCs w:val="24"/>
                <w:highlight w:val="none"/>
              </w:rPr>
              <w:t xml:space="preserve">10</w:t>
            </w:r>
            <w:r/>
          </w:p>
        </w:tc>
        <w:tc>
          <w:tcPr>
            <w:tcW w:w="1290"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基础资料</w:t>
            </w:r>
            <w:r>
              <w:rPr>
                <w:rFonts w:hint="eastAsia" w:ascii="仿宋_GB2312" w:hAnsi="仿宋_GB2312" w:eastAsia="仿宋_GB2312" w:cs="仿宋_GB2312"/>
                <w:b w:val="0"/>
                <w:bCs w:val="0"/>
                <w:color w:val="auto"/>
                <w:spacing w:val="-9"/>
                <w:sz w:val="24"/>
                <w:szCs w:val="24"/>
                <w:highlight w:val="none"/>
              </w:rPr>
              <w:t xml:space="preserve">整理</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对网络资产进行摸查，统计接入电子政务外网的设</w:t>
            </w:r>
            <w:r>
              <w:rPr>
                <w:rFonts w:hint="eastAsia" w:ascii="仿宋_GB2312" w:hAnsi="仿宋_GB2312" w:eastAsia="仿宋_GB2312" w:cs="仿宋_GB2312"/>
                <w:b w:val="0"/>
                <w:bCs w:val="0"/>
                <w:color w:val="auto"/>
                <w:spacing w:val="-3"/>
                <w:sz w:val="24"/>
                <w:szCs w:val="24"/>
                <w:highlight w:val="none"/>
              </w:rPr>
              <w:t xml:space="preserve">备，规</w:t>
            </w:r>
            <w:r>
              <w:rPr>
                <w:rFonts w:hint="eastAsia" w:ascii="仿宋_GB2312" w:hAnsi="仿宋_GB2312" w:eastAsia="仿宋_GB2312" w:cs="仿宋_GB2312"/>
                <w:b w:val="0"/>
                <w:bCs w:val="0"/>
                <w:color w:val="auto"/>
                <w:spacing w:val="-2"/>
                <w:sz w:val="24"/>
                <w:szCs w:val="24"/>
                <w:highlight w:val="none"/>
              </w:rPr>
              <w:t xml:space="preserve">范接入设备类别，制定接入规范，按要求做好信息的收集整理。做好IP地址规划整理。形成全市台账清单</w:t>
            </w:r>
            <w:r>
              <w:rPr>
                <w:rFonts w:hint="eastAsia" w:ascii="仿宋_GB2312" w:hAnsi="仿宋_GB2312" w:eastAsia="仿宋_GB2312" w:cs="仿宋_GB2312"/>
                <w:b w:val="0"/>
                <w:bCs w:val="0"/>
                <w:color w:val="auto"/>
                <w:spacing w:val="-3"/>
                <w:sz w:val="24"/>
                <w:szCs w:val="24"/>
                <w:highlight w:val="none"/>
              </w:rPr>
              <w:t xml:space="preserve">提交电子</w:t>
            </w:r>
            <w:r>
              <w:rPr>
                <w:rFonts w:hint="eastAsia" w:ascii="仿宋_GB2312" w:hAnsi="仿宋_GB2312" w:eastAsia="仿宋_GB2312" w:cs="仿宋_GB2312"/>
                <w:b w:val="0"/>
                <w:bCs w:val="0"/>
                <w:color w:val="auto"/>
                <w:spacing w:val="-5"/>
                <w:sz w:val="24"/>
                <w:szCs w:val="24"/>
                <w:highlight w:val="none"/>
              </w:rPr>
              <w:t xml:space="preserve">政务中心。</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11"/>
                <w:sz w:val="24"/>
                <w:szCs w:val="24"/>
                <w:highlight w:val="none"/>
                <w:lang w:val="en-US" w:eastAsia="zh-CN"/>
              </w:rPr>
            </w:pPr>
            <w:r>
              <w:rPr>
                <w:rFonts w:hint="eastAsia" w:ascii="仿宋_GB2312" w:hAnsi="仿宋_GB2312" w:eastAsia="仿宋_GB2312" w:cs="仿宋_GB2312"/>
                <w:b w:val="0"/>
                <w:bCs w:val="0"/>
                <w:color w:val="auto"/>
                <w:spacing w:val="-11"/>
                <w:sz w:val="24"/>
                <w:szCs w:val="24"/>
                <w:highlight w:val="none"/>
                <w:lang w:val="en-US" w:eastAsia="zh-CN"/>
              </w:rPr>
              <w:t xml:space="preserve">10</w:t>
            </w:r>
            <w:r/>
          </w:p>
        </w:tc>
        <w:tc>
          <w:tcPr>
            <w:tcW w:w="129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每年11月</w:t>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11"/>
                <w:sz w:val="24"/>
                <w:szCs w:val="24"/>
                <w:highlight w:val="none"/>
              </w:rPr>
              <w:t xml:space="preserve">完成</w:t>
            </w:r>
            <w:r/>
          </w:p>
        </w:tc>
      </w:tr>
      <w:tr>
        <w:trPr>
          <w:jc w:val="center"/>
          <w:trHeight w:val="789"/>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13"/>
                <w:position w:val="1"/>
                <w:sz w:val="24"/>
                <w:szCs w:val="24"/>
                <w:highlight w:val="none"/>
              </w:rPr>
              <w:t xml:space="preserve">11</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工作配合</w:t>
            </w:r>
            <w:r>
              <w:rPr>
                <w:rFonts w:hint="eastAsia" w:ascii="仿宋_GB2312" w:hAnsi="仿宋_GB2312" w:eastAsia="仿宋_GB2312" w:cs="仿宋_GB2312"/>
                <w:b w:val="0"/>
                <w:bCs w:val="0"/>
                <w:color w:val="auto"/>
                <w:spacing w:val="-3"/>
                <w:sz w:val="24"/>
                <w:szCs w:val="24"/>
                <w:highlight w:val="none"/>
              </w:rPr>
              <w:t xml:space="preserve">度</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做好电子政务外网相关配合工作。</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6"/>
                <w:sz w:val="24"/>
                <w:szCs w:val="24"/>
                <w:highlight w:val="none"/>
                <w:lang w:val="en-US" w:eastAsia="zh-CN"/>
              </w:rPr>
            </w:pPr>
            <w:r>
              <w:rPr>
                <w:rFonts w:hint="eastAsia" w:ascii="仿宋_GB2312" w:hAnsi="仿宋_GB2312" w:eastAsia="仿宋_GB2312" w:cs="仿宋_GB2312"/>
                <w:b w:val="0"/>
                <w:bCs w:val="0"/>
                <w:color w:val="auto"/>
                <w:spacing w:val="-6"/>
                <w:sz w:val="24"/>
                <w:szCs w:val="24"/>
                <w:highlight w:val="none"/>
                <w:lang w:val="en-US" w:eastAsia="zh-CN"/>
              </w:rPr>
              <w:t xml:space="preserve">5</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按实际情</w:t>
            </w:r>
            <w:r>
              <w:rPr>
                <w:rFonts w:hint="eastAsia" w:ascii="仿宋_GB2312" w:hAnsi="仿宋_GB2312" w:eastAsia="仿宋_GB2312" w:cs="仿宋_GB2312"/>
                <w:b w:val="0"/>
                <w:bCs w:val="0"/>
                <w:color w:val="auto"/>
                <w:spacing w:val="-3"/>
                <w:sz w:val="24"/>
                <w:szCs w:val="24"/>
                <w:highlight w:val="none"/>
              </w:rPr>
              <w:t xml:space="preserve">况</w:t>
            </w:r>
            <w:r/>
          </w:p>
        </w:tc>
      </w:tr>
    </w:tbl>
    <w:p>
      <w:pPr>
        <w:pStyle w:val="1136"/>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以上考核要求，投标需能满足。</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六、技术方案要求</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1、总体方案：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供应商应根据项目建设目标、要求、内容等制定实施及建设总体方案。方案内容应包括但不限于：</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项目建设思路：充分了解兴化市电子政务外网现状及全市行政村分布情况，对标省级电子政务外网建设规范与技术参数，融合SDN、零信任等前沿技术，统筹链路、设备、平台、人力等资源，打造高速畅通、智能高效、安全可控的电子政务网络体系。</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实施要求：依据采购人规定的时限要求，完成全市行政村电子政务外网IP地址规划与配置（含IPv4地址规划表编制及IPv6地址规划配合），确保100%接入市电子政务外网，实现国家、省、市、县、镇、村六级互联互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（3）组织架构：建立合理的运维服务组织架构，明确项目经理及各级岗位职责与分工，确保运维服务工作有序开展。</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（4）进度计划：根据</w:t>
      </w: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0个工作日</w:t>
      </w:r>
      <w:r>
        <w:rPr>
          <w:rFonts w:hint="eastAsia" w:ascii="仿宋_GB2312" w:hAnsi="仿宋_GB2312" w:eastAsia="仿宋_GB2312" w:cs="仿宋_GB2312"/>
          <w:color w:val="auto"/>
          <w:sz w:val="28"/>
          <w:szCs w:val="28"/>
          <w:highlight w:val="none"/>
        </w:rPr>
        <w:t xml:space="preserve">内完成用户光纤链路接入、设备安装调试等要求，制定详细的分阶段实施进度计划，保障项目按时交付。</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（5）本地实施人员安排及证明：根据项目需求制定合理的人员安排方案，提供本地实施人员相关资质证明。</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2、业务服务方案：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供应商提供不中断服务方案，包括但不限于网络出口的负载均衡和冗余。方案内容应包括：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（1）负载均衡方案：制定网络出口流量负载均衡策略，实现多链路间的智能流量分配，保障网络出口带宽有效利用，确保全市行政村政务外网访问畅通。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（2）冗余备份方案：部署关键节点冗余架构，消除单点故障，确保链路故障时业务不中断，保障政务外网服务连续性。</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（3）高可用保障：建立不低于99.9%的网络可用性保障机制，确保7×24小时不间断链路监控与技术支持。</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3、日常服务方案：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供应商提供日常服务方案，包括但不限于服务标准、日常监控、服务报告等。方案内容应包括：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（1）服务标准：建立符合IT服务管理标准的运维服务体系，明确各项服务质量标准与考核指标。</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（2）日常监控：制定链路流量和运行状态监控方案，实时监测网络设备、链路状态、系统性能等，确保及时发现并处理潜在问题。</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（3）服务报告：建立定期服务报告制度，按季度提供运行维护报告，包括日常运维记录、链路流量分析、故障处理汇总等，对系统运行情况进行分析并提出优化建议。</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4、线路服务保障方案：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供应商提供维护服务方案，包括定期现场巡检、重大节假日排查、详细的组网和设备技术文档、配合进行网络结构调整割接等。方案内容应包括：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定期现场巡检：制定全市行政村接入设备及线路定期巡检计划，定期完成重要用户接入设备的巡检及参数备份工作，做好设备使用情况登记、配置检查优化和备份，适时提出优化改进方案。每次巡检结束后提供巡检报告。</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（2）重大节假日排查：重大活动、大型会议、节假日等重要时期，提前3天做好链路检测工作，查找风险并防范，提供完整规范的保障方案。活动保障期间加强重要部位现场值守及重点链路监控。</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（3）技术文档管理：提供详细的组网拓扑图、设备技术文档、配置文件等，建立完善详细的用户维护资料、线路档案和运行维护档案，确保技术资料完整、准确、可追溯。</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网络结构调整割接：配合采购人进行网络结构调整割接工作。需中断通信时，提前5天向采购人申请，待批准后实施，实施48小时前告知所涉及的用户，制定详细的割接方案和回退预案，确保割接过程平滑有序。</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5、应急处理方案：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供应商提供应急处理方案，包括但不限于应急保障机制、突发事件应急预案、故障处理、故障报告等。方案内容应包括：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（1）应急保障机制：建立健全应急保障组织架构，实行用户分级管理，明确各岗位安全生产职责，严格落实值班值守制度，保持24小时通信畅通。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（2）突发事件应急预案：制定分类分级的应急预案，包括但不限于网络中断应急预案、设备故障应急预案、网络安全事件应急预案等，确保突发事件和重要时期链路畅通。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故障处理：建立故障管理分级分类制度，明确故障处理流程、处理时限及升级机制。汇聚设备中断超过10分钟时，30分钟内通知所影响用户并给出初步故障判断报告，故障应在2小时内排除。故障响应率、故障恢复率、故障恢复及时率均须达到采购需求规定标准。</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（4）故障报告：建立完善的故障报告制度，及时报告故障发生时间、影响范围及恢复措施。重大故障发生后及时启动应急预案，事后将应急预案执行情况报告、重大故障处理报告上报采购人备案。</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6、业务过渡平滑性：</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为保障采购人业务的连续性，供应商应在充分调研客户业务架构和运行情况的基础上，就电子政务外网制定符合项目需求的组网方案，尽可能降低实施过程对现有网络运行的影响。方案内容应包括：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（1）现状调研：对现有电子政务外网业务架构、网络拓扑、设备配置、运行情况进行全面调研和评估。</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（2）组网方案：制定符合省级新一代电子政务外网建设指南的组网方案，包括网络拓扑设计、IP地址规划（含IPv4及IPv6）、设备选型与配置等。在关键节点部署冗余备份，避免单点故障导致网络中断。</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平滑过渡措施：制定分阶段、分步骤的业务迁移和过渡方案，确保现有政务业务系统在实施过程中不受影响或影响最小。针对接入单位办公场所变动、线路带宽调整、点位合署办公或机构撤并等情形，制定相应保障措施，确保各行政村电子政务外网业务平稳过渡。制定割接方案及回退预案，保障业务连续性。</w:t>
      </w:r>
      <w:r/>
    </w:p>
    <w:p>
      <w:pPr>
        <w:ind w:firstLine="560"/>
        <w:keepLines w:val="0"/>
        <w:keepNext w:val="0"/>
        <w:pageBreakBefore w:val="0"/>
        <w:spacing w:line="520" w:lineRule="exact"/>
        <w:rPr>
          <w:rFonts w:hint="eastAsia"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七、商务要求</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outlineLvl w:val="2"/>
      </w:pPr>
      <w:r>
        <w:rPr>
          <w:rFonts w:hint="eastAsia" w:ascii="仿宋_GB2312" w:hAnsi="仿宋_GB2312" w:eastAsia="仿宋_GB2312" w:cs="仿宋_GB2312"/>
          <w:b/>
          <w:bCs/>
          <w:color w:val="auto"/>
          <w:sz w:val="28"/>
          <w:szCs w:val="28"/>
          <w:highlight w:val="none"/>
          <w:lang w:val="en-US" w:eastAsia="zh-CN"/>
        </w:rPr>
        <w:t xml:space="preserve">1.履约保证金</w:t>
      </w:r>
      <w:r/>
    </w:p>
    <w:p>
      <w:pPr>
        <w:pStyle w:val="1136"/>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本项目</w:t>
      </w:r>
      <w:r>
        <w:rPr>
          <w:rFonts w:hint="eastAsia" w:ascii="仿宋_GB2312" w:hAnsi="仿宋_GB2312" w:eastAsia="仿宋_GB2312" w:cs="仿宋_GB2312"/>
          <w:b/>
          <w:bCs/>
          <w:color w:val="auto"/>
          <w:sz w:val="28"/>
          <w:szCs w:val="28"/>
          <w:highlight w:val="none"/>
          <w:u w:val="single"/>
          <w:lang w:val="en-US" w:eastAsia="zh-CN" w:bidi="ar-SA"/>
        </w:rPr>
        <w:t xml:space="preserve">不收取</w:t>
      </w:r>
      <w:r>
        <w:rPr>
          <w:rFonts w:hint="eastAsia" w:ascii="仿宋_GB2312" w:hAnsi="仿宋_GB2312" w:eastAsia="仿宋_GB2312" w:cs="仿宋_GB2312"/>
          <w:color w:val="auto"/>
          <w:sz w:val="28"/>
          <w:szCs w:val="28"/>
          <w:highlight w:val="none"/>
          <w:lang w:val="en-US" w:eastAsia="zh-CN" w:bidi="ar-SA"/>
        </w:rPr>
        <w:t xml:space="preserve">履约保证金。</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2.付款方式</w:t>
      </w:r>
      <w:r/>
    </w:p>
    <w:p>
      <w:pPr>
        <w:ind w:firstLine="480"/>
        <w:keepLines w:val="0"/>
        <w:keepNext w:val="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本合同项下服务费按年度结算。每个服务年度期满后，采购人依据本合同约定的考核标准对供应商当年度服务质量进行考核。考核结果合格的，采购人于该服务年度期满后，向供应商支付该年度服务费。</w:t>
      </w:r>
      <w:r/>
    </w:p>
    <w:p>
      <w:pPr>
        <w:ind w:firstLine="480"/>
        <w:keepLines w:val="0"/>
        <w:keepNext w:val="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若供应商在服务年度内未能按照招投标文件、本合同约定及相关标准提供服务，或当年度考核得分低于 60分（满分100分），则采购人有权在该年度应付服务费中直接扣除 10% 作为违约扣款，仅支付剩余 90% 的服务费。前述扣款不影响采购人依据本合同其他约定追究供应商违约责任的权利。</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3.服务期限</w:t>
      </w:r>
      <w:r/>
    </w:p>
    <w:p>
      <w:pPr>
        <w:ind w:firstLine="482"/>
        <w:keepLines w:val="0"/>
        <w:keepNext w:val="0"/>
        <w:pageBreakBefore w:val="0"/>
        <w:spacing w:line="52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rPr>
        <w:t xml:space="preserve">本项目采取</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lang w:eastAsia="zh-CN"/>
        </w:rPr>
        <w:t xml:space="preserve">次招标</w:t>
      </w: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lang w:eastAsia="zh-CN"/>
        </w:rPr>
        <w:t xml:space="preserve">年沿用”方式</w:t>
      </w:r>
      <w:r>
        <w:rPr>
          <w:rFonts w:hint="eastAsia" w:ascii="仿宋_GB2312" w:hAnsi="仿宋_GB2312" w:eastAsia="仿宋_GB2312" w:cs="仿宋_GB2312"/>
          <w:color w:val="auto"/>
          <w:sz w:val="28"/>
          <w:szCs w:val="28"/>
          <w:highlight w:val="none"/>
        </w:rPr>
        <w:t xml:space="preserve">，实行一年一考核一签合同的办法。如中标单位年度考核不合格，采购人有权终止合同，不再续签下一年合同。</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年</w:t>
      </w:r>
      <w:r>
        <w:rPr>
          <w:rFonts w:hint="eastAsia" w:ascii="仿宋_GB2312" w:hAnsi="仿宋_GB2312" w:eastAsia="仿宋_GB2312" w:cs="仿宋_GB2312"/>
          <w:color w:val="auto"/>
          <w:sz w:val="28"/>
          <w:szCs w:val="28"/>
          <w:highlight w:val="none"/>
        </w:rPr>
        <w:t xml:space="preserve">度考核得分低于60分，采购人有权单方解除合同，且双方互不承担违约责任</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4.项目验收要求</w:t>
      </w:r>
      <w:r/>
    </w:p>
    <w:p>
      <w:pPr>
        <w:ind w:firstLine="482"/>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采购文件、投标（响应）文件、厂家服务标准说明及有关国家的服务标准规定，均作为服务确认（验收）标准。服务确认（验收）合格后，中标（成交）供应商凭用户出具的服务合格书至采购人处根据合同规定办理付款手续。</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5采购标的所属行业</w:t>
      </w:r>
      <w:r/>
    </w:p>
    <w:p>
      <w:pPr>
        <w:ind w:firstLine="482"/>
        <w:keepLines w:val="0"/>
        <w:keepNext w:val="0"/>
        <w:pageBreakBefore w:val="0"/>
        <w:spacing w:line="520" w:lineRule="exact"/>
        <w:widowControl w:val="off"/>
        <w:rPr>
          <w:rFonts w:hint="eastAsia" w:ascii="黑体" w:hAnsi="黑体" w:eastAsia="黑体" w:cs="黑体"/>
          <w:b w:val="0"/>
          <w:bCs w:val="0"/>
          <w:color w:val="auto"/>
          <w:sz w:val="36"/>
          <w:szCs w:val="36"/>
          <w:highlight w:val="none"/>
        </w:rPr>
      </w:pPr>
      <w:r>
        <w:rPr>
          <w:rFonts w:hint="eastAsia" w:ascii="仿宋_GB2312" w:hAnsi="仿宋_GB2312" w:eastAsia="仿宋_GB2312" w:cs="仿宋_GB2312"/>
          <w:color w:val="auto"/>
          <w:sz w:val="28"/>
          <w:szCs w:val="28"/>
          <w:highlight w:val="none"/>
        </w:rPr>
        <w:t xml:space="preserve">参照《关于印发中小企业划型标准规定的通知》（工信部联企业〔2011〕300号）文件，本项目采购标的所属行业为：</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b/>
          <w:bCs/>
          <w:color w:val="auto"/>
          <w:sz w:val="28"/>
          <w:szCs w:val="28"/>
          <w:highlight w:val="none"/>
          <w:u w:val="single"/>
        </w:rPr>
        <w:t xml:space="preserve">信息传输业</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w:t>
      </w:r>
      <w:bookmarkStart w:id="190" w:name="_Toc120614281"/>
      <w:r>
        <w:rPr>
          <w:rFonts w:hint="eastAsia" w:ascii="黑体" w:hAnsi="黑体" w:eastAsia="黑体" w:cs="黑体"/>
          <w:b w:val="0"/>
          <w:bCs w:val="0"/>
          <w:color w:val="auto"/>
          <w:sz w:val="36"/>
          <w:szCs w:val="36"/>
          <w:highlight w:val="none"/>
        </w:rPr>
        <w:br w:type="page" w:clear="all"/>
      </w:r>
      <w:r/>
    </w:p>
    <w:p>
      <w:pPr>
        <w:ind w:right="0"/>
        <w:jc w:val="center"/>
        <w:keepNext/>
        <w:pageBreakBefore w:val="0"/>
        <w:spacing w:line="520" w:lineRule="exact"/>
        <w:rPr>
          <w:rFonts w:hint="eastAsia" w:ascii="黑体" w:hAnsi="黑体" w:eastAsia="黑体" w:cs="黑体"/>
          <w:b w:val="0"/>
          <w:bCs w:val="0"/>
          <w:color w:val="auto"/>
          <w:sz w:val="36"/>
          <w:szCs w:val="36"/>
          <w:highlight w:val="none"/>
        </w:rPr>
        <w:outlineLvl w:val="0"/>
      </w:pPr>
      <w:r>
        <w:rPr>
          <w:rFonts w:hint="eastAsia" w:ascii="黑体" w:hAnsi="黑体" w:eastAsia="黑体" w:cs="黑体"/>
          <w:b w:val="0"/>
          <w:bCs w:val="0"/>
          <w:color w:val="auto"/>
          <w:sz w:val="36"/>
          <w:szCs w:val="36"/>
          <w:highlight w:val="none"/>
        </w:rPr>
        <w:t xml:space="preserve">第五章  评审方法与评审标准</w:t>
      </w:r>
      <w:r/>
    </w:p>
    <w:p>
      <w:pPr>
        <w:ind w:left="0" w:right="0" w:firstLine="56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firstLine="560"/>
        <w:jc w:val="left"/>
        <w:keepLines w:val="0"/>
        <w:keepNext w:val="0"/>
        <w:pageBreakBefore w:val="0"/>
        <w:spacing w:line="500" w:lineRule="exact"/>
        <w:widowControl w:val="off"/>
        <w:rPr>
          <w:rFonts w:ascii="黑体" w:hAnsi="黑体" w:eastAsia="黑体" w:cs="黑体"/>
          <w:bCs/>
          <w:color w:val="000000"/>
          <w:sz w:val="28"/>
          <w:szCs w:val="28"/>
          <w:highlight w:val="yellow"/>
        </w:rPr>
      </w:pPr>
      <w:r>
        <w:rPr>
          <w:rFonts w:hint="eastAsia" w:ascii="黑体" w:hAnsi="黑体" w:eastAsia="黑体" w:cs="黑体"/>
          <w:bCs/>
          <w:color w:val="000000"/>
          <w:sz w:val="28"/>
          <w:szCs w:val="28"/>
        </w:rPr>
        <w:t xml:space="preserve">一、政府采购政策功能落实</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1、小微型企业价格扣除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（1）本项目对小型和微型企</w:t>
      </w:r>
      <w:r>
        <w:rPr>
          <w:rFonts w:hint="eastAsia" w:ascii="仿宋_GB2312" w:hAnsi="仿宋_GB2312" w:eastAsia="仿宋_GB2312" w:cs="仿宋_GB2312"/>
          <w:b w:val="0"/>
          <w:bCs w:val="0"/>
          <w:sz w:val="28"/>
          <w:szCs w:val="28"/>
        </w:rPr>
        <w:t xml:space="preserve">业产品给予</w:t>
      </w:r>
      <w:r>
        <w:rPr>
          <w:rFonts w:hint="eastAsia" w:ascii="仿宋_GB2312" w:hAnsi="仿宋_GB2312" w:eastAsia="仿宋_GB2312" w:cs="仿宋_GB2312"/>
          <w:b w:val="0"/>
          <w:bCs w:val="0"/>
          <w:sz w:val="28"/>
          <w:szCs w:val="28"/>
          <w:u w:val="single"/>
        </w:rPr>
        <w:t xml:space="preserve">10%</w:t>
      </w:r>
      <w:r>
        <w:rPr>
          <w:rFonts w:hint="eastAsia" w:ascii="仿宋_GB2312" w:hAnsi="仿宋_GB2312" w:eastAsia="仿宋_GB2312" w:cs="仿宋_GB2312"/>
          <w:b w:val="0"/>
          <w:bCs w:val="0"/>
          <w:sz w:val="28"/>
          <w:szCs w:val="28"/>
          <w:u w:val="single"/>
          <w:lang w:val="en-US" w:eastAsia="zh-CN"/>
        </w:rPr>
        <w:t xml:space="preserve"> </w:t>
      </w:r>
      <w:r>
        <w:rPr>
          <w:rFonts w:hint="eastAsia" w:ascii="仿宋_GB2312" w:hAnsi="仿宋_GB2312" w:eastAsia="仿宋_GB2312" w:cs="仿宋_GB2312"/>
          <w:b w:val="0"/>
          <w:bCs w:val="0"/>
          <w:sz w:val="28"/>
          <w:szCs w:val="28"/>
        </w:rPr>
        <w:t xml:space="preserve">的扣除价格，用扣除后的价格参与评审。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（2）供应商需按照采购文件的要求提供相应的《中小微企业声明函》。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（3）企业标准请参照《关于印发中小企业划型标准规定的通知》（工信部联企业[2011]300号）文件规定自行填写。</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2、残疾人福利单位价格扣除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（1）本项目对残疾人福利性单位视同小型、微型企业，给予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（2）残疾人福利单位需按照采购文件的要求提供《残疾人福利性单位声明函》。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（3）残疾人福利单位标准请参照《关于促进残疾人就业政府采购政策的通知》（财库〔2017〕141号）。</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3、监狱和戒毒企业价格扣除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（1）本项目对监狱和戒毒企业（简称监狱企业）视同小型、微型企业，给予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（3）监狱企业标准请参照《关于政府采购支持监狱企业发展有关问题的通知》（财库[2014]68号）。</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p>
    <w:p>
      <w:pPr>
        <w:ind w:firstLine="560"/>
        <w:jc w:val="left"/>
        <w:keepLines w:val="0"/>
        <w:keepNext w:val="0"/>
        <w:pageBreakBefore w:val="0"/>
        <w:spacing w:line="500" w:lineRule="exact"/>
        <w:widowControl w:val="off"/>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5、本项目</w:t>
      </w:r>
      <w:r>
        <w:rPr>
          <w:rFonts w:hint="eastAsia" w:ascii="仿宋_GB2312" w:hAnsi="仿宋_GB2312" w:eastAsia="仿宋_GB2312" w:cs="仿宋_GB2312"/>
          <w:b/>
          <w:bCs/>
          <w:sz w:val="28"/>
          <w:szCs w:val="28"/>
          <w:u w:val="single"/>
          <w:lang w:eastAsia="zh-CN"/>
        </w:rPr>
        <w:t xml:space="preserve">不</w:t>
      </w:r>
      <w:r>
        <w:rPr>
          <w:rFonts w:hint="eastAsia" w:ascii="仿宋_GB2312" w:hAnsi="仿宋_GB2312" w:eastAsia="仿宋_GB2312" w:cs="仿宋_GB2312"/>
          <w:b/>
          <w:bCs/>
          <w:sz w:val="28"/>
          <w:szCs w:val="28"/>
          <w:u w:val="single"/>
        </w:rPr>
        <w:t xml:space="preserve">同意</w:t>
      </w:r>
      <w:r>
        <w:rPr>
          <w:rFonts w:hint="eastAsia" w:ascii="仿宋_GB2312" w:hAnsi="仿宋_GB2312" w:eastAsia="仿宋_GB2312" w:cs="仿宋_GB2312"/>
          <w:sz w:val="28"/>
          <w:szCs w:val="28"/>
        </w:rPr>
        <w:t xml:space="preserve">联合体参加</w:t>
      </w:r>
      <w:r>
        <w:rPr>
          <w:rFonts w:hint="eastAsia" w:ascii="仿宋_GB2312" w:hAnsi="仿宋_GB2312" w:eastAsia="仿宋_GB2312" w:cs="仿宋_GB2312"/>
          <w:sz w:val="28"/>
          <w:szCs w:val="28"/>
          <w:lang w:eastAsia="zh-CN"/>
        </w:rPr>
        <w:t xml:space="preserve">投标。</w:t>
      </w:r>
      <w:r/>
    </w:p>
    <w:p>
      <w:pPr>
        <w:ind w:left="0" w:right="0" w:firstLine="560"/>
        <w:keepLines w:val="0"/>
        <w:keepNext w:val="0"/>
        <w:pageBreakBefore w:val="0"/>
        <w:spacing w:line="5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二、关于报价的相关要求</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auto"/>
          <w:sz w:val="28"/>
          <w:szCs w:val="28"/>
        </w:rPr>
        <w:t xml:space="preserve">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rPr>
        <w:t xml:space="preserve">）供应商未在</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小组规定的时间内完成最后报价的视为放弃</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，其</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响应按无效响应处理。</w:t>
      </w:r>
      <w:r/>
    </w:p>
    <w:p>
      <w:pPr>
        <w:ind w:left="0" w:right="0" w:firstLine="560"/>
        <w:keepLines w:val="0"/>
        <w:keepNext w:val="0"/>
        <w:pageBreakBefore w:val="0"/>
        <w:spacing w:line="500" w:lineRule="exact"/>
        <w:widowControl w:val="off"/>
        <w:rPr>
          <w:rFonts w:hint="eastAsia" w:ascii="仿宋" w:hAnsi="仿宋" w:eastAsia="仿宋" w:cs="仿宋_GB2312"/>
          <w:sz w:val="28"/>
          <w:szCs w:val="28"/>
          <w:shd w:val="clear" w:color="auto" w:fill="ffffff"/>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）各供应商最后报价结束后,如</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小组认为最后最低的供应商的报价</w:t>
      </w:r>
      <w:r>
        <w:rPr>
          <w:rFonts w:hint="eastAsia" w:ascii="仿宋_GB2312" w:hAnsi="仿宋_GB2312" w:eastAsia="仿宋_GB2312" w:cs="仿宋_GB2312"/>
          <w:sz w:val="28"/>
          <w:szCs w:val="28"/>
          <w:shd w:val="clear" w:color="auto" w:fill="ffffff"/>
        </w:rPr>
        <w:t xml:space="preserve">明显低于其他通过符合性审查供应商的报价，有可能影响产品质量或者不能诚信履约的，应当要求其在</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现场规定的时间内提供书面说明，必要时提交相关证明材料；</w:t>
      </w:r>
      <w:r>
        <w:rPr>
          <w:rFonts w:hint="eastAsia" w:ascii="仿宋_GB2312" w:hAnsi="仿宋_GB2312" w:eastAsia="仿宋_GB2312" w:cs="仿宋_GB2312"/>
          <w:sz w:val="28"/>
          <w:szCs w:val="28"/>
        </w:rPr>
        <w:t xml:space="preserve">若该供应商拒绝说明或未在规定时间内提供书面说明，或虽有书面说明但仍无法证明其报价合理性的</w:t>
      </w:r>
      <w:r>
        <w:rPr>
          <w:rFonts w:hint="eastAsia" w:ascii="仿宋_GB2312" w:hAnsi="仿宋_GB2312" w:eastAsia="仿宋_GB2312" w:cs="仿宋_GB2312"/>
          <w:sz w:val="28"/>
          <w:szCs w:val="28"/>
          <w:shd w:val="clear" w:color="auto" w:fill="ffffff"/>
        </w:rPr>
        <w:t xml:space="preserve">，</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小组应当将其作为无效响应文件处理。</w:t>
      </w:r>
      <w:r/>
    </w:p>
    <w:p>
      <w:pPr>
        <w:pStyle w:val="1045"/>
        <w:ind w:left="0" w:right="0" w:firstLine="562"/>
        <w:keepLines w:val="0"/>
        <w:keepNext w:val="0"/>
        <w:pageBreakBefore w:val="0"/>
        <w:spacing w:line="500" w:lineRule="exact"/>
        <w:widowControl w:val="off"/>
        <w:rPr>
          <w:rFonts w:hint="eastAsia" w:ascii="仿宋" w:hAnsi="仿宋" w:eastAsia="仿宋" w:cs="宋体"/>
          <w:b/>
          <w:szCs w:val="28"/>
        </w:rPr>
      </w:pPr>
      <w:r>
        <w:rPr>
          <w:rFonts w:hint="eastAsia" w:ascii="仿宋" w:hAnsi="仿宋" w:eastAsia="仿宋" w:cs="宋体"/>
          <w:b/>
          <w:szCs w:val="28"/>
          <w:lang w:eastAsia="zh-CN"/>
        </w:rPr>
        <w:t xml:space="preserve">磋商</w:t>
      </w:r>
      <w:r>
        <w:rPr>
          <w:rFonts w:hint="eastAsia" w:ascii="仿宋" w:hAnsi="仿宋" w:eastAsia="仿宋" w:cs="宋体"/>
          <w:b/>
          <w:szCs w:val="28"/>
        </w:rPr>
        <w:t xml:space="preserve">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45"/>
        <w:ind w:left="0" w:right="0" w:firstLine="560"/>
        <w:keepLines w:val="0"/>
        <w:keepNext w:val="0"/>
        <w:pageBreakBefore w:val="0"/>
        <w:spacing w:line="500" w:lineRule="exact"/>
        <w:widowControl w:val="off"/>
        <w:rPr>
          <w:rFonts w:hint="eastAsia" w:ascii="黑体" w:hAnsi="黑体" w:eastAsia="黑体" w:cs="黑体"/>
          <w:b w:val="0"/>
          <w:bCs/>
          <w:szCs w:val="28"/>
        </w:rPr>
      </w:pPr>
      <w:r>
        <w:rPr>
          <w:rFonts w:hint="eastAsia" w:ascii="黑体" w:hAnsi="黑体" w:eastAsia="黑体" w:cs="黑体"/>
          <w:b w:val="0"/>
          <w:bCs/>
          <w:szCs w:val="28"/>
          <w:lang w:eastAsia="zh-CN"/>
        </w:rPr>
        <w:t xml:space="preserve">根据财政部《</w:t>
      </w:r>
      <w:r>
        <w:rPr>
          <w:rFonts w:hint="eastAsia" w:ascii="黑体" w:hAnsi="黑体" w:eastAsia="黑体" w:cs="黑体"/>
          <w:b w:val="0"/>
          <w:bCs/>
          <w:szCs w:val="28"/>
        </w:rPr>
        <w:t xml:space="preserve">关于推动解决政府采购异常低价问题的通知</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财库〔2026〕2号文件要求</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评审过程中出现下列情形之一的，</w:t>
      </w:r>
      <w:r>
        <w:rPr>
          <w:rFonts w:hint="eastAsia" w:ascii="黑体" w:hAnsi="黑体" w:eastAsia="黑体" w:cs="黑体"/>
          <w:b w:val="0"/>
          <w:bCs/>
          <w:szCs w:val="28"/>
          <w:lang w:eastAsia="zh-CN"/>
        </w:rPr>
        <w:t xml:space="preserve">磋商小组</w:t>
      </w:r>
      <w:r>
        <w:rPr>
          <w:rFonts w:hint="eastAsia" w:ascii="黑体" w:hAnsi="黑体" w:eastAsia="黑体" w:cs="黑体"/>
          <w:b w:val="0"/>
          <w:bCs/>
          <w:szCs w:val="28"/>
        </w:rPr>
        <w:t xml:space="preserve">应当启动异常低价投标(响应)审查程序:</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1.投标（响应）报价低于全部通过符合性审查供应商投标（响应）报价平均值50%的，即投标（响应）报价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全部通过符合性审查供应商投标（响应）报价平均值×50%；</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2.投标（响应）报价低于通过符合性审查的次低报价供应商投标（响应）报价50%的，即投标（响应）报价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val="0"/>
          <w:bCs/>
          <w:szCs w:val="28"/>
          <w:lang w:val="en-US" w:eastAsia="zh-CN"/>
        </w:rPr>
        <w:t xml:space="preserve"> </w:t>
      </w:r>
      <w:r>
        <w:rPr>
          <w:rFonts w:hint="eastAsia" w:ascii="仿宋_GB2312" w:hAnsi="仿宋_GB2312" w:eastAsia="仿宋_GB2312" w:cs="仿宋_GB2312"/>
          <w:b w:val="0"/>
          <w:bCs/>
          <w:szCs w:val="28"/>
        </w:rPr>
        <w:t xml:space="preserve">通过符合性审查的次低报价供应商投标（响应）报价×50%；</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3.投标（响应）报价低于采购项目最高限价45%的，即投标（响应）报价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采购项目最高限价×45%；</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4.评审委员会基于专业判断，认为供应商报价过低，有可能影响产品质量或者不能诚信履约的其他情形。</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jc w:val="left"/>
        <w:keepLines w:val="0"/>
        <w:keepNext w:val="0"/>
        <w:pageBreakBefore w:val="0"/>
        <w:spacing w:line="500" w:lineRule="exact"/>
        <w:rPr>
          <w:rFonts w:hint="eastAsia" w:ascii="黑体" w:hAnsi="黑体" w:eastAsia="黑体" w:cs="黑体"/>
          <w:bCs/>
          <w:color w:val="auto"/>
          <w:sz w:val="28"/>
          <w:szCs w:val="28"/>
        </w:rPr>
        <w:outlineLvl w:val="9"/>
      </w:pPr>
      <w:r>
        <w:rPr>
          <w:rFonts w:hint="eastAsia" w:ascii="黑体" w:hAnsi="黑体" w:eastAsia="黑体" w:cs="黑体"/>
          <w:bCs/>
          <w:color w:val="auto"/>
          <w:sz w:val="28"/>
          <w:szCs w:val="28"/>
          <w:lang w:eastAsia="zh-CN"/>
        </w:rPr>
        <w:t xml:space="preserve">三、</w:t>
      </w:r>
      <w:r>
        <w:rPr>
          <w:rFonts w:hint="eastAsia" w:ascii="黑体" w:hAnsi="黑体" w:eastAsia="黑体" w:cs="黑体"/>
          <w:bCs/>
          <w:color w:val="auto"/>
          <w:sz w:val="28"/>
          <w:szCs w:val="28"/>
        </w:rPr>
        <w:t xml:space="preserve">政府采购中实施本国产品标准及相关政策</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lang w:eastAsia="zh-CN"/>
        </w:rPr>
      </w:pPr>
      <w:r>
        <w:rPr>
          <w:rFonts w:hint="eastAsia" w:ascii="仿宋_GB2312" w:hAnsi="仿宋_GB2312" w:eastAsia="仿宋_GB2312" w:cs="仿宋_GB2312"/>
          <w:bCs/>
          <w:color w:val="auto"/>
          <w:sz w:val="28"/>
          <w:szCs w:val="28"/>
        </w:rPr>
        <w:t xml:space="preserve">1.本项目对采购本国产品给予政策支持</w:t>
      </w:r>
      <w:r>
        <w:rPr>
          <w:rFonts w:hint="eastAsia" w:ascii="仿宋_GB2312" w:hAnsi="仿宋_GB2312" w:eastAsia="仿宋_GB2312" w:cs="仿宋_GB2312"/>
          <w:bCs/>
          <w:color w:val="auto"/>
          <w:sz w:val="28"/>
          <w:szCs w:val="28"/>
          <w:lang w:eastAsia="zh-CN"/>
        </w:rPr>
        <w:t xml:space="preserve">。</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4</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本项目政府采购活动中既有本国产品又有非本国产品参与竞争的，依法对本国产品给予价格评审优惠，对本国产品的报价给予</w:t>
      </w:r>
      <w:r>
        <w:rPr>
          <w:rFonts w:hint="eastAsia" w:ascii="仿宋_GB2312" w:hAnsi="仿宋_GB2312" w:eastAsia="仿宋_GB2312" w:cs="仿宋_GB2312"/>
          <w:b/>
          <w:bCs/>
          <w:color w:val="auto"/>
          <w:sz w:val="28"/>
          <w:szCs w:val="28"/>
          <w:u w:val="single"/>
        </w:rPr>
        <w:t xml:space="preserve"> 20%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5</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80%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以上时（供应商需在“第六章 投标文件格式”的“附件</w:t>
      </w:r>
      <w:r>
        <w:rPr>
          <w:rFonts w:hint="eastAsia" w:ascii="仿宋_GB2312" w:hAnsi="仿宋_GB2312" w:eastAsia="仿宋_GB2312" w:cs="仿宋_GB2312"/>
          <w:color w:val="auto"/>
          <w:sz w:val="28"/>
          <w:szCs w:val="28"/>
          <w:lang w:eastAsia="zh-CN"/>
        </w:rPr>
        <w:t xml:space="preserve">1</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 成本比例声明函”中填写比例数值），依法对该供应商提供的全部产品给予价格评审优惠，即对该供应商提供的全部产品的总报价给予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20%</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的价格扣除，用扣除后的价格参与评审。供应商未填写比例数值，或比例数值</w:t>
      </w:r>
      <w:r>
        <w:rPr>
          <w:rFonts w:hint="eastAsia" w:ascii="仿宋_GB2312" w:hAnsi="仿宋_GB2312" w:eastAsia="仿宋_GB2312" w:cs="仿宋_GB2312"/>
          <w:color w:val="auto"/>
          <w:sz w:val="28"/>
          <w:szCs w:val="28"/>
          <w:highlight w:val="yellow"/>
        </w:rPr>
        <w:t xml:space="preserve">未达到</w:t>
      </w:r>
      <w:r>
        <w:rPr>
          <w:rFonts w:hint="eastAsia" w:ascii="仿宋_GB2312" w:hAnsi="仿宋_GB2312" w:eastAsia="仿宋_GB2312" w:cs="仿宋_GB2312"/>
          <w:color w:val="auto"/>
          <w:sz w:val="28"/>
          <w:szCs w:val="28"/>
        </w:rPr>
        <w:t xml:space="preserve">80%的，将不享受本国产品价格评审优惠。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6</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供应商需按照招标文件的要求提供《关于符合本国产品标准的声明函》（以下简称《声明函》），如不提供将不享受本国产品价格评审优惠。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7</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供应商需在《声明函》中逐一、准确填写产品名称、厂名、生产厂址三项信息（</w:t>
      </w:r>
      <w:r>
        <w:rPr>
          <w:rFonts w:hint="eastAsia" w:ascii="仿宋_GB2312" w:hAnsi="仿宋_GB2312" w:eastAsia="仿宋_GB2312" w:cs="仿宋_GB2312"/>
          <w:color w:val="auto"/>
          <w:sz w:val="28"/>
          <w:szCs w:val="28"/>
          <w:highlight w:val="yellow"/>
        </w:rPr>
        <w:t xml:space="preserve">《声明函》中用斜线划除的地方无需填写</w:t>
      </w:r>
      <w:r>
        <w:rPr>
          <w:rFonts w:hint="eastAsia" w:ascii="仿宋_GB2312" w:hAnsi="仿宋_GB2312" w:eastAsia="仿宋_GB2312" w:cs="仿宋_GB2312"/>
          <w:color w:val="auto"/>
          <w:sz w:val="28"/>
          <w:szCs w:val="28"/>
        </w:rPr>
        <w:t xml:space="preserve">），三项信息中任意一项未填写的视为该项产品不符合本国产品标准，不享受本国产品价格评审优惠。</w:t>
      </w:r>
      <w:r/>
    </w:p>
    <w:p>
      <w:pPr>
        <w:ind w:right="0" w:firstLine="560"/>
        <w:jc w:val="left"/>
        <w:keepLines w:val="0"/>
        <w:keepNext w:val="0"/>
        <w:pageBreakBefore w:val="0"/>
        <w:spacing w:line="500" w:lineRule="exact"/>
        <w:widowControl/>
        <w:rPr>
          <w:rFonts w:hint="eastAsia" w:ascii="仿宋_GB2312" w:hAnsi="仿宋_GB2312" w:eastAsia="仿宋_GB2312" w:cs="仿宋_GB2312"/>
          <w:b w:val="0"/>
          <w:bCs w:val="0"/>
          <w:i w:val="0"/>
          <w:iCs w:val="0"/>
          <w:color w:val="auto"/>
          <w:sz w:val="28"/>
          <w:szCs w:val="28"/>
          <w:u w:val="single"/>
        </w:rPr>
        <w:outlineLvl w:val="9"/>
      </w:pPr>
      <w:r>
        <w:rPr>
          <w:rFonts w:hint="eastAsia" w:ascii="仿宋_GB2312" w:hAnsi="仿宋_GB2312" w:eastAsia="仿宋_GB2312" w:cs="仿宋_GB2312"/>
          <w:color w:val="auto"/>
          <w:sz w:val="28"/>
          <w:szCs w:val="28"/>
          <w:lang w:eastAsia="zh-CN"/>
        </w:rPr>
        <w:t xml:space="preserve">8</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val="0"/>
        <w:keepNext w:val="0"/>
        <w:pageBreakBefore w:val="0"/>
        <w:spacing w:line="500" w:lineRule="exact"/>
        <w:widowControl w:val="off"/>
        <w:rPr>
          <w:rFonts w:hint="eastAsia" w:ascii="黑体" w:hAnsi="黑体" w:eastAsia="黑体" w:cs="黑体"/>
          <w:b w:val="0"/>
          <w:bCs/>
          <w:color w:val="auto"/>
          <w:sz w:val="28"/>
          <w:szCs w:val="28"/>
          <w:highlight w:val="none"/>
          <w:lang w:eastAsia="zh-CN"/>
        </w:rPr>
      </w:pPr>
      <w:r>
        <w:rPr>
          <w:rFonts w:hint="eastAsia" w:ascii="黑体" w:hAnsi="黑体" w:eastAsia="黑体" w:cs="黑体"/>
          <w:b w:val="0"/>
          <w:bCs/>
          <w:color w:val="auto"/>
          <w:sz w:val="28"/>
          <w:szCs w:val="28"/>
          <w:highlight w:val="none"/>
          <w:lang w:eastAsia="zh-CN"/>
        </w:rPr>
        <w:t xml:space="preserve">三、评审办法和评审标准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000000"/>
          <w:sz w:val="28"/>
          <w:szCs w:val="28"/>
        </w:rPr>
        <w:t xml:space="preserve">本次评标</w:t>
      </w:r>
      <w:r>
        <w:rPr>
          <w:rFonts w:hint="eastAsia" w:ascii="仿宋_GB2312" w:hAnsi="仿宋_GB2312" w:eastAsia="仿宋_GB2312" w:cs="仿宋_GB2312"/>
          <w:color w:val="000000"/>
          <w:sz w:val="28"/>
          <w:szCs w:val="28"/>
          <w:lang w:val="en-US" w:eastAsia="zh-CN"/>
        </w:rPr>
        <w:t xml:space="preserve">2个分包均</w:t>
      </w:r>
      <w:r>
        <w:rPr>
          <w:rFonts w:hint="eastAsia" w:ascii="仿宋_GB2312" w:hAnsi="仿宋_GB2312" w:eastAsia="仿宋_GB2312" w:cs="仿宋_GB2312"/>
          <w:color w:val="000000"/>
          <w:sz w:val="28"/>
          <w:szCs w:val="28"/>
        </w:rPr>
        <w:t xml:space="preserve">采用</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sz w:val="28"/>
          <w:szCs w:val="28"/>
        </w:rPr>
        <w:t xml:space="preserve">，由</w:t>
      </w:r>
      <w:r>
        <w:rPr>
          <w:rFonts w:hint="eastAsia" w:ascii="仿宋_GB2312" w:hAnsi="仿宋_GB2312" w:eastAsia="仿宋_GB2312" w:cs="仿宋_GB2312"/>
          <w:sz w:val="28"/>
          <w:szCs w:val="28"/>
          <w:lang w:eastAsia="zh-CN"/>
        </w:rPr>
        <w:t xml:space="preserve">磋商小组</w:t>
      </w:r>
      <w:r>
        <w:rPr>
          <w:rFonts w:hint="eastAsia" w:ascii="仿宋_GB2312" w:hAnsi="仿宋_GB2312" w:eastAsia="仿宋_GB2312" w:cs="仿宋_GB2312"/>
          <w:sz w:val="28"/>
          <w:szCs w:val="28"/>
        </w:rPr>
        <w:t xml:space="preserve">根据评分办法规定的各项因素综合评定打分，按照最终得分由高到低的顺序排列。最终得分相同的，按照</w:t>
      </w:r>
      <w:r>
        <w:rPr>
          <w:rFonts w:hint="eastAsia" w:ascii="仿宋_GB2312" w:hAnsi="仿宋_GB2312" w:eastAsia="仿宋_GB2312" w:cs="仿宋_GB2312"/>
          <w:sz w:val="28"/>
          <w:szCs w:val="28"/>
          <w:lang w:eastAsia="zh-CN"/>
        </w:rPr>
        <w:t xml:space="preserve">最后响应</w:t>
      </w:r>
      <w:r>
        <w:rPr>
          <w:rFonts w:hint="eastAsia" w:ascii="仿宋_GB2312" w:hAnsi="仿宋_GB2312" w:eastAsia="仿宋_GB2312" w:cs="仿宋_GB2312"/>
          <w:sz w:val="28"/>
          <w:szCs w:val="28"/>
        </w:rPr>
        <w:t xml:space="preserve">报价由低到高顺序排列。得分相同且</w:t>
      </w:r>
      <w:r>
        <w:rPr>
          <w:rFonts w:hint="eastAsia" w:ascii="仿宋_GB2312" w:hAnsi="仿宋_GB2312" w:eastAsia="仿宋_GB2312" w:cs="仿宋_GB2312"/>
          <w:sz w:val="28"/>
          <w:szCs w:val="28"/>
          <w:lang w:eastAsia="zh-CN"/>
        </w:rPr>
        <w:t xml:space="preserve">响应</w:t>
      </w:r>
      <w:r>
        <w:rPr>
          <w:rFonts w:hint="eastAsia" w:ascii="仿宋_GB2312" w:hAnsi="仿宋_GB2312" w:eastAsia="仿宋_GB2312" w:cs="仿宋_GB2312"/>
          <w:sz w:val="28"/>
          <w:szCs w:val="28"/>
        </w:rPr>
        <w:t xml:space="preserve">报价相同的，由采购人采取随机抽取的方式确定排名顺序。</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2、</w:t>
      </w:r>
      <w:r>
        <w:rPr>
          <w:rFonts w:hint="eastAsia" w:ascii="仿宋_GB2312" w:hAnsi="仿宋_GB2312" w:eastAsia="仿宋_GB2312" w:cs="仿宋_GB2312"/>
          <w:b w:val="0"/>
          <w:bCs w:val="0"/>
          <w:color w:val="000000"/>
          <w:sz w:val="28"/>
          <w:szCs w:val="28"/>
        </w:rPr>
        <w:t xml:space="preserve">本项目</w:t>
      </w:r>
      <w:r>
        <w:rPr>
          <w:rFonts w:hint="eastAsia" w:ascii="仿宋_GB2312" w:hAnsi="仿宋_GB2312" w:eastAsia="仿宋_GB2312" w:cs="仿宋_GB2312"/>
          <w:color w:val="000000"/>
          <w:sz w:val="28"/>
          <w:szCs w:val="28"/>
          <w:lang w:val="en-US" w:eastAsia="zh-CN"/>
        </w:rPr>
        <w:t xml:space="preserve">2个分包各</w:t>
      </w:r>
      <w:r>
        <w:rPr>
          <w:rFonts w:hint="eastAsia" w:ascii="仿宋_GB2312" w:hAnsi="仿宋_GB2312" w:eastAsia="仿宋_GB2312" w:cs="仿宋_GB2312"/>
          <w:b w:val="0"/>
          <w:bCs w:val="0"/>
          <w:color w:val="000000"/>
          <w:sz w:val="28"/>
          <w:szCs w:val="28"/>
        </w:rPr>
        <w:t xml:space="preserve">选取</w:t>
      </w:r>
      <w:r>
        <w:rPr>
          <w:rFonts w:hint="eastAsia" w:ascii="仿宋_GB2312" w:hAnsi="仿宋_GB2312" w:eastAsia="仿宋_GB2312" w:cs="仿宋_GB2312"/>
          <w:b/>
          <w:bCs/>
          <w:color w:val="000000"/>
          <w:sz w:val="28"/>
          <w:szCs w:val="28"/>
          <w:u w:val="single"/>
        </w:rPr>
        <w:t xml:space="preserve">3名</w:t>
      </w:r>
      <w:r>
        <w:rPr>
          <w:rFonts w:hint="eastAsia" w:ascii="仿宋_GB2312" w:hAnsi="仿宋_GB2312" w:eastAsia="仿宋_GB2312" w:cs="仿宋_GB2312"/>
          <w:b/>
          <w:bCs/>
          <w:color w:val="000000"/>
          <w:sz w:val="28"/>
          <w:szCs w:val="28"/>
          <w:u w:val="single"/>
          <w:lang w:eastAsia="zh-CN"/>
        </w:rPr>
        <w:t xml:space="preserve">成交</w:t>
      </w:r>
      <w:r>
        <w:rPr>
          <w:rFonts w:hint="eastAsia" w:ascii="仿宋_GB2312" w:hAnsi="仿宋_GB2312" w:eastAsia="仿宋_GB2312" w:cs="仿宋_GB2312"/>
          <w:b/>
          <w:bCs/>
          <w:color w:val="000000"/>
          <w:sz w:val="28"/>
          <w:szCs w:val="28"/>
          <w:u w:val="single"/>
        </w:rPr>
        <w:t xml:space="preserve">候选人</w:t>
      </w:r>
      <w:r>
        <w:rPr>
          <w:rFonts w:hint="eastAsia" w:ascii="仿宋_GB2312" w:hAnsi="仿宋_GB2312" w:eastAsia="仿宋_GB2312" w:cs="仿宋_GB2312"/>
          <w:b w:val="0"/>
          <w:bCs w:val="0"/>
          <w:color w:val="auto"/>
          <w:sz w:val="28"/>
          <w:szCs w:val="28"/>
          <w:highlight w:val="none"/>
        </w:rPr>
        <w:t xml:space="preserve">。采购人确定最终得分最高且排名第一的</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候选人为</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供应商。</w:t>
      </w:r>
      <w:r/>
    </w:p>
    <w:p>
      <w:pPr>
        <w:ind w:left="0" w:right="0" w:firstLine="560"/>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u w:val="single"/>
        </w:rPr>
      </w:pPr>
      <w:r>
        <w:rPr>
          <w:rFonts w:hint="eastAsia" w:ascii="仿宋_GB2312" w:hAnsi="仿宋_GB2312" w:eastAsia="仿宋_GB2312" w:cs="仿宋_GB2312"/>
          <w:b w:val="0"/>
          <w:bCs w:val="0"/>
          <w:color w:val="auto"/>
          <w:sz w:val="28"/>
          <w:szCs w:val="28"/>
          <w:u w:val="single"/>
          <w:lang w:val="en-US" w:eastAsia="zh-CN" w:bidi="ar-SA"/>
        </w:rPr>
        <w:t xml:space="preserve">3、</w:t>
      </w:r>
      <w:r>
        <w:rPr>
          <w:rFonts w:hint="eastAsia" w:ascii="仿宋_GB2312" w:hAnsi="仿宋_GB2312" w:eastAsia="仿宋_GB2312" w:cs="仿宋_GB2312"/>
          <w:b w:val="0"/>
          <w:bCs w:val="0"/>
          <w:color w:val="000000"/>
          <w:sz w:val="28"/>
          <w:szCs w:val="28"/>
          <w:u w:val="single"/>
        </w:rPr>
        <w:t xml:space="preserve">本项目按分包</w:t>
      </w:r>
      <w:r>
        <w:rPr>
          <w:rFonts w:hint="eastAsia" w:ascii="仿宋_GB2312" w:hAnsi="仿宋_GB2312" w:eastAsia="仿宋_GB2312" w:cs="仿宋_GB2312"/>
          <w:b w:val="0"/>
          <w:bCs w:val="0"/>
          <w:color w:val="000000"/>
          <w:sz w:val="28"/>
          <w:szCs w:val="28"/>
          <w:u w:val="single"/>
          <w:lang w:val="en-US" w:eastAsia="zh-CN"/>
        </w:rPr>
        <w:t xml:space="preserve">1至分包2的</w:t>
      </w:r>
      <w:r>
        <w:rPr>
          <w:rFonts w:hint="eastAsia" w:ascii="仿宋_GB2312" w:hAnsi="仿宋_GB2312" w:eastAsia="仿宋_GB2312" w:cs="仿宋_GB2312"/>
          <w:b w:val="0"/>
          <w:bCs w:val="0"/>
          <w:color w:val="000000"/>
          <w:sz w:val="28"/>
          <w:szCs w:val="28"/>
          <w:u w:val="single"/>
        </w:rPr>
        <w:t xml:space="preserve">顺序开评标，供应商可参与所有分包的投标，</w:t>
      </w:r>
      <w:r>
        <w:rPr>
          <w:rFonts w:hint="eastAsia" w:ascii="仿宋_GB2312" w:hAnsi="仿宋_GB2312" w:eastAsia="仿宋_GB2312" w:cs="仿宋_GB2312"/>
          <w:b w:val="0"/>
          <w:bCs w:val="0"/>
          <w:color w:val="auto"/>
          <w:sz w:val="28"/>
          <w:szCs w:val="28"/>
          <w:highlight w:val="none"/>
          <w:u w:val="single"/>
        </w:rPr>
        <w:t xml:space="preserve">可兼投不可兼中</w:t>
      </w:r>
      <w:r>
        <w:rPr>
          <w:rFonts w:hint="eastAsia" w:ascii="仿宋_GB2312" w:hAnsi="仿宋_GB2312" w:eastAsia="仿宋_GB2312" w:cs="仿宋_GB2312"/>
          <w:b w:val="0"/>
          <w:bCs w:val="0"/>
          <w:color w:val="auto"/>
          <w:sz w:val="28"/>
          <w:szCs w:val="28"/>
          <w:highlight w:val="none"/>
          <w:u w:val="single"/>
          <w:lang w:val="en-US" w:eastAsia="zh-CN"/>
        </w:rPr>
        <w:t xml:space="preserve">,即供应商在第1包被推荐为中选候选人的，在第2包不得推荐为中选候选人</w:t>
      </w:r>
      <w:r>
        <w:rPr>
          <w:rFonts w:hint="eastAsia" w:ascii="仿宋_GB2312" w:hAnsi="仿宋_GB2312" w:eastAsia="仿宋_GB2312" w:cs="仿宋_GB2312"/>
          <w:b w:val="0"/>
          <w:bCs w:val="0"/>
          <w:color w:val="auto"/>
          <w:sz w:val="28"/>
          <w:szCs w:val="28"/>
          <w:highlight w:val="none"/>
          <w:u w:val="single"/>
        </w:rPr>
        <w:t xml:space="preserve">。</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r>
      <w:r/>
    </w:p>
    <w:p>
      <w:pPr>
        <w:pStyle w:val="852"/>
        <w:ind w:left="0" w:firstLine="0"/>
        <w:jc w:val="center"/>
        <w:keepLines w:val="0"/>
        <w:keepNext w:val="0"/>
        <w:pageBreakBefore w:val="0"/>
        <w:spacing w:beforeAutospacing="0" w:after="181" w:afterAutospacing="0" w:line="480" w:lineRule="exact"/>
        <w:widowControl w:val="off"/>
        <w:rPr>
          <w:rFonts w:hint="eastAsia" w:ascii="黑体" w:hAnsi="黑体" w:eastAsia="黑体" w:cs="黑体"/>
          <w:b w:val="0"/>
          <w:bCs/>
          <w:color w:val="auto"/>
          <w:sz w:val="32"/>
          <w:szCs w:val="32"/>
          <w:highlight w:val="none"/>
          <w:lang w:eastAsia="zh-CN"/>
        </w:rPr>
      </w:pPr>
      <w:r>
        <w:rPr>
          <w:rFonts w:hint="eastAsia" w:ascii="黑体" w:hAnsi="黑体" w:eastAsia="黑体" w:cs="黑体"/>
          <w:b w:val="0"/>
          <w:bCs/>
          <w:color w:val="auto"/>
          <w:sz w:val="32"/>
          <w:szCs w:val="32"/>
          <w:highlight w:val="none"/>
        </w:rPr>
        <w:t xml:space="preserve">评分办法</w:t>
      </w:r>
      <w:r>
        <w:rPr>
          <w:rFonts w:hint="eastAsia" w:ascii="黑体" w:hAnsi="黑体" w:eastAsia="黑体" w:cs="黑体"/>
          <w:b w:val="0"/>
          <w:bCs/>
          <w:color w:val="auto"/>
          <w:sz w:val="32"/>
          <w:szCs w:val="32"/>
          <w:highlight w:val="none"/>
          <w:lang w:eastAsia="zh-CN"/>
        </w:rPr>
        <w:t xml:space="preserve">（分包</w:t>
      </w:r>
      <w:r>
        <w:rPr>
          <w:rFonts w:hint="eastAsia" w:ascii="黑体" w:hAnsi="黑体" w:eastAsia="黑体" w:cs="黑体"/>
          <w:b w:val="0"/>
          <w:bCs/>
          <w:color w:val="auto"/>
          <w:sz w:val="32"/>
          <w:szCs w:val="32"/>
          <w:highlight w:val="none"/>
          <w:lang w:val="en-US" w:eastAsia="zh-CN"/>
        </w:rPr>
        <w:t xml:space="preserve">1、</w:t>
      </w:r>
      <w:r>
        <w:rPr>
          <w:rFonts w:hint="eastAsia" w:ascii="黑体" w:hAnsi="黑体" w:eastAsia="黑体" w:cs="黑体"/>
          <w:b w:val="0"/>
          <w:bCs/>
          <w:color w:val="auto"/>
          <w:sz w:val="32"/>
          <w:szCs w:val="32"/>
          <w:highlight w:val="none"/>
          <w:lang w:eastAsia="zh-CN"/>
        </w:rPr>
        <w:t xml:space="preserve">分包</w:t>
      </w:r>
      <w:r>
        <w:rPr>
          <w:rFonts w:hint="eastAsia" w:ascii="黑体" w:hAnsi="黑体" w:eastAsia="黑体" w:cs="黑体"/>
          <w:b w:val="0"/>
          <w:bCs/>
          <w:color w:val="auto"/>
          <w:sz w:val="32"/>
          <w:szCs w:val="32"/>
          <w:highlight w:val="none"/>
          <w:lang w:val="en-US" w:eastAsia="zh-CN"/>
        </w:rPr>
        <w:t xml:space="preserve">2</w:t>
      </w:r>
      <w:r>
        <w:rPr>
          <w:rFonts w:hint="eastAsia" w:ascii="黑体" w:hAnsi="黑体" w:eastAsia="黑体" w:cs="黑体"/>
          <w:b w:val="0"/>
          <w:bCs/>
          <w:color w:val="auto"/>
          <w:sz w:val="32"/>
          <w:szCs w:val="32"/>
          <w:highlight w:val="none"/>
          <w:lang w:eastAsia="zh-CN"/>
        </w:rPr>
        <w:t xml:space="preserve">）</w:t>
      </w:r>
      <w:r/>
    </w:p>
    <w:tbl>
      <w:tblPr>
        <w:tblStyle w:val="828"/>
        <w:tblW w:w="0" w:type="auto"/>
        <w:jc w:val="center"/>
        <w:tblLayout w:type="fixed"/>
        <w:tblCellMar>
          <w:left w:w="108" w:type="dxa"/>
          <w:top w:w="0" w:type="dxa"/>
          <w:right w:w="108" w:type="dxa"/>
          <w:bottom w:w="0" w:type="dxa"/>
        </w:tblCellMar>
        <w:tblLook w:val="04A0" w:firstRow="1" w:lastRow="0" w:firstColumn="1" w:lastColumn="0" w:noHBand="0" w:noVBand="1"/>
      </w:tblPr>
      <w:tblGrid>
        <w:gridCol w:w="1432"/>
        <w:gridCol w:w="6633"/>
        <w:gridCol w:w="893"/>
      </w:tblGrid>
      <w:tr>
        <w:trPr>
          <w:jc w:val="center"/>
          <w:trHeight w:val="68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bidi="ar"/>
              </w:rPr>
              <w:t xml:space="preserve">评分项</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center"/>
              <w:keepLines w:val="0"/>
              <w:keepNext w:val="0"/>
              <w:pageBreakBefore w:val="0"/>
              <w:spacing w:line="380" w:lineRule="exact"/>
              <w:widowControl/>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bidi="ar"/>
              </w:rPr>
              <w:t xml:space="preserve">分值</w:t>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价格</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bidi="ar"/>
              </w:rPr>
            </w:pPr>
            <w:r>
              <w:rPr>
                <w:rFonts w:hint="eastAsia" w:ascii="仿宋_GB2312" w:hAnsi="仿宋_GB2312" w:eastAsia="仿宋_GB2312" w:cs="仿宋_GB2312"/>
                <w:color w:val="auto"/>
                <w:sz w:val="24"/>
                <w:szCs w:val="24"/>
                <w:highlight w:val="none"/>
                <w:lang w:bidi="ar"/>
              </w:rPr>
              <w:t xml:space="preserve">价格分采用低价优先法计算，即满足</w:t>
            </w: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文件要求且</w:t>
            </w:r>
            <w:r>
              <w:rPr>
                <w:rFonts w:hint="eastAsia" w:ascii="仿宋_GB2312" w:hAnsi="仿宋_GB2312" w:eastAsia="仿宋_GB2312" w:cs="仿宋_GB2312"/>
                <w:color w:val="auto"/>
                <w:sz w:val="24"/>
                <w:szCs w:val="24"/>
                <w:highlight w:val="none"/>
                <w:lang w:eastAsia="zh-CN" w:bidi="ar"/>
              </w:rPr>
              <w:t xml:space="preserve">最后</w:t>
            </w:r>
            <w:r>
              <w:rPr>
                <w:rFonts w:hint="eastAsia" w:ascii="仿宋_GB2312" w:hAnsi="仿宋_GB2312" w:eastAsia="仿宋_GB2312" w:cs="仿宋_GB2312"/>
                <w:color w:val="auto"/>
                <w:sz w:val="24"/>
                <w:szCs w:val="24"/>
                <w:highlight w:val="none"/>
                <w:lang w:bidi="ar"/>
              </w:rPr>
              <w:t xml:space="preserve">报价最低的供应商</w:t>
            </w:r>
            <w:r>
              <w:rPr>
                <w:rFonts w:hint="eastAsia" w:ascii="仿宋_GB2312" w:hAnsi="仿宋_GB2312" w:eastAsia="仿宋_GB2312" w:cs="仿宋_GB2312"/>
                <w:color w:val="auto"/>
                <w:sz w:val="24"/>
                <w:szCs w:val="24"/>
                <w:highlight w:val="none"/>
                <w:lang w:eastAsia="zh-CN" w:bidi="ar"/>
              </w:rPr>
              <w:t xml:space="preserve">的</w:t>
            </w:r>
            <w:r>
              <w:rPr>
                <w:rFonts w:hint="eastAsia" w:ascii="仿宋_GB2312" w:hAnsi="仿宋_GB2312" w:eastAsia="仿宋_GB2312" w:cs="仿宋_GB2312"/>
                <w:color w:val="auto"/>
                <w:sz w:val="24"/>
                <w:szCs w:val="24"/>
                <w:highlight w:val="none"/>
                <w:lang w:bidi="ar"/>
              </w:rPr>
              <w:t xml:space="preserve">报价为</w:t>
            </w: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基准价，其价格分为满分</w:t>
            </w:r>
            <w:r>
              <w:rPr>
                <w:rFonts w:hint="eastAsia" w:ascii="仿宋_GB2312" w:hAnsi="仿宋_GB2312" w:eastAsia="仿宋_GB2312" w:cs="仿宋_GB2312"/>
                <w:color w:val="auto"/>
                <w:sz w:val="24"/>
                <w:szCs w:val="24"/>
                <w:highlight w:val="none"/>
                <w:lang w:val="en-US" w:eastAsia="zh-CN" w:bidi="ar"/>
              </w:rPr>
              <w:t xml:space="preserve">10</w:t>
            </w:r>
            <w:r>
              <w:rPr>
                <w:rFonts w:hint="eastAsia" w:ascii="仿宋_GB2312" w:hAnsi="仿宋_GB2312" w:eastAsia="仿宋_GB2312" w:cs="仿宋_GB2312"/>
                <w:color w:val="auto"/>
                <w:sz w:val="24"/>
                <w:szCs w:val="24"/>
                <w:highlight w:val="none"/>
                <w:lang w:bidi="ar"/>
              </w:rPr>
              <w:t xml:space="preserve">分，其它供应商的价格分统一按照以下公式计算：</w:t>
            </w:r>
            <w:r/>
          </w:p>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bidi="ar"/>
              </w:rPr>
            </w:pP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报价得分=(</w:t>
            </w: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基准价/</w:t>
            </w:r>
            <w:r>
              <w:rPr>
                <w:rFonts w:hint="eastAsia" w:ascii="仿宋_GB2312" w:hAnsi="仿宋_GB2312" w:eastAsia="仿宋_GB2312" w:cs="仿宋_GB2312"/>
                <w:color w:val="auto"/>
                <w:sz w:val="24"/>
                <w:szCs w:val="24"/>
                <w:highlight w:val="none"/>
                <w:lang w:eastAsia="zh-CN" w:bidi="ar"/>
              </w:rPr>
              <w:t xml:space="preserve">最后磋商</w:t>
            </w:r>
            <w:r>
              <w:rPr>
                <w:rFonts w:hint="eastAsia" w:ascii="仿宋_GB2312" w:hAnsi="仿宋_GB2312" w:eastAsia="仿宋_GB2312" w:cs="仿宋_GB2312"/>
                <w:color w:val="auto"/>
                <w:sz w:val="24"/>
                <w:szCs w:val="24"/>
                <w:highlight w:val="none"/>
                <w:lang w:bidi="ar"/>
              </w:rPr>
              <w:t xml:space="preserve">报价)×</w:t>
            </w:r>
            <w:r>
              <w:rPr>
                <w:rFonts w:hint="eastAsia" w:ascii="仿宋_GB2312" w:hAnsi="仿宋_GB2312" w:eastAsia="仿宋_GB2312" w:cs="仿宋_GB2312"/>
                <w:color w:val="auto"/>
                <w:sz w:val="24"/>
                <w:szCs w:val="24"/>
                <w:highlight w:val="none"/>
                <w:lang w:val="en-US" w:eastAsia="zh-CN" w:bidi="ar"/>
              </w:rPr>
              <w:t xml:space="preserve">10</w:t>
            </w:r>
            <w:r>
              <w:rPr>
                <w:rFonts w:hint="eastAsia" w:ascii="仿宋_GB2312" w:hAnsi="仿宋_GB2312" w:eastAsia="仿宋_GB2312" w:cs="仿宋_GB2312"/>
                <w:color w:val="auto"/>
                <w:sz w:val="24"/>
                <w:szCs w:val="24"/>
                <w:highlight w:val="none"/>
                <w:lang w:bidi="ar"/>
              </w:rPr>
              <w:t xml:space="preserve">分。</w:t>
            </w:r>
            <w:r/>
          </w:p>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bidi="ar"/>
              </w:rPr>
            </w:pPr>
            <w:r>
              <w:rPr>
                <w:rFonts w:hint="eastAsia" w:ascii="仿宋_GB2312" w:hAnsi="仿宋_GB2312" w:eastAsia="仿宋_GB2312" w:cs="仿宋_GB2312"/>
                <w:color w:val="auto"/>
                <w:sz w:val="24"/>
                <w:szCs w:val="24"/>
                <w:highlight w:val="none"/>
                <w:lang w:eastAsia="zh-CN" w:bidi="ar"/>
              </w:rPr>
              <w:t xml:space="preserve">（</w:t>
            </w:r>
            <w:r>
              <w:rPr>
                <w:rFonts w:hint="eastAsia" w:ascii="仿宋_GB2312" w:hAnsi="仿宋_GB2312" w:eastAsia="仿宋_GB2312" w:cs="仿宋_GB2312"/>
                <w:color w:val="auto"/>
                <w:sz w:val="24"/>
                <w:szCs w:val="24"/>
                <w:highlight w:val="none"/>
                <w:lang w:bidi="ar"/>
              </w:rPr>
              <w:t xml:space="preserve">四舍五入保留两位小数</w:t>
            </w:r>
            <w:r>
              <w:rPr>
                <w:rFonts w:hint="eastAsia" w:ascii="仿宋_GB2312" w:hAnsi="仿宋_GB2312" w:eastAsia="仿宋_GB2312" w:cs="仿宋_GB2312"/>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10</w:t>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bidi="ar"/>
              </w:rPr>
              <w:t xml:space="preserve">所有技术指标均满足磋商文件技术参数要求的，得30分。标注▲的内容，有1项不满足的扣4分；未标注▲的内容，有1项不满足的扣2分，本项扣完为止。</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bidi="ar"/>
              </w:rPr>
              <w:t xml:space="preserve">30</w:t>
            </w:r>
            <w:r/>
          </w:p>
        </w:tc>
      </w:tr>
      <w:tr>
        <w:trPr>
          <w:jc w:val="center"/>
          <w:trHeight w:val="107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拟投入项目人员</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left"/>
              <w:keepLines w:val="0"/>
              <w:keepNext w:val="0"/>
              <w:pageBreakBefore w:val="0"/>
              <w:spacing w:line="40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1.项目经理：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具有高级工程师（</w:t>
            </w:r>
            <w:r>
              <w:rPr>
                <w:rFonts w:hint="eastAsia" w:ascii="仿宋_GB2312" w:hAnsi="仿宋_GB2312" w:eastAsia="仿宋_GB2312" w:cs="仿宋_GB2312"/>
                <w:color w:val="auto"/>
                <w:sz w:val="24"/>
                <w:szCs w:val="24"/>
                <w:highlight w:val="none"/>
                <w:lang w:val="en-US" w:eastAsia="zh-CN"/>
              </w:rPr>
              <w:t xml:space="preserve">通信类</w:t>
            </w:r>
            <w:r>
              <w:rPr>
                <w:rFonts w:hint="eastAsia" w:ascii="仿宋_GB2312" w:hAnsi="仿宋_GB2312" w:eastAsia="仿宋_GB2312" w:cs="仿宋_GB2312"/>
                <w:color w:val="auto"/>
                <w:sz w:val="24"/>
                <w:szCs w:val="24"/>
                <w:highlight w:val="none"/>
              </w:rPr>
              <w:t xml:space="preserve">）、信息系统项目管理师</w:t>
            </w:r>
            <w:r>
              <w:rPr>
                <w:rFonts w:hint="eastAsia" w:ascii="仿宋_GB2312" w:hAnsi="仿宋_GB2312" w:eastAsia="仿宋_GB2312" w:cs="仿宋_GB2312"/>
                <w:color w:val="auto"/>
                <w:sz w:val="24"/>
                <w:szCs w:val="24"/>
                <w:highlight w:val="none"/>
                <w:lang w:val="en-US" w:eastAsia="zh-CN"/>
              </w:rPr>
              <w:t xml:space="preserve">证书</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rPr>
              <w:t xml:space="preserve">每提供1个</w:t>
            </w:r>
            <w:r>
              <w:rPr>
                <w:rFonts w:hint="eastAsia" w:ascii="仿宋_GB2312" w:hAnsi="仿宋_GB2312" w:eastAsia="仿宋_GB2312" w:cs="仿宋_GB2312"/>
                <w:color w:val="auto"/>
                <w:sz w:val="24"/>
                <w:szCs w:val="24"/>
                <w:highlight w:val="none"/>
                <w:lang w:eastAsia="zh-CN"/>
              </w:rPr>
              <w:t xml:space="preserve">证书</w:t>
            </w:r>
            <w:r>
              <w:rPr>
                <w:rFonts w:hint="eastAsia" w:ascii="仿宋_GB2312" w:hAnsi="仿宋_GB2312" w:eastAsia="仿宋_GB2312" w:cs="仿宋_GB2312"/>
                <w:color w:val="auto"/>
                <w:sz w:val="24"/>
                <w:szCs w:val="24"/>
                <w:highlight w:val="none"/>
              </w:rPr>
              <w:t xml:space="preserve">得</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分，本项最高得</w:t>
            </w:r>
            <w:r>
              <w:rPr>
                <w:rFonts w:hint="eastAsia" w:ascii="仿宋_GB2312" w:hAnsi="仿宋_GB2312" w:eastAsia="仿宋_GB2312" w:cs="仿宋_GB2312"/>
                <w:color w:val="auto"/>
                <w:sz w:val="24"/>
                <w:szCs w:val="24"/>
                <w:highlight w:val="none"/>
                <w:lang w:val="en-US" w:eastAsia="zh-CN"/>
              </w:rPr>
              <w:t xml:space="preserve">6</w:t>
            </w:r>
            <w:r>
              <w:rPr>
                <w:rFonts w:hint="eastAsia" w:ascii="仿宋_GB2312" w:hAnsi="仿宋_GB2312" w:eastAsia="仿宋_GB2312" w:cs="仿宋_GB2312"/>
                <w:color w:val="auto"/>
                <w:sz w:val="24"/>
                <w:szCs w:val="24"/>
                <w:highlight w:val="none"/>
              </w:rPr>
              <w:t xml:space="preserve">分。</w:t>
            </w:r>
            <w:r/>
          </w:p>
          <w:p>
            <w:pPr>
              <w:jc w:val="left"/>
              <w:keepLines w:val="0"/>
              <w:keepNext w:val="0"/>
              <w:pageBreakBefore w:val="0"/>
              <w:spacing w:line="40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2.团队</w:t>
            </w:r>
            <w:r>
              <w:rPr>
                <w:rFonts w:hint="eastAsia" w:ascii="仿宋_GB2312" w:hAnsi="仿宋_GB2312" w:eastAsia="仿宋_GB2312" w:cs="仿宋_GB2312"/>
                <w:b/>
                <w:bCs/>
                <w:color w:val="auto"/>
                <w:sz w:val="24"/>
                <w:szCs w:val="24"/>
                <w:highlight w:val="none"/>
                <w:lang w:val="en-US" w:eastAsia="zh-CN"/>
              </w:rPr>
              <w:t xml:space="preserve">成员</w:t>
            </w:r>
            <w:r>
              <w:rPr>
                <w:rFonts w:hint="eastAsia" w:ascii="仿宋_GB2312" w:hAnsi="仿宋_GB2312" w:eastAsia="仿宋_GB2312" w:cs="仿宋_GB2312"/>
                <w:b/>
                <w:bCs/>
                <w:color w:val="auto"/>
                <w:sz w:val="24"/>
                <w:szCs w:val="24"/>
                <w:highlight w:val="none"/>
              </w:rPr>
              <w:t xml:space="preserve">：</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具有高级工程师（通信</w:t>
            </w:r>
            <w:r>
              <w:rPr>
                <w:rFonts w:hint="eastAsia" w:ascii="仿宋_GB2312" w:hAnsi="仿宋_GB2312" w:eastAsia="仿宋_GB2312" w:cs="仿宋_GB2312"/>
                <w:color w:val="auto"/>
                <w:sz w:val="24"/>
                <w:szCs w:val="24"/>
                <w:highlight w:val="none"/>
                <w:lang w:val="en-US" w:eastAsia="zh-CN"/>
              </w:rPr>
              <w:t xml:space="preserve">类</w:t>
            </w:r>
            <w:r>
              <w:rPr>
                <w:rFonts w:hint="eastAsia" w:ascii="仿宋_GB2312" w:hAnsi="仿宋_GB2312" w:eastAsia="仿宋_GB2312" w:cs="仿宋_GB2312"/>
                <w:color w:val="auto"/>
                <w:sz w:val="24"/>
                <w:szCs w:val="24"/>
                <w:highlight w:val="none"/>
              </w:rPr>
              <w:t xml:space="preserve">）、信息系统项目管理师</w:t>
            </w:r>
            <w:r>
              <w:rPr>
                <w:rFonts w:hint="eastAsia" w:ascii="仿宋_GB2312" w:hAnsi="仿宋_GB2312" w:eastAsia="仿宋_GB2312" w:cs="仿宋_GB2312"/>
                <w:color w:val="auto"/>
                <w:sz w:val="24"/>
                <w:szCs w:val="24"/>
                <w:highlight w:val="none"/>
                <w:lang w:val="en-US" w:eastAsia="zh-CN"/>
              </w:rPr>
              <w:t xml:space="preserve">证书</w:t>
            </w:r>
            <w:r>
              <w:rPr>
                <w:rFonts w:hint="eastAsia" w:ascii="仿宋_GB2312" w:hAnsi="仿宋_GB2312" w:eastAsia="仿宋_GB2312" w:cs="仿宋_GB2312"/>
                <w:color w:val="auto"/>
                <w:sz w:val="24"/>
                <w:szCs w:val="24"/>
                <w:highlight w:val="none"/>
                <w:lang w:eastAsia="zh-CN"/>
              </w:rPr>
              <w:t xml:space="preserve">，每提供1个证书得2分，最高得</w:t>
            </w:r>
            <w:r>
              <w:rPr>
                <w:rFonts w:hint="eastAsia" w:ascii="仿宋_GB2312" w:hAnsi="仿宋_GB2312" w:eastAsia="仿宋_GB2312" w:cs="仿宋_GB2312"/>
                <w:color w:val="auto"/>
                <w:sz w:val="24"/>
                <w:szCs w:val="24"/>
                <w:highlight w:val="none"/>
                <w:lang w:val="en-US" w:eastAsia="zh-CN"/>
              </w:rPr>
              <w:t xml:space="preserve">4</w:t>
            </w:r>
            <w:r>
              <w:rPr>
                <w:rFonts w:hint="eastAsia" w:ascii="仿宋_GB2312" w:hAnsi="仿宋_GB2312" w:eastAsia="仿宋_GB2312" w:cs="仿宋_GB2312"/>
                <w:color w:val="auto"/>
                <w:sz w:val="24"/>
                <w:szCs w:val="24"/>
                <w:highlight w:val="none"/>
                <w:lang w:eastAsia="zh-CN"/>
              </w:rPr>
              <w:t xml:space="preserve">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具有通信专业技术人员职业</w:t>
            </w:r>
            <w:r>
              <w:rPr>
                <w:rFonts w:hint="eastAsia" w:ascii="仿宋_GB2312" w:hAnsi="仿宋_GB2312" w:eastAsia="仿宋_GB2312" w:cs="仿宋_GB2312"/>
                <w:color w:val="auto"/>
                <w:sz w:val="24"/>
                <w:szCs w:val="24"/>
                <w:highlight w:val="none"/>
                <w:lang w:val="en-US" w:eastAsia="zh-CN"/>
              </w:rPr>
              <w:t xml:space="preserve">证书</w:t>
            </w:r>
            <w:r>
              <w:rPr>
                <w:rFonts w:hint="eastAsia" w:ascii="仿宋_GB2312" w:hAnsi="仿宋_GB2312" w:eastAsia="仿宋_GB2312" w:cs="仿宋_GB2312"/>
                <w:color w:val="auto"/>
                <w:sz w:val="24"/>
                <w:szCs w:val="24"/>
                <w:highlight w:val="none"/>
              </w:rPr>
              <w:t xml:space="preserve">（中级）、网络工程师（中级），</w:t>
            </w:r>
            <w:r>
              <w:rPr>
                <w:rFonts w:hint="eastAsia" w:ascii="仿宋_GB2312" w:hAnsi="仿宋_GB2312" w:eastAsia="仿宋_GB2312" w:cs="仿宋_GB2312"/>
                <w:color w:val="auto"/>
                <w:sz w:val="24"/>
                <w:szCs w:val="24"/>
                <w:highlight w:val="none"/>
                <w:lang w:eastAsia="zh-CN"/>
              </w:rPr>
              <w:t xml:space="preserve">每提供1个证书得</w:t>
            </w:r>
            <w:r>
              <w:rPr>
                <w:rFonts w:hint="eastAsia" w:ascii="仿宋_GB2312" w:hAnsi="仿宋_GB2312" w:eastAsia="仿宋_GB2312" w:cs="仿宋_GB2312"/>
                <w:color w:val="auto"/>
                <w:sz w:val="24"/>
                <w:szCs w:val="24"/>
                <w:highlight w:val="none"/>
                <w:lang w:val="en-US" w:eastAsia="zh-CN"/>
              </w:rPr>
              <w:t xml:space="preserve">1</w:t>
            </w:r>
            <w:r>
              <w:rPr>
                <w:rFonts w:hint="eastAsia" w:ascii="仿宋_GB2312" w:hAnsi="仿宋_GB2312" w:eastAsia="仿宋_GB2312" w:cs="仿宋_GB2312"/>
                <w:color w:val="auto"/>
                <w:sz w:val="24"/>
                <w:szCs w:val="24"/>
                <w:highlight w:val="none"/>
                <w:lang w:eastAsia="zh-CN"/>
              </w:rPr>
              <w:t xml:space="preserve">分，最高得</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lang w:eastAsia="zh-CN"/>
              </w:rPr>
              <w:t xml:space="preserve">分；</w:t>
            </w:r>
            <w:r/>
          </w:p>
          <w:p>
            <w:pPr>
              <w:jc w:val="left"/>
              <w:keepLines w:val="0"/>
              <w:keepNext w:val="0"/>
              <w:pageBreakBefore w:val="0"/>
              <w:spacing w:line="40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注：</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1.提供上述证书扫描件及近6个月内任意一个月</w:t>
            </w: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为其缴纳社保</w:t>
            </w:r>
            <w:r>
              <w:rPr>
                <w:rFonts w:hint="eastAsia" w:ascii="仿宋_GB2312" w:hAnsi="仿宋_GB2312" w:eastAsia="仿宋_GB2312" w:cs="仿宋_GB2312"/>
                <w:color w:val="auto"/>
                <w:sz w:val="24"/>
                <w:szCs w:val="24"/>
                <w:highlight w:val="none"/>
                <w:lang w:val="en-US" w:eastAsia="zh-CN"/>
              </w:rPr>
              <w:t xml:space="preserve">的</w:t>
            </w:r>
            <w:r>
              <w:rPr>
                <w:rFonts w:hint="eastAsia" w:ascii="仿宋_GB2312" w:hAnsi="仿宋_GB2312" w:eastAsia="仿宋_GB2312" w:cs="仿宋_GB2312"/>
                <w:color w:val="auto"/>
                <w:sz w:val="24"/>
                <w:szCs w:val="24"/>
                <w:highlight w:val="none"/>
              </w:rPr>
              <w:t xml:space="preserve">证明</w:t>
            </w:r>
            <w:r>
              <w:rPr>
                <w:rFonts w:hint="eastAsia" w:ascii="仿宋_GB2312" w:hAnsi="仿宋_GB2312" w:eastAsia="仿宋_GB2312" w:cs="仿宋_GB2312"/>
                <w:color w:val="auto"/>
                <w:sz w:val="24"/>
                <w:szCs w:val="24"/>
                <w:highlight w:val="none"/>
                <w:lang w:eastAsia="zh-CN"/>
              </w:rPr>
              <w:t xml:space="preserve">材料</w:t>
            </w:r>
            <w:r>
              <w:rPr>
                <w:rFonts w:hint="eastAsia" w:ascii="仿宋_GB2312" w:hAnsi="仿宋_GB2312" w:eastAsia="仿宋_GB2312" w:cs="仿宋_GB2312"/>
                <w:color w:val="auto"/>
                <w:sz w:val="24"/>
                <w:szCs w:val="24"/>
                <w:highlight w:val="none"/>
              </w:rPr>
              <w:t xml:space="preserve">扫描件</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（如供应商拟投入项目人员由供应商的上级机构统一缴纳社保，也可提供相关情况说明加盖供应商公章，以及上级机构为该人员缴纳社保的证明扫描件）</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rPr>
                <w:rFonts w:hint="eastAsia" w:ascii="仿宋_GB2312" w:hAnsi="仿宋_GB2312" w:eastAsia="仿宋_GB2312" w:cs="仿宋_GB2312"/>
                <w:color w:val="auto"/>
                <w:sz w:val="24"/>
                <w:szCs w:val="24"/>
                <w:highlight w:val="none"/>
                <w:lang w:eastAsia="zh-CN"/>
              </w:rPr>
              <w:t xml:space="preserve">项目</w:t>
            </w:r>
            <w:r>
              <w:rPr>
                <w:rFonts w:hint="eastAsia" w:ascii="仿宋_GB2312" w:hAnsi="仿宋_GB2312" w:eastAsia="仿宋_GB2312" w:cs="仿宋_GB2312"/>
                <w:color w:val="auto"/>
                <w:sz w:val="24"/>
                <w:szCs w:val="24"/>
                <w:highlight w:val="none"/>
              </w:rPr>
              <w:t xml:space="preserve">实施团队中提供不同成员的同类证书，该同类证书视为1个。</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2</w:t>
            </w:r>
            <w:r/>
          </w:p>
        </w:tc>
      </w:tr>
      <w:tr>
        <w:trPr>
          <w:jc w:val="center"/>
          <w:trHeight w:val="109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总体方案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供应商应根据项目建设目标、要求、内容等制定实施及建设总体方案。方案优于磋商文件要求的得6分，符合磋商文件要求的得3分，不符合磋商文件要求或未提供的不得分。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业务服务方案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供应商提供不中断服务方案，包括但不限于网络出口的负载均衡和冗余。</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日常服务方案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提供日常服务方案，包括但不限于服务标准、日常监控、服务报告等。</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线路服务保障方案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提供维护服务方案，包括定期现场巡检、重大节假日排查、详细的组网和设备技术文档、配合进行网络结构调整割接等。</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应急处理方案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提供应急处理方案，包括但不限于应急保障机制、突发事件应急预案、故障处理、故障报告等。</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业务过渡平滑性</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为保障采购人业务的连续性，</w:t>
            </w: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应在充分调研客户业务架构和运行情况的基础上，就电子政务外网制定符合项目需求的组网方案，尽可能降低实施过程对现有网络运行的影响。</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业绩</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提供自202</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年1月1日以来专线组网类合同（或协议）：</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（1）每提供一个电子政务网类合同案例，得3分，本项最高得</w:t>
            </w:r>
            <w:r>
              <w:rPr>
                <w:rFonts w:hint="eastAsia" w:ascii="仿宋_GB2312" w:hAnsi="仿宋_GB2312" w:eastAsia="仿宋_GB2312" w:cs="仿宋_GB2312"/>
                <w:color w:val="auto"/>
                <w:sz w:val="24"/>
                <w:szCs w:val="24"/>
                <w:highlight w:val="none"/>
                <w:lang w:val="en-US" w:eastAsia="zh-CN"/>
              </w:rPr>
              <w:t xml:space="preserve">9</w:t>
            </w:r>
            <w:r>
              <w:rPr>
                <w:rFonts w:hint="eastAsia" w:ascii="仿宋_GB2312" w:hAnsi="仿宋_GB2312" w:eastAsia="仿宋_GB2312" w:cs="仿宋_GB2312"/>
                <w:color w:val="auto"/>
                <w:sz w:val="24"/>
                <w:szCs w:val="24"/>
                <w:highlight w:val="none"/>
              </w:rPr>
              <w:t xml:space="preserve">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（2）每提供一个除电子政务网类合同案例的其他业务专线合同案例，得1分，本项最高得3分。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 xml:space="preserve">注：</w:t>
            </w:r>
            <w:r>
              <w:rPr>
                <w:rFonts w:hint="eastAsia" w:ascii="仿宋_GB2312" w:hAnsi="仿宋_GB2312" w:eastAsia="仿宋_GB2312" w:cs="仿宋_GB2312"/>
                <w:color w:val="auto"/>
                <w:sz w:val="24"/>
                <w:szCs w:val="24"/>
                <w:highlight w:val="none"/>
              </w:rPr>
              <w:t xml:space="preserve">须提供有效合同复印件并加盖</w:t>
            </w: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公章。</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bidi="ar"/>
              </w:rPr>
              <w:t xml:space="preserve">12</w:t>
            </w:r>
            <w:r/>
          </w:p>
        </w:tc>
      </w:tr>
    </w:tbl>
    <w:p>
      <w:pPr>
        <w:pStyle w:val="852"/>
        <w:ind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pStyle w:val="854"/>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clear="all"/>
      </w:r>
      <w:r/>
    </w:p>
    <w:p>
      <w:pPr>
        <w:rPr>
          <w:rFonts w:hint="eastAsia"/>
        </w:rPr>
      </w:pPr>
      <w:r>
        <w:rPr>
          <w:rFonts w:hint="eastAsia"/>
        </w:rPr>
      </w:r>
      <w:r/>
    </w:p>
    <w:p>
      <w:pPr>
        <w:pStyle w:val="862"/>
        <w:rPr>
          <w:rFonts w:hint="eastAsia"/>
        </w:rPr>
      </w:pPr>
      <w:r>
        <w:rPr>
          <w:rFonts w:hint="eastAsia"/>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第六章  </w:t>
      </w:r>
      <w:bookmarkEnd w:id="187"/>
      <w:r/>
      <w:bookmarkEnd w:id="188"/>
      <w:r/>
      <w:bookmarkEnd w:id="190"/>
      <w:r>
        <w:rPr>
          <w:rFonts w:hint="eastAsia" w:ascii="黑体" w:hAnsi="黑体" w:eastAsia="黑体" w:cs="黑体"/>
          <w:bCs/>
          <w:sz w:val="40"/>
          <w:szCs w:val="40"/>
        </w:rPr>
        <w:t xml:space="preserve">响应文件格式</w:t>
      </w:r>
      <w:r/>
    </w:p>
    <w:p>
      <w:pPr>
        <w:ind w:left="0" w:right="0" w:firstLine="562"/>
        <w:jc w:val="center"/>
        <w:pageBreakBefore w:val="0"/>
        <w:spacing w:line="520" w:lineRule="exact"/>
        <w:rPr>
          <w:rFonts w:hint="eastAsia" w:ascii="仿宋_GB2312" w:hAnsi="仿宋_GB2312" w:eastAsia="仿宋_GB2312" w:cs="仿宋_GB2312"/>
          <w:b/>
          <w:sz w:val="28"/>
          <w:szCs w:val="28"/>
        </w:rPr>
      </w:pPr>
      <w:r/>
      <w:bookmarkStart w:id="191" w:name="_Hlt26671244"/>
      <w:r/>
      <w:bookmarkEnd w:id="191"/>
      <w:r/>
      <w:bookmarkStart w:id="192" w:name="_Hlt26955039"/>
      <w:r/>
      <w:bookmarkEnd w:id="192"/>
      <w:r/>
      <w:bookmarkStart w:id="193" w:name="_Toc26554094"/>
      <w:r/>
      <w:bookmarkStart w:id="194" w:name="_Toc120614282"/>
      <w:r/>
      <w:bookmarkStart w:id="195" w:name="_Toc49090576"/>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keepLines w:val="0"/>
        <w:keepNext w:val="0"/>
        <w:pageBreakBefore w:val="0"/>
        <w:spacing w:line="920" w:lineRule="exact"/>
        <w:widowControl w:val="off"/>
        <w:rPr>
          <w:rFonts w:hint="eastAsia" w:ascii="方正小标宋_GBK" w:hAnsi="方正小标宋_GBK" w:eastAsia="方正小标宋_GBK" w:cs="方正小标宋_GBK"/>
          <w:b w:val="0"/>
          <w:bCs/>
          <w:sz w:val="56"/>
          <w:szCs w:val="56"/>
        </w:rPr>
      </w:pPr>
      <w:r>
        <w:rPr>
          <w:rFonts w:hint="eastAsia" w:ascii="方正小标宋_GBK" w:hAnsi="方正小标宋_GBK" w:eastAsia="方正小标宋_GBK" w:cs="方正小标宋_GBK"/>
          <w:b w:val="0"/>
          <w:bCs/>
          <w:sz w:val="56"/>
          <w:szCs w:val="56"/>
        </w:rPr>
        <w:t xml:space="preserve">响  应  文  件</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 目 名 称：</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采 购 编 号：</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供应商名称 ：</w:t>
      </w:r>
      <w:r>
        <w:rPr>
          <w:rFonts w:hint="eastAsia" w:ascii="仿宋_GB2312" w:hAnsi="仿宋_GB2312" w:eastAsia="仿宋_GB2312" w:cs="仿宋_GB2312"/>
          <w:b/>
          <w:sz w:val="28"/>
          <w:szCs w:val="28"/>
          <w:u w:val="single"/>
        </w:rPr>
        <w:t xml:space="preserve">（加盖CA电子公章）</w:t>
      </w:r>
      <w:r/>
    </w:p>
    <w:p>
      <w:pPr>
        <w:ind w:left="1260" w:right="0" w:firstLine="56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rPr>
        <w:t xml:space="preserve">日      期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right="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响应</w:t>
      </w:r>
      <w:r>
        <w:rPr>
          <w:rFonts w:hint="eastAsia" w:ascii="黑体" w:hAnsi="黑体" w:eastAsia="黑体" w:cs="黑体"/>
          <w:b w:val="0"/>
          <w:bCs w:val="0"/>
          <w:sz w:val="36"/>
          <w:szCs w:val="36"/>
          <w:lang w:eastAsia="zh-CN"/>
        </w:rPr>
        <w:t xml:space="preserve">主要</w:t>
      </w:r>
      <w:r>
        <w:rPr>
          <w:rFonts w:hint="eastAsia" w:ascii="黑体" w:hAnsi="黑体" w:eastAsia="黑体" w:cs="黑体"/>
          <w:b w:val="0"/>
          <w:bCs w:val="0"/>
          <w:sz w:val="36"/>
          <w:szCs w:val="36"/>
        </w:rPr>
        <w:t xml:space="preserve">文件目录</w:t>
      </w:r>
      <w:r/>
    </w:p>
    <w:p>
      <w:pPr>
        <w:ind w:left="0" w:right="0" w:firstLine="562"/>
        <w:jc w:val="center"/>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一、法人或者其他组织的营业执照等证明文件</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二、财务状况报告</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三、依法缴纳税收和社会保障资金的相关材料</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四、具备履行合同所必需的设备和专业技术能力的书面声明</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五、参加政府采购活动前 3 年内在经营活动中没有重大违法记录的书面声明</w:t>
      </w:r>
      <w:r/>
    </w:p>
    <w:p>
      <w:pPr>
        <w:ind w:left="0" w:right="0" w:firstLine="560"/>
        <w:pageBreakBefore w:val="0"/>
        <w:spacing w:line="520" w:lineRule="exact"/>
        <w:rPr>
          <w:rFonts w:hint="eastAsia" w:ascii="黑体" w:hAnsi="黑体" w:eastAsia="黑体" w:cs="黑体"/>
          <w:b w:val="0"/>
          <w:bCs w:val="0"/>
          <w:i w:val="0"/>
          <w:iCs/>
          <w:sz w:val="28"/>
          <w:szCs w:val="28"/>
          <w:u w:val="none"/>
          <w:lang w:eastAsia="zh-CN"/>
        </w:rPr>
      </w:pPr>
      <w:r>
        <w:rPr>
          <w:rFonts w:hint="eastAsia" w:ascii="黑体" w:hAnsi="黑体" w:eastAsia="黑体" w:cs="黑体"/>
          <w:b w:val="0"/>
          <w:bCs w:val="0"/>
          <w:i w:val="0"/>
          <w:iCs/>
          <w:sz w:val="28"/>
          <w:szCs w:val="28"/>
          <w:u w:val="none"/>
        </w:rPr>
        <w:t xml:space="preserve">六、特定资格要求的证明文件</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七、法人授权书</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八、磋商响应函</w:t>
      </w:r>
      <w:r/>
    </w:p>
    <w:p>
      <w:pPr>
        <w:ind w:left="0" w:right="0" w:firstLine="560"/>
        <w:pageBreakBefore w:val="0"/>
        <w:spacing w:line="520" w:lineRule="exact"/>
        <w:rPr>
          <w:rFonts w:hint="eastAsia" w:ascii="黑体" w:hAnsi="黑体" w:eastAsia="黑体" w:cs="黑体"/>
          <w:b w:val="0"/>
          <w:bCs w:val="0"/>
          <w:i w:val="0"/>
          <w:iCs/>
          <w:sz w:val="28"/>
          <w:szCs w:val="28"/>
          <w:u w:val="none"/>
          <w:lang w:eastAsia="zh-CN"/>
        </w:rPr>
      </w:pPr>
      <w:r>
        <w:rPr>
          <w:rFonts w:hint="eastAsia" w:ascii="黑体" w:hAnsi="黑体" w:eastAsia="黑体" w:cs="黑体"/>
          <w:b w:val="0"/>
          <w:bCs w:val="0"/>
          <w:i w:val="0"/>
          <w:iCs/>
          <w:sz w:val="28"/>
          <w:szCs w:val="28"/>
          <w:u w:val="none"/>
        </w:rPr>
        <w:t xml:space="preserve">九、</w:t>
      </w:r>
      <w:r>
        <w:rPr>
          <w:rFonts w:hint="eastAsia" w:ascii="黑体" w:hAnsi="黑体" w:eastAsia="黑体" w:cs="黑体"/>
          <w:b w:val="0"/>
          <w:bCs w:val="0"/>
          <w:i w:val="0"/>
          <w:iCs/>
          <w:sz w:val="28"/>
          <w:szCs w:val="28"/>
          <w:u w:val="none"/>
          <w:lang w:eastAsia="zh-CN"/>
        </w:rPr>
        <w:t xml:space="preserve">竞争性磋商首次报价书</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lang w:eastAsia="zh-CN"/>
        </w:rPr>
        <w:t xml:space="preserve">十、中小企业声明函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一</w:t>
      </w:r>
      <w:r>
        <w:rPr>
          <w:rFonts w:hint="eastAsia" w:ascii="黑体" w:hAnsi="黑体" w:eastAsia="黑体" w:cs="黑体"/>
          <w:b w:val="0"/>
          <w:bCs w:val="0"/>
          <w:i w:val="0"/>
          <w:iCs/>
          <w:color w:val="auto"/>
          <w:sz w:val="28"/>
          <w:szCs w:val="28"/>
          <w:u w:val="none"/>
        </w:rPr>
        <w:t xml:space="preserve">、残疾人福利性单位声明函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二</w:t>
      </w:r>
      <w:r>
        <w:rPr>
          <w:rFonts w:hint="eastAsia" w:ascii="黑体" w:hAnsi="黑体" w:eastAsia="黑体" w:cs="黑体"/>
          <w:b w:val="0"/>
          <w:bCs w:val="0"/>
          <w:i w:val="0"/>
          <w:iCs/>
          <w:color w:val="auto"/>
          <w:sz w:val="28"/>
          <w:szCs w:val="28"/>
          <w:u w:val="none"/>
        </w:rPr>
        <w:t xml:space="preserve">、分项报价表</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三</w:t>
      </w:r>
      <w:r>
        <w:rPr>
          <w:rFonts w:hint="eastAsia" w:ascii="黑体" w:hAnsi="黑体" w:eastAsia="黑体" w:cs="黑体"/>
          <w:b w:val="0"/>
          <w:bCs w:val="0"/>
          <w:i w:val="0"/>
          <w:iCs/>
          <w:color w:val="auto"/>
          <w:sz w:val="28"/>
          <w:szCs w:val="28"/>
          <w:u w:val="none"/>
        </w:rPr>
        <w:t xml:space="preserve">、</w:t>
      </w:r>
      <w:r>
        <w:rPr>
          <w:rFonts w:hint="eastAsia" w:ascii="黑体" w:hAnsi="黑体" w:eastAsia="黑体" w:cs="黑体"/>
          <w:b w:val="0"/>
          <w:bCs w:val="0"/>
          <w:i w:val="0"/>
          <w:iCs/>
          <w:color w:val="auto"/>
          <w:sz w:val="28"/>
          <w:szCs w:val="28"/>
          <w:u w:val="none"/>
          <w:lang w:eastAsia="zh-CN"/>
        </w:rPr>
        <w:t xml:space="preserve">服务</w:t>
      </w:r>
      <w:r>
        <w:rPr>
          <w:rFonts w:hint="eastAsia" w:ascii="黑体" w:hAnsi="黑体" w:eastAsia="黑体" w:cs="黑体"/>
          <w:b w:val="0"/>
          <w:bCs w:val="0"/>
          <w:i w:val="0"/>
          <w:iCs/>
          <w:color w:val="auto"/>
          <w:sz w:val="28"/>
          <w:szCs w:val="28"/>
          <w:u w:val="none"/>
        </w:rPr>
        <w:t xml:space="preserve">响应要求及偏离表</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lang w:eastAsia="zh-CN"/>
        </w:rPr>
        <w:t xml:space="preserve">十四、</w:t>
      </w:r>
      <w:r>
        <w:rPr>
          <w:rFonts w:hint="eastAsia" w:ascii="黑体" w:hAnsi="黑体" w:eastAsia="黑体" w:cs="黑体"/>
          <w:b w:val="0"/>
          <w:bCs w:val="0"/>
          <w:i w:val="0"/>
          <w:iCs/>
          <w:color w:val="auto"/>
          <w:sz w:val="28"/>
          <w:szCs w:val="28"/>
          <w:u w:val="none"/>
        </w:rPr>
        <w:t xml:space="preserve">关于符合本国产品标准的声明函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五</w:t>
      </w:r>
      <w:r>
        <w:rPr>
          <w:rFonts w:hint="eastAsia" w:ascii="黑体" w:hAnsi="黑体" w:eastAsia="黑体" w:cs="黑体"/>
          <w:b w:val="0"/>
          <w:bCs w:val="0"/>
          <w:i w:val="0"/>
          <w:iCs/>
          <w:color w:val="auto"/>
          <w:sz w:val="28"/>
          <w:szCs w:val="28"/>
          <w:u w:val="none"/>
        </w:rPr>
        <w:t xml:space="preserve">、</w:t>
      </w:r>
      <w:r>
        <w:rPr>
          <w:rFonts w:hint="eastAsia" w:ascii="黑体" w:hAnsi="黑体" w:eastAsia="黑体" w:cs="黑体"/>
          <w:b w:val="0"/>
          <w:bCs w:val="0"/>
          <w:i w:val="0"/>
          <w:iCs/>
          <w:color w:val="auto"/>
          <w:sz w:val="28"/>
          <w:szCs w:val="28"/>
          <w:u w:val="none"/>
          <w:lang w:eastAsia="zh-CN"/>
        </w:rPr>
        <w:t xml:space="preserve">磋商</w:t>
      </w:r>
      <w:r>
        <w:rPr>
          <w:rFonts w:hint="eastAsia" w:ascii="黑体" w:hAnsi="黑体" w:eastAsia="黑体" w:cs="黑体"/>
          <w:b w:val="0"/>
          <w:bCs w:val="0"/>
          <w:i w:val="0"/>
          <w:iCs/>
          <w:color w:val="auto"/>
          <w:sz w:val="28"/>
          <w:szCs w:val="28"/>
          <w:u w:val="none"/>
        </w:rPr>
        <w:t xml:space="preserve">文件中要求提供的承诺、声明等材料或供应商认为需要提供的其他资料</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r>
      <w:r/>
    </w:p>
    <w:p>
      <w:pPr>
        <w:ind w:left="0" w:right="0" w:firstLine="560"/>
        <w:pageBreakBefore w:val="0"/>
        <w:spacing w:line="520" w:lineRule="exact"/>
        <w:rPr>
          <w:rFonts w:hint="eastAsia" w:ascii="仿宋_GB2312" w:hAnsi="仿宋_GB2312" w:eastAsia="仿宋_GB2312" w:cs="仿宋_GB2312"/>
          <w:b w:val="0"/>
          <w:bCs w:val="0"/>
          <w:i w:val="0"/>
          <w:iCs/>
          <w:sz w:val="28"/>
          <w:szCs w:val="28"/>
          <w:u w:val="none"/>
        </w:rPr>
      </w:pPr>
      <w:r>
        <w:rPr>
          <w:rFonts w:hint="eastAsia" w:ascii="仿宋_GB2312" w:hAnsi="仿宋_GB2312" w:eastAsia="仿宋_GB2312" w:cs="仿宋_GB2312"/>
          <w:b w:val="0"/>
          <w:bCs w:val="0"/>
          <w:i w:val="0"/>
          <w:iCs/>
          <w:sz w:val="28"/>
          <w:szCs w:val="28"/>
          <w:u w:val="non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二、财务状况报告</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本项目</w:t>
      </w:r>
      <w:r>
        <w:rPr>
          <w:rFonts w:hint="eastAsia" w:ascii="仿宋_GB2312" w:hAnsi="仿宋_GB2312" w:eastAsia="仿宋_GB2312" w:cs="仿宋_GB2312"/>
          <w:bCs/>
          <w:sz w:val="28"/>
          <w:szCs w:val="28"/>
        </w:rPr>
        <w:t xml:space="preserve">提交响应文件截止时间</w:t>
      </w:r>
      <w:r>
        <w:rPr>
          <w:rFonts w:hint="eastAsia" w:ascii="仿宋_GB2312" w:hAnsi="仿宋_GB2312" w:eastAsia="仿宋_GB2312" w:cs="仿宋_GB2312"/>
          <w:bCs/>
          <w:sz w:val="28"/>
          <w:szCs w:val="28"/>
          <w:lang w:eastAsia="zh-CN"/>
        </w:rPr>
        <w:t xml:space="preserve">前</w:t>
      </w:r>
      <w:r>
        <w:rPr>
          <w:rFonts w:hint="eastAsia" w:ascii="仿宋_GB2312" w:hAnsi="仿宋_GB2312" w:eastAsia="仿宋_GB2312" w:cs="仿宋_GB2312"/>
          <w:bCs/>
          <w:sz w:val="28"/>
          <w:szCs w:val="28"/>
        </w:rPr>
        <w:t xml:space="preserve">六个月中任意一个月的财务状况报告（至少包括资产负债表和利润表），或</w:t>
      </w:r>
      <w:r>
        <w:rPr>
          <w:rFonts w:hint="eastAsia" w:ascii="仿宋_GB2312" w:hAnsi="仿宋_GB2312" w:eastAsia="仿宋_GB2312" w:cs="仿宋_GB2312"/>
          <w:bCs/>
          <w:sz w:val="28"/>
          <w:szCs w:val="28"/>
          <w:lang w:val="en-US" w:eastAsia="zh-CN"/>
        </w:rPr>
        <w:t xml:space="preserve">2024或者2025</w:t>
      </w:r>
      <w:r>
        <w:rPr>
          <w:rFonts w:hint="eastAsia" w:ascii="仿宋_GB2312" w:hAnsi="仿宋_GB2312" w:eastAsia="仿宋_GB2312" w:cs="仿宋_GB2312"/>
          <w:bCs/>
          <w:sz w:val="28"/>
          <w:szCs w:val="28"/>
        </w:rPr>
        <w:t xml:space="preserve">两年中任意一个年度经审计的财务报告，或本项目开标</w:t>
      </w:r>
      <w:r>
        <w:rPr>
          <w:rFonts w:hint="eastAsia" w:ascii="仿宋_GB2312" w:hAnsi="仿宋_GB2312" w:eastAsia="仿宋_GB2312" w:cs="仿宋_GB2312"/>
          <w:bCs/>
          <w:sz w:val="28"/>
          <w:szCs w:val="28"/>
          <w:lang w:eastAsia="zh-CN"/>
        </w:rPr>
        <w:t xml:space="preserve">时间</w:t>
      </w:r>
      <w:r>
        <w:rPr>
          <w:rFonts w:hint="eastAsia" w:ascii="仿宋_GB2312" w:hAnsi="仿宋_GB2312" w:eastAsia="仿宋_GB2312" w:cs="仿宋_GB2312"/>
          <w:bCs/>
          <w:sz w:val="28"/>
          <w:szCs w:val="28"/>
        </w:rPr>
        <w:t xml:space="preserve">前</w:t>
      </w:r>
      <w:r>
        <w:rPr>
          <w:rFonts w:hint="eastAsia" w:ascii="仿宋_GB2312" w:hAnsi="仿宋_GB2312" w:eastAsia="仿宋_GB2312" w:cs="仿宋_GB2312"/>
          <w:bCs/>
          <w:sz w:val="28"/>
          <w:szCs w:val="28"/>
          <w:lang w:eastAsia="zh-CN"/>
        </w:rPr>
        <w:t xml:space="preserve">六</w:t>
      </w:r>
      <w:r>
        <w:rPr>
          <w:rFonts w:hint="eastAsia" w:ascii="仿宋_GB2312" w:hAnsi="仿宋_GB2312" w:eastAsia="仿宋_GB2312" w:cs="仿宋_GB2312"/>
          <w:bCs/>
          <w:sz w:val="28"/>
          <w:szCs w:val="28"/>
        </w:rPr>
        <w:t xml:space="preserve">个月内银行出具的资信证明</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注：</w:t>
      </w:r>
      <w:r>
        <w:rPr>
          <w:rFonts w:hint="eastAsia" w:ascii="仿宋_GB2312" w:hAnsi="仿宋_GB2312" w:eastAsia="仿宋_GB2312" w:cs="仿宋_GB2312"/>
          <w:bCs/>
          <w:sz w:val="28"/>
          <w:szCs w:val="28"/>
        </w:rPr>
        <w:t xml:space="preserve">供应商成立不满一年无需提供</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u w:val="single"/>
          <w:lang w:val="en-US"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right="0"/>
        <w:jc w:val="center"/>
        <w:pageBreakBefore w:val="0"/>
        <w:spacing w:line="520" w:lineRule="exact"/>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声  明</w:t>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right="0"/>
        <w:pageBreakBefore w:val="0"/>
        <w:spacing w:line="52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采购单位名称）</w:t>
      </w:r>
      <w:r>
        <w:rPr>
          <w:rFonts w:hint="eastAsia" w:ascii="仿宋_GB2312" w:hAnsi="仿宋_GB2312" w:eastAsia="仿宋_GB2312" w:cs="仿宋_GB2312"/>
          <w:b/>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jc w:val="center"/>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left="0" w:right="0" w:firstLine="560"/>
        <w:pageBreakBefore w:val="0"/>
        <w:spacing w:line="520" w:lineRule="exact"/>
        <w:rPr>
          <w:rFonts w:hint="eastAsia" w:ascii="仿宋_GB2312" w:hAnsi="仿宋_GB2312" w:eastAsia="仿宋_GB2312" w:cs="仿宋_GB2312"/>
          <w:bCs/>
          <w:i w:val="0"/>
          <w:iCs w:val="0"/>
          <w:sz w:val="28"/>
          <w:szCs w:val="28"/>
          <w:highlight w:val="yellow"/>
          <w:u w:val="none"/>
        </w:rPr>
      </w:pPr>
      <w:r>
        <w:rPr>
          <w:rFonts w:hint="eastAsia" w:ascii="仿宋_GB2312" w:hAnsi="仿宋_GB2312" w:eastAsia="仿宋_GB2312" w:cs="仿宋_GB2312"/>
          <w:i w:val="0"/>
          <w:iCs w:val="0"/>
          <w:sz w:val="28"/>
          <w:szCs w:val="28"/>
          <w:u w:val="none"/>
        </w:rPr>
        <w:t xml:space="preserve"> </w:t>
      </w:r>
      <w:bookmarkEnd w:id="193"/>
      <w:r/>
      <w:bookmarkEnd w:id="194"/>
      <w:r/>
      <w:bookmarkEnd w:id="195"/>
      <w:r/>
      <w:r/>
    </w:p>
    <w:p>
      <w:pPr>
        <w:ind w:firstLine="560"/>
        <w:keepLines w:val="0"/>
        <w:keepNext w:val="0"/>
        <w:pageBreakBefore w:val="0"/>
        <w:spacing w:line="500" w:lineRule="exact"/>
        <w:widowControl w:val="off"/>
        <w:rPr>
          <w:rFonts w:hint="eastAsia" w:ascii="黑体" w:hAnsi="黑体" w:eastAsia="黑体" w:cs="黑体"/>
          <w:i/>
          <w:iCs/>
          <w:color w:val="auto"/>
          <w:sz w:val="28"/>
          <w:szCs w:val="28"/>
          <w:u w:val="single"/>
          <w:lang w:val="en-US" w:eastAsia="zh-CN"/>
        </w:rPr>
      </w:pPr>
      <w:r/>
      <w:bookmarkStart w:id="196" w:name="_Toc120614284"/>
      <w:r>
        <w:rPr>
          <w:rFonts w:hint="eastAsia" w:ascii="黑体" w:hAnsi="黑体" w:eastAsia="黑体" w:cs="黑体"/>
          <w:i/>
          <w:iCs/>
          <w:color w:val="auto"/>
          <w:sz w:val="28"/>
          <w:szCs w:val="28"/>
          <w:u w:val="single"/>
          <w:lang w:val="en-US" w:eastAsia="zh-CN"/>
        </w:rPr>
        <w:t xml:space="preserve">1.具有基础电信业务经营许可，或具备增值电信业务经营许可且依据省级以上相关文件可以提供“数据专网服务”的独立法人或其分支机构，响应文件中需提供许可证或资质证书扫描件。</w:t>
      </w:r>
      <w:r/>
    </w:p>
    <w:p>
      <w:pPr>
        <w:ind w:left="0" w:right="0" w:firstLine="560"/>
        <w:pageBreakBefore w:val="0"/>
        <w:spacing w:line="520" w:lineRule="exact"/>
        <w:rPr>
          <w:rFonts w:hint="eastAsia" w:ascii="仿宋_GB2312" w:hAnsi="仿宋_GB2312" w:eastAsia="仿宋_GB2312" w:cs="仿宋_GB2312"/>
          <w:bCs/>
          <w:i w:val="0"/>
          <w:iCs w:val="0"/>
          <w:sz w:val="28"/>
          <w:szCs w:val="28"/>
          <w:highlight w:val="yellow"/>
          <w:u w:val="none"/>
        </w:rPr>
      </w:pPr>
      <w:r>
        <w:rPr>
          <w:rFonts w:hint="eastAsia" w:ascii="黑体" w:hAnsi="黑体" w:eastAsia="黑体" w:cs="黑体"/>
          <w:i/>
          <w:iCs/>
          <w:color w:val="auto"/>
          <w:sz w:val="28"/>
          <w:szCs w:val="28"/>
          <w:u w:val="single"/>
          <w:lang w:val="en-US" w:eastAsia="zh-CN"/>
        </w:rPr>
        <w:t xml:space="preserve">2.接受分公司投标，但总公司（法人）和分公司不得同时参与本项目投标，同一法人的不同分支机构不得同时参与本项目投标。</w:t>
      </w:r>
      <w:r>
        <w:rPr>
          <w:rFonts w:hint="eastAsia" w:ascii="黑体" w:hAnsi="黑体" w:eastAsia="黑体" w:cs="黑体"/>
          <w:i/>
          <w:iCs/>
          <w:sz w:val="28"/>
          <w:szCs w:val="28"/>
          <w:u w:val="single"/>
          <w:lang w:eastAsia="zh-CN"/>
        </w:rPr>
        <w:t xml:space="preserve">（供应商需提供承诺函，格式自拟）</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rPr>
          <w:rFonts w:hint="eastAsia" w:ascii="黑体" w:hAnsi="黑体" w:eastAsia="黑体" w:cs="黑体"/>
          <w:i/>
          <w:sz w:val="28"/>
          <w:szCs w:val="28"/>
          <w:u w:val="single"/>
        </w:rPr>
      </w:pPr>
      <w:r>
        <w:rPr>
          <w:rFonts w:hint="eastAsia" w:ascii="黑体" w:hAnsi="黑体" w:eastAsia="黑体" w:cs="黑体"/>
          <w:i/>
          <w:sz w:val="28"/>
          <w:szCs w:val="28"/>
          <w:u w:val="single"/>
        </w:rPr>
        <w:br w:type="page" w:clear="all"/>
      </w:r>
      <w:r/>
    </w:p>
    <w:p>
      <w:pPr>
        <w:ind w:left="0" w:right="0" w:firstLine="560"/>
        <w:jc w:val="center"/>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197" w:name="_格式3__银行出具的资信证明"/>
      <w:r/>
      <w:bookmarkEnd w:id="197"/>
      <w:r/>
      <w:bookmarkStart w:id="198" w:name="_Hlt26955070"/>
      <w:r/>
      <w:bookmarkEnd w:id="198"/>
      <w:r/>
      <w:bookmarkStart w:id="199" w:name="_Hlt26671380"/>
      <w:r/>
      <w:bookmarkEnd w:id="199"/>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center"/>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hint="eastAsia" w:ascii="仿宋_GB2312" w:hAnsi="仿宋_GB2312" w:eastAsia="仿宋_GB2312" w:cs="仿宋_GB2312"/>
          <w:b/>
          <w:sz w:val="28"/>
          <w:szCs w:val="28"/>
        </w:rPr>
        <w:br w:type="page" w:clear="all"/>
      </w:r>
      <w:r>
        <w:rPr>
          <w:rFonts w:hint="eastAsia" w:ascii="黑体" w:hAnsi="黑体" w:eastAsia="黑体" w:cs="黑体"/>
          <w:b w:val="0"/>
          <w:bCs/>
          <w:i/>
          <w:sz w:val="28"/>
          <w:szCs w:val="28"/>
          <w:u w:val="single"/>
        </w:rPr>
        <w:t xml:space="preserve">八、磋商响应函</w:t>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sz w:val="28"/>
          <w:szCs w:val="28"/>
          <w:u w:val="single"/>
        </w:rPr>
      </w:r>
      <w:r/>
    </w:p>
    <w:p>
      <w:pPr>
        <w:ind w:right="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兴化市政务服务中心</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号磋商文件，正式授权_______(姓名)代表我方__________（供应商的名称），全权处理本次项目磋商的有关事宜。</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w:t>
      </w:r>
      <w:r>
        <w:rPr>
          <w:rFonts w:hint="eastAsia" w:ascii="仿宋_GB2312" w:hAnsi="仿宋_GB2312" w:eastAsia="仿宋_GB2312" w:cs="仿宋_GB2312"/>
          <w:sz w:val="28"/>
          <w:szCs w:val="28"/>
          <w:lang w:eastAsia="zh-CN"/>
        </w:rPr>
        <w:t xml:space="preserve">（被授权人）</w:t>
      </w:r>
      <w:r>
        <w:rPr>
          <w:rFonts w:hint="eastAsia" w:ascii="仿宋_GB2312" w:hAnsi="仿宋_GB2312" w:eastAsia="仿宋_GB2312" w:cs="仿宋_GB2312"/>
          <w:sz w:val="28"/>
          <w:szCs w:val="28"/>
        </w:rPr>
        <w:t xml:space="preserve">兹宣布同意如下：</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1.按磋商文件规定的各项要求，向买方提供所需货物、服务（包含与货物相关的服务及与服务相关的货物）。</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2.我们完全理解贵方不一定将合同授予最低报价的供应商。</w:t>
      </w:r>
      <w:r/>
    </w:p>
    <w:p>
      <w:pPr>
        <w:ind w:left="0" w:right="0" w:firstLine="56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3.我们已详细审核全部磋商文件及其有效补充文件，我们知道必须放弃提出含糊不清或误解问题的权利。我方认可并遵守</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文件的所有规定，放弃对</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文件提出质疑的权利</w:t>
      </w:r>
      <w:r>
        <w:rPr>
          <w:rFonts w:hint="eastAsia" w:ascii="仿宋_GB2312" w:hAnsi="仿宋_GB2312" w:eastAsia="仿宋_GB2312" w:cs="仿宋_GB2312"/>
          <w:sz w:val="28"/>
          <w:szCs w:val="28"/>
          <w:lang w:eastAsia="zh-CN"/>
        </w:rPr>
        <w:t xml:space="preserve">。</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4.我们同意从规定的开标日期起遵循本响应文件，并在规定的磋商有效期期满之前均具有约束力。</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5.同意向贵方提供贵方可能另外要求的与磋商有关的任何证据或资料，并保证我方已提供和将要提供的文件是真实的、准确的。</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6.一旦我方成交,我方将根据磋商文件的规定，严格履行合同的责任和义务,并保证在磋商文件规定的时间完成项目，交付买方验收、使用。</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7.我方与本磋商有关的正式通讯地址为：</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left="0" w:right="0" w:firstLine="560"/>
        <w:jc w:val="left"/>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rPr>
        <w:t xml:space="preserve">九、</w:t>
      </w:r>
      <w:r>
        <w:rPr>
          <w:rFonts w:hint="eastAsia" w:ascii="黑体" w:hAnsi="黑体" w:eastAsia="黑体" w:cs="黑体"/>
          <w:b w:val="0"/>
          <w:bCs/>
          <w:i/>
          <w:iCs/>
          <w:sz w:val="28"/>
          <w:szCs w:val="28"/>
          <w:u w:val="single"/>
          <w:lang w:eastAsia="zh-CN"/>
        </w:rPr>
        <w:t xml:space="preserve">竞争性磋商首次报价书</w:t>
      </w:r>
      <w:r/>
    </w:p>
    <w:p>
      <w:pPr>
        <w:ind w:left="0" w:right="0" w:firstLine="562"/>
        <w:jc w:val="both"/>
        <w:pageBreakBefore w:val="0"/>
        <w:spacing w:line="520" w:lineRule="exact"/>
        <w:rPr>
          <w:rFonts w:hint="eastAsia" w:ascii="黑体" w:hAnsi="黑体" w:eastAsia="黑体" w:cs="黑体"/>
          <w:b/>
          <w:bCs/>
          <w:i/>
          <w:iCs/>
          <w:sz w:val="28"/>
          <w:szCs w:val="28"/>
          <w:u w:val="single"/>
          <w:lang w:eastAsia="zh-CN"/>
        </w:rPr>
      </w:pPr>
      <w:r>
        <w:rPr>
          <w:rFonts w:hint="eastAsia" w:ascii="黑体" w:hAnsi="黑体" w:eastAsia="黑体" w:cs="黑体"/>
          <w:b/>
          <w:bCs/>
          <w:i/>
          <w:iCs/>
          <w:sz w:val="28"/>
          <w:szCs w:val="28"/>
          <w:u w:val="single"/>
          <w:lang w:eastAsia="zh-CN"/>
        </w:rPr>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200" w:name="TBR"/>
      <w:r/>
      <w:bookmarkEnd w:id="200"/>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201" w:name="XMMC"/>
      <w:r/>
      <w:bookmarkEnd w:id="201"/>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202" w:name="XMBH"/>
      <w:r/>
      <w:bookmarkEnd w:id="202"/>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分包号：</w:t>
      </w:r>
      <w:bookmarkStart w:id="203" w:name="FBH"/>
      <w:r/>
      <w:bookmarkEnd w:id="203"/>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bl>
      <w:tblPr>
        <w:tblStyle w:val="828"/>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1101"/>
        </w:trPr>
        <w:tc>
          <w:tcPr>
            <w:tcW w:w="9000" w:type="dxa"/>
            <w:vAlign w:val="center"/>
            <w:textDirection w:val="lrTb"/>
            <w:noWrap w:val="false"/>
          </w:tcPr>
          <w:p>
            <w:pPr>
              <w:contextualSpacing/>
              <w:ind w:right="0"/>
              <w:jc w:val="center"/>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707"/>
        </w:trPr>
        <w:tc>
          <w:tcPr>
            <w:tcW w:w="9000" w:type="dxa"/>
            <w:vAlign w:val="center"/>
            <w:textDirection w:val="lrTb"/>
            <w:noWrap w:val="false"/>
          </w:tcPr>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204" w:name="JEDX"/>
            <w:r/>
            <w:bookmarkEnd w:id="204"/>
            <w:r/>
            <w:r/>
          </w:p>
          <w:p>
            <w:pPr>
              <w:contextualSpacing/>
              <w:ind w:left="0" w:right="0" w:firstLine="560"/>
              <w:jc w:val="lef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205" w:name="JEXX"/>
            <w:r/>
            <w:bookmarkEnd w:id="205"/>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（元）（人民币）</w:t>
            </w:r>
            <w:r/>
          </w:p>
        </w:tc>
      </w:tr>
    </w:tbl>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bookmarkStart w:id="206" w:name="NF"/>
      <w:r/>
      <w:bookmarkEnd w:id="206"/>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207" w:name="YF"/>
      <w:r/>
      <w:bookmarkEnd w:id="207"/>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208" w:name="RI"/>
      <w:r/>
      <w:bookmarkEnd w:id="208"/>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jc w:val="center"/>
        <w:keepLines w:val="0"/>
        <w:keepNext w:val="0"/>
        <w:pageBreakBefore w:val="0"/>
        <w:spacing w:after="181"/>
        <w:widowControl w:val="off"/>
        <w:rPr>
          <w:rFonts w:hint="eastAsia" w:ascii="方正小标宋简体" w:hAnsi="方正小标宋简体" w:eastAsia="方正小标宋简体" w:cs="方正小标宋简体"/>
          <w:sz w:val="40"/>
          <w:szCs w:val="40"/>
          <w:highlight w:val="yellow"/>
        </w:rPr>
      </w:pPr>
      <w:r>
        <w:rPr>
          <w:rFonts w:hint="eastAsia" w:ascii="方正小标宋简体" w:hAnsi="方正小标宋简体" w:eastAsia="方正小标宋简体" w:cs="方正小标宋简体"/>
          <w:sz w:val="40"/>
          <w:szCs w:val="40"/>
          <w:highlight w:val="yellow"/>
        </w:rPr>
        <w:t xml:space="preserve">报价合理性</w:t>
      </w:r>
      <w:r>
        <w:rPr>
          <w:rFonts w:hint="eastAsia" w:ascii="方正小标宋简体" w:hAnsi="方正小标宋简体" w:eastAsia="方正小标宋简体" w:cs="方正小标宋简体"/>
          <w:sz w:val="40"/>
          <w:szCs w:val="40"/>
          <w:highlight w:val="yellow"/>
          <w:lang w:eastAsia="zh-CN"/>
        </w:rPr>
        <w:t xml:space="preserve">告知</w:t>
      </w:r>
      <w:r>
        <w:rPr>
          <w:rFonts w:hint="eastAsia" w:ascii="方正小标宋简体" w:hAnsi="方正小标宋简体" w:eastAsia="方正小标宋简体" w:cs="方正小标宋简体"/>
          <w:sz w:val="40"/>
          <w:szCs w:val="40"/>
          <w:highlight w:val="yellow"/>
        </w:rPr>
        <w:t xml:space="preserve">函</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近期，我市政府采购工程项目中，少数供应商在成交后，无正当理由放弃成交资格，拒不与采购单位签订采购合同。</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根据</w:t>
      </w:r>
      <w:r>
        <w:rPr>
          <w:rFonts w:hint="eastAsia" w:ascii="仿宋" w:hAnsi="仿宋" w:eastAsia="仿宋"/>
          <w:bCs/>
          <w:sz w:val="28"/>
          <w:szCs w:val="28"/>
          <w:highlight w:val="none"/>
          <w:lang w:eastAsia="zh-CN"/>
        </w:rPr>
        <w:t xml:space="preserve">政府采购法律法规等相关规定，</w:t>
      </w:r>
      <w:r>
        <w:rPr>
          <w:rFonts w:hint="eastAsia" w:ascii="仿宋" w:hAnsi="仿宋" w:eastAsia="仿宋"/>
          <w:sz w:val="28"/>
          <w:szCs w:val="28"/>
          <w:highlight w:val="none"/>
        </w:rPr>
        <w:t xml:space="preserve">中标或者成交后无正当理由拒不与采购人签订政府采购合同</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w:t>
      </w:r>
      <w:r>
        <w:rPr>
          <w:rFonts w:hint="eastAsia" w:ascii="黑体" w:hAnsi="黑体" w:eastAsia="黑体" w:cs="黑体"/>
          <w:b/>
          <w:bCs/>
          <w:color w:val="ff0000"/>
          <w:spacing w:val="0"/>
          <w:sz w:val="28"/>
          <w:szCs w:val="28"/>
          <w:highlight w:val="none"/>
          <w:lang w:eastAsia="zh-CN"/>
        </w:rPr>
        <w:t xml:space="preserve">“</w:t>
      </w:r>
      <w:r>
        <w:rPr>
          <w:rFonts w:hint="eastAsia" w:ascii="黑体" w:hAnsi="黑体" w:eastAsia="黑体" w:cs="黑体"/>
          <w:b/>
          <w:bCs/>
          <w:color w:val="ff0000"/>
          <w:spacing w:val="0"/>
          <w:sz w:val="28"/>
          <w:szCs w:val="28"/>
          <w:highlight w:val="yellow"/>
          <w:u w:val="single"/>
        </w:rPr>
        <w:t xml:space="preserve">处以采购金额</w:t>
      </w:r>
      <w:r>
        <w:rPr>
          <w:rFonts w:hint="eastAsia" w:ascii="黑体" w:hAnsi="黑体" w:eastAsia="黑体" w:cs="黑体"/>
          <w:b/>
          <w:bCs/>
          <w:color w:val="ff0000"/>
          <w:spacing w:val="0"/>
          <w:sz w:val="28"/>
          <w:szCs w:val="28"/>
          <w:highlight w:val="yellow"/>
          <w:u w:val="single"/>
          <w:lang w:eastAsia="zh-CN"/>
        </w:rPr>
        <w:t xml:space="preserve">（预算金额）</w:t>
      </w:r>
      <w:r>
        <w:rPr>
          <w:rFonts w:hint="eastAsia" w:ascii="黑体" w:hAnsi="黑体" w:eastAsia="黑体" w:cs="黑体"/>
          <w:b/>
          <w:bCs/>
          <w:color w:val="ff0000"/>
          <w:spacing w:val="0"/>
          <w:sz w:val="28"/>
          <w:szCs w:val="28"/>
          <w:highlight w:val="yellow"/>
          <w:u w:val="single"/>
        </w:rPr>
        <w:t xml:space="preserve">千分之五以上千分之十以下的罚款，列入不良行为记录名单，在一至三年内禁止参加政府采购活动</w:t>
      </w:r>
      <w:r>
        <w:rPr>
          <w:rFonts w:hint="eastAsia" w:ascii="黑体" w:hAnsi="黑体" w:eastAsia="黑体" w:cs="黑体"/>
          <w:b/>
          <w:bCs/>
          <w:color w:val="ff0000"/>
          <w:spacing w:val="0"/>
          <w:sz w:val="28"/>
          <w:szCs w:val="28"/>
          <w:highlight w:val="yellow"/>
        </w:rPr>
        <w:t xml:space="preserve">”</w:t>
      </w:r>
      <w:r>
        <w:rPr>
          <w:rFonts w:hint="eastAsia" w:ascii="仿宋" w:hAnsi="仿宋" w:eastAsia="仿宋"/>
          <w:sz w:val="28"/>
          <w:szCs w:val="28"/>
          <w:highlight w:val="none"/>
        </w:rPr>
        <w:t xml:space="preserve">，我市</w:t>
      </w:r>
      <w:r>
        <w:rPr>
          <w:rFonts w:hint="eastAsia" w:ascii="仿宋" w:hAnsi="仿宋" w:eastAsia="仿宋"/>
          <w:sz w:val="28"/>
          <w:szCs w:val="28"/>
          <w:highlight w:val="none"/>
          <w:lang w:eastAsia="zh-CN"/>
        </w:rPr>
        <w:t xml:space="preserve">政府采购监管部门</w:t>
      </w:r>
      <w:r>
        <w:rPr>
          <w:rFonts w:hint="eastAsia" w:ascii="仿宋" w:hAnsi="仿宋" w:eastAsia="仿宋"/>
          <w:sz w:val="28"/>
          <w:szCs w:val="28"/>
          <w:highlight w:val="none"/>
        </w:rPr>
        <w:t xml:space="preserve">拟对相关供应商进行处罚。</w:t>
      </w:r>
      <w:r/>
    </w:p>
    <w:p>
      <w:pPr>
        <w:rPr>
          <w:rFonts w:hint="eastAsia" w:ascii="仿宋_GB2312" w:hAnsi="仿宋_GB2312" w:eastAsia="仿宋_GB2312" w:cs="仿宋_GB2312"/>
          <w:b/>
          <w:sz w:val="28"/>
          <w:szCs w:val="28"/>
          <w:lang w:eastAsia="zh-CN"/>
        </w:rPr>
      </w:pPr>
      <w:r>
        <w:rPr>
          <w:rFonts w:hint="eastAsia" w:ascii="仿宋" w:hAnsi="仿宋" w:eastAsia="仿宋"/>
          <w:sz w:val="28"/>
          <w:szCs w:val="28"/>
          <w:highlight w:val="none"/>
        </w:rPr>
        <w:t xml:space="preserve">请你司慎重报价，</w:t>
      </w:r>
      <w:r>
        <w:rPr>
          <w:rFonts w:hint="eastAsia" w:ascii="仿宋" w:hAnsi="仿宋" w:eastAsia="仿宋"/>
          <w:sz w:val="28"/>
          <w:szCs w:val="28"/>
          <w:highlight w:val="none"/>
          <w:lang w:eastAsia="zh-CN"/>
        </w:rPr>
        <w:t xml:space="preserve">认真核实项目投入成本、合理利润，防止因报价问题放弃</w:t>
      </w:r>
      <w:r>
        <w:rPr>
          <w:rFonts w:hint="eastAsia" w:ascii="仿宋" w:hAnsi="仿宋" w:eastAsia="仿宋"/>
          <w:sz w:val="28"/>
          <w:szCs w:val="28"/>
          <w:highlight w:val="none"/>
        </w:rPr>
        <w:t xml:space="preserve">成交资格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确保严格按照采购文件要求诚信履约。否则，由此造成的一切责任由你司自行承担。</w:t>
      </w:r>
      <w:r/>
    </w:p>
    <w:p>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br w:type="page" w:clear="all"/>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 xml:space="preserve">十、中小企业声明函（服务）</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lang w:eastAsia="zh-CN"/>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bCs/>
          <w:sz w:val="28"/>
          <w:szCs w:val="28"/>
          <w:highlight w:val="yellow"/>
          <w:u w:val="single"/>
        </w:rPr>
        <w:t xml:space="preserve">信息传输业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bCs/>
          <w:sz w:val="28"/>
          <w:szCs w:val="28"/>
          <w:highlight w:val="yellow"/>
          <w:u w:val="single"/>
        </w:rPr>
        <w:t xml:space="preserve">信息传输业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eastAsia="zh-CN"/>
        </w:rPr>
        <w:t xml:space="preserve">一</w:t>
      </w:r>
      <w:r>
        <w:rPr>
          <w:rFonts w:hint="eastAsia" w:ascii="仿宋_GB2312" w:hAnsi="仿宋_GB2312" w:eastAsia="仿宋_GB2312" w:cs="仿宋_GB2312"/>
          <w:b/>
          <w:sz w:val="28"/>
          <w:szCs w:val="28"/>
        </w:rPr>
        <w:t xml:space="preserve">、残疾人福利性单位声明函</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（备注：1、供应商如为残疾人福利单位的，不提供此声明函，价格将不做相应扣除。2、此声明函将随成交结果同时公告，接受社会监督）</w:t>
      </w:r>
      <w:r/>
    </w:p>
    <w:p>
      <w:pPr>
        <w:ind w:left="0" w:right="0" w:firstLine="584"/>
        <w:pageBreakBefore w:val="0"/>
        <w:spacing w:line="52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ind w:left="0" w:right="0" w:firstLine="584"/>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left="0" w:right="0" w:firstLine="560"/>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  期：</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right="0"/>
        <w:jc w:val="both"/>
        <w:pageBreakBefore w:val="0"/>
        <w:spacing w:line="520" w:lineRule="exact"/>
        <w:rPr>
          <w:rFonts w:hint="eastAsia" w:ascii="仿宋_GB2312" w:hAnsi="仿宋_GB2312" w:eastAsia="仿宋_GB2312" w:cs="仿宋_GB2312"/>
          <w:b/>
          <w:sz w:val="32"/>
          <w:szCs w:val="32"/>
          <w:highlight w:val="none"/>
          <w:lang w:eastAsia="zh-CN"/>
        </w:rPr>
      </w:pPr>
      <w:r>
        <w:rPr>
          <w:rFonts w:hint="eastAsia" w:ascii="仿宋_GB2312" w:hAnsi="仿宋_GB2312" w:eastAsia="仿宋_GB2312" w:cs="仿宋_GB2312"/>
          <w:b/>
          <w:sz w:val="32"/>
          <w:szCs w:val="32"/>
          <w:highlight w:val="none"/>
          <w:lang w:eastAsia="zh-CN"/>
        </w:rPr>
        <w:t xml:space="preserve">【如供应商非</w:t>
      </w:r>
      <w:r>
        <w:rPr>
          <w:rFonts w:hint="eastAsia" w:ascii="仿宋_GB2312" w:hAnsi="仿宋_GB2312" w:eastAsia="仿宋_GB2312" w:cs="仿宋_GB2312"/>
          <w:b/>
          <w:sz w:val="32"/>
          <w:szCs w:val="32"/>
          <w:highlight w:val="none"/>
        </w:rPr>
        <w:t xml:space="preserve">残疾人福利性单位</w:t>
      </w:r>
      <w:r>
        <w:rPr>
          <w:rFonts w:hint="eastAsia" w:ascii="仿宋_GB2312" w:hAnsi="仿宋_GB2312" w:eastAsia="仿宋_GB2312" w:cs="仿宋_GB2312"/>
          <w:b/>
          <w:sz w:val="32"/>
          <w:szCs w:val="32"/>
          <w:highlight w:val="none"/>
          <w:lang w:eastAsia="zh-CN"/>
        </w:rPr>
        <w:t xml:space="preserve">的，请删除本声明函模板后，填写“无”。】</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right="0"/>
        <w:jc w:val="center"/>
        <w:pageBreakBefore w:val="0"/>
        <w:spacing w:line="520" w:lineRule="exact"/>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二</w:t>
      </w:r>
      <w:r>
        <w:rPr>
          <w:rFonts w:hint="eastAsia" w:ascii="黑体" w:hAnsi="黑体" w:eastAsia="黑体" w:cs="黑体"/>
          <w:b w:val="0"/>
          <w:bCs/>
          <w:i/>
          <w:iCs/>
          <w:sz w:val="28"/>
          <w:szCs w:val="28"/>
          <w:highlight w:val="none"/>
          <w:u w:val="single"/>
        </w:rPr>
        <w:t xml:space="preserve">、</w:t>
      </w:r>
      <w:bookmarkStart w:id="209" w:name="_Hlk76057113"/>
      <w:r>
        <w:rPr>
          <w:rFonts w:hint="eastAsia" w:ascii="黑体" w:hAnsi="黑体" w:eastAsia="黑体" w:cs="黑体"/>
          <w:b w:val="0"/>
          <w:bCs/>
          <w:i/>
          <w:iCs/>
          <w:sz w:val="28"/>
          <w:szCs w:val="28"/>
          <w:highlight w:val="none"/>
          <w:u w:val="single"/>
        </w:rPr>
        <w:t xml:space="preserve">分项报价表（服务）</w:t>
      </w:r>
      <w:bookmarkEnd w:id="209"/>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lang w:eastAsia="zh-CN"/>
        </w:rPr>
      </w:r>
      <w:r/>
    </w:p>
    <w:tbl>
      <w:tblPr>
        <w:tblStyle w:val="828"/>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12"/>
        <w:gridCol w:w="1288"/>
        <w:gridCol w:w="924"/>
        <w:gridCol w:w="1203"/>
        <w:gridCol w:w="1618"/>
        <w:gridCol w:w="1798"/>
      </w:tblGrid>
      <w:tr>
        <w:trPr>
          <w:cantSplit/>
          <w:trHeight w:val="544"/>
        </w:trPr>
        <w:tc>
          <w:tcPr>
            <w:tcW w:w="810"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957"/>
        </w:trPr>
        <w:tc>
          <w:tcPr>
            <w:tcW w:w="810"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41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1124"/>
        </w:trPr>
        <w:tc>
          <w:tcPr>
            <w:gridSpan w:val="7"/>
            <w:tcW w:w="9053" w:type="dxa"/>
            <w:vAlign w:val="center"/>
            <w:textDirection w:val="lrTb"/>
            <w:noWrap w:val="false"/>
          </w:tcPr>
          <w:p>
            <w:pPr>
              <w:ind w:firstLine="1440"/>
              <w:spacing w:line="0" w:lineRule="atLeast"/>
              <w:rPr>
                <w:rFonts w:hint="default" w:ascii="宋体" w:hAnsi="宋体" w:eastAsia="宋体"/>
                <w:sz w:val="24"/>
                <w:szCs w:val="24"/>
                <w:u w:val="single"/>
                <w:lang w:eastAsia="zh-CN"/>
              </w:rPr>
            </w:pPr>
            <w:r>
              <w:rPr>
                <w:rFonts w:hint="eastAsia" w:ascii="宋体" w:hAnsi="宋体"/>
                <w:sz w:val="24"/>
                <w:szCs w:val="24"/>
              </w:rPr>
              <w:t xml:space="preserve">投标总报价（人民币：元）</w:t>
            </w:r>
            <w:r>
              <w:rPr>
                <w:rFonts w:hint="eastAsia" w:ascii="宋体" w:hAnsi="宋体"/>
                <w:sz w:val="24"/>
                <w:szCs w:val="24"/>
                <w:lang w:eastAsia="zh-CN"/>
              </w:rPr>
              <w:t xml:space="preserve">：</w:t>
            </w:r>
            <w:r>
              <w:rPr>
                <w:rFonts w:hint="eastAsia" w:ascii="宋体" w:hAnsi="宋体"/>
                <w:sz w:val="24"/>
                <w:szCs w:val="24"/>
                <w:u w:val="single"/>
                <w:lang w:val="en-US" w:eastAsia="zh-CN"/>
              </w:rPr>
              <w:t xml:space="preserve">             </w:t>
            </w:r>
            <w:r/>
          </w:p>
        </w:tc>
      </w:tr>
    </w:tbl>
    <w:p>
      <w:pPr>
        <w:ind w:firstLine="480"/>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2.“投标分项报价表”中“投标总报价”数额应当与“开标一览表”中“投标总报价”数额一致。</w:t>
      </w:r>
      <w:r/>
    </w:p>
    <w:p>
      <w:pPr>
        <w:pStyle w:val="831"/>
        <w:keepLines w:val="0"/>
        <w:keepNext w:val="0"/>
        <w:pageBreakBefore w:val="0"/>
        <w:spacing w:line="500" w:lineRule="exact"/>
        <w:widowControl w:val="off"/>
        <w:rPr>
          <w:rFonts w:hint="eastAsia"/>
          <w:sz w:val="28"/>
          <w:szCs w:val="28"/>
        </w:rPr>
      </w:pPr>
      <w:r>
        <w:rPr>
          <w:rFonts w:hint="eastAsia"/>
          <w:sz w:val="28"/>
          <w:szCs w:val="28"/>
        </w:rPr>
      </w:r>
      <w:r/>
    </w:p>
    <w:p>
      <w:pPr>
        <w:keepLines w:val="0"/>
        <w:keepNext w:val="0"/>
        <w:pageBreakBefore w:val="0"/>
        <w:spacing w:line="520" w:lineRule="exact"/>
        <w:widowControl w:val="off"/>
        <w:rPr>
          <w:rFonts w:hint="eastAsia" w:ascii="黑体" w:hAnsi="黑体" w:eastAsia="黑体" w:cs="黑体"/>
          <w:i/>
          <w:iCs/>
          <w:color w:val="auto"/>
          <w:sz w:val="28"/>
          <w:szCs w:val="28"/>
          <w:highlight w:val="yellow"/>
          <w:u w:val="single"/>
          <w:lang w:val="en-US" w:eastAsia="zh-CN" w:bidi="ar-SA"/>
        </w:rPr>
      </w:pPr>
      <w:r>
        <w:rPr>
          <w:rFonts w:hint="eastAsia" w:ascii="黑体" w:hAnsi="黑体" w:eastAsia="黑体" w:cs="黑体"/>
          <w:i/>
          <w:iCs/>
          <w:color w:val="auto"/>
          <w:sz w:val="28"/>
          <w:szCs w:val="28"/>
          <w:highlight w:val="yellow"/>
          <w:u w:val="single"/>
          <w:lang w:val="en-US" w:eastAsia="zh-CN" w:bidi="ar-SA"/>
        </w:rPr>
        <w:t xml:space="preserve">注：合同中分项单价按同比例折算确定，计算规则为：合同分项单价 = 首轮响应分项单价 ×（最终磋商总报价 ÷ 首轮响应总报价）</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jc w:val="center"/>
        <w:rPr>
          <w:rFonts w:hint="eastAsia" w:ascii="黑体" w:hAnsi="黑体" w:eastAsia="黑体"/>
          <w:bCs/>
          <w:sz w:val="44"/>
          <w:szCs w:val="44"/>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三</w:t>
      </w:r>
      <w:r>
        <w:rPr>
          <w:rFonts w:hint="eastAsia" w:ascii="黑体" w:hAnsi="黑体" w:eastAsia="黑体" w:cs="黑体"/>
          <w:b w:val="0"/>
          <w:bCs/>
          <w:i/>
          <w:iCs/>
          <w:sz w:val="28"/>
          <w:szCs w:val="28"/>
          <w:u w:val="single"/>
        </w:rPr>
        <w:t xml:space="preserve">、服务要求响应及偏离表</w:t>
      </w:r>
      <w:r/>
    </w:p>
    <w:p>
      <w:pPr>
        <w:pStyle w:val="854"/>
      </w:pPr>
      <w:r/>
      <w:r/>
    </w:p>
    <w:tbl>
      <w:tblPr>
        <w:tblStyle w:val="828"/>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326"/>
        <w:gridCol w:w="2258"/>
        <w:gridCol w:w="2426"/>
        <w:gridCol w:w="1102"/>
      </w:tblGrid>
      <w:tr>
        <w:trPr>
          <w:cantSplit/>
          <w:jc w:val="center"/>
          <w:trHeight w:val="119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磋商</w:t>
            </w:r>
            <w:r>
              <w:rPr>
                <w:rFonts w:hint="eastAsia" w:ascii="黑体" w:hAnsi="黑体" w:eastAsia="黑体" w:cs="黑体"/>
                <w:sz w:val="28"/>
                <w:szCs w:val="28"/>
              </w:rPr>
              <w:t xml:space="preserve">文件要求</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响应情况</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备注</w:t>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56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说明：</w:t>
      </w:r>
      <w:r/>
    </w:p>
    <w:p>
      <w:pPr>
        <w:ind w:firstLine="560"/>
        <w:keepLines w:val="0"/>
        <w:keepNext w:val="0"/>
        <w:pageBreakBefore w:val="0"/>
        <w:spacing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1、供应商可根据</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w:t>
      </w:r>
      <w:r>
        <w:rPr>
          <w:rFonts w:hint="eastAsia" w:ascii="仿宋_GB2312" w:hAnsi="仿宋_GB2312" w:eastAsia="仿宋_GB2312" w:cs="仿宋_GB2312"/>
          <w:sz w:val="28"/>
          <w:szCs w:val="28"/>
          <w:lang w:val="en-US" w:eastAsia="zh-CN"/>
        </w:rPr>
        <w:t xml:space="preserve"> 第四章</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需求的内容填报，服务要求响应表的内容必须对其相对应的要求中的内容</w:t>
      </w:r>
      <w:r>
        <w:rPr>
          <w:rFonts w:hint="eastAsia" w:ascii="仿宋_GB2312" w:hAnsi="仿宋_GB2312" w:eastAsia="仿宋_GB2312" w:cs="仿宋_GB2312"/>
          <w:b/>
          <w:sz w:val="28"/>
          <w:szCs w:val="28"/>
        </w:rPr>
        <w:t xml:space="preserve">逐项、详细、真实的填写。</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2、供应商对存在正偏离或负偏离的的技术要求，应真实填写</w:t>
      </w:r>
      <w:r>
        <w:rPr>
          <w:rFonts w:hint="eastAsia" w:ascii="仿宋_GB2312" w:hAnsi="仿宋_GB2312" w:eastAsia="仿宋_GB2312" w:cs="仿宋_GB2312"/>
          <w:b/>
          <w:sz w:val="28"/>
          <w:szCs w:val="28"/>
        </w:rPr>
        <w:t xml:space="preserve">（对属于正偏离的技术参数，供应商须在</w:t>
      </w:r>
      <w:r>
        <w:rPr>
          <w:rFonts w:hint="eastAsia" w:ascii="仿宋_GB2312" w:hAnsi="仿宋_GB2312" w:eastAsia="仿宋_GB2312" w:cs="仿宋_GB2312"/>
          <w:b/>
          <w:sz w:val="28"/>
          <w:szCs w:val="28"/>
          <w:lang w:eastAsia="zh-CN"/>
        </w:rPr>
        <w:t xml:space="preserve">响应</w:t>
      </w:r>
      <w:r>
        <w:rPr>
          <w:rFonts w:hint="eastAsia" w:ascii="仿宋_GB2312" w:hAnsi="仿宋_GB2312" w:eastAsia="仿宋_GB2312" w:cs="仿宋_GB2312"/>
          <w:b/>
          <w:sz w:val="28"/>
          <w:szCs w:val="28"/>
        </w:rPr>
        <w:t xml:space="preserve">文件中提供有效证明材料，如未提供，磋商小组在评审时将不予认可；对属于负偏离的技术参数，未真实填写的视为虚假响应）</w:t>
      </w:r>
      <w:r>
        <w:rPr>
          <w:rFonts w:hint="eastAsia" w:ascii="仿宋_GB2312" w:hAnsi="仿宋_GB2312" w:eastAsia="仿宋_GB2312" w:cs="仿宋_GB2312"/>
          <w:sz w:val="28"/>
          <w:szCs w:val="28"/>
        </w:rPr>
        <w:t xml:space="preserve">。</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bookmarkEnd w:id="196"/>
      <w:r/>
      <w:r/>
    </w:p>
    <w:p>
      <w:pPr>
        <w:rPr>
          <w:rFonts w:hint="eastAsia" w:ascii="仿宋_GB2312" w:hAnsi="仿宋_GB2312" w:eastAsia="仿宋_GB2312" w:cs="仿宋_GB2312"/>
          <w:b/>
          <w:sz w:val="28"/>
          <w:szCs w:val="28"/>
        </w:rPr>
      </w:pPr>
      <w:r/>
      <w:bookmarkStart w:id="210" w:name="_Hlt26955054"/>
      <w:r/>
      <w:bookmarkEnd w:id="210"/>
      <w:r>
        <w:rPr>
          <w:rFonts w:hint="eastAsia" w:ascii="仿宋_GB2312" w:hAnsi="仿宋_GB2312" w:eastAsia="仿宋_GB2312" w:cs="仿宋_GB2312"/>
          <w:b/>
          <w:sz w:val="28"/>
          <w:szCs w:val="28"/>
        </w:rPr>
        <w:br w:type="page" w:clear="all"/>
      </w:r>
      <w:bookmarkEnd w:id="185"/>
      <w:r/>
      <w:bookmarkEnd w:id="186"/>
      <w:r/>
      <w:r/>
    </w:p>
    <w:p>
      <w:pPr>
        <w:ind w:left="0" w:right="0" w:firstLine="720"/>
        <w:jc w:val="center"/>
        <w:pageBreakBefore w:val="0"/>
        <w:spacing w:line="520" w:lineRule="exact"/>
        <w:rPr>
          <w:rFonts w:hint="eastAsia" w:ascii="黑体" w:hAnsi="黑体" w:eastAsia="黑体" w:cs="黑体"/>
          <w:b w:val="0"/>
          <w:bCs w:val="0"/>
          <w:sz w:val="36"/>
          <w:szCs w:val="36"/>
        </w:rPr>
        <w:sectPr>
          <w:headerReference w:type="default" r:id="rId10"/>
          <w:footerReference w:type="default" r:id="rId14"/>
          <w:footerReference w:type="first" r:id="rId15"/>
          <w:footnotePr/>
          <w:endnotePr/>
          <w:type w:val="nextPage"/>
          <w:pgSz w:w="11906" w:h="16838" w:orient="portrait"/>
          <w:pgMar w:top="1417" w:right="1417" w:bottom="1134" w:left="1417" w:header="851" w:footer="907" w:gutter="0"/>
          <w:pgNumType w:start="1"/>
          <w:cols w:num="1" w:sep="0" w:space="0" w:equalWidth="1"/>
          <w:docGrid w:linePitch="360"/>
          <w:titlePg/>
        </w:sectPr>
      </w:pPr>
      <w:r>
        <w:rPr>
          <w:rFonts w:hint="eastAsia" w:ascii="黑体" w:hAnsi="黑体" w:eastAsia="黑体" w:cs="黑体"/>
          <w:b w:val="0"/>
          <w:bCs w:val="0"/>
          <w:sz w:val="36"/>
          <w:szCs w:val="36"/>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lang w:eastAsia="zh-CN"/>
        </w:rPr>
        <w:t xml:space="preserve">十四、</w:t>
      </w:r>
      <w:r>
        <w:rPr>
          <w:rFonts w:hint="eastAsia" w:ascii="黑体" w:hAnsi="黑体" w:eastAsia="黑体" w:cs="黑体"/>
          <w:b w:val="0"/>
          <w:bCs/>
          <w:i/>
          <w:iCs/>
          <w:sz w:val="28"/>
          <w:szCs w:val="28"/>
          <w:u w:val="single"/>
        </w:rPr>
        <w:t xml:space="preserve">关于符合本国产品标准的声明函</w:t>
      </w:r>
      <w:r/>
    </w:p>
    <w:p>
      <w:pPr>
        <w:pStyle w:val="852"/>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858"/>
          <w:rFonts w:hint="eastAsia" w:ascii="仿宋_GB2312" w:hAnsi="仿宋_GB2312" w:eastAsia="仿宋_GB2312" w:cs="仿宋_GB2312"/>
          <w:i w:val="0"/>
          <w:color w:val="auto"/>
          <w:sz w:val="28"/>
          <w:szCs w:val="28"/>
          <w:u w:val="single"/>
          <w:shd w:val="clear" w:color="auto" w:fill="ffffff"/>
        </w:rPr>
        <w:t xml:space="preserve">（产品名称1）</w:t>
      </w:r>
      <w:r>
        <w:rPr>
          <w:rStyle w:val="858"/>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858"/>
          <w:rFonts w:hint="eastAsia" w:ascii="仿宋_GB2312" w:hAnsi="仿宋_GB2312" w:eastAsia="仿宋_GB2312" w:cs="仿宋_GB2312"/>
          <w:i w:val="0"/>
          <w:color w:val="auto"/>
          <w:sz w:val="28"/>
          <w:szCs w:val="28"/>
          <w:u w:val="single"/>
          <w:shd w:val="clear" w:color="auto" w:fill="ffffff"/>
        </w:rPr>
        <w:t xml:space="preserve">（厂名）</w:t>
      </w:r>
      <w:r>
        <w:rPr>
          <w:rStyle w:val="858"/>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858"/>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858"/>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858"/>
          <w:rFonts w:hint="eastAsia" w:ascii="仿宋_GB2312" w:hAnsi="仿宋_GB2312" w:eastAsia="仿宋_GB2312" w:cs="仿宋_GB2312"/>
          <w:strike/>
          <w:color w:val="ff0000"/>
          <w:sz w:val="28"/>
          <w:szCs w:val="28"/>
          <w:highlight w:val="none"/>
          <w:u w:val="single"/>
          <w:shd w:val="clear" w:color="auto" w:fill="ffffff"/>
        </w:rPr>
        <w:t xml:space="preserve">。</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58"/>
          <w:rFonts w:hint="eastAsia" w:ascii="仿宋_GB2312" w:hAnsi="仿宋_GB2312" w:eastAsia="仿宋_GB2312" w:cs="仿宋_GB2312"/>
          <w:strike/>
          <w:color w:val="ff0000"/>
          <w:sz w:val="28"/>
          <w:szCs w:val="28"/>
          <w:highlight w:val="none"/>
          <w:u w:val="single"/>
          <w:shd w:val="clear" w:color="auto" w:fill="ffffff"/>
        </w:rPr>
        <w:t xml:space="preserve">的</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858"/>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58"/>
          <w:rFonts w:hint="eastAsia" w:ascii="仿宋_GB2312" w:hAnsi="仿宋_GB2312" w:eastAsia="仿宋_GB2312" w:cs="仿宋_GB2312"/>
          <w:strike/>
          <w:color w:val="ff0000"/>
          <w:sz w:val="28"/>
          <w:szCs w:val="28"/>
          <w:highlight w:val="none"/>
          <w:u w:val="single"/>
          <w:shd w:val="clear" w:color="auto" w:fill="ffffff"/>
        </w:rPr>
        <w:t xml:space="preserve">的</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858"/>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858"/>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858"/>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858"/>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58"/>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852"/>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852"/>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852"/>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highlight w:val="yellow"/>
          <w:u w:val="single"/>
        </w:rPr>
        <w:t xml:space="preserve">       </w:t>
      </w:r>
      <w:r>
        <w:rPr>
          <w:rFonts w:hint="eastAsia" w:ascii="仿宋_GB2312" w:hAnsi="仿宋_GB2312" w:eastAsia="仿宋_GB2312" w:cs="仿宋_GB2312"/>
          <w:color w:val="000000"/>
          <w:sz w:val="28"/>
          <w:szCs w:val="28"/>
          <w:highlight w:val="yellow"/>
        </w:rPr>
        <w:t xml:space="preserve">%(</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五</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磋商</w:t>
      </w:r>
      <w:r>
        <w:rPr>
          <w:rFonts w:hint="eastAsia" w:ascii="黑体" w:hAnsi="黑体" w:eastAsia="黑体" w:cs="黑体"/>
          <w:b w:val="0"/>
          <w:bCs/>
          <w:i/>
          <w:iCs/>
          <w:sz w:val="28"/>
          <w:szCs w:val="28"/>
          <w:u w:val="single"/>
        </w:rPr>
        <w:t xml:space="preserve">文件中要求提供的承诺、声明等材料或供应商认为需要提供的其他资料</w:t>
      </w:r>
      <w:r/>
    </w:p>
    <w:p>
      <w:pPr>
        <w:ind w:left="0" w:right="0" w:firstLine="720"/>
        <w:jc w:val="center"/>
        <w:pageBreakBefore w:val="0"/>
        <w:spacing w:line="520" w:lineRule="exact"/>
        <w:rPr>
          <w:rFonts w:hint="eastAsia" w:ascii="黑体" w:hAnsi="黑体" w:eastAsia="黑体" w:cs="黑体"/>
          <w:b w:val="0"/>
          <w:bCs w:val="0"/>
          <w:sz w:val="36"/>
          <w:szCs w:val="36"/>
        </w:rPr>
        <w:sectPr>
          <w:footnotePr/>
          <w:endnotePr/>
          <w:type w:val="nextPage"/>
          <w:pgSz w:w="11906" w:h="16838" w:orient="portrait"/>
          <w:pgMar w:top="1417" w:right="1417" w:bottom="1134" w:left="1417" w:header="851" w:footer="907" w:gutter="0"/>
          <w:cols w:num="1" w:sep="0" w:space="0" w:equalWidth="1"/>
          <w:docGrid w:linePitch="360"/>
          <w:titlePg/>
        </w:sectPr>
      </w:pPr>
      <w:r>
        <w:rPr>
          <w:rFonts w:hint="eastAsia" w:ascii="黑体" w:hAnsi="黑体" w:eastAsia="黑体" w:cs="黑体"/>
          <w:b w:val="0"/>
          <w:bCs w:val="0"/>
          <w:sz w:val="36"/>
          <w:szCs w:val="36"/>
        </w:rPr>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质疑函范本</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sectPr>
      <w:footnotePr/>
      <w:endnotePr/>
      <w:type w:val="nextPage"/>
      <w:pgSz w:w="11906" w:h="16838" w:orient="portrait"/>
      <w:pgMar w:top="1417" w:right="1417" w:bottom="1134"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方正小标宋简体">
    <w:panose1 w:val="020B0503020202020204"/>
  </w:font>
  <w:font w:name="楷体">
    <w:panose1 w:val="02010609060101010101"/>
  </w:font>
  <w:font w:name="Symbol">
    <w:panose1 w:val="05050102010706020507"/>
  </w:font>
  <w:font w:name="仿宋">
    <w:panose1 w:val="02010609060101010101"/>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7"/>
      <w:isLgl w:val="false"/>
      <w:suff w:val="nothing"/>
      <w:lvlText w:val=""/>
      <w:lvlJc w:val="left"/>
      <w:pPr>
        <w:ind w:left="0" w:firstLine="0"/>
      </w:pPr>
      <w:rPr>
        <w:rFonts w:hint="eastAsia"/>
      </w:rPr>
    </w:lvl>
    <w:lvl w:ilvl="6">
      <w:start w:val="1"/>
      <w:numFmt w:val="decimal"/>
      <w:pStyle w:val="1018"/>
      <w:isLgl w:val="false"/>
      <w:suff w:val="nothing"/>
      <w:lvlText w:val=""/>
      <w:lvlJc w:val="left"/>
      <w:pPr>
        <w:ind w:left="0" w:firstLine="0"/>
      </w:pPr>
      <w:rPr>
        <w:rFonts w:hint="eastAsia"/>
      </w:rPr>
    </w:lvl>
    <w:lvl w:ilvl="7">
      <w:start w:val="1"/>
      <w:numFmt w:val="decimal"/>
      <w:pStyle w:val="1019"/>
      <w:isLgl w:val="false"/>
      <w:suff w:val="nothing"/>
      <w:lvlText w:val=""/>
      <w:lvlJc w:val="left"/>
      <w:pPr>
        <w:ind w:left="0" w:firstLine="0"/>
      </w:pPr>
      <w:rPr>
        <w:rFonts w:hint="eastAsia"/>
      </w:rPr>
    </w:lvl>
    <w:lvl w:ilvl="8">
      <w:start w:val="1"/>
      <w:numFmt w:val="decimal"/>
      <w:pStyle w:val="1020"/>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link w:val="1130"/>
    <w:uiPriority w:val="0"/>
    <w:qFormat/>
    <w:pPr>
      <w:jc w:val="both"/>
      <w:widowControl w:val="off"/>
    </w:pPr>
    <w:rPr>
      <w:rFonts w:hint="default" w:ascii="Calibri" w:hAnsi="Calibri" w:eastAsia="宋体" w:cs="Times New Roman"/>
      <w:sz w:val="21"/>
      <w:szCs w:val="22"/>
      <w:lang w:val="en-US" w:eastAsia="zh-CN" w:bidi="ar-SA"/>
    </w:rPr>
  </w:style>
  <w:style w:type="paragraph" w:styleId="818">
    <w:name w:val="Heading 1"/>
    <w:basedOn w:val="817"/>
    <w:next w:val="817"/>
    <w:link w:val="1126"/>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864"/>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29"/>
    <w:link w:val="865"/>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66"/>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67"/>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link w:val="868"/>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70"/>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71"/>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Normal Indent"/>
    <w:basedOn w:val="817"/>
    <w:uiPriority w:val="0"/>
    <w:unhideWhenUsed/>
    <w:qFormat/>
    <w:pPr>
      <w:ind w:firstLine="420"/>
    </w:pPr>
    <w:rPr>
      <w:rFonts w:ascii="Times New Roman" w:hAnsi="Times New Roman" w:eastAsia="宋体"/>
      <w:sz w:val="20"/>
      <w:szCs w:val="21"/>
    </w:rPr>
  </w:style>
  <w:style w:type="paragraph" w:styleId="830">
    <w:name w:val="toc 7"/>
    <w:basedOn w:val="817"/>
    <w:next w:val="817"/>
    <w:uiPriority w:val="0"/>
    <w:semiHidden/>
    <w:qFormat/>
    <w:pPr>
      <w:ind w:left="1260"/>
      <w:jc w:val="left"/>
    </w:pPr>
    <w:rPr>
      <w:rFonts w:ascii="Times New Roman" w:hAnsi="Times New Roman"/>
      <w:szCs w:val="21"/>
    </w:rPr>
  </w:style>
  <w:style w:type="paragraph" w:styleId="831">
    <w:name w:val="table of authorities"/>
    <w:basedOn w:val="817"/>
    <w:next w:val="817"/>
    <w:uiPriority w:val="99"/>
    <w:qFormat/>
    <w:pPr>
      <w:ind w:left="420"/>
    </w:pPr>
  </w:style>
  <w:style w:type="paragraph" w:styleId="832">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Document Map"/>
    <w:basedOn w:val="817"/>
    <w:uiPriority w:val="99"/>
    <w:unhideWhenUsed/>
    <w:qFormat/>
    <w:pPr>
      <w:jc w:val="left"/>
      <w:spacing w:line="360" w:lineRule="auto"/>
      <w:widowControl/>
    </w:pPr>
    <w:rPr>
      <w:rFonts w:ascii="宋体" w:hAnsi="Calibri" w:eastAsia="宋体" w:cs="Times New Roman"/>
      <w:sz w:val="18"/>
      <w:szCs w:val="18"/>
      <w14:ligatures w14:val="none"/>
    </w:rPr>
  </w:style>
  <w:style w:type="paragraph" w:styleId="834">
    <w:name w:val="Body Text"/>
    <w:basedOn w:val="817"/>
    <w:next w:val="817"/>
    <w:uiPriority w:val="0"/>
    <w:unhideWhenUsed/>
    <w:qFormat/>
    <w:rPr>
      <w:rFonts w:ascii="楷体_GB2312" w:hAnsi="Arial" w:eastAsia="楷体_GB2312" w:cs="Times New Roman"/>
      <w:sz w:val="28"/>
      <w:szCs w:val="28"/>
    </w:rPr>
  </w:style>
  <w:style w:type="paragraph" w:styleId="835">
    <w:name w:val="Body Text Indent"/>
    <w:basedOn w:val="817"/>
    <w:uiPriority w:val="99"/>
    <w:qFormat/>
    <w:pPr>
      <w:ind w:firstLine="600"/>
    </w:pPr>
    <w:rPr>
      <w:rFonts w:eastAsia="仿宋_GB2312"/>
      <w:sz w:val="28"/>
    </w:rPr>
  </w:style>
  <w:style w:type="paragraph" w:styleId="836">
    <w:name w:val="toc 5"/>
    <w:basedOn w:val="817"/>
    <w:next w:val="817"/>
    <w:uiPriority w:val="0"/>
    <w:semiHidden/>
    <w:qFormat/>
    <w:pPr>
      <w:ind w:left="840"/>
      <w:jc w:val="left"/>
    </w:pPr>
    <w:rPr>
      <w:rFonts w:ascii="Times New Roman" w:hAnsi="Times New Roman"/>
      <w:szCs w:val="21"/>
    </w:rPr>
  </w:style>
  <w:style w:type="paragraph" w:styleId="837">
    <w:name w:val="toc 3"/>
    <w:basedOn w:val="817"/>
    <w:next w:val="817"/>
    <w:uiPriority w:val="0"/>
    <w:semiHidden/>
    <w:qFormat/>
    <w:pPr>
      <w:ind w:left="420"/>
      <w:jc w:val="left"/>
    </w:pPr>
    <w:rPr>
      <w:rFonts w:ascii="Times New Roman" w:hAnsi="Times New Roman"/>
      <w:i/>
      <w:iCs/>
      <w:szCs w:val="24"/>
    </w:rPr>
  </w:style>
  <w:style w:type="paragraph" w:styleId="838">
    <w:name w:val="Plain Text"/>
    <w:basedOn w:val="817"/>
    <w:uiPriority w:val="0"/>
    <w:qFormat/>
    <w:rPr>
      <w:rFonts w:ascii="宋体" w:hAnsi="Courier New"/>
      <w:szCs w:val="22"/>
    </w:rPr>
  </w:style>
  <w:style w:type="paragraph" w:styleId="839">
    <w:name w:val="toc 8"/>
    <w:basedOn w:val="817"/>
    <w:next w:val="817"/>
    <w:uiPriority w:val="0"/>
    <w:semiHidden/>
    <w:qFormat/>
    <w:pPr>
      <w:ind w:left="1470"/>
      <w:jc w:val="left"/>
    </w:pPr>
    <w:rPr>
      <w:rFonts w:ascii="Times New Roman" w:hAnsi="Times New Roman"/>
      <w:szCs w:val="21"/>
    </w:rPr>
  </w:style>
  <w:style w:type="paragraph" w:styleId="840">
    <w:name w:val="endnote text"/>
    <w:basedOn w:val="817"/>
    <w:link w:val="1009"/>
    <w:uiPriority w:val="99"/>
    <w:semiHidden/>
    <w:unhideWhenUsed/>
    <w:qFormat/>
    <w:pPr>
      <w:spacing w:after="0" w:line="240" w:lineRule="auto"/>
    </w:pPr>
    <w:rPr>
      <w:sz w:val="20"/>
    </w:rPr>
  </w:style>
  <w:style w:type="paragraph" w:styleId="841">
    <w:name w:val="Footer"/>
    <w:basedOn w:val="817"/>
    <w:link w:val="882"/>
    <w:uiPriority w:val="99"/>
    <w:unhideWhenUsed/>
    <w:qFormat/>
    <w:pPr>
      <w:spacing w:after="0" w:line="240" w:lineRule="auto"/>
      <w:tabs>
        <w:tab w:val="center" w:pos="7143" w:leader="none"/>
        <w:tab w:val="right" w:pos="14287" w:leader="none"/>
      </w:tabs>
    </w:pPr>
  </w:style>
  <w:style w:type="paragraph" w:styleId="842">
    <w:name w:val="Header"/>
    <w:basedOn w:val="817"/>
    <w:link w:val="880"/>
    <w:uiPriority w:val="99"/>
    <w:unhideWhenUsed/>
    <w:qFormat/>
    <w:pPr>
      <w:spacing w:after="0" w:line="240" w:lineRule="auto"/>
      <w:tabs>
        <w:tab w:val="center" w:pos="7143" w:leader="none"/>
        <w:tab w:val="right" w:pos="14287" w:leader="none"/>
      </w:tabs>
    </w:pPr>
  </w:style>
  <w:style w:type="paragraph" w:styleId="843">
    <w:name w:val="toc 1"/>
    <w:basedOn w:val="817"/>
    <w:next w:val="817"/>
    <w:uiPriority w:val="0"/>
    <w:semiHidden/>
    <w:qFormat/>
    <w:pPr>
      <w:jc w:val="left"/>
      <w:spacing w:before="120" w:after="120" w:line="400" w:lineRule="exact"/>
      <w:tabs>
        <w:tab w:val="right" w:pos="8720" w:leader="dot"/>
      </w:tabs>
    </w:pPr>
    <w:rPr>
      <w:rFonts w:ascii="宋体" w:hAnsi="宋体"/>
      <w:caps/>
      <w:sz w:val="24"/>
      <w:szCs w:val="24"/>
    </w:rPr>
  </w:style>
  <w:style w:type="paragraph" w:styleId="844">
    <w:name w:val="toc 4"/>
    <w:basedOn w:val="817"/>
    <w:next w:val="817"/>
    <w:uiPriority w:val="0"/>
    <w:semiHidden/>
    <w:qFormat/>
    <w:pPr>
      <w:ind w:left="630"/>
      <w:jc w:val="left"/>
    </w:pPr>
    <w:rPr>
      <w:rFonts w:ascii="Times New Roman" w:hAnsi="Times New Roman"/>
      <w:szCs w:val="21"/>
    </w:rPr>
  </w:style>
  <w:style w:type="paragraph" w:styleId="845">
    <w:name w:val="Subtitle"/>
    <w:basedOn w:val="817"/>
    <w:next w:val="817"/>
    <w:link w:val="875"/>
    <w:uiPriority w:val="11"/>
    <w:qFormat/>
    <w:pPr>
      <w:spacing w:before="200" w:after="200"/>
    </w:pPr>
    <w:rPr>
      <w:sz w:val="24"/>
      <w:szCs w:val="24"/>
    </w:rPr>
  </w:style>
  <w:style w:type="paragraph" w:styleId="846">
    <w:name w:val="footnote text"/>
    <w:basedOn w:val="817"/>
    <w:link w:val="1008"/>
    <w:uiPriority w:val="99"/>
    <w:semiHidden/>
    <w:unhideWhenUsed/>
    <w:qFormat/>
    <w:pPr>
      <w:spacing w:after="40" w:line="240" w:lineRule="auto"/>
    </w:pPr>
    <w:rPr>
      <w:sz w:val="18"/>
    </w:rPr>
  </w:style>
  <w:style w:type="paragraph" w:styleId="847">
    <w:name w:val="toc 6"/>
    <w:basedOn w:val="817"/>
    <w:next w:val="817"/>
    <w:uiPriority w:val="0"/>
    <w:semiHidden/>
    <w:qFormat/>
    <w:pPr>
      <w:ind w:left="1050"/>
      <w:jc w:val="left"/>
    </w:pPr>
    <w:rPr>
      <w:rFonts w:ascii="Times New Roman" w:hAnsi="Times New Roman"/>
      <w:szCs w:val="21"/>
    </w:rPr>
  </w:style>
  <w:style w:type="paragraph" w:styleId="848">
    <w:name w:val="table of figures"/>
    <w:basedOn w:val="817"/>
    <w:next w:val="817"/>
    <w:uiPriority w:val="99"/>
    <w:unhideWhenUsed/>
    <w:qFormat/>
    <w:pPr>
      <w:spacing w:after="0" w:afterAutospacing="0"/>
    </w:pPr>
  </w:style>
  <w:style w:type="paragraph" w:styleId="849">
    <w:name w:val="toc 2"/>
    <w:basedOn w:val="817"/>
    <w:next w:val="817"/>
    <w:uiPriority w:val="0"/>
    <w:semiHidden/>
    <w:qFormat/>
    <w:pPr>
      <w:ind w:left="210"/>
      <w:jc w:val="left"/>
    </w:pPr>
    <w:rPr>
      <w:rFonts w:ascii="Times New Roman" w:hAnsi="Times New Roman"/>
      <w:smallCaps/>
      <w:szCs w:val="24"/>
    </w:rPr>
  </w:style>
  <w:style w:type="paragraph" w:styleId="850">
    <w:name w:val="toc 9"/>
    <w:basedOn w:val="817"/>
    <w:next w:val="817"/>
    <w:uiPriority w:val="0"/>
    <w:semiHidden/>
    <w:qFormat/>
    <w:pPr>
      <w:ind w:left="1680"/>
      <w:jc w:val="left"/>
    </w:pPr>
    <w:rPr>
      <w:rFonts w:ascii="Times New Roman" w:hAnsi="Times New Roman"/>
      <w:szCs w:val="21"/>
    </w:rPr>
  </w:style>
  <w:style w:type="paragraph" w:styleId="851">
    <w:name w:val="HTML Preformatted"/>
    <w:basedOn w:val="817"/>
    <w:uiPriority w:val="99"/>
    <w:unhideWhenUsed/>
    <w:qFormat/>
    <w:rPr>
      <w:rFonts w:ascii="Courier New" w:hAnsi="Courier New" w:cs="Courier New"/>
      <w:sz w:val="20"/>
      <w:szCs w:val="20"/>
    </w:rPr>
  </w:style>
  <w:style w:type="paragraph" w:styleId="852">
    <w:name w:val="Normal (Web)"/>
    <w:basedOn w:val="817"/>
    <w:uiPriority w:val="99"/>
    <w:qFormat/>
    <w:pPr>
      <w:ind w:firstLine="420"/>
    </w:pPr>
    <w:rPr>
      <w:rFonts w:ascii="Calibri" w:hAnsi="Calibri"/>
      <w:szCs w:val="22"/>
    </w:rPr>
  </w:style>
  <w:style w:type="paragraph" w:styleId="853">
    <w:name w:val="Title"/>
    <w:basedOn w:val="817"/>
    <w:next w:val="817"/>
    <w:link w:val="874"/>
    <w:uiPriority w:val="10"/>
    <w:qFormat/>
    <w:pPr>
      <w:contextualSpacing/>
      <w:spacing w:before="300" w:after="200"/>
    </w:pPr>
    <w:rPr>
      <w:sz w:val="48"/>
      <w:szCs w:val="48"/>
    </w:rPr>
  </w:style>
  <w:style w:type="paragraph" w:styleId="854">
    <w:name w:val="Body Text First Indent"/>
    <w:basedOn w:val="834"/>
    <w:uiPriority w:val="0"/>
    <w:qFormat/>
    <w:pPr>
      <w:ind w:firstLine="200"/>
      <w:jc w:val="left"/>
      <w:spacing w:line="360" w:lineRule="auto"/>
    </w:pPr>
    <w:rPr>
      <w:bCs/>
      <w:sz w:val="24"/>
    </w:rPr>
  </w:style>
  <w:style w:type="table" w:styleId="8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endnote reference"/>
    <w:uiPriority w:val="99"/>
    <w:semiHidden/>
    <w:unhideWhenUsed/>
    <w:qFormat/>
    <w:rPr>
      <w:vertAlign w:val="superscript"/>
    </w:rPr>
  </w:style>
  <w:style w:type="character" w:styleId="857">
    <w:name w:val="page number"/>
    <w:basedOn w:val="827"/>
    <w:uiPriority w:val="99"/>
    <w:qFormat/>
    <w:rPr>
      <w:rFonts w:cs="Times New Roman"/>
    </w:rPr>
  </w:style>
  <w:style w:type="character" w:styleId="858">
    <w:name w:val="Emphasis"/>
    <w:basedOn w:val="827"/>
    <w:uiPriority w:val="0"/>
    <w:qFormat/>
    <w:rPr>
      <w:i/>
    </w:rPr>
  </w:style>
  <w:style w:type="character" w:styleId="859">
    <w:name w:val="Hyperlink"/>
    <w:basedOn w:val="827"/>
    <w:uiPriority w:val="99"/>
    <w:unhideWhenUsed/>
    <w:qFormat/>
    <w:rPr>
      <w:color w:val="0000ff" w:themeColor="hyperlink"/>
      <w:u w:val="single"/>
      <w14:textFill>
        <w14:solidFill>
          <w14:schemeClr w14:val="hlink"/>
        </w14:solidFill>
      </w14:textFill>
    </w:rPr>
  </w:style>
  <w:style w:type="character" w:styleId="860">
    <w:name w:val="footnote reference"/>
    <w:uiPriority w:val="99"/>
    <w:unhideWhenUsed/>
    <w:qFormat/>
    <w:rPr>
      <w:vertAlign w:val="superscript"/>
    </w:rPr>
  </w:style>
  <w:style w:type="paragraph" w:styleId="861" w:customStyle="1">
    <w:name w:val="索引 41"/>
    <w:basedOn w:val="817"/>
    <w:next w:val="817"/>
    <w:uiPriority w:val="0"/>
    <w:semiHidden/>
    <w:qFormat/>
    <w:pPr>
      <w:ind w:left="1260"/>
    </w:pPr>
    <w:rPr>
      <w:rFonts w:ascii="Calibri" w:hAnsi="Calibri" w:eastAsia="Calibri" w:cs="宋体"/>
      <w:sz w:val="20"/>
      <w:lang w:val="zh-CN"/>
    </w:rPr>
  </w:style>
  <w:style w:type="paragraph" w:styleId="86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63" w:customStyle="1">
    <w:name w:val="Heading 1 Char"/>
    <w:link w:val="818"/>
    <w:uiPriority w:val="9"/>
    <w:qFormat/>
    <w:rPr>
      <w:rFonts w:ascii="Arial" w:hAnsi="Arial" w:eastAsia="Arial" w:cs="Arial"/>
      <w:sz w:val="40"/>
      <w:szCs w:val="40"/>
    </w:rPr>
  </w:style>
  <w:style w:type="character" w:styleId="864" w:customStyle="1">
    <w:name w:val="Heading 2 Char"/>
    <w:link w:val="819"/>
    <w:uiPriority w:val="9"/>
    <w:qFormat/>
    <w:rPr>
      <w:rFonts w:ascii="Arial" w:hAnsi="Arial" w:eastAsia="Arial" w:cs="Arial"/>
      <w:sz w:val="34"/>
    </w:rPr>
  </w:style>
  <w:style w:type="character" w:styleId="865" w:customStyle="1">
    <w:name w:val="Heading 3 Char"/>
    <w:link w:val="820"/>
    <w:uiPriority w:val="9"/>
    <w:qFormat/>
    <w:rPr>
      <w:rFonts w:ascii="Arial" w:hAnsi="Arial" w:eastAsia="Arial" w:cs="Arial"/>
      <w:sz w:val="30"/>
      <w:szCs w:val="30"/>
    </w:rPr>
  </w:style>
  <w:style w:type="character" w:styleId="866" w:customStyle="1">
    <w:name w:val="Heading 4 Char"/>
    <w:link w:val="821"/>
    <w:uiPriority w:val="9"/>
    <w:qFormat/>
    <w:rPr>
      <w:rFonts w:ascii="Arial" w:hAnsi="Arial" w:eastAsia="Arial" w:cs="Arial"/>
      <w:b/>
      <w:bCs/>
      <w:sz w:val="26"/>
      <w:szCs w:val="26"/>
    </w:rPr>
  </w:style>
  <w:style w:type="character" w:styleId="867" w:customStyle="1">
    <w:name w:val="Heading 5 Char"/>
    <w:link w:val="822"/>
    <w:uiPriority w:val="9"/>
    <w:qFormat/>
    <w:rPr>
      <w:rFonts w:ascii="Arial" w:hAnsi="Arial" w:eastAsia="Arial" w:cs="Arial"/>
      <w:b/>
      <w:bCs/>
      <w:sz w:val="24"/>
      <w:szCs w:val="24"/>
    </w:rPr>
  </w:style>
  <w:style w:type="character" w:styleId="868" w:customStyle="1">
    <w:name w:val="Heading 6 Char"/>
    <w:link w:val="823"/>
    <w:uiPriority w:val="9"/>
    <w:qFormat/>
    <w:rPr>
      <w:rFonts w:ascii="Arial" w:hAnsi="Arial" w:eastAsia="Arial" w:cs="Arial"/>
      <w:b/>
      <w:bCs/>
      <w:sz w:val="22"/>
      <w:szCs w:val="22"/>
    </w:rPr>
  </w:style>
  <w:style w:type="character" w:styleId="869" w:customStyle="1">
    <w:name w:val="Heading 7 Char"/>
    <w:link w:val="824"/>
    <w:uiPriority w:val="9"/>
    <w:qFormat/>
    <w:rPr>
      <w:rFonts w:ascii="Arial" w:hAnsi="Arial" w:eastAsia="Arial" w:cs="Arial"/>
      <w:b/>
      <w:bCs/>
      <w:i/>
      <w:iCs/>
      <w:sz w:val="22"/>
      <w:szCs w:val="22"/>
    </w:rPr>
  </w:style>
  <w:style w:type="character" w:styleId="870" w:customStyle="1">
    <w:name w:val="Heading 8 Char"/>
    <w:link w:val="825"/>
    <w:uiPriority w:val="9"/>
    <w:qFormat/>
    <w:rPr>
      <w:rFonts w:ascii="Arial" w:hAnsi="Arial" w:eastAsia="Arial" w:cs="Arial"/>
      <w:i/>
      <w:iCs/>
      <w:sz w:val="22"/>
      <w:szCs w:val="22"/>
    </w:rPr>
  </w:style>
  <w:style w:type="character" w:styleId="871" w:customStyle="1">
    <w:name w:val="Heading 9 Char"/>
    <w:link w:val="826"/>
    <w:uiPriority w:val="9"/>
    <w:qFormat/>
    <w:rPr>
      <w:rFonts w:ascii="Arial" w:hAnsi="Arial" w:eastAsia="Arial" w:cs="Arial"/>
      <w:i/>
      <w:iCs/>
      <w:sz w:val="21"/>
      <w:szCs w:val="21"/>
    </w:rPr>
  </w:style>
  <w:style w:type="paragraph" w:styleId="872">
    <w:name w:val="List Paragraph"/>
    <w:basedOn w:val="817"/>
    <w:uiPriority w:val="34"/>
    <w:qFormat/>
    <w:pPr>
      <w:contextualSpacing/>
      <w:ind w:left="720"/>
    </w:pPr>
  </w:style>
  <w:style w:type="paragraph" w:styleId="873">
    <w:name w:val="No Spacing"/>
    <w:uiPriority w:val="1"/>
    <w:qFormat/>
    <w:pPr>
      <w:spacing w:before="0" w:after="0" w:line="240" w:lineRule="auto"/>
    </w:pPr>
    <w:rPr>
      <w:rFonts w:hint="default" w:ascii="Calibri" w:hAnsi="Calibri" w:eastAsia="宋体" w:cs="Times New Roman"/>
    </w:rPr>
  </w:style>
  <w:style w:type="character" w:styleId="874" w:customStyle="1">
    <w:name w:val="Title Char"/>
    <w:link w:val="853"/>
    <w:uiPriority w:val="10"/>
    <w:qFormat/>
    <w:rPr>
      <w:sz w:val="48"/>
      <w:szCs w:val="48"/>
    </w:rPr>
  </w:style>
  <w:style w:type="character" w:styleId="875" w:customStyle="1">
    <w:name w:val="Subtitle Char"/>
    <w:link w:val="845"/>
    <w:uiPriority w:val="11"/>
    <w:qFormat/>
    <w:rPr>
      <w:sz w:val="24"/>
      <w:szCs w:val="24"/>
    </w:rPr>
  </w:style>
  <w:style w:type="paragraph" w:styleId="876">
    <w:name w:val="Quote"/>
    <w:basedOn w:val="817"/>
    <w:next w:val="817"/>
    <w:link w:val="877"/>
    <w:uiPriority w:val="29"/>
    <w:qFormat/>
    <w:pPr>
      <w:ind w:left="720" w:right="720"/>
    </w:pPr>
    <w:rPr>
      <w:i/>
    </w:rPr>
  </w:style>
  <w:style w:type="character" w:styleId="877" w:customStyle="1">
    <w:name w:val="Quote Char"/>
    <w:link w:val="876"/>
    <w:uiPriority w:val="29"/>
    <w:qFormat/>
    <w:rPr>
      <w:i/>
    </w:rPr>
  </w:style>
  <w:style w:type="paragraph" w:styleId="878">
    <w:name w:val="Intense Quote"/>
    <w:basedOn w:val="817"/>
    <w:next w:val="817"/>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Intense Quote Char"/>
    <w:link w:val="878"/>
    <w:uiPriority w:val="30"/>
    <w:qFormat/>
    <w:rPr>
      <w:i/>
    </w:rPr>
  </w:style>
  <w:style w:type="character" w:styleId="880" w:customStyle="1">
    <w:name w:val="Header Char"/>
    <w:link w:val="842"/>
    <w:uiPriority w:val="99"/>
    <w:qFormat/>
  </w:style>
  <w:style w:type="character" w:styleId="881" w:customStyle="1">
    <w:name w:val="Footer Char"/>
    <w:link w:val="841"/>
    <w:uiPriority w:val="99"/>
    <w:qFormat/>
  </w:style>
  <w:style w:type="character" w:styleId="882" w:customStyle="1">
    <w:name w:val="Caption Char"/>
    <w:link w:val="841"/>
    <w:uiPriority w:val="99"/>
    <w:qFormat/>
  </w:style>
  <w:style w:type="table" w:styleId="8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Footnote Text Char"/>
    <w:link w:val="846"/>
    <w:uiPriority w:val="99"/>
    <w:qFormat/>
    <w:rPr>
      <w:sz w:val="18"/>
    </w:rPr>
  </w:style>
  <w:style w:type="character" w:styleId="1009" w:customStyle="1">
    <w:name w:val="Endnote Text Char"/>
    <w:link w:val="840"/>
    <w:uiPriority w:val="99"/>
    <w:qFormat/>
    <w:rPr>
      <w:sz w:val="20"/>
    </w:rPr>
  </w:style>
  <w:style w:type="paragraph" w:styleId="1010" w:customStyle="1">
    <w:name w:val="TOC Heading"/>
    <w:uiPriority w:val="39"/>
    <w:unhideWhenUsed/>
    <w:qFormat/>
    <w:rPr>
      <w:rFonts w:hint="default" w:ascii="Calibri" w:hAnsi="Calibri" w:eastAsia="宋体" w:cs="Times New Roman"/>
    </w:rPr>
  </w:style>
  <w:style w:type="paragraph" w:styleId="1011" w:customStyle="1">
    <w:name w:val="标题 11"/>
    <w:basedOn w:val="817"/>
    <w:next w:val="817"/>
    <w:link w:val="1027"/>
    <w:uiPriority w:val="0"/>
    <w:qFormat/>
    <w:pPr>
      <w:jc w:val="center"/>
      <w:keepNext/>
      <w:outlineLvl w:val="0"/>
    </w:pPr>
    <w:rPr>
      <w:rFonts w:ascii="楷体_GB2312" w:hAnsi="Times New Roman" w:eastAsia="楷体_GB2312"/>
      <w:sz w:val="28"/>
      <w:szCs w:val="28"/>
    </w:rPr>
  </w:style>
  <w:style w:type="paragraph" w:styleId="1012" w:customStyle="1">
    <w:name w:val="标题 21"/>
    <w:basedOn w:val="817"/>
    <w:next w:val="817"/>
    <w:link w:val="102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3" w:customStyle="1">
    <w:name w:val="正文缩进1"/>
    <w:basedOn w:val="817"/>
    <w:link w:val="1029"/>
    <w:uiPriority w:val="0"/>
    <w:qFormat/>
    <w:pPr>
      <w:ind w:firstLine="420"/>
    </w:pPr>
    <w:rPr>
      <w:szCs w:val="21"/>
    </w:rPr>
  </w:style>
  <w:style w:type="paragraph" w:styleId="1014" w:customStyle="1">
    <w:name w:val="标题 31"/>
    <w:basedOn w:val="817"/>
    <w:next w:val="1013"/>
    <w:link w:val="1030"/>
    <w:uiPriority w:val="0"/>
    <w:qFormat/>
    <w:pPr>
      <w:keepLines/>
      <w:keepNext/>
      <w:spacing w:before="260" w:after="260" w:line="416" w:lineRule="auto"/>
      <w:outlineLvl w:val="2"/>
    </w:pPr>
    <w:rPr>
      <w:rFonts w:ascii="Times New Roman" w:hAnsi="Times New Roman"/>
      <w:b/>
      <w:bCs/>
      <w:sz w:val="32"/>
      <w:szCs w:val="32"/>
    </w:rPr>
  </w:style>
  <w:style w:type="paragraph" w:styleId="1015" w:customStyle="1">
    <w:name w:val="标题 41"/>
    <w:basedOn w:val="817"/>
    <w:next w:val="1013"/>
    <w:link w:val="1031"/>
    <w:uiPriority w:val="0"/>
    <w:qFormat/>
    <w:pPr>
      <w:keepLines/>
      <w:keepNext/>
      <w:spacing w:before="280" w:after="290" w:line="376" w:lineRule="auto"/>
      <w:outlineLvl w:val="3"/>
    </w:pPr>
    <w:rPr>
      <w:rFonts w:ascii="Arial" w:hAnsi="Arial" w:eastAsia="黑体" w:cs="Arial"/>
      <w:b/>
      <w:bCs/>
      <w:sz w:val="28"/>
      <w:szCs w:val="28"/>
    </w:rPr>
  </w:style>
  <w:style w:type="paragraph" w:styleId="1016" w:customStyle="1">
    <w:name w:val="标题 51"/>
    <w:basedOn w:val="817"/>
    <w:next w:val="1013"/>
    <w:link w:val="1032"/>
    <w:uiPriority w:val="0"/>
    <w:qFormat/>
    <w:pPr>
      <w:keepNext/>
      <w:outlineLvl w:val="4"/>
    </w:pPr>
    <w:rPr>
      <w:rFonts w:ascii="宋体" w:hAnsi="Times New Roman"/>
      <w:color w:val="000000"/>
      <w:sz w:val="28"/>
      <w:szCs w:val="28"/>
    </w:rPr>
  </w:style>
  <w:style w:type="paragraph" w:styleId="1017" w:customStyle="1">
    <w:name w:val="标题 61"/>
    <w:basedOn w:val="817"/>
    <w:next w:val="817"/>
    <w:link w:val="103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8" w:customStyle="1">
    <w:name w:val="标题 71"/>
    <w:basedOn w:val="817"/>
    <w:next w:val="817"/>
    <w:link w:val="103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19" w:customStyle="1">
    <w:name w:val="标题 81"/>
    <w:basedOn w:val="817"/>
    <w:next w:val="817"/>
    <w:link w:val="10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0" w:customStyle="1">
    <w:name w:val="标题 91"/>
    <w:basedOn w:val="817"/>
    <w:next w:val="817"/>
    <w:link w:val="1036"/>
    <w:uiPriority w:val="0"/>
    <w:qFormat/>
    <w:pPr>
      <w:numPr>
        <w:ilvl w:val="8"/>
        <w:numId w:val="1"/>
      </w:numPr>
      <w:keepLines/>
      <w:keepNext/>
      <w:spacing w:before="240" w:after="64" w:line="320" w:lineRule="auto"/>
      <w:outlineLvl w:val="8"/>
    </w:pPr>
    <w:rPr>
      <w:rFonts w:ascii="Arial" w:hAnsi="Arial" w:eastAsia="黑体"/>
      <w:szCs w:val="21"/>
    </w:rPr>
  </w:style>
  <w:style w:type="character" w:styleId="1021" w:customStyle="1">
    <w:name w:val="默认段落字体1"/>
    <w:link w:val="817"/>
    <w:uiPriority w:val="1"/>
    <w:unhideWhenUsed/>
    <w:qFormat/>
  </w:style>
  <w:style w:type="table" w:styleId="1022" w:customStyle="1">
    <w:name w:val="普通表格1"/>
    <w:uiPriority w:val="99"/>
    <w:unhideWhenUsed/>
    <w:qFormat/>
    <w:tblPr/>
  </w:style>
  <w:style w:type="paragraph" w:styleId="1023" w:customStyle="1">
    <w:name w:val="正文文本首行缩进"/>
    <w:basedOn w:val="1024"/>
    <w:link w:val="1026"/>
    <w:uiPriority w:val="0"/>
    <w:qFormat/>
    <w:pPr>
      <w:ind w:firstLine="200"/>
      <w:spacing w:line="360" w:lineRule="auto"/>
    </w:pPr>
    <w:rPr>
      <w:rFonts w:ascii="仿宋_GB2312" w:hAnsi="Times New Roman" w:eastAsia="仿宋_GB2312"/>
      <w:sz w:val="30"/>
      <w:szCs w:val="30"/>
    </w:rPr>
  </w:style>
  <w:style w:type="paragraph" w:styleId="1024" w:customStyle="1">
    <w:name w:val="正文文本1"/>
    <w:basedOn w:val="817"/>
    <w:link w:val="1025"/>
    <w:uiPriority w:val="0"/>
    <w:qFormat/>
    <w:rPr>
      <w:rFonts w:ascii="楷体_GB2312" w:hAnsi="Arial" w:eastAsia="楷体_GB2312"/>
      <w:sz w:val="28"/>
      <w:szCs w:val="28"/>
    </w:rPr>
  </w:style>
  <w:style w:type="character" w:styleId="1025" w:customStyle="1">
    <w:name w:val="正文文本 字符"/>
    <w:link w:val="1024"/>
    <w:uiPriority w:val="0"/>
    <w:qFormat/>
    <w:rPr>
      <w:rFonts w:ascii="楷体_GB2312" w:hAnsi="Arial" w:eastAsia="楷体_GB2312" w:cs="Times New Roman"/>
      <w:sz w:val="28"/>
      <w:szCs w:val="28"/>
    </w:rPr>
  </w:style>
  <w:style w:type="character" w:styleId="1026" w:customStyle="1">
    <w:name w:val="正文文本首行缩进 字符"/>
    <w:link w:val="1023"/>
    <w:uiPriority w:val="0"/>
    <w:qFormat/>
    <w:rPr>
      <w:rFonts w:ascii="仿宋_GB2312" w:hAnsi="Times New Roman" w:eastAsia="仿宋_GB2312" w:cs="Times New Roman"/>
      <w:sz w:val="30"/>
      <w:szCs w:val="30"/>
    </w:rPr>
  </w:style>
  <w:style w:type="character" w:styleId="1027" w:customStyle="1">
    <w:name w:val="标题 1 字符"/>
    <w:link w:val="1011"/>
    <w:uiPriority w:val="0"/>
    <w:qFormat/>
    <w:rPr>
      <w:rFonts w:ascii="楷体_GB2312" w:hAnsi="Times New Roman" w:eastAsia="楷体_GB2312" w:cs="Times New Roman"/>
      <w:sz w:val="28"/>
      <w:szCs w:val="28"/>
    </w:rPr>
  </w:style>
  <w:style w:type="character" w:styleId="1028" w:customStyle="1">
    <w:name w:val="标题 2 字符"/>
    <w:link w:val="1012"/>
    <w:uiPriority w:val="0"/>
    <w:qFormat/>
    <w:rPr>
      <w:rFonts w:ascii="Arial" w:hAnsi="Arial" w:eastAsia="幼圆" w:cs="Arial"/>
      <w:b/>
      <w:bCs/>
      <w:sz w:val="44"/>
      <w:szCs w:val="44"/>
    </w:rPr>
  </w:style>
  <w:style w:type="character" w:styleId="1029" w:customStyle="1">
    <w:name w:val="正文缩进 字符"/>
    <w:link w:val="1013"/>
    <w:uiPriority w:val="0"/>
    <w:qFormat/>
    <w:rPr>
      <w:rFonts w:ascii="Calibri" w:hAnsi="Calibri" w:eastAsia="宋体" w:cs="Times New Roman"/>
      <w:szCs w:val="21"/>
    </w:rPr>
  </w:style>
  <w:style w:type="character" w:styleId="1030" w:customStyle="1">
    <w:name w:val="标题 3 字符"/>
    <w:link w:val="1014"/>
    <w:uiPriority w:val="0"/>
    <w:qFormat/>
    <w:rPr>
      <w:rFonts w:ascii="Times New Roman" w:hAnsi="Times New Roman" w:eastAsia="宋体" w:cs="Times New Roman"/>
      <w:b/>
      <w:bCs/>
      <w:sz w:val="32"/>
      <w:szCs w:val="32"/>
    </w:rPr>
  </w:style>
  <w:style w:type="character" w:styleId="1031" w:customStyle="1">
    <w:name w:val="标题 4 字符"/>
    <w:link w:val="1015"/>
    <w:uiPriority w:val="0"/>
    <w:qFormat/>
    <w:rPr>
      <w:rFonts w:ascii="Arial" w:hAnsi="Arial" w:eastAsia="黑体" w:cs="Arial"/>
      <w:b/>
      <w:bCs/>
      <w:sz w:val="28"/>
      <w:szCs w:val="28"/>
    </w:rPr>
  </w:style>
  <w:style w:type="character" w:styleId="1032" w:customStyle="1">
    <w:name w:val="标题 5 字符"/>
    <w:link w:val="1016"/>
    <w:uiPriority w:val="0"/>
    <w:qFormat/>
    <w:rPr>
      <w:rFonts w:ascii="宋体" w:hAnsi="Times New Roman" w:eastAsia="宋体" w:cs="Times New Roman"/>
      <w:color w:val="000000"/>
      <w:sz w:val="28"/>
      <w:szCs w:val="28"/>
    </w:rPr>
  </w:style>
  <w:style w:type="character" w:styleId="1033" w:customStyle="1">
    <w:name w:val="标题 6 字符"/>
    <w:link w:val="1017"/>
    <w:uiPriority w:val="0"/>
    <w:qFormat/>
    <w:rPr>
      <w:rFonts w:ascii="Arial" w:hAnsi="Arial" w:eastAsia="黑体" w:cs="Times New Roman"/>
      <w:b/>
      <w:bCs/>
      <w:sz w:val="24"/>
      <w:szCs w:val="24"/>
    </w:rPr>
  </w:style>
  <w:style w:type="character" w:styleId="1034" w:customStyle="1">
    <w:name w:val="标题 7 字符"/>
    <w:link w:val="1018"/>
    <w:uiPriority w:val="0"/>
    <w:qFormat/>
    <w:rPr>
      <w:rFonts w:ascii="Times New Roman" w:hAnsi="Times New Roman" w:eastAsia="宋体" w:cs="Times New Roman"/>
      <w:b/>
      <w:bCs/>
      <w:sz w:val="24"/>
      <w:szCs w:val="24"/>
    </w:rPr>
  </w:style>
  <w:style w:type="character" w:styleId="1035" w:customStyle="1">
    <w:name w:val="标题 8 字符"/>
    <w:link w:val="1019"/>
    <w:uiPriority w:val="0"/>
    <w:qFormat/>
    <w:rPr>
      <w:rFonts w:ascii="Arial" w:hAnsi="Arial" w:eastAsia="黑体" w:cs="Times New Roman"/>
      <w:sz w:val="24"/>
      <w:szCs w:val="24"/>
    </w:rPr>
  </w:style>
  <w:style w:type="character" w:styleId="1036" w:customStyle="1">
    <w:name w:val="标题 9 字符"/>
    <w:link w:val="1020"/>
    <w:uiPriority w:val="0"/>
    <w:qFormat/>
    <w:rPr>
      <w:rFonts w:ascii="Arial" w:hAnsi="Arial" w:eastAsia="黑体" w:cs="Times New Roman"/>
      <w:szCs w:val="21"/>
    </w:rPr>
  </w:style>
  <w:style w:type="paragraph" w:styleId="1037" w:customStyle="1">
    <w:name w:val="列表 31"/>
    <w:basedOn w:val="817"/>
    <w:uiPriority w:val="0"/>
    <w:qFormat/>
    <w:pPr>
      <w:ind w:left="100" w:hanging="200"/>
    </w:pPr>
    <w:rPr>
      <w:rFonts w:ascii="Times New Roman" w:hAnsi="Times New Roman"/>
      <w:szCs w:val="21"/>
    </w:rPr>
  </w:style>
  <w:style w:type="paragraph" w:styleId="1038" w:customStyle="1">
    <w:name w:val="文档结构图1"/>
    <w:basedOn w:val="817"/>
    <w:link w:val="1039"/>
    <w:uiPriority w:val="0"/>
    <w:semiHidden/>
    <w:qFormat/>
    <w:pPr>
      <w:shd w:val="clear" w:color="auto" w:fill="000080"/>
    </w:pPr>
    <w:rPr>
      <w:rFonts w:ascii="Times New Roman" w:hAnsi="Times New Roman"/>
      <w:szCs w:val="21"/>
    </w:rPr>
  </w:style>
  <w:style w:type="character" w:styleId="1039" w:customStyle="1">
    <w:name w:val="文档结构图 字符"/>
    <w:link w:val="1038"/>
    <w:uiPriority w:val="0"/>
    <w:semiHidden/>
    <w:qFormat/>
    <w:rPr>
      <w:rFonts w:ascii="Times New Roman" w:hAnsi="Times New Roman" w:eastAsia="宋体" w:cs="Times New Roman"/>
      <w:szCs w:val="21"/>
      <w:shd w:val="clear" w:color="auto" w:fill="000080"/>
    </w:rPr>
  </w:style>
  <w:style w:type="paragraph" w:styleId="1040" w:customStyle="1">
    <w:name w:val="批注文字1"/>
    <w:basedOn w:val="817"/>
    <w:link w:val="1041"/>
    <w:uiPriority w:val="0"/>
    <w:unhideWhenUsed/>
    <w:qFormat/>
    <w:pPr>
      <w:jc w:val="left"/>
    </w:pPr>
  </w:style>
  <w:style w:type="character" w:styleId="1041" w:customStyle="1">
    <w:name w:val="批注文字 字符"/>
    <w:link w:val="1040"/>
    <w:uiPriority w:val="0"/>
    <w:qFormat/>
    <w:rPr>
      <w:rFonts w:ascii="Calibri" w:hAnsi="Calibri" w:eastAsia="宋体" w:cs="Times New Roman"/>
    </w:rPr>
  </w:style>
  <w:style w:type="paragraph" w:styleId="1042" w:customStyle="1">
    <w:name w:val="正文文本 31"/>
    <w:basedOn w:val="817"/>
    <w:link w:val="1043"/>
    <w:uiPriority w:val="0"/>
    <w:qFormat/>
    <w:rPr>
      <w:rFonts w:ascii="仿宋_GB2312" w:hAnsi="Arial" w:eastAsia="仿宋_GB2312"/>
      <w:sz w:val="32"/>
      <w:szCs w:val="32"/>
    </w:rPr>
  </w:style>
  <w:style w:type="character" w:styleId="1043" w:customStyle="1">
    <w:name w:val="正文文本 3 字符"/>
    <w:link w:val="1042"/>
    <w:uiPriority w:val="0"/>
    <w:qFormat/>
    <w:rPr>
      <w:rFonts w:ascii="仿宋_GB2312" w:hAnsi="Arial" w:eastAsia="仿宋_GB2312" w:cs="Times New Roman"/>
      <w:sz w:val="32"/>
      <w:szCs w:val="32"/>
    </w:rPr>
  </w:style>
  <w:style w:type="paragraph" w:styleId="1044" w:customStyle="1">
    <w:name w:val="正文文本缩进1"/>
    <w:basedOn w:val="1045"/>
    <w:next w:val="817"/>
    <w:link w:val="1046"/>
    <w:uiPriority w:val="0"/>
    <w:unhideWhenUsed/>
    <w:qFormat/>
    <w:pPr>
      <w:ind w:left="420"/>
      <w:spacing w:after="120"/>
    </w:pPr>
  </w:style>
  <w:style w:type="paragraph" w:styleId="1045" w:customStyle="1">
    <w:name w:val="正文1"/>
    <w:uiPriority w:val="0"/>
    <w:qFormat/>
    <w:pPr>
      <w:spacing w:line="560" w:lineRule="atLeast"/>
      <w:widowControl w:val="off"/>
    </w:pPr>
    <w:rPr>
      <w:rFonts w:hint="default" w:ascii="Times New Roman" w:hAnsi="Times New Roman" w:eastAsia="宋体" w:cs="Times New Roman"/>
      <w:sz w:val="28"/>
    </w:rPr>
  </w:style>
  <w:style w:type="character" w:styleId="1046" w:customStyle="1">
    <w:name w:val="正文文本缩进 字符"/>
    <w:link w:val="1044"/>
    <w:uiPriority w:val="0"/>
    <w:qFormat/>
    <w:rPr>
      <w:rFonts w:ascii="Calibri" w:hAnsi="Calibri" w:eastAsia="宋体" w:cs="Times New Roman"/>
    </w:rPr>
  </w:style>
  <w:style w:type="paragraph" w:styleId="1047" w:customStyle="1">
    <w:name w:val="列表 21"/>
    <w:basedOn w:val="817"/>
    <w:uiPriority w:val="0"/>
    <w:qFormat/>
    <w:pPr>
      <w:ind w:left="100" w:hanging="200"/>
    </w:pPr>
    <w:rPr>
      <w:rFonts w:ascii="Times New Roman" w:hAnsi="Times New Roman"/>
      <w:szCs w:val="21"/>
    </w:rPr>
  </w:style>
  <w:style w:type="paragraph" w:styleId="1048" w:customStyle="1">
    <w:name w:val="纯文本1"/>
    <w:basedOn w:val="817"/>
    <w:link w:val="1049"/>
    <w:uiPriority w:val="0"/>
    <w:qFormat/>
    <w:rPr>
      <w:rFonts w:ascii="宋体" w:hAnsi="Courier New" w:cs="Courier New"/>
      <w:szCs w:val="21"/>
    </w:rPr>
  </w:style>
  <w:style w:type="character" w:styleId="1049" w:customStyle="1">
    <w:name w:val="纯文本 字符"/>
    <w:link w:val="1048"/>
    <w:uiPriority w:val="0"/>
    <w:qFormat/>
    <w:rPr>
      <w:rFonts w:ascii="宋体" w:hAnsi="Courier New" w:eastAsia="宋体" w:cs="Courier New"/>
      <w:szCs w:val="21"/>
    </w:rPr>
  </w:style>
  <w:style w:type="paragraph" w:styleId="1050" w:customStyle="1">
    <w:name w:val="日期1"/>
    <w:basedOn w:val="817"/>
    <w:next w:val="817"/>
    <w:link w:val="1051"/>
    <w:uiPriority w:val="0"/>
    <w:qFormat/>
    <w:rPr>
      <w:rFonts w:ascii="Times New Roman" w:hAnsi="Times New Roman"/>
      <w:sz w:val="24"/>
      <w:szCs w:val="24"/>
    </w:rPr>
  </w:style>
  <w:style w:type="character" w:styleId="1051" w:customStyle="1">
    <w:name w:val="日期 字符"/>
    <w:link w:val="1050"/>
    <w:uiPriority w:val="0"/>
    <w:qFormat/>
    <w:rPr>
      <w:rFonts w:ascii="Times New Roman" w:hAnsi="Times New Roman" w:eastAsia="宋体" w:cs="Times New Roman"/>
      <w:sz w:val="24"/>
      <w:szCs w:val="24"/>
    </w:rPr>
  </w:style>
  <w:style w:type="paragraph" w:styleId="1052" w:customStyle="1">
    <w:name w:val="正文文本缩进 21"/>
    <w:basedOn w:val="817"/>
    <w:link w:val="1053"/>
    <w:uiPriority w:val="0"/>
    <w:qFormat/>
    <w:pPr>
      <w:ind w:left="630" w:firstLine="645"/>
    </w:pPr>
    <w:rPr>
      <w:rFonts w:ascii="Arial" w:hAnsi="Arial" w:eastAsia="仿宋_GB2312" w:cs="Arial"/>
      <w:sz w:val="32"/>
      <w:szCs w:val="32"/>
    </w:rPr>
  </w:style>
  <w:style w:type="character" w:styleId="1053" w:customStyle="1">
    <w:name w:val="正文文本缩进 2 字符"/>
    <w:link w:val="1052"/>
    <w:uiPriority w:val="0"/>
    <w:qFormat/>
    <w:rPr>
      <w:rFonts w:ascii="Arial" w:hAnsi="Arial" w:eastAsia="仿宋_GB2312" w:cs="Arial"/>
      <w:sz w:val="32"/>
      <w:szCs w:val="32"/>
    </w:rPr>
  </w:style>
  <w:style w:type="paragraph" w:styleId="1054" w:customStyle="1">
    <w:name w:val="批注框文本1"/>
    <w:basedOn w:val="817"/>
    <w:link w:val="1055"/>
    <w:uiPriority w:val="0"/>
    <w:semiHidden/>
    <w:qFormat/>
    <w:rPr>
      <w:rFonts w:ascii="Times New Roman" w:hAnsi="Times New Roman"/>
      <w:sz w:val="18"/>
      <w:szCs w:val="18"/>
    </w:rPr>
  </w:style>
  <w:style w:type="character" w:styleId="1055" w:customStyle="1">
    <w:name w:val="批注框文本 字符"/>
    <w:link w:val="1054"/>
    <w:uiPriority w:val="0"/>
    <w:semiHidden/>
    <w:qFormat/>
    <w:rPr>
      <w:rFonts w:ascii="Times New Roman" w:hAnsi="Times New Roman" w:eastAsia="宋体" w:cs="Times New Roman"/>
      <w:sz w:val="18"/>
      <w:szCs w:val="18"/>
    </w:rPr>
  </w:style>
  <w:style w:type="paragraph" w:styleId="1056" w:customStyle="1">
    <w:name w:val="页脚1"/>
    <w:basedOn w:val="817"/>
    <w:link w:val="1057"/>
    <w:uiPriority w:val="0"/>
    <w:qFormat/>
    <w:pPr>
      <w:jc w:val="left"/>
      <w:tabs>
        <w:tab w:val="center" w:pos="4153" w:leader="none"/>
        <w:tab w:val="right" w:pos="8306" w:leader="none"/>
      </w:tabs>
    </w:pPr>
    <w:rPr>
      <w:rFonts w:ascii="Times New Roman" w:hAnsi="Times New Roman"/>
      <w:sz w:val="18"/>
      <w:szCs w:val="18"/>
    </w:rPr>
  </w:style>
  <w:style w:type="character" w:styleId="1057" w:customStyle="1">
    <w:name w:val="页脚 字符"/>
    <w:link w:val="1056"/>
    <w:uiPriority w:val="0"/>
    <w:qFormat/>
    <w:rPr>
      <w:rFonts w:ascii="Times New Roman" w:hAnsi="Times New Roman" w:eastAsia="宋体" w:cs="Times New Roman"/>
      <w:sz w:val="18"/>
      <w:szCs w:val="18"/>
    </w:rPr>
  </w:style>
  <w:style w:type="paragraph" w:styleId="1058" w:customStyle="1">
    <w:name w:val="页眉1"/>
    <w:basedOn w:val="817"/>
    <w:link w:val="105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59" w:customStyle="1">
    <w:name w:val="页眉 字符"/>
    <w:link w:val="1058"/>
    <w:uiPriority w:val="0"/>
    <w:qFormat/>
    <w:rPr>
      <w:rFonts w:ascii="Times New Roman" w:hAnsi="Times New Roman" w:eastAsia="宋体" w:cs="Times New Roman"/>
      <w:sz w:val="18"/>
      <w:szCs w:val="18"/>
    </w:rPr>
  </w:style>
  <w:style w:type="paragraph" w:styleId="1060" w:customStyle="1">
    <w:name w:val="列表1"/>
    <w:basedOn w:val="817"/>
    <w:uiPriority w:val="0"/>
    <w:qFormat/>
    <w:pPr>
      <w:ind w:left="200" w:hanging="200"/>
    </w:pPr>
    <w:rPr>
      <w:rFonts w:ascii="Times New Roman" w:hAnsi="Times New Roman"/>
      <w:szCs w:val="21"/>
    </w:rPr>
  </w:style>
  <w:style w:type="paragraph" w:styleId="1061" w:customStyle="1">
    <w:name w:val="正文文本缩进 31"/>
    <w:basedOn w:val="817"/>
    <w:link w:val="1062"/>
    <w:uiPriority w:val="0"/>
    <w:qFormat/>
    <w:pPr>
      <w:ind w:left="645" w:firstLine="645"/>
    </w:pPr>
    <w:rPr>
      <w:rFonts w:ascii="Arial" w:hAnsi="Arial" w:eastAsia="仿宋_GB2312" w:cs="Arial"/>
      <w:color w:val="ffff00"/>
      <w:sz w:val="32"/>
      <w:szCs w:val="32"/>
    </w:rPr>
  </w:style>
  <w:style w:type="character" w:styleId="1062" w:customStyle="1">
    <w:name w:val="正文文本缩进 3 字符"/>
    <w:link w:val="1061"/>
    <w:uiPriority w:val="0"/>
    <w:qFormat/>
    <w:rPr>
      <w:rFonts w:ascii="Arial" w:hAnsi="Arial" w:eastAsia="仿宋_GB2312" w:cs="Arial"/>
      <w:color w:val="ffff00"/>
      <w:sz w:val="32"/>
      <w:szCs w:val="32"/>
    </w:rPr>
  </w:style>
  <w:style w:type="paragraph" w:styleId="1063" w:customStyle="1">
    <w:name w:val="图表目录1"/>
    <w:basedOn w:val="817"/>
    <w:next w:val="817"/>
    <w:uiPriority w:val="0"/>
    <w:semiHidden/>
    <w:qFormat/>
    <w:pPr>
      <w:ind w:left="840" w:hanging="420"/>
    </w:pPr>
    <w:rPr>
      <w:rFonts w:ascii="Times New Roman" w:hAnsi="Times New Roman"/>
      <w:szCs w:val="21"/>
    </w:rPr>
  </w:style>
  <w:style w:type="paragraph" w:styleId="1064" w:customStyle="1">
    <w:name w:val="正文文本 21"/>
    <w:basedOn w:val="817"/>
    <w:link w:val="1065"/>
    <w:uiPriority w:val="0"/>
    <w:qFormat/>
    <w:pPr>
      <w:jc w:val="center"/>
      <w:widowControl/>
    </w:pPr>
    <w:rPr>
      <w:rFonts w:ascii="楷体_GB2312" w:hAnsi="Times New Roman" w:eastAsia="楷体_GB2312"/>
      <w:sz w:val="28"/>
      <w:szCs w:val="28"/>
    </w:rPr>
  </w:style>
  <w:style w:type="character" w:styleId="1065" w:customStyle="1">
    <w:name w:val="正文文本 2 字符"/>
    <w:link w:val="1064"/>
    <w:uiPriority w:val="0"/>
    <w:qFormat/>
    <w:rPr>
      <w:rFonts w:ascii="楷体_GB2312" w:hAnsi="Times New Roman" w:eastAsia="楷体_GB2312" w:cs="Times New Roman"/>
      <w:sz w:val="28"/>
      <w:szCs w:val="28"/>
    </w:rPr>
  </w:style>
  <w:style w:type="paragraph" w:styleId="1066" w:customStyle="1">
    <w:name w:val="普通(网站)1"/>
    <w:basedOn w:val="817"/>
    <w:uiPriority w:val="99"/>
    <w:qFormat/>
    <w:pPr>
      <w:jc w:val="left"/>
      <w:spacing w:before="100" w:beforeAutospacing="1" w:after="100" w:afterAutospacing="1"/>
      <w:widowControl/>
    </w:pPr>
    <w:rPr>
      <w:rFonts w:ascii="宋体" w:hAnsi="宋体" w:cs="宋体"/>
      <w:sz w:val="24"/>
      <w:szCs w:val="24"/>
    </w:rPr>
  </w:style>
  <w:style w:type="paragraph" w:styleId="1067" w:customStyle="1">
    <w:name w:val="索引 11"/>
    <w:basedOn w:val="817"/>
    <w:next w:val="817"/>
    <w:uiPriority w:val="0"/>
    <w:semiHidden/>
    <w:qFormat/>
    <w:pPr>
      <w:spacing w:line="240" w:lineRule="atLeast"/>
    </w:pPr>
    <w:rPr>
      <w:rFonts w:ascii="Times New Roman" w:hAnsi="Times New Roman"/>
      <w:b/>
      <w:bCs/>
      <w:szCs w:val="21"/>
    </w:rPr>
  </w:style>
  <w:style w:type="paragraph" w:styleId="1068" w:customStyle="1">
    <w:name w:val="批注主题1"/>
    <w:basedOn w:val="1040"/>
    <w:next w:val="1040"/>
    <w:link w:val="1069"/>
    <w:uiPriority w:val="0"/>
    <w:semiHidden/>
    <w:qFormat/>
    <w:rPr>
      <w:rFonts w:ascii="Times New Roman" w:hAnsi="Times New Roman"/>
      <w:b/>
      <w:bCs/>
      <w:szCs w:val="21"/>
    </w:rPr>
  </w:style>
  <w:style w:type="character" w:styleId="1069" w:customStyle="1">
    <w:name w:val="批注主题 字符"/>
    <w:link w:val="1068"/>
    <w:uiPriority w:val="0"/>
    <w:semiHidden/>
    <w:qFormat/>
    <w:rPr>
      <w:rFonts w:ascii="Times New Roman" w:hAnsi="Times New Roman" w:eastAsia="宋体" w:cs="Times New Roman"/>
      <w:b/>
      <w:bCs/>
      <w:szCs w:val="21"/>
    </w:rPr>
  </w:style>
  <w:style w:type="paragraph" w:styleId="1070" w:customStyle="1">
    <w:name w:val="正文文本首行缩进 2"/>
    <w:basedOn w:val="1044"/>
    <w:link w:val="1071"/>
    <w:uiPriority w:val="0"/>
    <w:qFormat/>
    <w:pPr>
      <w:ind w:left="0" w:firstLine="420"/>
      <w:spacing w:after="0" w:line="360" w:lineRule="auto"/>
    </w:pPr>
    <w:rPr>
      <w:rFonts w:ascii="宋体" w:hAnsi="宋体"/>
      <w:szCs w:val="20"/>
    </w:rPr>
  </w:style>
  <w:style w:type="character" w:styleId="1071" w:customStyle="1">
    <w:name w:val="正文文本首行缩进 2 字符"/>
    <w:link w:val="1070"/>
    <w:uiPriority w:val="0"/>
    <w:qFormat/>
    <w:rPr>
      <w:rFonts w:ascii="宋体" w:hAnsi="宋体" w:eastAsia="宋体" w:cs="Times New Roman"/>
      <w:szCs w:val="20"/>
    </w:rPr>
  </w:style>
  <w:style w:type="table" w:styleId="1072" w:customStyle="1">
    <w:name w:val="网格型1"/>
    <w:basedOn w:val="1022"/>
    <w:uiPriority w:val="0"/>
    <w:qFormat/>
    <w:pPr>
      <w:jc w:val="both"/>
      <w:widowControl w:val="off"/>
    </w:pPr>
    <w:rPr>
      <w:rFonts w:ascii="Times New Roman" w:hAnsi="Times New Roman" w:eastAsia="宋体" w:cs="Times New Roman"/>
      <w:sz w:val="20"/>
      <w:szCs w:val="20"/>
    </w:rPr>
    <w:tblPr/>
  </w:style>
  <w:style w:type="character" w:styleId="1073" w:customStyle="1">
    <w:name w:val="要点1"/>
    <w:link w:val="817"/>
    <w:uiPriority w:val="0"/>
    <w:qFormat/>
    <w:rPr>
      <w:b/>
      <w:bCs/>
    </w:rPr>
  </w:style>
  <w:style w:type="character" w:styleId="1074" w:customStyle="1">
    <w:name w:val="页码1"/>
    <w:link w:val="817"/>
    <w:uiPriority w:val="0"/>
    <w:qFormat/>
  </w:style>
  <w:style w:type="character" w:styleId="1075" w:customStyle="1">
    <w:name w:val="访问过的超链接"/>
    <w:link w:val="817"/>
    <w:uiPriority w:val="0"/>
    <w:qFormat/>
    <w:rPr>
      <w:color w:val="800080"/>
      <w:u w:val="single"/>
    </w:rPr>
  </w:style>
  <w:style w:type="character" w:styleId="1076" w:customStyle="1">
    <w:name w:val="超链接1"/>
    <w:link w:val="817"/>
    <w:uiPriority w:val="0"/>
    <w:qFormat/>
    <w:rPr>
      <w:color w:val="0000ff"/>
      <w:u w:val="single"/>
    </w:rPr>
  </w:style>
  <w:style w:type="character" w:styleId="1077" w:customStyle="1">
    <w:name w:val="批注引用1"/>
    <w:link w:val="817"/>
    <w:uiPriority w:val="0"/>
    <w:semiHidden/>
    <w:qFormat/>
    <w:rPr>
      <w:sz w:val="21"/>
      <w:szCs w:val="21"/>
    </w:rPr>
  </w:style>
  <w:style w:type="character" w:styleId="1078" w:customStyle="1">
    <w:name w:val="font5 Char"/>
    <w:link w:val="817"/>
    <w:uiPriority w:val="0"/>
    <w:qFormat/>
    <w:rPr>
      <w:rFonts w:ascii="宋体" w:hAnsi="宋体" w:eastAsia="宋体"/>
      <w:sz w:val="28"/>
      <w:szCs w:val="28"/>
      <w:lang w:val="en-US" w:eastAsia="zh-CN" w:bidi="ar-SA"/>
    </w:rPr>
  </w:style>
  <w:style w:type="character" w:styleId="1079" w:customStyle="1">
    <w:name w:val="二级目录 Char"/>
    <w:link w:val="1080"/>
    <w:uiPriority w:val="0"/>
    <w:qFormat/>
    <w:rPr>
      <w:b/>
      <w:sz w:val="30"/>
      <w:szCs w:val="28"/>
    </w:rPr>
  </w:style>
  <w:style w:type="paragraph" w:styleId="1080" w:customStyle="1">
    <w:name w:val="二级目录"/>
    <w:next w:val="817"/>
    <w:link w:val="107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81" w:customStyle="1">
    <w:name w:val="列出段落 Char"/>
    <w:link w:val="1082"/>
    <w:uiPriority w:val="0"/>
    <w:qFormat/>
    <w:rPr>
      <w:rFonts w:ascii="Calibri" w:hAnsi="Calibri"/>
      <w:sz w:val="24"/>
      <w:szCs w:val="24"/>
      <w:lang w:eastAsia="en-US" w:bidi="en-US"/>
    </w:rPr>
  </w:style>
  <w:style w:type="paragraph" w:styleId="1082" w:customStyle="1">
    <w:name w:val="列出段落1"/>
    <w:basedOn w:val="817"/>
    <w:link w:val="1081"/>
    <w:uiPriority w:val="0"/>
    <w:qFormat/>
    <w:pPr>
      <w:contextualSpacing/>
      <w:ind w:left="720"/>
      <w:jc w:val="left"/>
      <w:widowControl/>
    </w:pPr>
    <w:rPr>
      <w:rFonts w:eastAsia="宋体" w:cs="Times New Roman"/>
      <w:sz w:val="24"/>
      <w:szCs w:val="24"/>
      <w:lang w:eastAsia="en-US" w:bidi="en-US"/>
    </w:rPr>
  </w:style>
  <w:style w:type="paragraph" w:styleId="1083" w:customStyle="1">
    <w:name w:val="Body Text(ch)"/>
    <w:basedOn w:val="817"/>
    <w:next w:val="1024"/>
    <w:uiPriority w:val="0"/>
    <w:qFormat/>
    <w:pPr>
      <w:spacing w:after="120"/>
    </w:pPr>
    <w:rPr>
      <w:rFonts w:ascii="宋体" w:hAnsi="Arial"/>
      <w:bCs/>
      <w:iCs/>
      <w:szCs w:val="24"/>
    </w:rPr>
  </w:style>
  <w:style w:type="paragraph" w:styleId="1084" w:customStyle="1">
    <w:name w:val="xl27"/>
    <w:basedOn w:val="8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5" w:customStyle="1">
    <w:name w:val="xl26"/>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6" w:customStyle="1">
    <w:name w:val="Char"/>
    <w:basedOn w:val="817"/>
    <w:uiPriority w:val="0"/>
    <w:qFormat/>
    <w:pPr>
      <w:ind w:firstLine="200"/>
      <w:tabs>
        <w:tab w:val="left" w:pos="360" w:leader="none"/>
      </w:tabs>
    </w:pPr>
    <w:rPr>
      <w:rFonts w:ascii="Times New Roman" w:hAnsi="Times New Roman"/>
      <w:sz w:val="28"/>
      <w:szCs w:val="30"/>
    </w:rPr>
  </w:style>
  <w:style w:type="paragraph" w:styleId="1087" w:customStyle="1">
    <w:name w:val=" Char"/>
    <w:basedOn w:val="1038"/>
    <w:uiPriority w:val="0"/>
    <w:qFormat/>
    <w:rPr>
      <w:rFonts w:ascii="Tahoma" w:hAnsi="Tahoma"/>
      <w:sz w:val="24"/>
      <w:szCs w:val="24"/>
    </w:rPr>
  </w:style>
  <w:style w:type="paragraph" w:styleId="1088" w:customStyle="1">
    <w:name w:val="普通正文"/>
    <w:basedOn w:val="817"/>
    <w:uiPriority w:val="0"/>
    <w:qFormat/>
    <w:pPr>
      <w:ind w:firstLine="480"/>
      <w:jc w:val="left"/>
      <w:spacing w:before="120" w:after="120" w:line="360" w:lineRule="auto"/>
    </w:pPr>
    <w:rPr>
      <w:rFonts w:ascii="Arial" w:hAnsi="Arial"/>
      <w:sz w:val="24"/>
      <w:szCs w:val="24"/>
    </w:rPr>
  </w:style>
  <w:style w:type="paragraph" w:styleId="1089" w:customStyle="1">
    <w:name w:val="table_lines"/>
    <w:basedOn w:val="817"/>
    <w:uiPriority w:val="0"/>
    <w:qFormat/>
    <w:pPr>
      <w:jc w:val="left"/>
      <w:widowControl/>
    </w:pPr>
    <w:rPr>
      <w:rFonts w:ascii="Times New Roman" w:hAnsi="Times New Roman"/>
      <w:sz w:val="20"/>
      <w:szCs w:val="20"/>
      <w:lang w:val="de-DE" w:eastAsia="de-DE"/>
    </w:rPr>
  </w:style>
  <w:style w:type="paragraph" w:styleId="109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1" w:customStyle="1">
    <w:name w:val="font7"/>
    <w:basedOn w:val="817"/>
    <w:uiPriority w:val="0"/>
    <w:qFormat/>
    <w:pPr>
      <w:jc w:val="left"/>
      <w:spacing w:before="100" w:beforeAutospacing="1" w:after="100" w:afterAutospacing="1"/>
      <w:widowControl/>
    </w:pPr>
    <w:rPr>
      <w:rFonts w:hint="eastAsia" w:ascii="宋体" w:hAnsi="宋体"/>
      <w:sz w:val="18"/>
      <w:szCs w:val="18"/>
    </w:rPr>
  </w:style>
  <w:style w:type="paragraph" w:styleId="1092" w:customStyle="1">
    <w:name w:val=" Char Char Char Char"/>
    <w:basedOn w:val="1038"/>
    <w:uiPriority w:val="0"/>
    <w:qFormat/>
    <w:pPr>
      <w:spacing w:line="360" w:lineRule="auto"/>
    </w:pPr>
    <w:rPr>
      <w:rFonts w:ascii="Tahoma" w:hAnsi="Tahoma"/>
      <w:sz w:val="24"/>
      <w:szCs w:val="24"/>
    </w:rPr>
  </w:style>
  <w:style w:type="paragraph" w:styleId="1093" w:customStyle="1">
    <w:name w:val="列表段落"/>
    <w:basedOn w:val="817"/>
    <w:uiPriority w:val="0"/>
    <w:qFormat/>
    <w:pPr>
      <w:contextualSpacing/>
      <w:ind w:left="720"/>
      <w:jc w:val="left"/>
      <w:widowControl/>
    </w:pPr>
    <w:rPr>
      <w:sz w:val="24"/>
      <w:szCs w:val="24"/>
      <w:lang w:eastAsia="en-US" w:bidi="en-US"/>
    </w:rPr>
  </w:style>
  <w:style w:type="paragraph" w:styleId="1094" w:customStyle="1">
    <w:name w:val="4"/>
    <w:basedOn w:val="817"/>
    <w:next w:val="1061"/>
    <w:uiPriority w:val="0"/>
    <w:qFormat/>
    <w:pPr>
      <w:ind w:firstLine="420"/>
      <w:spacing w:line="360" w:lineRule="auto"/>
    </w:pPr>
    <w:rPr>
      <w:rFonts w:ascii="Times New Roman" w:hAnsi="Times New Roman"/>
      <w:color w:val="ff0000"/>
      <w:sz w:val="24"/>
      <w:szCs w:val="24"/>
    </w:rPr>
  </w:style>
  <w:style w:type="paragraph" w:styleId="1095" w:customStyle="1">
    <w:name w:val="普通 (Web)"/>
    <w:basedOn w:val="817"/>
    <w:uiPriority w:val="0"/>
    <w:qFormat/>
    <w:pPr>
      <w:jc w:val="left"/>
      <w:spacing w:before="100" w:beforeAutospacing="1" w:after="100" w:afterAutospacing="1"/>
      <w:widowControl/>
    </w:pPr>
    <w:rPr>
      <w:rFonts w:ascii="宋体" w:hAnsi="宋体"/>
      <w:sz w:val="24"/>
      <w:szCs w:val="24"/>
    </w:rPr>
  </w:style>
  <w:style w:type="paragraph" w:styleId="1096" w:customStyle="1">
    <w:name w:val=" Char Char Char Char Char Char Char Char Char Char"/>
    <w:basedOn w:val="817"/>
    <w:uiPriority w:val="0"/>
    <w:qFormat/>
    <w:pPr>
      <w:spacing w:line="360" w:lineRule="auto"/>
    </w:pPr>
    <w:rPr>
      <w:rFonts w:ascii="Times New Roman" w:hAnsi="Times New Roman"/>
      <w:sz w:val="24"/>
      <w:szCs w:val="20"/>
    </w:rPr>
  </w:style>
  <w:style w:type="paragraph" w:styleId="1097" w:customStyle="1">
    <w:name w:val="样式1"/>
    <w:basedOn w:val="817"/>
    <w:uiPriority w:val="0"/>
    <w:qFormat/>
    <w:pPr>
      <w:numPr>
        <w:ilvl w:val="0"/>
        <w:numId w:val="3"/>
      </w:numPr>
    </w:pPr>
    <w:rPr>
      <w:rFonts w:ascii="宋体" w:hAnsi="宋体"/>
      <w:szCs w:val="21"/>
    </w:rPr>
  </w:style>
  <w:style w:type="paragraph" w:styleId="1098" w:customStyle="1">
    <w:name w:val="font6"/>
    <w:basedOn w:val="817"/>
    <w:uiPriority w:val="0"/>
    <w:qFormat/>
    <w:pPr>
      <w:jc w:val="left"/>
      <w:spacing w:before="100" w:beforeAutospacing="1" w:after="100" w:afterAutospacing="1"/>
      <w:widowControl/>
    </w:pPr>
    <w:rPr>
      <w:rFonts w:hint="eastAsia" w:ascii="宋体" w:hAnsi="宋体"/>
      <w:sz w:val="28"/>
      <w:szCs w:val="28"/>
      <w:u w:val="single"/>
    </w:rPr>
  </w:style>
  <w:style w:type="paragraph" w:styleId="1099" w:customStyle="1">
    <w:name w:val="xl25"/>
    <w:basedOn w:val="8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0" w:customStyle="1">
    <w:name w:val="图标"/>
    <w:basedOn w:val="817"/>
    <w:next w:val="8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01" w:customStyle="1">
    <w:name w:val="标题3"/>
    <w:basedOn w:val="817"/>
    <w:next w:val="817"/>
    <w:uiPriority w:val="0"/>
    <w:qFormat/>
    <w:pPr>
      <w:ind w:firstLine="624"/>
      <w:spacing w:line="590" w:lineRule="atLeast"/>
    </w:pPr>
    <w:rPr>
      <w:rFonts w:ascii="方正黑体_GBK" w:hAnsi="Times New Roman" w:eastAsia="方正黑体_GBK"/>
      <w:sz w:val="32"/>
      <w:szCs w:val="32"/>
    </w:rPr>
  </w:style>
  <w:style w:type="paragraph" w:styleId="1102" w:customStyle="1">
    <w:name w:val="xl24"/>
    <w:basedOn w:val="8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3" w:customStyle="1">
    <w:name w:val="xl29"/>
    <w:basedOn w:val="81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4" w:customStyle="1">
    <w:name w:val="Char Char Char Char Char Char Char Char"/>
    <w:basedOn w:val="817"/>
    <w:uiPriority w:val="0"/>
    <w:qFormat/>
    <w:pPr>
      <w:jc w:val="left"/>
      <w:spacing w:after="160" w:line="240" w:lineRule="exact"/>
      <w:widowControl/>
    </w:pPr>
    <w:rPr>
      <w:rFonts w:ascii="Verdana" w:hAnsi="Verdana"/>
      <w:sz w:val="20"/>
      <w:szCs w:val="20"/>
      <w:lang w:eastAsia="en-US"/>
    </w:rPr>
  </w:style>
  <w:style w:type="paragraph" w:styleId="1105" w:customStyle="1">
    <w:name w:val="xl28"/>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6" w:customStyle="1">
    <w:name w:val=" Char Char Char Char Char Char Char Char"/>
    <w:basedOn w:val="817"/>
    <w:uiPriority w:val="0"/>
    <w:qFormat/>
    <w:pPr>
      <w:jc w:val="left"/>
      <w:spacing w:after="160" w:line="240" w:lineRule="exact"/>
      <w:widowControl/>
    </w:pPr>
    <w:rPr>
      <w:rFonts w:ascii="Verdana" w:hAnsi="Verdana"/>
      <w:sz w:val="20"/>
      <w:szCs w:val="20"/>
      <w:lang w:eastAsia="en-US"/>
    </w:rPr>
  </w:style>
  <w:style w:type="paragraph" w:styleId="1107" w:customStyle="1">
    <w:name w:val="xl30"/>
    <w:basedOn w:val="817"/>
    <w:uiPriority w:val="0"/>
    <w:qFormat/>
    <w:pPr>
      <w:jc w:val="center"/>
      <w:spacing w:before="100" w:beforeAutospacing="1" w:after="100" w:afterAutospacing="1"/>
      <w:widowControl/>
    </w:pPr>
    <w:rPr>
      <w:rFonts w:ascii="宋体" w:hAnsi="宋体"/>
      <w:b/>
      <w:bCs/>
      <w:sz w:val="36"/>
      <w:szCs w:val="36"/>
    </w:rPr>
  </w:style>
  <w:style w:type="paragraph" w:styleId="1108" w:customStyle="1">
    <w:name w:val="Char Char Char Char"/>
    <w:basedOn w:val="1038"/>
    <w:uiPriority w:val="0"/>
    <w:qFormat/>
    <w:pPr>
      <w:spacing w:line="360" w:lineRule="auto"/>
    </w:pPr>
    <w:rPr>
      <w:rFonts w:ascii="Tahoma" w:hAnsi="Tahoma"/>
      <w:sz w:val="24"/>
      <w:szCs w:val="24"/>
    </w:rPr>
  </w:style>
  <w:style w:type="paragraph" w:styleId="1109" w:customStyle="1">
    <w:name w:val="table_1stline"/>
    <w:basedOn w:val="817"/>
    <w:uiPriority w:val="0"/>
    <w:qFormat/>
    <w:pPr>
      <w:jc w:val="left"/>
      <w:spacing w:before="120"/>
      <w:widowControl/>
    </w:pPr>
    <w:rPr>
      <w:rFonts w:ascii="Times New Roman" w:hAnsi="Times New Roman"/>
      <w:bCs/>
      <w:sz w:val="20"/>
      <w:szCs w:val="20"/>
      <w:lang w:val="de-DE" w:eastAsia="de-DE"/>
    </w:rPr>
  </w:style>
  <w:style w:type="paragraph" w:styleId="1110" w:customStyle="1">
    <w:name w:val="font5"/>
    <w:basedOn w:val="817"/>
    <w:uiPriority w:val="0"/>
    <w:qFormat/>
    <w:pPr>
      <w:jc w:val="left"/>
      <w:spacing w:before="100" w:beforeAutospacing="1" w:after="100" w:afterAutospacing="1"/>
      <w:widowControl/>
    </w:pPr>
    <w:rPr>
      <w:rFonts w:hint="eastAsia" w:ascii="宋体" w:hAnsi="宋体"/>
      <w:sz w:val="28"/>
      <w:szCs w:val="28"/>
    </w:rPr>
  </w:style>
  <w:style w:type="paragraph" w:styleId="1111" w:customStyle="1">
    <w:name w:val="标题1"/>
    <w:basedOn w:val="817"/>
    <w:next w:val="81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1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1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4" w:customStyle="1">
    <w:name w:val="列表段落1"/>
    <w:basedOn w:val="817"/>
    <w:uiPriority w:val="34"/>
    <w:qFormat/>
    <w:pPr>
      <w:ind w:firstLine="420"/>
    </w:pPr>
    <w:rPr>
      <w:rFonts w:ascii="Times New Roman" w:hAnsi="Times New Roman"/>
    </w:rPr>
  </w:style>
  <w:style w:type="paragraph" w:styleId="1115" w:customStyle="1">
    <w:name w:val="_Style 116"/>
    <w:basedOn w:val="817"/>
    <w:next w:val="1093"/>
    <w:uiPriority w:val="0"/>
    <w:qFormat/>
    <w:pPr>
      <w:contextualSpacing/>
      <w:ind w:left="720"/>
      <w:jc w:val="left"/>
      <w:widowControl/>
    </w:pPr>
    <w:rPr>
      <w:sz w:val="24"/>
      <w:szCs w:val="24"/>
      <w:lang w:eastAsia="en-US" w:bidi="en-US"/>
    </w:rPr>
  </w:style>
  <w:style w:type="paragraph" w:styleId="1116" w:customStyle="1">
    <w:name w:val="正文空两格"/>
    <w:basedOn w:val="817"/>
    <w:uiPriority w:val="0"/>
    <w:qFormat/>
    <w:pPr>
      <w:ind w:firstLine="200"/>
    </w:pPr>
    <w:rPr>
      <w:rFonts w:ascii="Times New Roman" w:hAnsi="Times New Roman"/>
      <w:szCs w:val="21"/>
    </w:rPr>
  </w:style>
  <w:style w:type="character" w:styleId="1117" w:customStyle="1">
    <w:name w:val="纯文本 Char"/>
    <w:link w:val="817"/>
    <w:uiPriority w:val="0"/>
    <w:qFormat/>
    <w:rPr>
      <w:rFonts w:ascii="宋体" w:hAnsi="Courier New" w:eastAsia="宋体" w:cs="Courier New"/>
      <w:szCs w:val="21"/>
    </w:rPr>
  </w:style>
  <w:style w:type="paragraph" w:styleId="1118" w:customStyle="1">
    <w:name w:val="black1"/>
    <w:basedOn w:val="817"/>
    <w:uiPriority w:val="99"/>
    <w:qFormat/>
    <w:pPr>
      <w:jc w:val="left"/>
      <w:spacing w:before="100" w:beforeAutospacing="1" w:after="100" w:afterAutospacing="1"/>
      <w:widowControl/>
    </w:pPr>
    <w:rPr>
      <w:rFonts w:ascii="宋体" w:hAnsi="宋体"/>
      <w:sz w:val="24"/>
    </w:rPr>
  </w:style>
  <w:style w:type="character" w:styleId="1119" w:customStyle="1">
    <w:name w:val="l-btn-left"/>
    <w:basedOn w:val="827"/>
    <w:uiPriority w:val="0"/>
    <w:qFormat/>
  </w:style>
  <w:style w:type="character" w:styleId="1120" w:customStyle="1">
    <w:name w:val="current"/>
    <w:basedOn w:val="827"/>
    <w:uiPriority w:val="0"/>
    <w:qFormat/>
    <w:rPr>
      <w:b/>
      <w:bCs/>
      <w:color w:val="05a7d8"/>
      <w:sz w:val="18"/>
      <w:szCs w:val="18"/>
    </w:rPr>
  </w:style>
  <w:style w:type="character" w:styleId="1121" w:customStyle="1">
    <w:name w:val="l-btn-text36"/>
    <w:basedOn w:val="827"/>
    <w:uiPriority w:val="0"/>
    <w:qFormat/>
  </w:style>
  <w:style w:type="paragraph" w:styleId="1122" w:customStyle="1">
    <w:name w:val="段"/>
    <w:basedOn w:val="817"/>
    <w:next w:val="817"/>
    <w:uiPriority w:val="0"/>
    <w:qFormat/>
    <w:pPr>
      <w:ind w:firstLine="200"/>
      <w:spacing w:line="360" w:lineRule="auto"/>
      <w:widowControl/>
    </w:pPr>
    <w:rPr>
      <w:rFonts w:ascii="宋体" w:hAnsi="宋体" w:cs="宋体"/>
      <w:sz w:val="24"/>
    </w:rPr>
  </w:style>
  <w:style w:type="paragraph" w:styleId="1123" w:customStyle="1">
    <w:name w:val="无间隔1"/>
    <w:basedOn w:val="817"/>
    <w:uiPriority w:val="0"/>
    <w:qFormat/>
    <w:pPr>
      <w:ind w:firstLine="200"/>
      <w:jc w:val="left"/>
      <w:spacing w:line="360" w:lineRule="auto"/>
      <w:widowControl/>
    </w:pPr>
    <w:rPr>
      <w:rFonts w:ascii="宋体" w:hAnsi="宋体"/>
      <w:sz w:val="24"/>
    </w:rPr>
  </w:style>
  <w:style w:type="character" w:styleId="1124" w:customStyle="1">
    <w:name w:val="font11"/>
    <w:basedOn w:val="827"/>
    <w:uiPriority w:val="0"/>
    <w:qFormat/>
    <w:rPr>
      <w:rFonts w:hint="eastAsia" w:ascii="微软雅黑" w:hAnsi="微软雅黑" w:eastAsia="微软雅黑" w:cs="微软雅黑"/>
      <w:color w:val="000000"/>
      <w:sz w:val="20"/>
      <w:szCs w:val="20"/>
      <w:u w:val="none"/>
    </w:rPr>
  </w:style>
  <w:style w:type="character" w:styleId="1125" w:customStyle="1">
    <w:name w:val="font51"/>
    <w:basedOn w:val="827"/>
    <w:uiPriority w:val="0"/>
    <w:qFormat/>
    <w:rPr>
      <w:rFonts w:hint="eastAsia" w:ascii="宋体" w:hAnsi="宋体" w:eastAsia="宋体" w:cs="宋体"/>
      <w:color w:val="000000"/>
      <w:sz w:val="24"/>
      <w:u w:val="none"/>
    </w:rPr>
  </w:style>
  <w:style w:type="character" w:styleId="1126" w:customStyle="1">
    <w:name w:val="标题 1 Char"/>
    <w:basedOn w:val="827"/>
    <w:link w:val="818"/>
    <w:uiPriority w:val="0"/>
    <w:qFormat/>
    <w:rPr>
      <w:rFonts w:ascii="宋体"/>
      <w:b/>
      <w:bCs/>
      <w:sz w:val="32"/>
      <w:szCs w:val="32"/>
    </w:rPr>
  </w:style>
  <w:style w:type="paragraph" w:styleId="1127" w:customStyle="1">
    <w:name w:val="Table Paragraph"/>
    <w:basedOn w:val="817"/>
    <w:uiPriority w:val="1"/>
    <w:qFormat/>
    <w:rPr>
      <w:rFonts w:ascii="宋体" w:hAnsi="宋体" w:eastAsia="宋体" w:cs="宋体"/>
      <w:szCs w:val="22"/>
      <w:lang w:val="zh-CN" w:bidi="zh-CN"/>
    </w:rPr>
  </w:style>
  <w:style w:type="character" w:styleId="1128" w:customStyle="1">
    <w:name w:val="Heading 1 Char1"/>
    <w:uiPriority w:val="99"/>
    <w:qFormat/>
    <w:rPr>
      <w:rFonts w:ascii="Century Schoolbook" w:hAnsi="Century Schoolbook"/>
      <w:sz w:val="20"/>
    </w:rPr>
  </w:style>
  <w:style w:type="paragraph" w:styleId="1129" w:customStyle="1">
    <w:name w:val="正文2"/>
    <w:basedOn w:val="817"/>
    <w:uiPriority w:val="0"/>
    <w:qFormat/>
    <w:pPr>
      <w:widowControl/>
    </w:pPr>
    <w:rPr>
      <w:rFonts w:ascii="Calibri" w:hAnsi="Calibri" w:cs="Calibri"/>
      <w:szCs w:val="21"/>
    </w:rPr>
  </w:style>
  <w:style w:type="character" w:styleId="1130" w:customStyle="1">
    <w:name w:val="超链接11"/>
    <w:link w:val="817"/>
    <w:uiPriority w:val="0"/>
    <w:qFormat/>
    <w:rPr>
      <w:rFonts w:ascii="Calibri" w:hAnsi="Calibri" w:eastAsia="宋体" w:cs="Times New Roman"/>
      <w:sz w:val="21"/>
      <w:szCs w:val="22"/>
      <w:lang w:val="en-US" w:eastAsia="zh-CN" w:bidi="ar-SA"/>
    </w:rPr>
  </w:style>
  <w:style w:type="character" w:styleId="1131" w:customStyle="1">
    <w:name w:val="titlebody"/>
    <w:uiPriority w:val="0"/>
    <w:qFormat/>
    <w:rPr>
      <w:rFonts w:ascii="宋体" w:hAnsi="宋体" w:eastAsia="宋体" w:cs="宋体"/>
      <w:b/>
      <w:bCs/>
      <w:color w:val="000000"/>
      <w:sz w:val="24"/>
      <w:szCs w:val="24"/>
    </w:rPr>
  </w:style>
  <w:style w:type="paragraph" w:styleId="1132" w:customStyle="1">
    <w:name w:val="批注文字12"/>
    <w:basedOn w:val="817"/>
    <w:uiPriority w:val="99"/>
    <w:unhideWhenUsed/>
    <w:qFormat/>
    <w:pPr>
      <w:jc w:val="left"/>
    </w:pPr>
  </w:style>
  <w:style w:type="paragraph" w:styleId="1133" w:customStyle="1">
    <w:name w:val="Plain Text2"/>
    <w:basedOn w:val="817"/>
    <w:uiPriority w:val="99"/>
    <w:qFormat/>
    <w:rPr>
      <w:rFonts w:ascii="宋体" w:hAnsi="Courier New" w:eastAsia="楷体_GB2312"/>
      <w:sz w:val="28"/>
      <w:szCs w:val="20"/>
    </w:rPr>
  </w:style>
  <w:style w:type="paragraph" w:styleId="1134" w:customStyle="1">
    <w:name w:val="脚注文本1"/>
    <w:basedOn w:val="1045"/>
    <w:next w:val="1135"/>
    <w:uiPriority w:val="0"/>
    <w:qFormat/>
    <w:pPr>
      <w:jc w:val="left"/>
    </w:pPr>
    <w:rPr>
      <w:rFonts w:ascii="宋体" w:hAnsi="宋体" w:eastAsia="Times New Roman"/>
      <w:sz w:val="18"/>
      <w:szCs w:val="18"/>
    </w:rPr>
  </w:style>
  <w:style w:type="paragraph" w:styleId="1135" w:customStyle="1">
    <w:name w:val="索引 51"/>
    <w:basedOn w:val="1045"/>
    <w:next w:val="1045"/>
    <w:uiPriority w:val="0"/>
    <w:qFormat/>
    <w:pPr>
      <w:ind w:left="798"/>
      <w:jc w:val="left"/>
    </w:pPr>
    <w:rPr>
      <w:rFonts w:ascii="Calibri" w:hAnsi="Calibri"/>
    </w:rPr>
  </w:style>
  <w:style w:type="paragraph" w:styleId="1136" w:customStyle="1">
    <w:name w:val="普通(网站)11"/>
    <w:basedOn w:val="817"/>
    <w:uiPriority w:val="0"/>
    <w:qFormat/>
    <w:pPr>
      <w:jc w:val="left"/>
      <w:spacing w:before="100" w:beforeAutospacing="1" w:after="100" w:afterAutospacing="1"/>
      <w:widowControl/>
    </w:pPr>
    <w:rPr>
      <w:rFonts w:hint="default" w:ascii="Times New Roman" w:hAnsi="Times New Roman" w:eastAsia="宋体" w:cs="Times New Roman"/>
      <w:sz w:val="24"/>
      <w:szCs w:val="21"/>
      <w:lang w:val="en-US" w:eastAsia="zh-CN" w:bidi="ar"/>
    </w:rPr>
  </w:style>
  <w:style w:type="paragraph" w:styleId="1137" w:customStyle="1">
    <w:name w:val="正文首行缩进 2111"/>
    <w:next w:val="817"/>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paragraph" w:styleId="1138" w:customStyle="1">
    <w:name w:val="Table Text"/>
    <w:basedOn w:val="817"/>
    <w:uiPriority w:val="0"/>
    <w:semiHidden/>
    <w:qFormat/>
    <w:rPr>
      <w:rFonts w:ascii="仿宋" w:hAnsi="仿宋" w:eastAsia="仿宋" w:cs="仿宋"/>
      <w:sz w:val="22"/>
      <w:szCs w:val="22"/>
      <w:lang w:val="en-US" w:eastAsia="en-US" w:bidi="ar-SA"/>
    </w:rPr>
  </w:style>
  <w:style w:type="table" w:styleId="1139"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numbering" w:styleId="11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刘关宝</cp:lastModifiedBy>
  <cp:revision>11</cp:revision>
  <dcterms:created xsi:type="dcterms:W3CDTF">2023-09-14T01:51:00Z</dcterms:created>
  <dcterms:modified xsi:type="dcterms:W3CDTF">2026-10-12T02:07:34Z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9F84812265AE44A0840FAD01C7C78878_13</vt:lpwstr>
  </property>
  <property fmtid="{D5CDD505-2E9C-101B-9397-08002B2CF9AE}" pid="4" name="KSOTemplateDocerSaveRecord">
    <vt:lpwstr>eyJoZGlkIjoiZTk2ZjNlOWQ0YzQzOTA1OWUyYWFlMTIwYzNjYjFkZjYiLCJ1c2VySWQiOiIxMTQ1Mjk0NDgzIn0=</vt:lpwstr>
  </property>
</Properties>
</file>