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B407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rPr>
      </w:pPr>
    </w:p>
    <w:p w14:paraId="68BF87B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lang w:eastAsia="zh-CN"/>
        </w:rPr>
      </w:pPr>
    </w:p>
    <w:p w14:paraId="5FC08C7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4F0A3FA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 </w:t>
      </w:r>
    </w:p>
    <w:p w14:paraId="4FF7887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1AEE3EF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highlight w:val="none"/>
          <w:lang w:eastAsia="zh-CN"/>
        </w:rPr>
        <w:t> </w:t>
      </w:r>
    </w:p>
    <w:p w14:paraId="7F18151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lang w:eastAsia="zh-CN"/>
        </w:rPr>
      </w:pPr>
      <w:r>
        <w:rPr>
          <w:rFonts w:hint="eastAsia" w:ascii="宋体" w:hAnsi="宋体" w:eastAsia="宋体" w:cs="宋体"/>
          <w:highlight w:val="none"/>
          <w:lang w:eastAsia="zh-CN"/>
        </w:rPr>
        <w:t> </w:t>
      </w:r>
    </w:p>
    <w:p w14:paraId="4E6CE20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highlight w:val="none"/>
          <w:lang w:eastAsia="zh-CN"/>
        </w:rPr>
      </w:pPr>
      <w:r>
        <w:rPr>
          <w:rFonts w:hint="eastAsia" w:ascii="宋体" w:hAnsi="宋体" w:eastAsia="宋体" w:cs="宋体"/>
          <w:sz w:val="32"/>
          <w:highlight w:val="none"/>
          <w:lang w:eastAsia="zh-CN"/>
        </w:rPr>
        <w:t> </w:t>
      </w:r>
    </w:p>
    <w:p w14:paraId="5A49006D">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项目编号：JSZC-320585-JZCG-G2026-0096</w:t>
      </w:r>
    </w:p>
    <w:p w14:paraId="77A8E01B">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项目名称：微信智能体客服系统项目</w:t>
      </w:r>
    </w:p>
    <w:p w14:paraId="2A3861C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采购单位：太仓市娄江新城医院（瑞金医院太仓分院）</w:t>
      </w:r>
    </w:p>
    <w:bookmarkEnd w:id="0"/>
    <w:p w14:paraId="6DDC32FE">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360CB0D3">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标的所属行业：（十二）软件和信息服务业</w:t>
      </w:r>
    </w:p>
    <w:p w14:paraId="6230D06F">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26639F01">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384E5F73">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2EEBB11D">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10</w:t>
      </w:r>
      <w:r>
        <w:rPr>
          <w:rFonts w:hint="eastAsia" w:ascii="宋体" w:hAnsi="宋体" w:eastAsia="宋体" w:cs="宋体"/>
          <w:sz w:val="44"/>
          <w:highlight w:val="none"/>
          <w:lang w:eastAsia="zh-CN"/>
        </w:rPr>
        <w:t>月</w:t>
      </w:r>
    </w:p>
    <w:p w14:paraId="4C0393C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7F6DE0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32DA30D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2EBEC48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3B7E3B6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098C15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36"/>
          <w:highlight w:val="none"/>
          <w:lang w:eastAsia="zh-CN"/>
        </w:rPr>
        <w:t>目 录</w:t>
      </w:r>
    </w:p>
    <w:p w14:paraId="673D711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highlight w:val="none"/>
          <w:lang w:eastAsia="zh-CN"/>
        </w:rPr>
      </w:pPr>
    </w:p>
    <w:p w14:paraId="0A2BE77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72D3D43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48A8E26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7DE2A19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2AEC238B">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7F200160">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467076BA">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highlight w:val="none"/>
          <w:lang w:eastAsia="zh-CN"/>
        </w:rPr>
      </w:pPr>
      <w:r>
        <w:rPr>
          <w:rFonts w:hint="eastAsia" w:ascii="宋体" w:hAnsi="宋体" w:eastAsia="宋体" w:cs="宋体"/>
          <w:sz w:val="24"/>
          <w:highlight w:val="none"/>
          <w:lang w:eastAsia="zh-CN"/>
        </w:rPr>
        <w:t> </w:t>
      </w:r>
    </w:p>
    <w:p w14:paraId="09B127CB">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50C78B3">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A93DBF3">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51F4ECD5">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72B28EA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6FBB922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58607A1">
      <w:pPr>
        <w:jc w:val="center"/>
        <w:rPr>
          <w:rFonts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41FFA08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3F97A6C7">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7C6A66E4">
            <w:pPr>
              <w:pStyle w:val="40"/>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微信智能体客服系统项目 JSZC-320585-JZCG-G2026-0096招标项目的潜在投标人应在“苏采云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”系统（网址：http://jszfcg.jsczt.cn/）自行下载获取招标文件，并于2026-11-12 09:30 （北京时间）前递交投标文件。</w:t>
            </w:r>
          </w:p>
        </w:tc>
      </w:tr>
    </w:tbl>
    <w:p w14:paraId="27A67E52">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58FAC7F0">
      <w:pPr>
        <w:pStyle w:val="40"/>
        <w:spacing w:after="0" w:line="480" w:lineRule="exact"/>
        <w:ind w:firstLine="480" w:firstLineChars="200"/>
        <w:rPr>
          <w:rFonts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项目编号：JSZC-320585-JZCG-G2026-0096</w:t>
      </w:r>
    </w:p>
    <w:bookmarkEnd w:id="1"/>
    <w:p w14:paraId="1719F691">
      <w:pPr>
        <w:pStyle w:val="40"/>
        <w:spacing w:after="0" w:line="56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项目名称：微信智能体客服系统项目</w:t>
      </w:r>
    </w:p>
    <w:p w14:paraId="3B7911E0">
      <w:pPr>
        <w:pStyle w:val="40"/>
        <w:spacing w:after="0" w:line="56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预算金额：29.8 万元</w:t>
      </w:r>
    </w:p>
    <w:p w14:paraId="17AC20F0">
      <w:pPr>
        <w:pStyle w:val="40"/>
        <w:spacing w:after="0" w:line="56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7628ECD2">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4A8D9FEB">
      <w:pPr>
        <w:pStyle w:val="40"/>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4E3F2CDB">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为微信智能体客服系统建设项目，主要建设内容包括客服实时可视化视觉系统SDK、ADP智能体服务、全双工可视化实时交互模块、智能体功能模块（预问诊、智能挂号、检验检查报告查询、报告初步解读、药品及医疗器械咨询、院内导航、投诉建议受理等）、中央路由调度系统（含双流意图识别、门控路由、任务调度、多轮会话编排、三层知识库与用户记忆工程），以及公众号/H5、院区服务入口、院内大屏终端统一智能客服入口和后端服务系统；系统采用院内前置化部署，全部院内数据不上云、不出院。具体内容详见第三部分项目需求。</w:t>
      </w:r>
    </w:p>
    <w:p w14:paraId="6B69E097">
      <w:pPr>
        <w:pStyle w:val="40"/>
        <w:spacing w:after="0" w:line="480" w:lineRule="exact"/>
        <w:ind w:firstLine="480" w:firstLineChars="200"/>
        <w:jc w:val="both"/>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合同履行期限：30天内完成项目建设，验收结束后，进入一年的免费维保期。</w:t>
      </w:r>
    </w:p>
    <w:p w14:paraId="0E5773D3">
      <w:pPr>
        <w:pStyle w:val="40"/>
        <w:shd w:val="clear" w:color="auto" w:fill="FFFFFF"/>
        <w:spacing w:after="0" w:line="50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7E555930">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4DC3928B">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4B4812DF">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7118A08">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30D83884">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3FDC2ECA">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060C6AA1">
      <w:pPr>
        <w:pStyle w:val="40"/>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D674245">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391DBABC">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27581AB3">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7BE2F012">
      <w:pPr>
        <w:pStyle w:val="40"/>
        <w:spacing w:after="0" w:line="480" w:lineRule="exact"/>
        <w:ind w:firstLine="482" w:firstLineChars="200"/>
        <w:rPr>
          <w:rFonts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p>
    <w:p w14:paraId="2FBE2DC5">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2FED213E">
      <w:pPr>
        <w:pStyle w:val="40"/>
        <w:spacing w:after="0" w:line="480" w:lineRule="exact"/>
        <w:ind w:firstLine="482" w:firstLineChars="200"/>
        <w:rPr>
          <w:rFonts w:hint="eastAsia"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1、</w:t>
      </w:r>
      <w:r>
        <w:rPr>
          <w:rFonts w:hint="eastAsia" w:ascii="宋体" w:hAnsi="宋体" w:eastAsia="宋体" w:cs="宋体"/>
          <w:b/>
          <w:bCs/>
          <w:sz w:val="24"/>
          <w:szCs w:val="24"/>
          <w:highlight w:val="none"/>
          <w:shd w:val="clear" w:color="auto" w:fill="FFFFFF"/>
        </w:rPr>
        <w:t>本项目为专门面向中小企业采购的服务类项目，整体预留给中小企业。拟投入本项目的项目经理 1 名、核心软件工程师 1 名（共 2 人）应当是具备《劳动合同》的或者供应商承诺中标后聘请签订《劳动合同》的服务人员参与本项目，请按要求提供证明材料，否则视为无效投标</w:t>
      </w:r>
      <w:bookmarkStart w:id="7" w:name="_GoBack"/>
      <w:bookmarkEnd w:id="7"/>
      <w:r>
        <w:rPr>
          <w:rFonts w:hint="eastAsia" w:ascii="宋体" w:hAnsi="宋体" w:eastAsia="宋体" w:cs="宋体"/>
          <w:b/>
          <w:bCs/>
          <w:sz w:val="24"/>
          <w:szCs w:val="24"/>
          <w:highlight w:val="none"/>
          <w:shd w:val="clear" w:color="auto" w:fill="FFFFFF"/>
        </w:rPr>
        <w:t>。</w:t>
      </w:r>
    </w:p>
    <w:p w14:paraId="0C9C8013">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val="en-US" w:eastAsia="zh-CN"/>
        </w:rPr>
        <w:t>2、</w:t>
      </w:r>
      <w:r>
        <w:rPr>
          <w:rFonts w:hint="eastAsia" w:ascii="宋体" w:hAnsi="宋体" w:eastAsia="宋体" w:cs="宋体"/>
          <w:sz w:val="24"/>
          <w:szCs w:val="24"/>
          <w:highlight w:val="none"/>
          <w:shd w:val="clear" w:color="auto" w:fill="FFFFFF"/>
          <w:lang w:eastAsia="zh-CN"/>
        </w:rPr>
        <w:t>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0D8F5CB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0F9AB03B">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540D9252">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2006A86">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47081D24">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6D45762">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40E46CFD">
      <w:pPr>
        <w:pStyle w:val="40"/>
        <w:spacing w:after="0"/>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4070EF4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2799B29D">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7B722C18">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4EB3D161">
      <w:pPr>
        <w:pStyle w:val="4"/>
        <w:keepNext w:val="0"/>
        <w:keepLines w:val="0"/>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1FA35011">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2026-11-12 09:30 （北京时间）</w:t>
      </w:r>
    </w:p>
    <w:p w14:paraId="2A8CB30C">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5C570153">
      <w:pPr>
        <w:pStyle w:val="4"/>
        <w:keepNext w:val="0"/>
        <w:keepLines w:val="0"/>
        <w:shd w:val="clear" w:color="auto" w:fill="FFFFFF"/>
        <w:spacing w:before="0" w:after="0" w:line="48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0B02337B">
      <w:pPr>
        <w:pStyle w:val="40"/>
        <w:shd w:val="clear" w:color="auto" w:fill="FFFFFF"/>
        <w:spacing w:after="0" w:line="48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7240D620">
      <w:pPr>
        <w:pStyle w:val="4"/>
        <w:keepNext w:val="0"/>
        <w:keepLines w:val="0"/>
        <w:spacing w:before="0" w:after="0" w:line="440" w:lineRule="exact"/>
        <w:ind w:firstLine="562" w:firstLineChars="200"/>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79BD2B9F">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604178ED">
      <w:pPr>
        <w:spacing w:after="0" w:line="500" w:lineRule="atLeas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322D520">
      <w:pPr>
        <w:spacing w:after="0" w:line="500" w:lineRule="atLeast"/>
        <w:ind w:firstLine="482" w:firstLineChars="200"/>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2ADE2433">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57A85386">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339CA5F8">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5010F1E7">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3F24EC84">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3F75DBBC">
      <w:pPr>
        <w:spacing w:after="0" w:line="50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0F854879">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086C181E">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7、有关电子投标制作技术疑问，请咨询苏采云软件公司客服：13913190747、0519-86722802</w:t>
      </w:r>
    </w:p>
    <w:p w14:paraId="2A1CC530">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8、政府采购监督电话：0512-53890318</w:t>
      </w:r>
    </w:p>
    <w:p w14:paraId="5D291F87">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6F858143">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28B4E5FA">
      <w:pPr>
        <w:pStyle w:val="40"/>
        <w:spacing w:after="0" w:line="500" w:lineRule="atLeas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4F1FA827">
      <w:pPr>
        <w:pStyle w:val="4"/>
        <w:keepNext w:val="0"/>
        <w:keepLines w:val="0"/>
        <w:spacing w:before="0" w:after="0" w:line="480" w:lineRule="exact"/>
        <w:rPr>
          <w:rFonts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5E39AC5A">
      <w:pPr>
        <w:pStyle w:val="40"/>
        <w:spacing w:after="0" w:line="480" w:lineRule="exact"/>
        <w:ind w:firstLine="480" w:firstLineChars="20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48E1B9DA">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名称：太仓市娄江新城医院（瑞金医院太仓分院）</w:t>
      </w:r>
    </w:p>
    <w:p w14:paraId="53400AFD">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地</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址：太仓市上海东路</w:t>
      </w:r>
      <w:r>
        <w:rPr>
          <w:rFonts w:ascii="宋体" w:hAnsi="宋体" w:eastAsia="宋体" w:cs="宋体"/>
          <w:color w:val="333333"/>
          <w:sz w:val="24"/>
          <w:szCs w:val="24"/>
          <w:highlight w:val="none"/>
          <w:shd w:val="clear" w:color="auto" w:fill="FFFFFF"/>
          <w:lang w:eastAsia="zh-CN"/>
        </w:rPr>
        <w:t>666</w:t>
      </w:r>
      <w:r>
        <w:rPr>
          <w:rFonts w:hint="eastAsia" w:ascii="宋体" w:hAnsi="宋体" w:eastAsia="宋体" w:cs="宋体"/>
          <w:color w:val="333333"/>
          <w:sz w:val="24"/>
          <w:szCs w:val="24"/>
          <w:highlight w:val="none"/>
          <w:shd w:val="clear" w:color="auto" w:fill="FFFFFF"/>
          <w:lang w:eastAsia="zh-CN"/>
        </w:rPr>
        <w:t>号</w:t>
      </w:r>
      <w:r>
        <w:rPr>
          <w:rFonts w:ascii="宋体" w:hAnsi="宋体" w:eastAsia="宋体" w:cs="宋体"/>
          <w:color w:val="333333"/>
          <w:sz w:val="24"/>
          <w:szCs w:val="24"/>
          <w:highlight w:val="none"/>
          <w:shd w:val="clear" w:color="auto" w:fill="FFFFFF"/>
          <w:lang w:eastAsia="zh-CN"/>
        </w:rPr>
        <w:t xml:space="preserve">  </w:t>
      </w:r>
    </w:p>
    <w:p w14:paraId="2F806469">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联系人：曹泽鑫</w:t>
      </w:r>
    </w:p>
    <w:p w14:paraId="3239B144">
      <w:pPr>
        <w:pStyle w:val="40"/>
        <w:spacing w:after="0" w:line="500" w:lineRule="exact"/>
        <w:ind w:firstLine="480"/>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联系电话</w:t>
      </w:r>
      <w:r>
        <w:rPr>
          <w:rFonts w:ascii="宋体" w:hAnsi="宋体" w:eastAsia="宋体" w:cs="宋体"/>
          <w:color w:val="333333"/>
          <w:sz w:val="24"/>
          <w:szCs w:val="24"/>
          <w:highlight w:val="none"/>
          <w:shd w:val="clear" w:color="auto" w:fill="FFFFFF"/>
          <w:lang w:eastAsia="zh-CN"/>
        </w:rPr>
        <w:t xml:space="preserve"> </w:t>
      </w:r>
      <w:r>
        <w:rPr>
          <w:rFonts w:hint="eastAsia" w:ascii="宋体" w:hAnsi="宋体" w:eastAsia="宋体" w:cs="宋体"/>
          <w:color w:val="333333"/>
          <w:sz w:val="24"/>
          <w:szCs w:val="24"/>
          <w:highlight w:val="none"/>
          <w:shd w:val="clear" w:color="auto" w:fill="FFFFFF"/>
          <w:lang w:eastAsia="zh-CN"/>
        </w:rPr>
        <w:t>：</w:t>
      </w:r>
      <w:r>
        <w:rPr>
          <w:rFonts w:ascii="宋体" w:hAnsi="宋体" w:eastAsia="宋体" w:cs="宋体"/>
          <w:color w:val="333333"/>
          <w:sz w:val="24"/>
          <w:szCs w:val="24"/>
          <w:highlight w:val="none"/>
          <w:shd w:val="clear" w:color="auto" w:fill="FFFFFF"/>
          <w:lang w:eastAsia="zh-CN"/>
        </w:rPr>
        <w:t>0512-56561770</w:t>
      </w:r>
      <w:r>
        <w:rPr>
          <w:rFonts w:hint="eastAsia" w:ascii="宋体" w:hAnsi="宋体" w:eastAsia="宋体" w:cs="宋体"/>
          <w:color w:val="333333"/>
          <w:sz w:val="24"/>
          <w:szCs w:val="24"/>
          <w:highlight w:val="none"/>
          <w:shd w:val="clear" w:color="auto" w:fill="FFFFFF"/>
          <w:lang w:eastAsia="zh-CN"/>
        </w:rPr>
        <w:t xml:space="preserve"> </w:t>
      </w:r>
    </w:p>
    <w:p w14:paraId="69D6B136">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7995E4B0">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34E463BF">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58030485">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54892AB5">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433B7C29">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17050279">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40437040">
      <w:pPr>
        <w:pStyle w:val="40"/>
        <w:spacing w:after="0" w:line="500" w:lineRule="exact"/>
        <w:ind w:firstLine="48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4D8DDEC3">
      <w:pPr>
        <w:pStyle w:val="40"/>
        <w:spacing w:after="0" w:line="480" w:lineRule="exact"/>
        <w:rPr>
          <w:rFonts w:ascii="宋体" w:hAnsi="宋体" w:eastAsia="宋体" w:cs="宋体"/>
          <w:sz w:val="24"/>
          <w:szCs w:val="24"/>
          <w:highlight w:val="none"/>
          <w:shd w:val="clear" w:color="auto" w:fill="FFFFFF"/>
          <w:lang w:eastAsia="zh-CN"/>
        </w:rPr>
      </w:pPr>
    </w:p>
    <w:p w14:paraId="6CE6423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1A32299">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24AA704">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4DDA311">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44AB4BE">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2AC17C8">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FA4564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05861A8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3A55D8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5180A1A">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4E85F98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692F40E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6A6FA1F1">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403D8D44">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48775F90">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4EF25C2B">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15454753">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74C3D3E">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54A86216">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8C48B9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32950E84">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2186AE5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15A7F20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69C041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38812B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567849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4D7C76B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230E3D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11E472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6A9FA4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3A9FCDF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1B7603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7C3A6E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782F4EC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039625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480D52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77FD1C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0194E6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297BE5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02AB78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17F6E7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5C16233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0C2763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EC9CE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75E55A4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774DA30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692F637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1C0D71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104042B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41F40E8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0403A7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270C84A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282985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246578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338ECBE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63A7371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0A516F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32CC7E4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31430E2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1989FDF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4A665F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2ADE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10965FF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53122C5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22995E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3169B9C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21DBF1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6962AA6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1DFBE3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01B0E5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56B9EB80">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14A29A0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14CD53F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9EEE9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25F88C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05A47B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4C83A8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26F1DAC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4E7165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4E5373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1D60A2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7ED890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32AAF2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21EE7C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265EC7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654C94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79B1BA6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43BC82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2BF684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55ED8F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31A6B3B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31D4707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01D338D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463418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2150AC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5D29814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5F2496C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2E7AC58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79E4B3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27EBFCE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2D268D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7C15E3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187B6F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2D59DD3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9E803E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7068E73A">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67FA5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36E456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41C1C8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5AB9B481">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390F3778">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7EDB032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52EECE8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67FA47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1D0610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39F485E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220B37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789C61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40A4C8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0E8F110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4C249C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259AFF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1DB7AB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17BE53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77FAE5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7BB3F9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5F4B7134">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4CD18C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7C84E6D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66B589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1E649D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2490E4E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1B9A6D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17BA28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385D04A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5404AEF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7DD7A0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5234F5E">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21CC0C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5E826AEB">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5C8C052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2B2674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7C9FB6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4766B5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25E7271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0E6A0E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585ACD0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0456A6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3FD18C9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4E73D97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45CA54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21586C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2B6E2EE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121F513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5734794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A944CA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4BDBD46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4A37B1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46556CF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47A7B2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6E8009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5589F86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46C98EB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5FAE8E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602B39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2BCF86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本项目开标后在规定的解密时间内，投标人须自行登录网上开标大厅解密投标文件，解密时间为15分钟，因自身原因导致解密失败的，由投标人自行承担相关责任。</w:t>
      </w:r>
    </w:p>
    <w:p w14:paraId="1FB3EE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374B05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633DB7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5FDD3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4C94307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149AA5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775D1E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7CC206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4AB240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0B9560B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1801EF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A58B8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6CE738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5392AB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02C35E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02FECEA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5A6597E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7095FC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482228F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32195E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24EB93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183EF9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4714E07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33A642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1DD99E5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EE0D4E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510582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10FCEF4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117C6A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2B04E5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20F9A5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46982E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742753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4C3539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7E2EC30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0A99219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0021DD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663B62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166960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080BA4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0F1D448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3015E5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2B376F3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589969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465B4F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0779C727">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7A7F2F94">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697C99FF">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71BF46A5">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1ED833F0">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0F7C6F23">
      <w:pPr>
        <w:pStyle w:val="201"/>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6844A5D9">
      <w:pPr>
        <w:pStyle w:val="201"/>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0FFAC20">
      <w:pPr>
        <w:pStyle w:val="201"/>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59EA0449">
      <w:pPr>
        <w:pStyle w:val="201"/>
        <w:spacing w:line="480" w:lineRule="exact"/>
        <w:ind w:firstLine="480" w:firstLineChars="200"/>
        <w:rPr>
          <w:rFonts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087761F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75EB10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1FFEDB7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2D415B4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317C01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459D740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73BF71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79F14F2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38E79D5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2D0A84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7FDF666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27EF881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64F86ED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0F02D0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6E6A3BC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3B9F2A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0EDB303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4D27D39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026054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586B2A6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6F7475A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279544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364061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7C51C2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057672C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29CB6A1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1216DC4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813B40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53B99F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5DE9E2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0F3C6C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01CE659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43866E8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72130FC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03EE44A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1F9952E3">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7466EE4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C894A0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54D2A8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25BFCBB6">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54C3F6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0EEFE2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4CBFFB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65EC7E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654AD3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156F41A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3016C1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620932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2FF7BC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52A453D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0E085F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311417D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021B48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5A233F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60C0ED52">
      <w:pPr>
        <w:pBdr>
          <w:top w:val="none" w:color="000000" w:sz="0" w:space="0"/>
          <w:left w:val="none" w:color="000000" w:sz="0" w:space="0"/>
          <w:bottom w:val="none" w:color="000000" w:sz="0" w:space="0"/>
          <w:right w:val="none" w:color="000000" w:sz="0" w:space="0"/>
        </w:pBdr>
        <w:spacing w:after="0" w:line="480" w:lineRule="exact"/>
        <w:rPr>
          <w:rFonts w:asciiTheme="minorEastAsia" w:hAnsiTheme="minorEastAsia" w:eastAsiaTheme="minorEastAsia"/>
          <w:highlight w:val="none"/>
          <w:lang w:eastAsia="zh-CN"/>
        </w:rPr>
      </w:pPr>
      <w:r>
        <w:rPr>
          <w:rFonts w:cs="宋体" w:asciiTheme="minorEastAsia" w:hAnsiTheme="minorEastAsia" w:eastAsiaTheme="minorEastAsia"/>
          <w:b/>
          <w:sz w:val="24"/>
          <w:highlight w:val="none"/>
          <w:lang w:eastAsia="zh-CN"/>
        </w:rPr>
        <w:t>36.中小企业相关政策：</w:t>
      </w:r>
    </w:p>
    <w:p w14:paraId="09D8B69D">
      <w:pPr>
        <w:pBdr>
          <w:top w:val="none" w:color="000000" w:sz="0" w:space="0"/>
          <w:left w:val="none" w:color="000000" w:sz="0" w:space="0"/>
          <w:bottom w:val="none" w:color="000000" w:sz="0" w:space="0"/>
          <w:right w:val="none" w:color="000000" w:sz="0" w:space="0"/>
        </w:pBdr>
        <w:spacing w:after="0" w:line="480" w:lineRule="exact"/>
        <w:ind w:firstLine="482"/>
        <w:rPr>
          <w:rFonts w:asciiTheme="minorEastAsia" w:hAnsiTheme="minorEastAsia" w:eastAsiaTheme="minorEastAsia"/>
          <w:bCs/>
          <w:highlight w:val="none"/>
          <w:lang w:eastAsia="zh-CN"/>
        </w:rPr>
      </w:pPr>
      <w:r>
        <w:rPr>
          <w:rFonts w:cs="宋体" w:asciiTheme="minorEastAsia" w:hAnsiTheme="minorEastAsia" w:eastAsiaTheme="minorEastAsia"/>
          <w:bCs/>
          <w:sz w:val="24"/>
          <w:highlight w:val="none"/>
          <w:lang w:eastAsia="zh-CN"/>
        </w:rPr>
        <w:t>36.1 执行以下相关政策：</w:t>
      </w:r>
    </w:p>
    <w:p w14:paraId="0CFEF933">
      <w:pPr>
        <w:spacing w:after="0" w:line="480" w:lineRule="exact"/>
        <w:ind w:firstLine="482"/>
        <w:rPr>
          <w:rFonts w:cs="仿宋" w:asciiTheme="minorEastAsia" w:hAnsiTheme="minorEastAsia" w:eastAsiaTheme="minorEastAsia"/>
          <w:bCs/>
          <w:sz w:val="24"/>
          <w:szCs w:val="24"/>
          <w:highlight w:val="none"/>
          <w:shd w:val="clear" w:color="auto" w:fill="FFFFFF"/>
          <w:lang w:eastAsia="zh-CN"/>
        </w:rPr>
      </w:pPr>
      <w:r>
        <w:rPr>
          <w:rFonts w:hint="eastAsia" w:cs="仿宋" w:asciiTheme="minorEastAsia" w:hAnsiTheme="minorEastAsia" w:eastAsiaTheme="minorEastAsia"/>
          <w:bCs/>
          <w:sz w:val="24"/>
          <w:szCs w:val="24"/>
          <w:highlight w:val="none"/>
          <w:shd w:val="clear" w:color="auto" w:fill="FFFFFF"/>
          <w:lang w:eastAsia="zh-CN"/>
        </w:rPr>
        <w:t>3</w:t>
      </w:r>
      <w:r>
        <w:rPr>
          <w:rFonts w:cs="仿宋" w:asciiTheme="minorEastAsia" w:hAnsiTheme="minorEastAsia" w:eastAsiaTheme="minorEastAsia"/>
          <w:bCs/>
          <w:sz w:val="24"/>
          <w:szCs w:val="24"/>
          <w:highlight w:val="none"/>
          <w:shd w:val="clear" w:color="auto" w:fill="FFFFFF"/>
          <w:lang w:eastAsia="zh-CN"/>
        </w:rPr>
        <w:t>6.1.1、</w:t>
      </w:r>
      <w:r>
        <w:rPr>
          <w:rFonts w:hint="eastAsia" w:cs="仿宋" w:asciiTheme="minorEastAsia" w:hAnsiTheme="minorEastAsia" w:eastAsiaTheme="minorEastAsia"/>
          <w:bCs/>
          <w:sz w:val="24"/>
          <w:szCs w:val="24"/>
          <w:highlight w:val="none"/>
          <w:shd w:val="clear" w:color="auto" w:fill="FFFFFF"/>
          <w:lang w:eastAsia="zh-CN"/>
        </w:rPr>
        <w:t>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highlight w:val="none"/>
          <w:shd w:val="clear" w:color="auto" w:fill="FFFFFF"/>
          <w:lang w:eastAsia="zh-CN"/>
        </w:rPr>
        <w:t>2022</w:t>
      </w:r>
      <w:r>
        <w:rPr>
          <w:rFonts w:hint="eastAsia" w:cs="仿宋" w:asciiTheme="minorEastAsia" w:hAnsiTheme="minorEastAsia" w:eastAsiaTheme="minorEastAsia"/>
          <w:bCs/>
          <w:sz w:val="24"/>
          <w:szCs w:val="24"/>
          <w:highlight w:val="none"/>
          <w:shd w:val="clear" w:color="auto" w:fill="FFFFFF"/>
          <w:lang w:eastAsia="zh-CN"/>
        </w:rPr>
        <w:t>〕</w:t>
      </w:r>
      <w:r>
        <w:rPr>
          <w:rFonts w:cs="仿宋" w:asciiTheme="minorEastAsia" w:hAnsiTheme="minorEastAsia" w:eastAsiaTheme="minorEastAsia"/>
          <w:bCs/>
          <w:sz w:val="24"/>
          <w:szCs w:val="24"/>
          <w:highlight w:val="none"/>
          <w:shd w:val="clear" w:color="auto" w:fill="FFFFFF"/>
          <w:lang w:eastAsia="zh-CN"/>
        </w:rPr>
        <w:t>16号</w:t>
      </w:r>
      <w:r>
        <w:rPr>
          <w:rFonts w:hint="eastAsia" w:cs="仿宋" w:asciiTheme="minorEastAsia" w:hAnsiTheme="minorEastAsia" w:eastAsiaTheme="minorEastAsia"/>
          <w:bCs/>
          <w:sz w:val="24"/>
          <w:szCs w:val="24"/>
          <w:highlight w:val="none"/>
          <w:shd w:val="clear" w:color="auto" w:fill="FFFFFF"/>
          <w:lang w:eastAsia="zh-CN"/>
        </w:rPr>
        <w:t>）文件规定：</w:t>
      </w:r>
    </w:p>
    <w:p w14:paraId="600B36B9">
      <w:pPr>
        <w:spacing w:after="0" w:line="480" w:lineRule="exact"/>
        <w:ind w:firstLine="482"/>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中小企业参加投标的，必须提供《中小企业声明函》或《残疾人福利性单位声明函》或由省级以上监狱管理局、戒毒管理局（含新疆生产建设兵团）出具的属于监狱企业的证明文件。</w:t>
      </w:r>
    </w:p>
    <w:p w14:paraId="600BFCCC">
      <w:pPr>
        <w:spacing w:after="0" w:line="480" w:lineRule="exact"/>
        <w:ind w:firstLine="482"/>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小微企业不得将合同分包给大中型企业，中型企业不得将合同分包给大型企业。</w:t>
      </w:r>
    </w:p>
    <w:p w14:paraId="0DAFB4BF">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36.1.2、中小企业划分：</w:t>
      </w:r>
    </w:p>
    <w:p w14:paraId="73309BBD">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（1）符合中小企业划分标准的个体工商户，在政府采购活动中视同中小企业。</w:t>
      </w:r>
    </w:p>
    <w:p w14:paraId="73BC6CF2">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（2）中小企业划分标准详见“工信部联企业〔2011〕300号通知”</w:t>
      </w:r>
    </w:p>
    <w:p w14:paraId="11883AC2">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36.1.3残疾人福利性单位政策：</w:t>
      </w:r>
    </w:p>
    <w:p w14:paraId="0726DFC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3216DCB">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36.1.4监狱企业发展政策：</w:t>
      </w:r>
    </w:p>
    <w:p w14:paraId="74022F6A">
      <w:pPr>
        <w:pBdr>
          <w:top w:val="none" w:color="000000" w:sz="0" w:space="0"/>
          <w:left w:val="none" w:color="000000" w:sz="0" w:space="0"/>
          <w:bottom w:val="none" w:color="000000" w:sz="0" w:space="0"/>
          <w:right w:val="none" w:color="000000" w:sz="0" w:space="0"/>
        </w:pBdr>
        <w:spacing w:after="0" w:line="480" w:lineRule="exact"/>
        <w:ind w:firstLine="480"/>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24E5C600">
      <w:pPr>
        <w:spacing w:after="0" w:line="480" w:lineRule="exact"/>
        <w:ind w:firstLine="482"/>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36.1.5、中标、成交供应商享受规定的中小企业扶持政策的，其声明函及相关证明材料应当随中标、成交结果同时公告，接受社会监督。</w:t>
      </w:r>
    </w:p>
    <w:p w14:paraId="2282435E">
      <w:pPr>
        <w:pBdr>
          <w:top w:val="none" w:color="000000" w:sz="0" w:space="0"/>
          <w:left w:val="none" w:color="000000" w:sz="0" w:space="0"/>
          <w:bottom w:val="none" w:color="000000" w:sz="0" w:space="0"/>
          <w:right w:val="none" w:color="000000" w:sz="0" w:space="0"/>
        </w:pBdr>
        <w:spacing w:after="0" w:line="480" w:lineRule="exact"/>
        <w:rPr>
          <w:rFonts w:cs="宋体" w:asciiTheme="minorEastAsia" w:hAnsiTheme="minorEastAsia" w:eastAsiaTheme="minorEastAsia"/>
          <w:b/>
          <w:sz w:val="24"/>
          <w:highlight w:val="none"/>
          <w:lang w:eastAsia="zh-CN"/>
        </w:rPr>
      </w:pPr>
      <w:r>
        <w:rPr>
          <w:rFonts w:cs="宋体" w:asciiTheme="minorEastAsia" w:hAnsiTheme="minorEastAsia" w:eastAsiaTheme="minorEastAsia"/>
          <w:b/>
          <w:sz w:val="24"/>
          <w:highlight w:val="none"/>
          <w:lang w:eastAsia="zh-CN"/>
        </w:rPr>
        <w:t>37.绿色数据中心政策</w:t>
      </w:r>
    </w:p>
    <w:p w14:paraId="6C4D15A8">
      <w:pPr>
        <w:pBdr>
          <w:top w:val="none" w:color="000000" w:sz="0" w:space="0"/>
          <w:left w:val="none" w:color="000000" w:sz="0" w:space="0"/>
          <w:bottom w:val="none" w:color="000000" w:sz="0" w:space="0"/>
          <w:right w:val="none" w:color="000000" w:sz="0" w:space="0"/>
        </w:pBdr>
        <w:spacing w:after="0" w:line="440" w:lineRule="exact"/>
        <w:ind w:firstLine="480" w:firstLineChars="200"/>
        <w:rPr>
          <w:rFonts w:cs="宋体" w:asciiTheme="minorEastAsia" w:hAnsiTheme="minorEastAsia" w:eastAsiaTheme="minorEastAsia"/>
          <w:b/>
          <w:sz w:val="24"/>
          <w:highlight w:val="none"/>
          <w:lang w:eastAsia="zh-CN"/>
        </w:rPr>
      </w:pPr>
      <w:r>
        <w:rPr>
          <w:rFonts w:asciiTheme="minorEastAsia" w:hAnsiTheme="minorEastAsia" w:eastAsiaTheme="minorEastAsia"/>
          <w:sz w:val="24"/>
          <w:highlight w:val="none"/>
          <w:lang w:eastAsia="zh-CN"/>
        </w:rPr>
        <w:t xml:space="preserve">37.1 </w:t>
      </w:r>
      <w:r>
        <w:rPr>
          <w:rFonts w:hint="eastAsia" w:asciiTheme="minorEastAsia" w:hAnsiTheme="minorEastAsia" w:eastAsiaTheme="minorEastAsia"/>
          <w:sz w:val="24"/>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804C8F">
      <w:pPr>
        <w:pBdr>
          <w:top w:val="none" w:color="000000" w:sz="0" w:space="0"/>
          <w:left w:val="none" w:color="000000" w:sz="0" w:space="0"/>
          <w:bottom w:val="none" w:color="000000" w:sz="0" w:space="0"/>
          <w:right w:val="none" w:color="000000" w:sz="0" w:space="0"/>
        </w:pBdr>
        <w:spacing w:after="0" w:line="440" w:lineRule="exact"/>
        <w:rPr>
          <w:rFonts w:cs="宋体" w:asciiTheme="minorEastAsia" w:hAnsiTheme="minorEastAsia" w:eastAsiaTheme="minorEastAsia"/>
          <w:b/>
          <w:sz w:val="24"/>
          <w:highlight w:val="none"/>
          <w:lang w:eastAsia="zh-CN"/>
        </w:rPr>
      </w:pPr>
      <w:r>
        <w:rPr>
          <w:rFonts w:cs="宋体" w:asciiTheme="minorEastAsia" w:hAnsiTheme="minorEastAsia" w:eastAsiaTheme="minorEastAsia"/>
          <w:b/>
          <w:sz w:val="24"/>
          <w:highlight w:val="none"/>
          <w:lang w:eastAsia="zh-CN"/>
        </w:rPr>
        <w:t>38.商品包装、快递包装政策</w:t>
      </w:r>
    </w:p>
    <w:p w14:paraId="4B90FC2C">
      <w:pPr>
        <w:pBdr>
          <w:top w:val="none" w:color="000000" w:sz="0" w:space="0"/>
          <w:left w:val="none" w:color="000000" w:sz="0" w:space="0"/>
          <w:bottom w:val="none" w:color="000000" w:sz="0" w:space="0"/>
          <w:right w:val="none" w:color="000000" w:sz="0" w:space="0"/>
        </w:pBdr>
        <w:spacing w:after="0" w:line="440" w:lineRule="exact"/>
        <w:ind w:firstLine="480"/>
        <w:rPr>
          <w:rFonts w:cs="宋体" w:asciiTheme="minorEastAsia" w:hAnsiTheme="minorEastAsia" w:eastAsiaTheme="minorEastAsia"/>
          <w:b/>
          <w:sz w:val="24"/>
          <w:highlight w:val="none"/>
          <w:lang w:eastAsia="zh-CN"/>
        </w:rPr>
      </w:pPr>
      <w:r>
        <w:rPr>
          <w:rFonts w:asciiTheme="minorEastAsia" w:hAnsiTheme="minorEastAsia" w:eastAsiaTheme="minorEastAsia"/>
          <w:sz w:val="24"/>
          <w:highlight w:val="none"/>
          <w:lang w:eastAsia="zh-CN"/>
        </w:rPr>
        <w:t xml:space="preserve">38.1 </w:t>
      </w:r>
      <w:r>
        <w:rPr>
          <w:rFonts w:hint="eastAsia" w:asciiTheme="minorEastAsia" w:hAnsiTheme="minorEastAsia" w:eastAsiaTheme="minorEastAsia"/>
          <w:sz w:val="24"/>
          <w:highlight w:val="none"/>
          <w:lang w:eastAsia="zh-CN"/>
        </w:rPr>
        <w:t>依据</w:t>
      </w:r>
      <w:r>
        <w:rPr>
          <w:rFonts w:asciiTheme="minorEastAsia" w:hAnsiTheme="minorEastAsia" w:eastAsiaTheme="minorEastAsia"/>
          <w:sz w:val="24"/>
          <w:highlight w:val="none"/>
          <w:lang w:eastAsia="zh-CN"/>
        </w:rPr>
        <w:t>《关于印发〈商品包装政府采购需求标准（试行）〉、〈快递包装政府采购需求标准（试行）〉的通知》（财办库〔2020〕123号）</w:t>
      </w:r>
      <w:r>
        <w:rPr>
          <w:rFonts w:hint="eastAsia" w:asciiTheme="minorEastAsia" w:hAnsiTheme="minorEastAsia" w:eastAsiaTheme="minorEastAsia"/>
          <w:sz w:val="24"/>
          <w:highlight w:val="none"/>
          <w:lang w:eastAsia="zh-CN"/>
        </w:rPr>
        <w:t>文件</w:t>
      </w:r>
      <w:r>
        <w:rPr>
          <w:rFonts w:asciiTheme="minorEastAsia" w:hAnsiTheme="minorEastAsia" w:eastAsiaTheme="minorEastAsia"/>
          <w:sz w:val="24"/>
          <w:highlight w:val="none"/>
          <w:lang w:eastAsia="zh-CN"/>
        </w:rPr>
        <w:t>精神</w:t>
      </w:r>
      <w:r>
        <w:rPr>
          <w:rFonts w:hint="eastAsia" w:asciiTheme="minorEastAsia" w:hAnsiTheme="minorEastAsia" w:eastAsiaTheme="minorEastAsia"/>
          <w:sz w:val="24"/>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64F6E07">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39.采购本国产品的支持政策</w:t>
      </w:r>
    </w:p>
    <w:p w14:paraId="5132440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160998">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6B15F0">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b/>
          <w:bCs/>
          <w:sz w:val="24"/>
          <w:highlight w:val="none"/>
          <w:lang w:eastAsia="zh-CN"/>
        </w:rPr>
      </w:pPr>
      <w:r>
        <w:rPr>
          <w:rFonts w:hint="eastAsia" w:asciiTheme="minorEastAsia" w:hAnsiTheme="minorEastAsia" w:eastAsiaTheme="minorEastAsia"/>
          <w:sz w:val="24"/>
          <w:highlight w:val="none"/>
          <w:lang w:eastAsia="zh-CN"/>
        </w:rPr>
        <w:t>39.3 本项目政府采购活动中既有本国产品又有非本国产品参与竞争的，依法对本国产品给予价格评审优惠，</w:t>
      </w:r>
      <w:r>
        <w:rPr>
          <w:rFonts w:hint="eastAsia" w:asciiTheme="minorEastAsia" w:hAnsiTheme="minorEastAsia" w:eastAsiaTheme="minorEastAsia"/>
          <w:b/>
          <w:bCs/>
          <w:sz w:val="24"/>
          <w:highlight w:val="none"/>
          <w:lang w:eastAsia="zh-CN"/>
        </w:rPr>
        <w:t>对本国产品的报价给予20%的价格扣除，用扣除后的价格参与评审。</w:t>
      </w:r>
    </w:p>
    <w:p w14:paraId="49213D3C">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0D6FB69D">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39.5 供应商需按照招标文件的要求提供《关于符合本国产品标准的声明函》（以下简称《声明函》），</w:t>
      </w:r>
      <w:r>
        <w:rPr>
          <w:rFonts w:hint="eastAsia" w:asciiTheme="minorEastAsia" w:hAnsiTheme="minorEastAsia" w:eastAsiaTheme="minorEastAsia"/>
          <w:b/>
          <w:bCs/>
          <w:sz w:val="24"/>
          <w:highlight w:val="none"/>
          <w:lang w:eastAsia="zh-CN"/>
        </w:rPr>
        <w:t>如不提供将不享受本国产品价格评审优惠。</w:t>
      </w:r>
    </w:p>
    <w:p w14:paraId="7FCE694A">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39.6 供应商需在《声明函》中逐一、准确填写产品名称、厂名、生产厂址三项信息（《声明函》中标注“ / ”的地方无需填写），三项信息中任意一项未填写的视为该项产品不符合本国产品标准，不享受本国产品价格评审优惠。</w:t>
      </w:r>
    </w:p>
    <w:p w14:paraId="0A67AE3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D62B00E">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九、其他事项</w:t>
      </w:r>
    </w:p>
    <w:p w14:paraId="17495EE7">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40. 监督和公证</w:t>
      </w:r>
    </w:p>
    <w:p w14:paraId="69CF150F">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40.1政府有关监督部门将对招投标全过程进行监督。</w:t>
      </w:r>
    </w:p>
    <w:p w14:paraId="5225A98E">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40.2采购代理机构的招标过程将依采购人申请，通过公证机关进行公证。</w:t>
      </w:r>
    </w:p>
    <w:p w14:paraId="178B4DF6">
      <w:pPr>
        <w:pBdr>
          <w:top w:val="none" w:color="000000" w:sz="0" w:space="0"/>
          <w:left w:val="none" w:color="000000" w:sz="0" w:space="0"/>
          <w:bottom w:val="none" w:color="000000" w:sz="0" w:space="0"/>
          <w:right w:val="none" w:color="000000" w:sz="0" w:space="0"/>
        </w:pBdr>
        <w:spacing w:after="0" w:line="440" w:lineRule="exact"/>
        <w:rPr>
          <w:rFonts w:asciiTheme="minorEastAsia" w:hAnsiTheme="minorEastAsia" w:eastAsiaTheme="minorEastAsia"/>
          <w:b/>
          <w:bCs/>
          <w:sz w:val="24"/>
          <w:highlight w:val="none"/>
          <w:lang w:eastAsia="zh-CN"/>
        </w:rPr>
      </w:pPr>
      <w:r>
        <w:rPr>
          <w:rFonts w:hint="eastAsia" w:asciiTheme="minorEastAsia" w:hAnsiTheme="minorEastAsia" w:eastAsiaTheme="minorEastAsia"/>
          <w:b/>
          <w:bCs/>
          <w:sz w:val="24"/>
          <w:highlight w:val="none"/>
          <w:lang w:eastAsia="zh-CN"/>
        </w:rPr>
        <w:t>41.未尽事宜</w:t>
      </w:r>
    </w:p>
    <w:p w14:paraId="6CC9970B">
      <w:pPr>
        <w:pBdr>
          <w:top w:val="none" w:color="000000" w:sz="0" w:space="0"/>
          <w:left w:val="none" w:color="000000" w:sz="0" w:space="0"/>
          <w:bottom w:val="none" w:color="000000" w:sz="0" w:space="0"/>
          <w:right w:val="none" w:color="000000" w:sz="0" w:space="0"/>
        </w:pBdr>
        <w:spacing w:after="0" w:line="440" w:lineRule="exact"/>
        <w:ind w:firstLine="480" w:firstLineChars="20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按《中华人民共和国政府采购法》及其他有关法律法规的规定执行。</w:t>
      </w:r>
    </w:p>
    <w:p w14:paraId="0EFAD93A">
      <w:pPr>
        <w:spacing w:after="0" w:line="440" w:lineRule="exact"/>
        <w:ind w:firstLine="480" w:firstLineChars="200"/>
        <w:rPr>
          <w:rFonts w:ascii="宋体" w:hAnsi="宋体" w:cs="宋体"/>
          <w:b/>
          <w:sz w:val="24"/>
          <w:highlight w:val="none"/>
          <w:lang w:eastAsia="zh-CN"/>
        </w:rPr>
      </w:pPr>
    </w:p>
    <w:p w14:paraId="077A421A">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7BC76AC1">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highlight w:val="none"/>
          <w:lang w:eastAsia="zh-CN"/>
        </w:rPr>
      </w:pPr>
    </w:p>
    <w:p w14:paraId="2139BB49">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highlight w:val="none"/>
          <w:lang w:eastAsia="zh-CN"/>
        </w:rPr>
      </w:pPr>
      <w:bookmarkStart w:id="2" w:name="OLE_LINK4"/>
      <w:r>
        <w:rPr>
          <w:rFonts w:hint="eastAsia" w:ascii="宋体" w:hAnsi="宋体" w:eastAsia="宋体" w:cs="宋体"/>
          <w:b/>
          <w:color w:val="000000"/>
          <w:sz w:val="44"/>
          <w:highlight w:val="none"/>
          <w:lang w:eastAsia="zh-CN"/>
        </w:rPr>
        <w:t>第三部分   项目需求</w:t>
      </w:r>
      <w:bookmarkEnd w:id="2"/>
      <w:bookmarkStart w:id="3" w:name="_Toc19021"/>
    </w:p>
    <w:bookmarkEnd w:id="3"/>
    <w:p w14:paraId="45962DE8">
      <w:pPr>
        <w:pStyle w:val="4"/>
        <w:keepNext w:val="0"/>
        <w:keepLines w:val="0"/>
        <w:pageBreakBefore w:val="0"/>
        <w:widowControl/>
        <w:kinsoku/>
        <w:wordWrap/>
        <w:overflowPunct/>
        <w:topLinePunct w:val="0"/>
        <w:autoSpaceDE/>
        <w:autoSpaceDN/>
        <w:bidi w:val="0"/>
        <w:adjustRightInd/>
        <w:snapToGrid w:val="0"/>
        <w:spacing w:before="0" w:after="0" w:line="500" w:lineRule="exact"/>
        <w:ind w:firstLine="562" w:firstLineChars="200"/>
        <w:jc w:val="both"/>
        <w:textAlignment w:val="auto"/>
        <w:rPr>
          <w:rStyle w:val="48"/>
          <w:rFonts w:hint="eastAsia" w:ascii="宋体" w:hAnsi="宋体" w:eastAsia="宋体" w:cs="宋体"/>
          <w:sz w:val="28"/>
          <w:szCs w:val="28"/>
          <w:highlight w:val="none"/>
          <w:shd w:val="clear" w:color="auto" w:fill="FFFFFF"/>
          <w:lang w:eastAsia="zh-CN"/>
        </w:rPr>
      </w:pPr>
      <w:r>
        <w:rPr>
          <w:rStyle w:val="48"/>
          <w:rFonts w:hint="eastAsia" w:ascii="宋体" w:hAnsi="宋体" w:eastAsia="宋体" w:cs="宋体"/>
          <w:sz w:val="28"/>
          <w:szCs w:val="28"/>
          <w:highlight w:val="none"/>
          <w:shd w:val="clear" w:color="auto" w:fill="FFFFFF"/>
          <w:lang w:eastAsia="zh-CN"/>
        </w:rPr>
        <w:t>一、项目背景</w:t>
      </w:r>
    </w:p>
    <w:p w14:paraId="4F1D902A">
      <w:pPr>
        <w:pStyle w:val="201"/>
        <w:spacing w:line="480" w:lineRule="exact"/>
        <w:ind w:firstLine="482"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（一）建设背景</w:t>
      </w:r>
    </w:p>
    <w:p w14:paraId="40270E9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太仓市娄江新城医院（瑞金医院太仓分院）公众号/H5 已承载挂号、报告、缴费、导航、咨询等多类服务，但入口较为分散、流程相对专业，患者及家属尤其是老年用户往往难以快速判断办理路径。为进一步提升智慧医院服务体验，拟建设统一交互形象的智能体客服系统，将医院高频咨询、投诉建议和交互式服务统一到同一对话入口。</w:t>
      </w:r>
    </w:p>
    <w:p w14:paraId="18FBD736">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围绕公众号/H5和院区门诊服务入口，建设智能体客服系统。系统以自然语言对话为主要交互方式，基于意图识别、多轮对话、知识库检索、记忆工程、业务工具调用和客服全双工视频实时交互能力，自动判断用户需求并无感切换至客服咨询问答或智能体服务流程。</w:t>
      </w:r>
    </w:p>
    <w:p w14:paraId="714A661A">
      <w:pPr>
        <w:pStyle w:val="201"/>
        <w:spacing w:line="480" w:lineRule="exact"/>
        <w:ind w:firstLine="482"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（二）建设目标</w:t>
      </w:r>
    </w:p>
    <w:p w14:paraId="066D6334">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本次建设目标为：</w:t>
      </w:r>
    </w:p>
    <w:p w14:paraId="219797A9">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1、建设公众号/H5和院区门诊大屏场景下的智能体客服统一入口，降低患者和家属的服务使用门槛，实现用户一个入口、办完高频需求、提升用户就诊体验。</w:t>
      </w:r>
    </w:p>
    <w:p w14:paraId="6159DF7F">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2、形成客服咨询问答与投诉建议受理能力，减少门诊时间、挂号规则、科室位置、就诊准备、药品器械使用等重复咨询压力。</w:t>
      </w:r>
    </w:p>
    <w:p w14:paraId="630D184F">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3、通过 ADP 智能体服务平台来建设预问诊、智能挂号、报告查询、报告初步解读、药品知识咨询、医疗器械使用咨询和院内导航等智能体服务流程。</w:t>
      </w:r>
    </w:p>
    <w:p w14:paraId="4893006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4、智能客服完成意图识别、流程编排、工具调用和结果返回，并通过智能体客服形象进行实时交互和下一步引导。</w:t>
      </w:r>
    </w:p>
    <w:p w14:paraId="241F2EFB">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5、采用院内部署/私有化部署方式，保障医院服务数据、用户隐私数据和系统配置在院内环境中安全运行。</w:t>
      </w:r>
    </w:p>
    <w:p w14:paraId="2195656F">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6、沉淀医院服务知识库、药品器械知识和院内导航知识，支撑后续服务场景持续扩展。</w:t>
      </w:r>
    </w:p>
    <w:p w14:paraId="04A4D4B8">
      <w:pPr>
        <w:pStyle w:val="201"/>
        <w:spacing w:line="480" w:lineRule="exact"/>
        <w:ind w:firstLine="482"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（三）现有痛点与建设必要性</w:t>
      </w:r>
    </w:p>
    <w:p w14:paraId="52DD553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1、服务入口分散，用户难以判断办理路径</w:t>
      </w:r>
    </w:p>
    <w:p w14:paraId="0F7A431C">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医院公众号/H5 中服务入口较多，用户需要自行理解业务分类并选择菜单。对于初诊患者、陪诊家属和老年用户，传统菜单式入口容易造成查找困难、重复跳转和办理中断。</w:t>
      </w:r>
    </w:p>
    <w:p w14:paraId="4E2398B0">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2、高频问题重复咨询，人工服务压力较大</w:t>
      </w:r>
    </w:p>
    <w:p w14:paraId="3B2C325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门诊时间、挂号规则、取号流程、科室位置、报告查询、药品用法和器械使用等问题具有高频重复特点，依赖人工答复会占用服务人员大量时间，也影响患者获取信息的及时性。</w:t>
      </w:r>
    </w:p>
    <w:p w14:paraId="1BAD828A">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3、咨询、引导和业务办理缺少统一承接</w:t>
      </w:r>
    </w:p>
    <w:p w14:paraId="6CA1D9A1">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现有服务中，普通咨询、投诉建议、预问诊、挂号、报告、药品器械咨询和院内导航往往分布在不同入口。用户需要多次切换页面或重新描述需求，缺少一个能够连续理解、连续引导、连续办理的服务入口。</w:t>
      </w:r>
    </w:p>
    <w:p w14:paraId="0309BECD">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4、智能服务能力需要与医院业务系统安全衔接</w:t>
      </w:r>
    </w:p>
    <w:p w14:paraId="5A7C643E">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智能客服不仅需要依赖知识库回答问题，还需要在挂号、报告查询等场景中调用医院业务工具。项目建设有必要明确私有化部署、安全对接、权限控制、日志留存和数据合规要求，保障系统上线后的稳定运行。</w:t>
      </w:r>
    </w:p>
    <w:p w14:paraId="2CB8B2F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5、智能服务须满足国家合规监管与医疗数据安全要求</w:t>
      </w:r>
    </w:p>
    <w:p w14:paraId="06E4B42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面向公众提供生成式人工智能、深度合成类交互服务须履行算法备案、安全评估等合规义务；医院业务数据涉及患者隐私，须院内闭环运行、不得出院上云。项目建设须将合规与安全作为刚性约束，明确前置部署、驻场开发与数据不出院要求，确保系统长期合规稳定运行。</w:t>
      </w:r>
    </w:p>
    <w:p w14:paraId="33BC0521">
      <w:pPr>
        <w:pStyle w:val="201"/>
        <w:spacing w:line="500" w:lineRule="exact"/>
        <w:ind w:firstLine="482" w:firstLineChars="200"/>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二、项目需求</w:t>
      </w:r>
    </w:p>
    <w:p w14:paraId="32274A7B">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（一）建设清单</w:t>
      </w:r>
    </w:p>
    <w:tbl>
      <w:tblPr>
        <w:tblStyle w:val="45"/>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1163"/>
        <w:gridCol w:w="1167"/>
        <w:gridCol w:w="1189"/>
        <w:gridCol w:w="825"/>
        <w:gridCol w:w="4921"/>
      </w:tblGrid>
      <w:tr w14:paraId="4B1D7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1164" w:type="dxa"/>
            <w:shd w:val="clear" w:color="auto" w:fill="auto"/>
            <w:tcMar>
              <w:top w:w="120" w:type="dxa"/>
              <w:left w:w="120" w:type="dxa"/>
              <w:bottom w:w="120" w:type="dxa"/>
              <w:right w:w="120" w:type="dxa"/>
            </w:tcMar>
            <w:vAlign w:val="center"/>
          </w:tcPr>
          <w:p w14:paraId="1D773D01">
            <w:pPr>
              <w:spacing w:before="0" w:after="0" w:line="276" w:lineRule="auto"/>
              <w:jc w:val="center"/>
              <w:rPr>
                <w:rFonts w:ascii="Times New Roman" w:hAnsi="Times New Roman" w:eastAsia="宋体" w:cs="Times New Roman"/>
                <w:b/>
                <w:color w:val="000000"/>
                <w:sz w:val="18"/>
              </w:rPr>
            </w:pPr>
            <w:r>
              <w:rPr>
                <w:rFonts w:ascii="Times New Roman" w:hAnsi="Times New Roman" w:eastAsia="宋体" w:cs="Times New Roman"/>
                <w:b/>
                <w:color w:val="000000"/>
                <w:sz w:val="18"/>
                <w:lang w:val="en-US" w:eastAsia="zh-CN"/>
              </w:rPr>
              <w:t>大类</w:t>
            </w:r>
          </w:p>
        </w:tc>
        <w:tc>
          <w:tcPr>
            <w:tcW w:w="1168" w:type="dxa"/>
            <w:shd w:val="clear" w:color="auto" w:fill="auto"/>
            <w:tcMar>
              <w:top w:w="120" w:type="dxa"/>
              <w:left w:w="120" w:type="dxa"/>
              <w:bottom w:w="120" w:type="dxa"/>
              <w:right w:w="120" w:type="dxa"/>
            </w:tcMar>
            <w:vAlign w:val="center"/>
          </w:tcPr>
          <w:p w14:paraId="405E7AAA">
            <w:pPr>
              <w:spacing w:before="0" w:after="0" w:line="276" w:lineRule="auto"/>
              <w:jc w:val="center"/>
              <w:rPr>
                <w:rFonts w:ascii="Times New Roman" w:hAnsi="Times New Roman" w:eastAsia="宋体" w:cs="Times New Roman"/>
                <w:b/>
                <w:color w:val="000000"/>
                <w:sz w:val="18"/>
              </w:rPr>
            </w:pPr>
            <w:r>
              <w:rPr>
                <w:rFonts w:ascii="Times New Roman" w:hAnsi="Times New Roman" w:eastAsia="宋体" w:cs="Times New Roman"/>
                <w:b/>
                <w:color w:val="000000"/>
                <w:sz w:val="18"/>
                <w:lang w:val="en-US" w:eastAsia="zh-CN"/>
              </w:rPr>
              <w:t>小类</w:t>
            </w:r>
          </w:p>
        </w:tc>
        <w:tc>
          <w:tcPr>
            <w:tcW w:w="1190" w:type="dxa"/>
            <w:shd w:val="clear" w:color="auto" w:fill="auto"/>
            <w:tcMar>
              <w:top w:w="120" w:type="dxa"/>
              <w:left w:w="120" w:type="dxa"/>
              <w:bottom w:w="120" w:type="dxa"/>
              <w:right w:w="120" w:type="dxa"/>
            </w:tcMar>
            <w:vAlign w:val="center"/>
          </w:tcPr>
          <w:p w14:paraId="4549D1EC">
            <w:pPr>
              <w:spacing w:before="0" w:after="0" w:line="276" w:lineRule="auto"/>
              <w:jc w:val="center"/>
              <w:rPr>
                <w:rFonts w:ascii="Times New Roman" w:hAnsi="Times New Roman" w:eastAsia="宋体" w:cs="Times New Roman"/>
                <w:b/>
                <w:color w:val="000000"/>
                <w:sz w:val="18"/>
              </w:rPr>
            </w:pPr>
            <w:r>
              <w:rPr>
                <w:rFonts w:ascii="Times New Roman" w:hAnsi="Times New Roman" w:eastAsia="宋体" w:cs="Times New Roman"/>
                <w:b/>
                <w:color w:val="000000"/>
                <w:sz w:val="18"/>
                <w:lang w:val="en-US" w:eastAsia="zh-CN"/>
              </w:rPr>
              <w:t>项目</w:t>
            </w:r>
          </w:p>
        </w:tc>
        <w:tc>
          <w:tcPr>
            <w:tcW w:w="826" w:type="dxa"/>
            <w:shd w:val="clear" w:color="auto" w:fill="auto"/>
            <w:tcMar>
              <w:top w:w="120" w:type="dxa"/>
              <w:left w:w="120" w:type="dxa"/>
              <w:bottom w:w="120" w:type="dxa"/>
              <w:right w:w="120" w:type="dxa"/>
            </w:tcMar>
            <w:vAlign w:val="center"/>
          </w:tcPr>
          <w:p w14:paraId="64551A11">
            <w:pPr>
              <w:spacing w:before="0" w:after="0" w:line="276" w:lineRule="auto"/>
              <w:jc w:val="center"/>
              <w:rPr>
                <w:rFonts w:ascii="Times New Roman" w:hAnsi="Times New Roman" w:eastAsia="宋体" w:cs="Times New Roman"/>
                <w:b/>
                <w:color w:val="000000"/>
                <w:sz w:val="18"/>
              </w:rPr>
            </w:pPr>
            <w:r>
              <w:rPr>
                <w:rFonts w:ascii="Times New Roman" w:hAnsi="Times New Roman" w:eastAsia="宋体" w:cs="Times New Roman"/>
                <w:b/>
                <w:color w:val="000000"/>
                <w:sz w:val="18"/>
                <w:lang w:val="en-US" w:eastAsia="zh-CN"/>
              </w:rPr>
              <w:t>数量</w:t>
            </w:r>
          </w:p>
        </w:tc>
        <w:tc>
          <w:tcPr>
            <w:tcW w:w="4928" w:type="dxa"/>
            <w:shd w:val="clear" w:color="auto" w:fill="auto"/>
            <w:tcMar>
              <w:top w:w="120" w:type="dxa"/>
              <w:left w:w="120" w:type="dxa"/>
              <w:bottom w:w="120" w:type="dxa"/>
              <w:right w:w="120" w:type="dxa"/>
            </w:tcMar>
            <w:vAlign w:val="center"/>
          </w:tcPr>
          <w:p w14:paraId="39CF6D8E">
            <w:pPr>
              <w:spacing w:before="0" w:after="0" w:line="276" w:lineRule="auto"/>
              <w:jc w:val="center"/>
              <w:rPr>
                <w:rFonts w:ascii="Times New Roman" w:hAnsi="Times New Roman" w:eastAsia="宋体" w:cs="Times New Roman"/>
                <w:b/>
                <w:color w:val="000000"/>
                <w:sz w:val="18"/>
              </w:rPr>
            </w:pPr>
            <w:r>
              <w:rPr>
                <w:rFonts w:ascii="Times New Roman" w:hAnsi="Times New Roman" w:eastAsia="宋体" w:cs="Times New Roman"/>
                <w:b/>
                <w:color w:val="000000"/>
                <w:sz w:val="18"/>
                <w:lang w:val="en-US" w:eastAsia="zh-CN"/>
              </w:rPr>
              <w:t>规格说明</w:t>
            </w:r>
          </w:p>
        </w:tc>
      </w:tr>
      <w:tr w14:paraId="4251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restart"/>
            <w:shd w:val="clear" w:color="auto" w:fill="auto"/>
            <w:tcMar>
              <w:top w:w="120" w:type="dxa"/>
              <w:left w:w="120" w:type="dxa"/>
              <w:bottom w:w="120" w:type="dxa"/>
              <w:right w:w="120" w:type="dxa"/>
            </w:tcMar>
            <w:vAlign w:val="center"/>
          </w:tcPr>
          <w:p w14:paraId="0FCB57C8">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全双工可视化实时交互模块</w:t>
            </w:r>
          </w:p>
        </w:tc>
        <w:tc>
          <w:tcPr>
            <w:tcW w:w="1168" w:type="dxa"/>
            <w:shd w:val="clear" w:color="auto" w:fill="auto"/>
            <w:tcMar>
              <w:top w:w="120" w:type="dxa"/>
              <w:left w:w="120" w:type="dxa"/>
              <w:bottom w:w="120" w:type="dxa"/>
              <w:right w:w="120" w:type="dxa"/>
            </w:tcMar>
            <w:vAlign w:val="center"/>
          </w:tcPr>
          <w:p w14:paraId="7C42B23C">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多端接入</w:t>
            </w:r>
          </w:p>
        </w:tc>
        <w:tc>
          <w:tcPr>
            <w:tcW w:w="1190" w:type="dxa"/>
            <w:shd w:val="clear" w:color="auto" w:fill="auto"/>
            <w:tcMar>
              <w:top w:w="120" w:type="dxa"/>
              <w:left w:w="120" w:type="dxa"/>
              <w:bottom w:w="120" w:type="dxa"/>
              <w:right w:w="120" w:type="dxa"/>
            </w:tcMar>
            <w:vAlign w:val="center"/>
          </w:tcPr>
          <w:p w14:paraId="48A92A2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多端统一入口</w:t>
            </w:r>
          </w:p>
        </w:tc>
        <w:tc>
          <w:tcPr>
            <w:tcW w:w="826" w:type="dxa"/>
            <w:shd w:val="clear" w:color="auto" w:fill="auto"/>
            <w:tcMar>
              <w:top w:w="120" w:type="dxa"/>
              <w:left w:w="120" w:type="dxa"/>
              <w:bottom w:w="120" w:type="dxa"/>
              <w:right w:w="120" w:type="dxa"/>
            </w:tcMar>
            <w:vAlign w:val="center"/>
          </w:tcPr>
          <w:p w14:paraId="07482268">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556D00F8">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支持公众号 / H5、院区服务入口、网站、终端大屏、院内大屏一体机多端接入，形成统一智能体客服入口；支持 SDK 开发和 API 接口服务。</w:t>
            </w:r>
          </w:p>
        </w:tc>
      </w:tr>
      <w:tr w14:paraId="014F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15A26EDA">
            <w:pPr>
              <w:spacing w:before="0" w:after="0" w:line="276" w:lineRule="auto"/>
              <w:jc w:val="center"/>
              <w:rPr>
                <w:rFonts w:hint="eastAsia" w:ascii="Times New Roman" w:hAnsi="Times New Roman" w:eastAsia="宋体" w:cs="Times New Roman"/>
                <w:b w:val="0"/>
                <w:bCs/>
                <w:color w:val="000000"/>
                <w:sz w:val="18"/>
                <w:lang w:eastAsia="zh-CN"/>
              </w:rPr>
            </w:pPr>
          </w:p>
        </w:tc>
        <w:tc>
          <w:tcPr>
            <w:tcW w:w="1168" w:type="dxa"/>
            <w:vMerge w:val="restart"/>
            <w:shd w:val="clear" w:color="auto" w:fill="auto"/>
            <w:tcMar>
              <w:top w:w="120" w:type="dxa"/>
              <w:left w:w="120" w:type="dxa"/>
              <w:bottom w:w="120" w:type="dxa"/>
              <w:right w:w="120" w:type="dxa"/>
            </w:tcMar>
            <w:vAlign w:val="center"/>
          </w:tcPr>
          <w:p w14:paraId="05CCEA10">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实时交互</w:t>
            </w:r>
          </w:p>
          <w:p w14:paraId="43A54F56">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05105633">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全双工实时视频交互</w:t>
            </w:r>
          </w:p>
        </w:tc>
        <w:tc>
          <w:tcPr>
            <w:tcW w:w="826" w:type="dxa"/>
            <w:shd w:val="clear" w:color="auto" w:fill="auto"/>
            <w:tcMar>
              <w:top w:w="120" w:type="dxa"/>
              <w:left w:w="120" w:type="dxa"/>
              <w:bottom w:w="120" w:type="dxa"/>
              <w:right w:w="120" w:type="dxa"/>
            </w:tcMar>
            <w:vAlign w:val="center"/>
          </w:tcPr>
          <w:p w14:paraId="4E952DD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3D8260F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支持智能体客服与用户全双工实时视频交互，用户可实时听、说、看、问，客服实时播报、回应并引导下一步操作。</w:t>
            </w:r>
          </w:p>
        </w:tc>
      </w:tr>
      <w:tr w14:paraId="74B7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2221576C">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0B4634A4">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2E4C22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高清可视化呈现</w:t>
            </w:r>
          </w:p>
        </w:tc>
        <w:tc>
          <w:tcPr>
            <w:tcW w:w="826" w:type="dxa"/>
            <w:shd w:val="clear" w:color="auto" w:fill="auto"/>
            <w:tcMar>
              <w:top w:w="120" w:type="dxa"/>
              <w:left w:w="120" w:type="dxa"/>
              <w:bottom w:w="120" w:type="dxa"/>
              <w:right w:w="120" w:type="dxa"/>
            </w:tcMar>
            <w:vAlign w:val="center"/>
          </w:tcPr>
          <w:p w14:paraId="1941691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066288E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客服画面高清呈现，适配公众号 / H5 和院内终端显示，可根据问答语义呈现相应表情、动作或服务状态提示。</w:t>
            </w:r>
          </w:p>
        </w:tc>
      </w:tr>
      <w:tr w14:paraId="6D2B3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345AB5AD">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70954227">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02ECE19C">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并发实时推流</w:t>
            </w:r>
          </w:p>
        </w:tc>
        <w:tc>
          <w:tcPr>
            <w:tcW w:w="826" w:type="dxa"/>
            <w:shd w:val="clear" w:color="auto" w:fill="auto"/>
            <w:tcMar>
              <w:top w:w="120" w:type="dxa"/>
              <w:left w:w="120" w:type="dxa"/>
              <w:bottom w:w="120" w:type="dxa"/>
              <w:right w:w="120" w:type="dxa"/>
            </w:tcMar>
            <w:vAlign w:val="center"/>
          </w:tcPr>
          <w:p w14:paraId="5D07E9B3">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5703C14D">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支持多用户同时访问时的实时推流和稳定交互</w:t>
            </w:r>
            <w:r>
              <w:rPr>
                <w:rFonts w:hint="eastAsia" w:ascii="Times New Roman" w:hAnsi="Times New Roman" w:eastAsia="宋体" w:cs="Times New Roman"/>
                <w:b w:val="0"/>
                <w:bCs/>
                <w:color w:val="000000"/>
                <w:sz w:val="18"/>
                <w:lang w:val="en-US" w:eastAsia="zh-CN"/>
              </w:rPr>
              <w:t>，支持最少20路并发、最多50路并发实时推流</w:t>
            </w:r>
            <w:r>
              <w:rPr>
                <w:rFonts w:ascii="Times New Roman" w:hAnsi="Times New Roman" w:eastAsia="宋体" w:cs="Times New Roman"/>
                <w:b w:val="0"/>
                <w:bCs/>
                <w:color w:val="000000"/>
                <w:sz w:val="18"/>
                <w:lang w:val="en-US" w:eastAsia="zh-CN"/>
              </w:rPr>
              <w:t>，满足医院公众号及现场终端高峰咨询场景。</w:t>
            </w:r>
          </w:p>
        </w:tc>
      </w:tr>
      <w:tr w14:paraId="1C1A1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7A050036">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31352E79">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DDCF94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语音识别</w:t>
            </w:r>
          </w:p>
        </w:tc>
        <w:tc>
          <w:tcPr>
            <w:tcW w:w="826" w:type="dxa"/>
            <w:shd w:val="clear" w:color="auto" w:fill="auto"/>
            <w:tcMar>
              <w:top w:w="120" w:type="dxa"/>
              <w:left w:w="120" w:type="dxa"/>
              <w:bottom w:w="120" w:type="dxa"/>
              <w:right w:w="120" w:type="dxa"/>
            </w:tcMar>
            <w:vAlign w:val="center"/>
          </w:tcPr>
          <w:p w14:paraId="55387E2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07F14F3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支持普通话及常见口音识别，具备嘈杂院内场景下的识别优化能力，可扩展英语等外语识别与回复。</w:t>
            </w:r>
          </w:p>
        </w:tc>
      </w:tr>
      <w:tr w14:paraId="2B95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1DEBA01B">
            <w:pPr>
              <w:spacing w:before="0" w:after="0" w:line="276" w:lineRule="auto"/>
              <w:jc w:val="center"/>
              <w:rPr>
                <w:rFonts w:ascii="Times New Roman" w:hAnsi="Times New Roman" w:eastAsia="宋体" w:cs="Times New Roman"/>
                <w:b w:val="0"/>
                <w:bCs/>
                <w:color w:val="000000"/>
                <w:sz w:val="18"/>
              </w:rPr>
            </w:pPr>
          </w:p>
        </w:tc>
        <w:tc>
          <w:tcPr>
            <w:tcW w:w="1168" w:type="dxa"/>
            <w:shd w:val="clear" w:color="auto" w:fill="auto"/>
            <w:tcMar>
              <w:top w:w="120" w:type="dxa"/>
              <w:left w:w="120" w:type="dxa"/>
              <w:bottom w:w="120" w:type="dxa"/>
              <w:right w:w="120" w:type="dxa"/>
            </w:tcMar>
            <w:vAlign w:val="center"/>
          </w:tcPr>
          <w:p w14:paraId="3C090F03">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运维管理</w:t>
            </w:r>
          </w:p>
        </w:tc>
        <w:tc>
          <w:tcPr>
            <w:tcW w:w="1190" w:type="dxa"/>
            <w:shd w:val="clear" w:color="auto" w:fill="auto"/>
            <w:tcMar>
              <w:top w:w="120" w:type="dxa"/>
              <w:left w:w="120" w:type="dxa"/>
              <w:bottom w:w="120" w:type="dxa"/>
              <w:right w:w="120" w:type="dxa"/>
            </w:tcMar>
            <w:vAlign w:val="center"/>
          </w:tcPr>
          <w:p w14:paraId="67F32FD4">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交互数据留存与运维</w:t>
            </w:r>
          </w:p>
        </w:tc>
        <w:tc>
          <w:tcPr>
            <w:tcW w:w="826" w:type="dxa"/>
            <w:shd w:val="clear" w:color="auto" w:fill="auto"/>
            <w:tcMar>
              <w:top w:w="120" w:type="dxa"/>
              <w:left w:w="120" w:type="dxa"/>
              <w:bottom w:w="120" w:type="dxa"/>
              <w:right w:w="120" w:type="dxa"/>
            </w:tcMar>
            <w:vAlign w:val="center"/>
          </w:tcPr>
          <w:p w14:paraId="6F958502">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1D5CFF77">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历史交互数据按医院要求留存，支持日志查询、问题追溯和效果优化；异常情况下支持故障恢复。</w:t>
            </w:r>
          </w:p>
        </w:tc>
      </w:tr>
      <w:tr w14:paraId="52FA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restart"/>
            <w:shd w:val="clear" w:color="auto" w:fill="auto"/>
            <w:tcMar>
              <w:top w:w="120" w:type="dxa"/>
              <w:left w:w="120" w:type="dxa"/>
              <w:bottom w:w="120" w:type="dxa"/>
              <w:right w:w="120" w:type="dxa"/>
            </w:tcMar>
            <w:vAlign w:val="center"/>
          </w:tcPr>
          <w:p w14:paraId="4F9AC8EC">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智能体功能模块</w:t>
            </w:r>
          </w:p>
          <w:p w14:paraId="4A97F64F">
            <w:pPr>
              <w:spacing w:before="0" w:after="0" w:line="276" w:lineRule="auto"/>
              <w:jc w:val="center"/>
              <w:rPr>
                <w:rFonts w:ascii="Times New Roman" w:hAnsi="Times New Roman" w:eastAsia="宋体" w:cs="Times New Roman"/>
                <w:b w:val="0"/>
                <w:bCs/>
                <w:color w:val="000000"/>
                <w:sz w:val="18"/>
              </w:rPr>
            </w:pPr>
          </w:p>
        </w:tc>
        <w:tc>
          <w:tcPr>
            <w:tcW w:w="1168" w:type="dxa"/>
            <w:vMerge w:val="restart"/>
            <w:shd w:val="clear" w:color="auto" w:fill="auto"/>
            <w:tcMar>
              <w:top w:w="120" w:type="dxa"/>
              <w:left w:w="120" w:type="dxa"/>
              <w:bottom w:w="120" w:type="dxa"/>
              <w:right w:w="120" w:type="dxa"/>
            </w:tcMar>
            <w:vAlign w:val="center"/>
          </w:tcPr>
          <w:p w14:paraId="300D2958">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业务智能体</w:t>
            </w:r>
          </w:p>
          <w:p w14:paraId="00FDC816">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7439912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预问诊智能体</w:t>
            </w:r>
          </w:p>
        </w:tc>
        <w:tc>
          <w:tcPr>
            <w:tcW w:w="826" w:type="dxa"/>
            <w:shd w:val="clear" w:color="auto" w:fill="auto"/>
            <w:tcMar>
              <w:top w:w="120" w:type="dxa"/>
              <w:left w:w="120" w:type="dxa"/>
              <w:bottom w:w="120" w:type="dxa"/>
              <w:right w:w="120" w:type="dxa"/>
            </w:tcMar>
            <w:vAlign w:val="center"/>
          </w:tcPr>
          <w:p w14:paraId="3D781787">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19896261">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通过多轮对话采集症状、持续时间、伴随症状、过敏史、用药史、既往史等信息，推荐优先咨询科室；结果仅用于就医引导，不替代医生诊断。</w:t>
            </w:r>
          </w:p>
        </w:tc>
      </w:tr>
      <w:tr w14:paraId="2DF3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5387226D">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4D12F87F">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41B1EA1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智能挂号智能体</w:t>
            </w:r>
          </w:p>
        </w:tc>
        <w:tc>
          <w:tcPr>
            <w:tcW w:w="826" w:type="dxa"/>
            <w:shd w:val="clear" w:color="auto" w:fill="auto"/>
            <w:tcMar>
              <w:top w:w="120" w:type="dxa"/>
              <w:left w:w="120" w:type="dxa"/>
              <w:bottom w:w="120" w:type="dxa"/>
              <w:right w:w="120" w:type="dxa"/>
            </w:tcMar>
            <w:vAlign w:val="center"/>
          </w:tcPr>
          <w:p w14:paraId="0EF3B6C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49C9686C">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支持预约挂号场景下就诊人、科室、日期、时段、医生和号源信息确认，引导用户完成预约确认及后续就诊提示。</w:t>
            </w:r>
          </w:p>
        </w:tc>
      </w:tr>
      <w:tr w14:paraId="75F4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10700153">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6623D02C">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3DC182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检验检查报告查询智能体</w:t>
            </w:r>
          </w:p>
        </w:tc>
        <w:tc>
          <w:tcPr>
            <w:tcW w:w="826" w:type="dxa"/>
            <w:shd w:val="clear" w:color="auto" w:fill="auto"/>
            <w:tcMar>
              <w:top w:w="120" w:type="dxa"/>
              <w:left w:w="120" w:type="dxa"/>
              <w:bottom w:w="120" w:type="dxa"/>
              <w:right w:w="120" w:type="dxa"/>
            </w:tcMar>
            <w:vAlign w:val="center"/>
          </w:tcPr>
          <w:p w14:paraId="5A46BA7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347E68FD">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支持查询检验、检查报告状态、报告列表和报告详情，提供查看、下载或转存等操作入口。</w:t>
            </w:r>
          </w:p>
        </w:tc>
      </w:tr>
      <w:tr w14:paraId="216F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50F0BE5E">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28A3626A">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2F21D92F">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报告初步解读智能体</w:t>
            </w:r>
          </w:p>
        </w:tc>
        <w:tc>
          <w:tcPr>
            <w:tcW w:w="826" w:type="dxa"/>
            <w:shd w:val="clear" w:color="auto" w:fill="auto"/>
            <w:tcMar>
              <w:top w:w="120" w:type="dxa"/>
              <w:left w:w="120" w:type="dxa"/>
              <w:bottom w:w="120" w:type="dxa"/>
              <w:right w:w="120" w:type="dxa"/>
            </w:tcMar>
            <w:vAlign w:val="center"/>
          </w:tcPr>
          <w:p w14:paraId="674E59B4">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3707393A">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对异常标记和指标含义进行通俗说明，可结合用户补充症状给出就医建议，并明确报告解读不替代医生诊断。</w:t>
            </w:r>
          </w:p>
        </w:tc>
      </w:tr>
      <w:tr w14:paraId="4E5D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795FFF90">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76C403F5">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4B55E94B">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药品知识咨询智能体</w:t>
            </w:r>
          </w:p>
        </w:tc>
        <w:tc>
          <w:tcPr>
            <w:tcW w:w="826" w:type="dxa"/>
            <w:shd w:val="clear" w:color="auto" w:fill="auto"/>
            <w:tcMar>
              <w:top w:w="120" w:type="dxa"/>
              <w:left w:w="120" w:type="dxa"/>
              <w:bottom w:w="120" w:type="dxa"/>
              <w:right w:w="120" w:type="dxa"/>
            </w:tcMar>
            <w:vAlign w:val="center"/>
          </w:tcPr>
          <w:p w14:paraId="6E0B3A9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52C076E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结合医院药品知识及国家级权威医药知识库，提供药品说明、用药注意事项、禁忌提醒、处方内药品咨询等服务，提示用药安全边界。</w:t>
            </w:r>
          </w:p>
        </w:tc>
      </w:tr>
      <w:tr w14:paraId="3D7ED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21421FFB">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401E021C">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70D961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医疗器械使用咨询智能体</w:t>
            </w:r>
          </w:p>
        </w:tc>
        <w:tc>
          <w:tcPr>
            <w:tcW w:w="826" w:type="dxa"/>
            <w:shd w:val="clear" w:color="auto" w:fill="auto"/>
            <w:tcMar>
              <w:top w:w="120" w:type="dxa"/>
              <w:left w:w="120" w:type="dxa"/>
              <w:bottom w:w="120" w:type="dxa"/>
              <w:right w:w="120" w:type="dxa"/>
            </w:tcMar>
            <w:vAlign w:val="center"/>
          </w:tcPr>
          <w:p w14:paraId="098E2F5B">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614DF63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围绕血压计、血糖仪、雾化器等常见器械，提供使用步骤、注意事项、安全提醒、异常情况处理建议和可视化示范。</w:t>
            </w:r>
          </w:p>
        </w:tc>
      </w:tr>
      <w:tr w14:paraId="621A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56D95F9F">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086FD06B">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A705631">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院内导航智能体</w:t>
            </w:r>
          </w:p>
        </w:tc>
        <w:tc>
          <w:tcPr>
            <w:tcW w:w="826" w:type="dxa"/>
            <w:shd w:val="clear" w:color="auto" w:fill="auto"/>
            <w:tcMar>
              <w:top w:w="120" w:type="dxa"/>
              <w:left w:w="120" w:type="dxa"/>
              <w:bottom w:w="120" w:type="dxa"/>
              <w:right w:w="120" w:type="dxa"/>
            </w:tcMar>
            <w:vAlign w:val="center"/>
          </w:tcPr>
          <w:p w14:paraId="19F4F062">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79038C5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提供科室、检查地点、药房、服务窗口、卫生间、出入口、电梯扶梯等目标位置，输出楼栋、楼层、方向、路径、预计到达时间等可视化路线，并支持语音播报和下一步引导。</w:t>
            </w:r>
          </w:p>
        </w:tc>
      </w:tr>
      <w:tr w14:paraId="54DA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restart"/>
            <w:shd w:val="clear" w:color="auto" w:fill="auto"/>
            <w:tcMar>
              <w:top w:w="120" w:type="dxa"/>
              <w:left w:w="120" w:type="dxa"/>
              <w:bottom w:w="120" w:type="dxa"/>
              <w:right w:w="120" w:type="dxa"/>
            </w:tcMar>
            <w:vAlign w:val="center"/>
          </w:tcPr>
          <w:p w14:paraId="7E496181">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中央调度系统模块</w:t>
            </w:r>
          </w:p>
          <w:p w14:paraId="2CE7DA36">
            <w:pPr>
              <w:spacing w:before="0" w:after="0" w:line="276" w:lineRule="auto"/>
              <w:jc w:val="center"/>
              <w:rPr>
                <w:rFonts w:ascii="Times New Roman" w:hAnsi="Times New Roman" w:eastAsia="宋体" w:cs="Times New Roman"/>
                <w:b w:val="0"/>
                <w:bCs/>
                <w:color w:val="000000"/>
                <w:sz w:val="18"/>
              </w:rPr>
            </w:pPr>
          </w:p>
        </w:tc>
        <w:tc>
          <w:tcPr>
            <w:tcW w:w="1168" w:type="dxa"/>
            <w:vMerge w:val="restart"/>
            <w:shd w:val="clear" w:color="auto" w:fill="auto"/>
            <w:tcMar>
              <w:top w:w="120" w:type="dxa"/>
              <w:left w:w="120" w:type="dxa"/>
              <w:bottom w:w="120" w:type="dxa"/>
              <w:right w:w="120" w:type="dxa"/>
            </w:tcMar>
            <w:vAlign w:val="center"/>
          </w:tcPr>
          <w:p w14:paraId="053672F2">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调度路由</w:t>
            </w:r>
          </w:p>
          <w:p w14:paraId="43ED60C0">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6D53359D">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双流意图识别</w:t>
            </w:r>
          </w:p>
        </w:tc>
        <w:tc>
          <w:tcPr>
            <w:tcW w:w="826" w:type="dxa"/>
            <w:shd w:val="clear" w:color="auto" w:fill="auto"/>
            <w:tcMar>
              <w:top w:w="120" w:type="dxa"/>
              <w:left w:w="120" w:type="dxa"/>
              <w:bottom w:w="120" w:type="dxa"/>
              <w:right w:w="120" w:type="dxa"/>
            </w:tcMar>
            <w:vAlign w:val="center"/>
          </w:tcPr>
          <w:p w14:paraId="0CEFB41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4E76FC7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同时分析语音流、文本流、上下文、入口来源和用户操作状态，识别咨询、导航、医药问答、器械问答、智能办事等意图，结果可记录、可追溯、可测试。</w:t>
            </w:r>
          </w:p>
        </w:tc>
      </w:tr>
      <w:tr w14:paraId="7831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13F3686D">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7B225BF2">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3E78F00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门控路由系统</w:t>
            </w:r>
          </w:p>
        </w:tc>
        <w:tc>
          <w:tcPr>
            <w:tcW w:w="826" w:type="dxa"/>
            <w:shd w:val="clear" w:color="auto" w:fill="auto"/>
            <w:tcMar>
              <w:top w:w="120" w:type="dxa"/>
              <w:left w:w="120" w:type="dxa"/>
              <w:bottom w:w="120" w:type="dxa"/>
              <w:right w:w="120" w:type="dxa"/>
            </w:tcMar>
            <w:vAlign w:val="center"/>
          </w:tcPr>
          <w:p w14:paraId="732241A7">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6F8008C8">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对用户请求进行分类、置信度判断、风险识别和任务分发，避免医疗高风险问题误进入普通问答。</w:t>
            </w:r>
          </w:p>
        </w:tc>
      </w:tr>
      <w:tr w14:paraId="277E3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6552DC8C">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7FFC68DF">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49E4E3C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任务调度</w:t>
            </w:r>
          </w:p>
        </w:tc>
        <w:tc>
          <w:tcPr>
            <w:tcW w:w="826" w:type="dxa"/>
            <w:shd w:val="clear" w:color="auto" w:fill="auto"/>
            <w:tcMar>
              <w:top w:w="120" w:type="dxa"/>
              <w:left w:w="120" w:type="dxa"/>
              <w:bottom w:w="120" w:type="dxa"/>
              <w:right w:w="120" w:type="dxa"/>
            </w:tcMar>
            <w:vAlign w:val="center"/>
          </w:tcPr>
          <w:p w14:paraId="4F861F88">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511BF09D">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统一导向客服咨询问答、院内实时可视化导航、医药知识问答、器械可视化咨询、智能体诊疗办事、三层知识库、用户记忆工程、私有化部署及院内导航。</w:t>
            </w:r>
          </w:p>
        </w:tc>
      </w:tr>
      <w:tr w14:paraId="3C38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3EA75DD6">
            <w:pPr>
              <w:spacing w:before="0" w:after="0" w:line="276" w:lineRule="auto"/>
              <w:jc w:val="center"/>
              <w:rPr>
                <w:rFonts w:ascii="Times New Roman" w:hAnsi="Times New Roman" w:eastAsia="宋体" w:cs="Times New Roman"/>
                <w:b w:val="0"/>
                <w:bCs/>
                <w:color w:val="000000"/>
                <w:sz w:val="18"/>
              </w:rPr>
            </w:pPr>
          </w:p>
        </w:tc>
        <w:tc>
          <w:tcPr>
            <w:tcW w:w="1168" w:type="dxa"/>
            <w:vMerge w:val="restart"/>
            <w:shd w:val="clear" w:color="auto" w:fill="auto"/>
            <w:tcMar>
              <w:top w:w="120" w:type="dxa"/>
              <w:left w:w="120" w:type="dxa"/>
              <w:bottom w:w="120" w:type="dxa"/>
              <w:right w:w="120" w:type="dxa"/>
            </w:tcMar>
            <w:vAlign w:val="center"/>
          </w:tcPr>
          <w:p w14:paraId="4933E94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会话编排</w:t>
            </w:r>
          </w:p>
        </w:tc>
        <w:tc>
          <w:tcPr>
            <w:tcW w:w="1190" w:type="dxa"/>
            <w:shd w:val="clear" w:color="auto" w:fill="auto"/>
            <w:tcMar>
              <w:top w:w="120" w:type="dxa"/>
              <w:left w:w="120" w:type="dxa"/>
              <w:bottom w:w="120" w:type="dxa"/>
              <w:right w:w="120" w:type="dxa"/>
            </w:tcMar>
            <w:vAlign w:val="center"/>
          </w:tcPr>
          <w:p w14:paraId="7AB5330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多轮会话编排</w:t>
            </w:r>
          </w:p>
        </w:tc>
        <w:tc>
          <w:tcPr>
            <w:tcW w:w="826" w:type="dxa"/>
            <w:shd w:val="clear" w:color="auto" w:fill="auto"/>
            <w:tcMar>
              <w:top w:w="120" w:type="dxa"/>
              <w:left w:w="120" w:type="dxa"/>
              <w:bottom w:w="120" w:type="dxa"/>
              <w:right w:w="120" w:type="dxa"/>
            </w:tcMar>
            <w:vAlign w:val="center"/>
          </w:tcPr>
          <w:p w14:paraId="1568802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6EF43BB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支持多轮对话、槽位收集、上下文保持、工具调用、结果确认和下一步引导，避免用户重复描述需求。</w:t>
            </w:r>
          </w:p>
        </w:tc>
      </w:tr>
      <w:tr w14:paraId="4F62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05CD6A4F">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08A66D50">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5CC23AA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业务工具调用</w:t>
            </w:r>
          </w:p>
        </w:tc>
        <w:tc>
          <w:tcPr>
            <w:tcW w:w="826" w:type="dxa"/>
            <w:shd w:val="clear" w:color="auto" w:fill="auto"/>
            <w:tcMar>
              <w:top w:w="120" w:type="dxa"/>
              <w:left w:w="120" w:type="dxa"/>
              <w:bottom w:w="120" w:type="dxa"/>
              <w:right w:w="120" w:type="dxa"/>
            </w:tcMar>
            <w:vAlign w:val="center"/>
          </w:tcPr>
          <w:p w14:paraId="5F81DFE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1DFBF3B0">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与挂号、报告查询、导航、投诉建议等院内业务入口或接口衔接，在权限允许范围内完成工具调用和结果回传。</w:t>
            </w:r>
          </w:p>
        </w:tc>
      </w:tr>
      <w:tr w14:paraId="4823D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3C175135">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363270AD">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424C3093">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安全兜底</w:t>
            </w:r>
          </w:p>
        </w:tc>
        <w:tc>
          <w:tcPr>
            <w:tcW w:w="826" w:type="dxa"/>
            <w:shd w:val="clear" w:color="auto" w:fill="auto"/>
            <w:tcMar>
              <w:top w:w="120" w:type="dxa"/>
              <w:left w:w="120" w:type="dxa"/>
              <w:bottom w:w="120" w:type="dxa"/>
              <w:right w:w="120" w:type="dxa"/>
            </w:tcMar>
            <w:vAlign w:val="center"/>
          </w:tcPr>
          <w:p w14:paraId="40DA82CA">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0E08597D">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对低置信度、医疗风险、权限不足、接口异常等场景提供转人工、提示线下确认、重试或降级方案。</w:t>
            </w:r>
          </w:p>
        </w:tc>
      </w:tr>
      <w:tr w14:paraId="6A0D5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0DEE84F0">
            <w:pPr>
              <w:spacing w:before="0" w:after="0" w:line="276" w:lineRule="auto"/>
              <w:jc w:val="center"/>
              <w:rPr>
                <w:rFonts w:ascii="Times New Roman" w:hAnsi="Times New Roman" w:eastAsia="宋体" w:cs="Times New Roman"/>
                <w:b w:val="0"/>
                <w:bCs/>
                <w:color w:val="000000"/>
                <w:sz w:val="18"/>
              </w:rPr>
            </w:pPr>
          </w:p>
        </w:tc>
        <w:tc>
          <w:tcPr>
            <w:tcW w:w="1168" w:type="dxa"/>
            <w:vMerge w:val="restart"/>
            <w:shd w:val="clear" w:color="auto" w:fill="auto"/>
            <w:tcMar>
              <w:top w:w="120" w:type="dxa"/>
              <w:left w:w="120" w:type="dxa"/>
              <w:bottom w:w="120" w:type="dxa"/>
              <w:right w:w="120" w:type="dxa"/>
            </w:tcMar>
            <w:vAlign w:val="center"/>
          </w:tcPr>
          <w:p w14:paraId="42C1E3EE">
            <w:pPr>
              <w:spacing w:before="0" w:after="0" w:line="276" w:lineRule="auto"/>
              <w:jc w:val="center"/>
              <w:rPr>
                <w:rFonts w:ascii="Times New Roman" w:hAnsi="Times New Roman" w:eastAsia="宋体" w:cs="Times New Roman"/>
                <w:b w:val="0"/>
                <w:bCs/>
                <w:color w:val="000000"/>
                <w:sz w:val="18"/>
                <w:lang w:val="en-US" w:eastAsia="zh-CN"/>
              </w:rPr>
            </w:pPr>
            <w:r>
              <w:rPr>
                <w:rFonts w:ascii="Times New Roman" w:hAnsi="Times New Roman" w:eastAsia="宋体" w:cs="Times New Roman"/>
                <w:b w:val="0"/>
                <w:bCs/>
                <w:color w:val="000000"/>
                <w:sz w:val="18"/>
                <w:lang w:val="en-US" w:eastAsia="zh-CN"/>
              </w:rPr>
              <w:t>知识库</w:t>
            </w:r>
          </w:p>
          <w:p w14:paraId="5578653E">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72016F61">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三层知识库体系</w:t>
            </w:r>
          </w:p>
        </w:tc>
        <w:tc>
          <w:tcPr>
            <w:tcW w:w="826" w:type="dxa"/>
            <w:shd w:val="clear" w:color="auto" w:fill="auto"/>
            <w:tcMar>
              <w:top w:w="120" w:type="dxa"/>
              <w:left w:w="120" w:type="dxa"/>
              <w:bottom w:w="120" w:type="dxa"/>
              <w:right w:w="120" w:type="dxa"/>
            </w:tcMar>
            <w:vAlign w:val="center"/>
          </w:tcPr>
          <w:p w14:paraId="69A6FAC1">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6B13526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建设医院服务知识库、国家级权威医药知识库、医疗器械及院内导航知识库，分别支撑医院服务咨询、专业医药问答、器械示范和空间导航。</w:t>
            </w:r>
          </w:p>
        </w:tc>
      </w:tr>
      <w:tr w14:paraId="3D6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48D61DA9">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0EEFE218">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752E90C4">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权威医药知识库</w:t>
            </w:r>
          </w:p>
        </w:tc>
        <w:tc>
          <w:tcPr>
            <w:tcW w:w="826" w:type="dxa"/>
            <w:shd w:val="clear" w:color="auto" w:fill="auto"/>
            <w:tcMar>
              <w:top w:w="120" w:type="dxa"/>
              <w:left w:w="120" w:type="dxa"/>
              <w:bottom w:w="120" w:type="dxa"/>
              <w:right w:w="120" w:type="dxa"/>
            </w:tcMar>
            <w:vAlign w:val="center"/>
          </w:tcPr>
          <w:p w14:paraId="4BE2745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2026C0F7">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专业医药知识问答采用国家级权威或同等权威来源数据，回答标注信息来源、适用边界和就医提醒。</w:t>
            </w:r>
          </w:p>
        </w:tc>
      </w:tr>
      <w:tr w14:paraId="64B3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371921D3">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539B6B52">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09DA14C4">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检索增强与知识图谱</w:t>
            </w:r>
          </w:p>
        </w:tc>
        <w:tc>
          <w:tcPr>
            <w:tcW w:w="826" w:type="dxa"/>
            <w:shd w:val="clear" w:color="auto" w:fill="auto"/>
            <w:tcMar>
              <w:top w:w="120" w:type="dxa"/>
              <w:left w:w="120" w:type="dxa"/>
              <w:bottom w:w="120" w:type="dxa"/>
              <w:right w:w="120" w:type="dxa"/>
            </w:tcMar>
            <w:vAlign w:val="center"/>
          </w:tcPr>
          <w:p w14:paraId="02B61292">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38B8C75B">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支持向量检索、关键词检索、原文检索、知识图谱或同等能力，提升知识命中、答案可追溯和复杂问题拆解能力。</w:t>
            </w:r>
          </w:p>
        </w:tc>
      </w:tr>
      <w:tr w14:paraId="1D2BF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51ABF55F">
            <w:pPr>
              <w:spacing w:before="0" w:after="0" w:line="276" w:lineRule="auto"/>
              <w:jc w:val="center"/>
              <w:rPr>
                <w:rFonts w:ascii="Times New Roman" w:hAnsi="Times New Roman" w:eastAsia="宋体" w:cs="Times New Roman"/>
                <w:b w:val="0"/>
                <w:bCs/>
                <w:color w:val="000000"/>
                <w:sz w:val="18"/>
              </w:rPr>
            </w:pPr>
          </w:p>
        </w:tc>
        <w:tc>
          <w:tcPr>
            <w:tcW w:w="1168" w:type="dxa"/>
            <w:vMerge w:val="restart"/>
            <w:shd w:val="clear" w:color="auto" w:fill="auto"/>
            <w:tcMar>
              <w:top w:w="120" w:type="dxa"/>
              <w:left w:w="120" w:type="dxa"/>
              <w:bottom w:w="120" w:type="dxa"/>
              <w:right w:w="120" w:type="dxa"/>
            </w:tcMar>
            <w:vAlign w:val="center"/>
          </w:tcPr>
          <w:p w14:paraId="1AE40FCC">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用户与部署</w:t>
            </w:r>
          </w:p>
        </w:tc>
        <w:tc>
          <w:tcPr>
            <w:tcW w:w="1190" w:type="dxa"/>
            <w:shd w:val="clear" w:color="auto" w:fill="auto"/>
            <w:tcMar>
              <w:top w:w="120" w:type="dxa"/>
              <w:left w:w="120" w:type="dxa"/>
              <w:bottom w:w="120" w:type="dxa"/>
              <w:right w:w="120" w:type="dxa"/>
            </w:tcMar>
            <w:vAlign w:val="center"/>
          </w:tcPr>
          <w:p w14:paraId="0732510B">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用户记忆工程</w:t>
            </w:r>
          </w:p>
        </w:tc>
        <w:tc>
          <w:tcPr>
            <w:tcW w:w="826" w:type="dxa"/>
            <w:shd w:val="clear" w:color="auto" w:fill="auto"/>
            <w:tcMar>
              <w:top w:w="120" w:type="dxa"/>
              <w:left w:w="120" w:type="dxa"/>
              <w:bottom w:w="120" w:type="dxa"/>
              <w:right w:w="120" w:type="dxa"/>
            </w:tcMar>
            <w:vAlign w:val="center"/>
          </w:tcPr>
          <w:p w14:paraId="78906219">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0ECC0E9E">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在用户授权和医院管理要求范围内记录用户偏好、历史咨询、上下文和未完成服务状态，支持权限控制、脱敏存储、可删除、可审计。</w:t>
            </w:r>
          </w:p>
        </w:tc>
      </w:tr>
      <w:tr w14:paraId="72A7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164" w:type="dxa"/>
            <w:vMerge w:val="continue"/>
            <w:shd w:val="clear" w:color="auto" w:fill="auto"/>
            <w:tcMar>
              <w:top w:w="120" w:type="dxa"/>
              <w:left w:w="120" w:type="dxa"/>
              <w:bottom w:w="120" w:type="dxa"/>
              <w:right w:w="120" w:type="dxa"/>
            </w:tcMar>
            <w:vAlign w:val="center"/>
          </w:tcPr>
          <w:p w14:paraId="6C0585B2">
            <w:pPr>
              <w:spacing w:before="0" w:after="0" w:line="276" w:lineRule="auto"/>
              <w:jc w:val="center"/>
              <w:rPr>
                <w:rFonts w:ascii="Times New Roman" w:hAnsi="Times New Roman" w:eastAsia="宋体" w:cs="Times New Roman"/>
                <w:b w:val="0"/>
                <w:bCs/>
                <w:color w:val="000000"/>
                <w:sz w:val="18"/>
              </w:rPr>
            </w:pPr>
          </w:p>
        </w:tc>
        <w:tc>
          <w:tcPr>
            <w:tcW w:w="1168" w:type="dxa"/>
            <w:vMerge w:val="continue"/>
            <w:shd w:val="clear" w:color="auto" w:fill="auto"/>
            <w:tcMar>
              <w:top w:w="120" w:type="dxa"/>
              <w:left w:w="120" w:type="dxa"/>
              <w:bottom w:w="120" w:type="dxa"/>
              <w:right w:w="120" w:type="dxa"/>
            </w:tcMar>
            <w:vAlign w:val="center"/>
          </w:tcPr>
          <w:p w14:paraId="714F73AE">
            <w:pPr>
              <w:spacing w:before="0" w:after="0" w:line="276" w:lineRule="auto"/>
              <w:jc w:val="center"/>
              <w:rPr>
                <w:rFonts w:ascii="Times New Roman" w:hAnsi="Times New Roman" w:eastAsia="宋体" w:cs="Times New Roman"/>
                <w:b w:val="0"/>
                <w:bCs/>
                <w:color w:val="000000"/>
                <w:sz w:val="18"/>
              </w:rPr>
            </w:pPr>
          </w:p>
        </w:tc>
        <w:tc>
          <w:tcPr>
            <w:tcW w:w="1190" w:type="dxa"/>
            <w:shd w:val="clear" w:color="auto" w:fill="auto"/>
            <w:tcMar>
              <w:top w:w="120" w:type="dxa"/>
              <w:left w:w="120" w:type="dxa"/>
              <w:bottom w:w="120" w:type="dxa"/>
              <w:right w:w="120" w:type="dxa"/>
            </w:tcMar>
            <w:vAlign w:val="center"/>
          </w:tcPr>
          <w:p w14:paraId="6C576F12">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私有化部署</w:t>
            </w:r>
          </w:p>
        </w:tc>
        <w:tc>
          <w:tcPr>
            <w:tcW w:w="826" w:type="dxa"/>
            <w:shd w:val="clear" w:color="auto" w:fill="auto"/>
            <w:tcMar>
              <w:top w:w="120" w:type="dxa"/>
              <w:left w:w="120" w:type="dxa"/>
              <w:bottom w:w="120" w:type="dxa"/>
              <w:right w:w="120" w:type="dxa"/>
            </w:tcMar>
            <w:vAlign w:val="center"/>
          </w:tcPr>
          <w:p w14:paraId="2208B665">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1 套</w:t>
            </w:r>
          </w:p>
        </w:tc>
        <w:tc>
          <w:tcPr>
            <w:tcW w:w="4928" w:type="dxa"/>
            <w:shd w:val="clear" w:color="auto" w:fill="auto"/>
            <w:tcMar>
              <w:top w:w="120" w:type="dxa"/>
              <w:left w:w="120" w:type="dxa"/>
              <w:bottom w:w="120" w:type="dxa"/>
              <w:right w:w="120" w:type="dxa"/>
            </w:tcMar>
            <w:vAlign w:val="center"/>
          </w:tcPr>
          <w:p w14:paraId="655F1726">
            <w:pPr>
              <w:spacing w:before="0" w:after="0" w:line="276" w:lineRule="auto"/>
              <w:jc w:val="center"/>
              <w:rPr>
                <w:rFonts w:ascii="Times New Roman" w:hAnsi="Times New Roman" w:eastAsia="宋体" w:cs="Times New Roman"/>
                <w:b w:val="0"/>
                <w:bCs/>
                <w:color w:val="000000"/>
                <w:sz w:val="18"/>
              </w:rPr>
            </w:pPr>
            <w:r>
              <w:rPr>
                <w:rFonts w:ascii="Times New Roman" w:hAnsi="Times New Roman" w:eastAsia="宋体" w:cs="Times New Roman"/>
                <w:b w:val="0"/>
                <w:bCs/>
                <w:color w:val="000000"/>
                <w:sz w:val="18"/>
                <w:lang w:val="en-US" w:eastAsia="zh-CN"/>
              </w:rPr>
              <w:t>大模型、知识库、中央调度、交互日志、业务配置和用户数据支持院内前置化部署（前置服务器/前置区接入），数据不上云、不出院。</w:t>
            </w:r>
          </w:p>
        </w:tc>
      </w:tr>
    </w:tbl>
    <w:p w14:paraId="7C594453">
      <w:pPr>
        <w:pStyle w:val="201"/>
        <w:pageBreakBefore w:val="0"/>
        <w:widowControl/>
        <w:numPr>
          <w:ilvl w:val="0"/>
          <w:numId w:val="2"/>
        </w:numPr>
        <w:kinsoku/>
        <w:wordWrap/>
        <w:overflowPunct/>
        <w:topLinePunct w:val="0"/>
        <w:autoSpaceDE/>
        <w:autoSpaceDN/>
        <w:bidi w:val="0"/>
        <w:adjustRightInd/>
        <w:snapToGrid/>
        <w:spacing w:after="0" w:line="500" w:lineRule="exact"/>
        <w:ind w:leftChars="0" w:firstLine="482" w:firstLineChars="200"/>
        <w:textAlignment w:val="auto"/>
        <w:rPr>
          <w:rStyle w:val="216"/>
          <w:rFonts w:hint="eastAsia" w:ascii="宋体" w:hAnsi="宋体" w:eastAsia="宋体" w:cs="宋体"/>
          <w:b/>
          <w:color w:val="000000"/>
          <w:sz w:val="24"/>
          <w:szCs w:val="24"/>
          <w:highlight w:val="none"/>
          <w:lang w:eastAsia="zh-CN"/>
        </w:rPr>
      </w:pPr>
      <w:r>
        <w:rPr>
          <w:rStyle w:val="216"/>
          <w:rFonts w:hint="eastAsia" w:ascii="宋体" w:hAnsi="宋体" w:eastAsia="宋体" w:cs="宋体"/>
          <w:b/>
          <w:color w:val="000000"/>
          <w:sz w:val="24"/>
          <w:szCs w:val="24"/>
          <w:highlight w:val="none"/>
          <w:lang w:eastAsia="zh-CN"/>
        </w:rPr>
        <w:t>系统功能技术参数</w:t>
      </w:r>
    </w:p>
    <w:p w14:paraId="4CB430AA">
      <w:pPr>
        <w:pStyle w:val="5"/>
        <w:pageBreakBefore w:val="0"/>
        <w:widowControl/>
        <w:kinsoku/>
        <w:wordWrap/>
        <w:overflowPunct/>
        <w:topLinePunct w:val="0"/>
        <w:autoSpaceDE/>
        <w:autoSpaceDN/>
        <w:bidi w:val="0"/>
        <w:adjustRightInd/>
        <w:snapToGrid/>
        <w:spacing w:before="0" w:after="0" w:line="500" w:lineRule="exact"/>
        <w:ind w:leftChars="0" w:firstLine="482"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2.1 全双工可视化实时交互模块</w:t>
      </w:r>
    </w:p>
    <w:p w14:paraId="71D78216">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（1）智能体客服形象须是自研模型生成、具备完全自主知识产权的；智能体客服声音须是自研模型生成、具备完全自主知识产权的。 </w:t>
      </w:r>
    </w:p>
    <w:p w14:paraId="1A141364">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（2）▲智能体客服系统应具备内容安全过滤、敏感内容拦截、合规提示和安全审计能力，</w:t>
      </w:r>
      <w:r>
        <w:rPr>
          <w:rFonts w:hint="eastAsia" w:ascii="宋体" w:hAnsi="宋体" w:eastAsia="宋体" w:cs="宋体"/>
          <w:b/>
          <w:bCs/>
          <w:color w:val="000000"/>
          <w:sz w:val="24"/>
          <w:szCs w:val="24"/>
          <w:lang w:val="en-US" w:eastAsia="zh-CN"/>
        </w:rPr>
        <w:t>验收前需提供</w:t>
      </w:r>
      <w:r>
        <w:rPr>
          <w:rFonts w:hint="eastAsia" w:ascii="宋体" w:hAnsi="宋体" w:eastAsia="宋体" w:cs="宋体"/>
          <w:b/>
          <w:bCs/>
          <w:color w:val="000000"/>
          <w:sz w:val="24"/>
          <w:szCs w:val="24"/>
          <w:lang w:eastAsia="zh-CN"/>
        </w:rPr>
        <w:t>公安部深度合成安全评估报告</w:t>
      </w:r>
      <w:r>
        <w:rPr>
          <w:rFonts w:hint="eastAsia" w:ascii="宋体" w:hAnsi="宋体" w:eastAsia="宋体" w:cs="宋体"/>
          <w:b/>
          <w:bCs/>
          <w:color w:val="000000"/>
          <w:sz w:val="24"/>
          <w:szCs w:val="24"/>
          <w:lang w:val="en-US" w:eastAsia="zh-CN"/>
        </w:rPr>
        <w:t>或书面承诺函证明</w:t>
      </w:r>
      <w:r>
        <w:rPr>
          <w:rFonts w:hint="eastAsia" w:ascii="宋体" w:hAnsi="宋体" w:eastAsia="宋体" w:cs="宋体"/>
          <w:color w:val="000000"/>
          <w:sz w:val="24"/>
          <w:szCs w:val="24"/>
          <w:lang w:eastAsia="zh-CN"/>
        </w:rPr>
        <w:t>。</w:t>
      </w:r>
    </w:p>
    <w:p w14:paraId="4BE7FAE7">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（3）▲承诺客服交互系统等相关算法能力应于验收前取得国家互联网信息办公室算法备案或按规定完成生成式人工智能（深度合成）服务备案，</w:t>
      </w:r>
      <w:r>
        <w:rPr>
          <w:rFonts w:hint="eastAsia" w:ascii="宋体" w:hAnsi="宋体" w:eastAsia="宋体" w:cs="宋体"/>
          <w:b/>
          <w:bCs/>
          <w:color w:val="000000"/>
          <w:sz w:val="24"/>
          <w:szCs w:val="24"/>
          <w:lang w:eastAsia="zh-CN"/>
        </w:rPr>
        <w:t>提供承诺函加盖公章</w:t>
      </w:r>
      <w:r>
        <w:rPr>
          <w:rFonts w:hint="eastAsia" w:eastAsia="宋体"/>
          <w:lang w:eastAsia="zh-CN"/>
        </w:rPr>
        <w:t>。</w:t>
      </w:r>
    </w:p>
    <w:p w14:paraId="417B4D77">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（4）支持公众号/H5、院区服务入口、网站、终端大屏和院内大屏一体机等多端接入，形成统一智能体客服入口；支持 SDK 开发和 API 接口服务。 </w:t>
      </w:r>
    </w:p>
    <w:p w14:paraId="43BBAFC3">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（5）▲支持</w:t>
      </w:r>
      <w:r>
        <w:rPr>
          <w:rFonts w:hint="eastAsia" w:ascii="宋体" w:hAnsi="宋体" w:eastAsia="宋体" w:cs="宋体"/>
          <w:color w:val="000000"/>
          <w:sz w:val="24"/>
          <w:szCs w:val="24"/>
          <w:lang w:val="en-US" w:eastAsia="zh-CN"/>
        </w:rPr>
        <w:t>2D超写实</w:t>
      </w:r>
      <w:r>
        <w:rPr>
          <w:rFonts w:hint="eastAsia" w:ascii="宋体" w:hAnsi="宋体" w:eastAsia="宋体" w:cs="宋体"/>
          <w:color w:val="000000"/>
          <w:sz w:val="24"/>
          <w:szCs w:val="24"/>
          <w:lang w:eastAsia="zh-CN"/>
        </w:rPr>
        <w:t>智能体客服与用户进行全双工实时视频交互，用户可在同一会话中实时听、说、看、问，并支持随时打断和连续追问，客服可实时播报、回应和引导下一步操作；实时推流首响应时间小于3秒，全双工交互下语音问答延迟不高于2000ms。</w:t>
      </w:r>
    </w:p>
    <w:p w14:paraId="1C24597E">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（6）▲客服画面应支持</w:t>
      </w:r>
      <w:r>
        <w:rPr>
          <w:rFonts w:hint="eastAsia" w:ascii="宋体" w:hAnsi="宋体" w:eastAsia="宋体" w:cs="宋体"/>
          <w:color w:val="000000"/>
          <w:sz w:val="24"/>
          <w:szCs w:val="24"/>
          <w:lang w:val="en-US" w:eastAsia="zh-CN"/>
        </w:rPr>
        <w:t>写实</w:t>
      </w:r>
      <w:r>
        <w:rPr>
          <w:rFonts w:hint="eastAsia" w:ascii="宋体" w:hAnsi="宋体" w:eastAsia="宋体" w:cs="宋体"/>
          <w:color w:val="000000"/>
          <w:sz w:val="24"/>
          <w:szCs w:val="24"/>
          <w:lang w:eastAsia="zh-CN"/>
        </w:rPr>
        <w:t>高清可视化呈现，适配公众号/H5和院内终端显示；</w:t>
      </w:r>
      <w:r>
        <w:rPr>
          <w:rFonts w:hint="eastAsia" w:ascii="宋体" w:hAnsi="宋体" w:eastAsia="宋体" w:cs="宋体"/>
          <w:color w:val="000000"/>
          <w:sz w:val="24"/>
          <w:szCs w:val="24"/>
          <w:lang w:val="en-US" w:eastAsia="zh-CN"/>
        </w:rPr>
        <w:t>大屏</w:t>
      </w:r>
      <w:r>
        <w:rPr>
          <w:rFonts w:hint="eastAsia" w:ascii="宋体" w:hAnsi="宋体" w:eastAsia="宋体" w:cs="宋体"/>
          <w:color w:val="000000"/>
          <w:sz w:val="24"/>
          <w:szCs w:val="24"/>
          <w:lang w:eastAsia="zh-CN"/>
        </w:rPr>
        <w:t>分辨率≥</w:t>
      </w:r>
      <w:r>
        <w:rPr>
          <w:rFonts w:hint="eastAsia" w:ascii="宋体" w:hAnsi="宋体" w:eastAsia="宋体" w:cs="宋体"/>
          <w:color w:val="000000"/>
          <w:sz w:val="24"/>
          <w:szCs w:val="24"/>
          <w:lang w:val="en-US" w:eastAsia="zh-CN"/>
        </w:rPr>
        <w:t>1080</w:t>
      </w:r>
      <w:r>
        <w:rPr>
          <w:rFonts w:ascii="宋体" w:hAnsi="宋体" w:eastAsia="宋体" w:cs="宋体"/>
          <w:sz w:val="24"/>
          <w:szCs w:val="24"/>
        </w:rPr>
        <w:t>×1</w:t>
      </w:r>
      <w:r>
        <w:rPr>
          <w:rFonts w:hint="eastAsia" w:ascii="宋体" w:hAnsi="宋体" w:eastAsia="宋体" w:cs="宋体"/>
          <w:sz w:val="24"/>
          <w:szCs w:val="24"/>
          <w:lang w:val="en-US" w:eastAsia="zh-CN"/>
        </w:rPr>
        <w:t>920</w:t>
      </w:r>
      <w:r>
        <w:rPr>
          <w:rFonts w:hint="eastAsia" w:ascii="宋体" w:hAnsi="宋体" w:eastAsia="宋体" w:cs="宋体"/>
          <w:color w:val="000000"/>
          <w:sz w:val="24"/>
          <w:szCs w:val="24"/>
          <w:lang w:val="en-US" w:eastAsia="zh-CN"/>
        </w:rPr>
        <w:t>、移动端分辨率</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720</w:t>
      </w:r>
      <w:r>
        <w:rPr>
          <w:rFonts w:ascii="宋体" w:hAnsi="宋体" w:eastAsia="宋体" w:cs="宋体"/>
          <w:sz w:val="24"/>
          <w:szCs w:val="24"/>
        </w:rPr>
        <w:t>×</w:t>
      </w:r>
      <w:r>
        <w:rPr>
          <w:rFonts w:hint="eastAsia" w:ascii="宋体" w:hAnsi="宋体" w:eastAsia="宋体" w:cs="宋体"/>
          <w:sz w:val="24"/>
          <w:szCs w:val="24"/>
          <w:lang w:val="en-US" w:eastAsia="zh-CN"/>
        </w:rPr>
        <w:t>1280</w:t>
      </w:r>
      <w:r>
        <w:rPr>
          <w:rFonts w:hint="eastAsia" w:ascii="宋体" w:hAnsi="宋体" w:eastAsia="宋体" w:cs="宋体"/>
          <w:color w:val="000000"/>
          <w:sz w:val="24"/>
          <w:szCs w:val="24"/>
          <w:lang w:eastAsia="zh-CN"/>
        </w:rPr>
        <w:t>，推流帧率≥25FPS，可根据问答语义呈现相应表情、动作或服务状态提示，语义匹配准确率≥80%。</w:t>
      </w:r>
    </w:p>
    <w:p w14:paraId="70C7B9BE">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（7）▲系统应支持多用户同时访问时的实时推流和稳定交互，支持</w:t>
      </w:r>
      <w:r>
        <w:rPr>
          <w:rFonts w:hint="eastAsia" w:ascii="宋体" w:hAnsi="宋体" w:eastAsia="宋体" w:cs="宋体"/>
          <w:color w:val="000000"/>
          <w:sz w:val="24"/>
          <w:szCs w:val="24"/>
          <w:lang w:val="en-US" w:eastAsia="zh-CN"/>
        </w:rPr>
        <w:t>最少20路并发、最多</w:t>
      </w:r>
      <w:r>
        <w:rPr>
          <w:rFonts w:hint="eastAsia" w:ascii="宋体" w:hAnsi="宋体" w:eastAsia="宋体" w:cs="宋体"/>
          <w:color w:val="000000"/>
          <w:sz w:val="24"/>
          <w:szCs w:val="24"/>
          <w:lang w:eastAsia="zh-CN"/>
        </w:rPr>
        <w:t xml:space="preserve">50路并发实时推流，满足医院公众号及现场终端高峰咨询场景。 </w:t>
      </w:r>
    </w:p>
    <w:p w14:paraId="4C3D839A">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（8）▲支持普通话及常见口音识别，具备嘈杂院内场景下的语音识别优化能力；用户语音 ASR 识别准确率≥95%，可扩展英语等外语识别与回复能力。 </w:t>
      </w:r>
    </w:p>
    <w:p w14:paraId="59D4EBFE">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（9）历史交互数据应按医院要求留存，支持日志查询、问题追溯和效果优化；历史交互数据保存≥1 年，系统整体可用性≥90%（按月统计，计划内维护除外），网络安全、高负载等异常情况下重大故障恢复时间 &lt; 24 小时。</w:t>
      </w:r>
    </w:p>
    <w:p w14:paraId="214EB60E">
      <w:pPr>
        <w:pStyle w:val="5"/>
        <w:pageBreakBefore w:val="0"/>
        <w:widowControl/>
        <w:kinsoku/>
        <w:wordWrap/>
        <w:overflowPunct/>
        <w:topLinePunct w:val="0"/>
        <w:autoSpaceDE/>
        <w:autoSpaceDN/>
        <w:bidi w:val="0"/>
        <w:adjustRightInd/>
        <w:snapToGrid/>
        <w:spacing w:before="0" w:after="0" w:line="500" w:lineRule="exact"/>
        <w:ind w:leftChars="0" w:firstLine="482"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2.2 智能体功能模块</w:t>
      </w:r>
    </w:p>
    <w:p w14:paraId="00BB75D8">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基于医院智能体平台开发预问诊智能体，支持通过多轮对话采集症状、持续时间、伴随症状、过敏史、用药史、既往史等信息，并根据问答结果推荐适合优先咨询的科室；预问诊结果仅用于就医引导，不得替代医生诊断。 </w:t>
      </w:r>
    </w:p>
    <w:p w14:paraId="2558B543">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（2）▲基于医院智能体平台开发智能挂号智能体，支持预约挂号场景下的就诊人、科室、日期、时段、医生和号源信息确认，并引导用户完成预约确认及后续就诊提示。 </w:t>
      </w:r>
    </w:p>
    <w:p w14:paraId="3CD508A2">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（3）▲基于医院智能体平台开发检验检查报告查询智能体，支持查询检验、检查报告状态、报告列表和报告详情，帮助用户确认报告是否已出，并提供查看、下载或转存等操作入口。 </w:t>
      </w:r>
    </w:p>
    <w:p w14:paraId="5072DCB5">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（4）▲基于医院智能体平台开发报告初步解读智能体，在用户选择已查询报告后，对异常标记和指标含义进行通俗说明，可结合用户补充症状给出就医建议，并明确报告解读不替代医生诊断。 </w:t>
      </w:r>
    </w:p>
    <w:p w14:paraId="0D1A5BBA">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（5）▲基于医院智能体平台开发药品知识咨询智能体，结合医院药品知识、国家级权威医药知识库等内容，提供药品说明、用药注意事项、禁忌提醒、处方内药品咨询等服务，并提示用药安全边界。 </w:t>
      </w:r>
    </w:p>
    <w:p w14:paraId="62D4D960">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（6）▲基于医院智能体平台开发医疗器械使用咨询智能体，围绕血压计、血糖仪、雾化器等常见器械，提供使用步骤、注意事项、安全提醒、异常情况处理建议和可视化示范。 </w:t>
      </w:r>
    </w:p>
    <w:p w14:paraId="0B7A1EBA">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（7）▲基于医院智能体平台开发院内导航智能体，可根据用户描述在公众号 / H5、院区服务入口及院内大屏一体机上提供科室、检查地点、药房、服务窗口、卫生间、出入口、电梯、扶梯等目标位置，提供楼栋、楼层、方向、路径、预计到达时间等可视化路线引导，并支持通过智能体客服进行语音播报和下一步引导。</w:t>
      </w:r>
    </w:p>
    <w:p w14:paraId="01B53289">
      <w:pPr>
        <w:pStyle w:val="5"/>
        <w:pageBreakBefore w:val="0"/>
        <w:widowControl/>
        <w:kinsoku/>
        <w:wordWrap/>
        <w:overflowPunct/>
        <w:topLinePunct w:val="0"/>
        <w:autoSpaceDE/>
        <w:autoSpaceDN/>
        <w:bidi w:val="0"/>
        <w:adjustRightInd/>
        <w:snapToGrid/>
        <w:spacing w:before="0" w:after="0" w:line="500" w:lineRule="exact"/>
        <w:ind w:leftChars="0" w:firstLine="482"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2.3 中央调度系统模块</w:t>
      </w:r>
    </w:p>
    <w:p w14:paraId="02DF1C9D">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（1）投标人必须具备智能体开发经验和相关项目案例，相关案例应至少覆盖智能体客服、实时交互、业务流程编排、知识库问答、H5 / 公众号入口集成、终端大屏或一体机服务接入等一项或多项能力。 </w:t>
      </w:r>
    </w:p>
    <w:p w14:paraId="0D0DC343">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（2）系统应同时分析语音流、文本流、上下文、入口来源和用户操作状态，识别用户咨询、导航、医药问答、器械问答、智能办事等意图，识别结果应可记录、可追溯、可测试，</w:t>
      </w:r>
      <w:r>
        <w:rPr>
          <w:rFonts w:hint="eastAsia" w:ascii="宋体" w:hAnsi="宋体" w:eastAsia="宋体" w:cs="宋体"/>
          <w:color w:val="000000"/>
          <w:sz w:val="24"/>
          <w:szCs w:val="24"/>
          <w:lang w:val="en-US" w:eastAsia="zh-CN"/>
        </w:rPr>
        <w:t>意图识别准确率</w:t>
      </w:r>
      <w:r>
        <w:rPr>
          <w:rFonts w:hint="eastAsia" w:ascii="宋体" w:hAnsi="宋体" w:eastAsia="宋体" w:cs="宋体"/>
          <w:color w:val="000000"/>
          <w:sz w:val="24"/>
          <w:szCs w:val="24"/>
          <w:lang w:eastAsia="zh-CN"/>
        </w:rPr>
        <w:t>≥9</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lang w:eastAsia="zh-CN"/>
        </w:rPr>
        <w:t xml:space="preserve">%。 </w:t>
      </w:r>
    </w:p>
    <w:p w14:paraId="5263C6E2">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（3）▲建设门控路由系统，对用户请求进行分类、置信度判断、风险识别和任务分发，避免医疗高风险问题误进入普通问答；路由准确率≥95%。 </w:t>
      </w:r>
    </w:p>
    <w:p w14:paraId="42DE59F7">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中央调度系统应可导向智能客服咨询问答、院内实时可视化导航、医药知识问答、医疗器械使用可视化咨询、智能体诊疗办事、大模型和三层知识库系统、用户记忆工程、私有化部署、智能体就医导航和院内导航。 </w:t>
      </w:r>
    </w:p>
    <w:p w14:paraId="4CAA1D34">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（5）支持多轮对话、槽位收集、上下文保持、工具调用、结果确认和下一步引导，避免用户重复描述需求。 </w:t>
      </w:r>
    </w:p>
    <w:p w14:paraId="2245D04D">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（6）支持与挂号、报告查询、导航、投诉建议等院内业务入口或接口衔接，在权限允许范围内完成工具调用和结果回传。 </w:t>
      </w:r>
    </w:p>
    <w:p w14:paraId="4DAEA7F1">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（7）对低置信度、医疗风险、权限不足、接口异常等场景应提供转人工、提示线下确认、重试或降级方案。 </w:t>
      </w:r>
    </w:p>
    <w:p w14:paraId="02D54B17">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（8）建设医院服务知识库、国家级权威医药知识库、医疗器械及院内导航知识库三层知识库体系，分别支撑医院服务咨询、专业医药问答、器械示范和空间导航。 </w:t>
      </w:r>
    </w:p>
    <w:p w14:paraId="44C25072">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（9）专业医药知识问答应采用国家级权威知识库或具有同等权威来源的数据，回答应标注信息来源、适用边界和就医提醒。 </w:t>
      </w:r>
    </w:p>
    <w:p w14:paraId="21A550D3">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（10）支持向量检索、关键词检索、原文检索、知识图谱或同等能力，提升知识命中、答案可追溯和复杂问题拆解能力；知识库检索准确率≥90%，相关领域知识问答准确率≥95%。 </w:t>
      </w:r>
    </w:p>
    <w:p w14:paraId="0D744A7F">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（11）在用户授权和医院管理要求范围内建设用户记忆工程，记录用户偏好、历史咨询、上下文和未完成服务状态，支撑连续服务；应支持权限控制、脱敏存储、可删除、可审计。 </w:t>
      </w:r>
    </w:p>
    <w:p w14:paraId="4258011D">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（12）大模型、知识库、中央调度、交互日志、业务配置和用户数据应支持院内前置化部署（前置服务器/前置区接入）或院内可控部署，数据不上云、不出院。</w:t>
      </w:r>
    </w:p>
    <w:p w14:paraId="2A36F262">
      <w:pPr>
        <w:pStyle w:val="5"/>
        <w:pageBreakBefore w:val="0"/>
        <w:widowControl/>
        <w:kinsoku/>
        <w:wordWrap/>
        <w:overflowPunct/>
        <w:topLinePunct w:val="0"/>
        <w:autoSpaceDE/>
        <w:autoSpaceDN/>
        <w:bidi w:val="0"/>
        <w:adjustRightInd/>
        <w:snapToGrid/>
        <w:spacing w:before="0" w:after="0" w:line="500" w:lineRule="exact"/>
        <w:ind w:leftChars="0" w:firstLine="482"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2.4 部署与安全要求</w:t>
      </w:r>
    </w:p>
    <w:p w14:paraId="6AB44047">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ascii="宋体" w:hAnsi="宋体" w:eastAsia="宋体" w:cs="宋体"/>
          <w:sz w:val="24"/>
          <w:szCs w:val="24"/>
        </w:rPr>
      </w:pPr>
      <w:r>
        <w:rPr>
          <w:rFonts w:hint="eastAsia" w:ascii="宋体" w:hAnsi="宋体" w:eastAsia="宋体" w:cs="宋体"/>
          <w:color w:val="000000"/>
          <w:sz w:val="24"/>
          <w:szCs w:val="24"/>
          <w:lang w:eastAsia="zh-CN"/>
        </w:rPr>
        <w:t>（1）▲</w:t>
      </w:r>
      <w:r>
        <w:rPr>
          <w:rFonts w:ascii="宋体" w:hAnsi="宋体" w:eastAsia="宋体" w:cs="宋体"/>
          <w:sz w:val="24"/>
          <w:szCs w:val="24"/>
        </w:rPr>
        <w:t>系统采用院内前置化部署模式，大模型推理、知识库、中央调度及交互服务均部署于采购人院内前置服务器（前置区）环境，通过院方网络安全边界合规接入，不依赖院外或公有云环境完成核心处理；系统运行产生的全部院内数据（含交互音视频、文本、业务数据、日志、用户信息等）的采集、传输、存储和处理均在院内闭环完成，不得以任何形式上传至院外或第三方云平台，知识库更新等外部数据引入须经采购人审批并留存记录。</w:t>
      </w:r>
    </w:p>
    <w:p w14:paraId="3889B024">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）投标人须配合采购人完成本项目涉及的信息系统网络安全等级保护测评与整改工作，相关配合费用包含在投标报价中。</w:t>
      </w:r>
    </w:p>
    <w:p w14:paraId="1AF561C1">
      <w:pPr>
        <w:pageBreakBefore w:val="0"/>
        <w:widowControl/>
        <w:kinsoku/>
        <w:wordWrap/>
        <w:overflowPunct/>
        <w:topLinePunct w:val="0"/>
        <w:autoSpaceDE/>
        <w:autoSpaceDN/>
        <w:bidi w:val="0"/>
        <w:adjustRightInd/>
        <w:snapToGrid/>
        <w:spacing w:after="0" w:line="500" w:lineRule="exact"/>
        <w:ind w:leftChars="0" w:firstLine="480" w:firstLineChars="200"/>
        <w:jc w:val="both"/>
        <w:textAlignment w:val="auto"/>
        <w:rPr>
          <w:rStyle w:val="48"/>
          <w:rFonts w:hint="eastAsia" w:ascii="宋体" w:hAnsi="宋体" w:eastAsia="宋体" w:cs="宋体"/>
          <w:b w:val="0"/>
          <w:bCs/>
          <w:sz w:val="24"/>
          <w:szCs w:val="24"/>
          <w:highlight w:val="none"/>
          <w:shd w:val="clear" w:color="auto" w:fill="FFFFFF"/>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）系统网络日志留存不少于6个月，交互数据留存不少于1年，敏感信息须脱敏存储，支持审计、追溯与导出。</w:t>
      </w:r>
    </w:p>
    <w:p w14:paraId="4784791C">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Style w:val="48"/>
          <w:rFonts w:hint="eastAsia" w:ascii="宋体" w:hAnsi="宋体" w:eastAsia="宋体" w:cs="宋体"/>
          <w:sz w:val="24"/>
          <w:szCs w:val="24"/>
          <w:highlight w:val="none"/>
          <w:shd w:val="clear" w:color="auto" w:fill="FFFFFF"/>
          <w:lang w:eastAsia="zh-CN"/>
        </w:rPr>
      </w:pPr>
      <w:r>
        <w:rPr>
          <w:rStyle w:val="48"/>
          <w:rFonts w:hint="eastAsia" w:ascii="宋体" w:hAnsi="宋体" w:eastAsia="宋体" w:cs="宋体"/>
          <w:sz w:val="24"/>
          <w:szCs w:val="24"/>
          <w:highlight w:val="none"/>
          <w:shd w:val="clear" w:color="auto" w:fill="FFFFFF"/>
          <w:lang w:val="en-US" w:eastAsia="zh-CN"/>
        </w:rPr>
        <w:t>三</w:t>
      </w:r>
      <w:r>
        <w:rPr>
          <w:rStyle w:val="48"/>
          <w:rFonts w:hint="eastAsia" w:ascii="宋体" w:hAnsi="宋体" w:eastAsia="宋体" w:cs="宋体"/>
          <w:sz w:val="24"/>
          <w:szCs w:val="24"/>
          <w:highlight w:val="none"/>
          <w:shd w:val="clear" w:color="auto" w:fill="FFFFFF"/>
          <w:lang w:eastAsia="zh-CN"/>
        </w:rPr>
        <w:t>、一般技术服务要求</w:t>
      </w:r>
    </w:p>
    <w:p w14:paraId="34AA784E">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在投标文件中必须对所有招标技术（服务）规格与要求逐一做出技术（服务）应答，如果有其中某些条款不响应时，应在投标文件中逐条列出，未列出的视同响应。本项目技术参数中，标注“▲”的条款为重要技术参数，按评标办法相应计分。</w:t>
      </w:r>
    </w:p>
    <w:p w14:paraId="3567015C">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Style w:val="48"/>
          <w:rFonts w:hint="eastAsia" w:ascii="宋体" w:hAnsi="宋体" w:eastAsia="宋体" w:cs="宋体"/>
          <w:sz w:val="24"/>
          <w:szCs w:val="24"/>
          <w:highlight w:val="none"/>
          <w:shd w:val="clear" w:color="auto" w:fill="FFFFFF"/>
          <w:lang w:eastAsia="zh-CN"/>
        </w:rPr>
      </w:pPr>
      <w:r>
        <w:rPr>
          <w:rStyle w:val="48"/>
          <w:rFonts w:hint="eastAsia" w:ascii="宋体" w:hAnsi="宋体" w:eastAsia="宋体" w:cs="宋体"/>
          <w:sz w:val="24"/>
          <w:szCs w:val="24"/>
          <w:highlight w:val="none"/>
          <w:shd w:val="clear" w:color="auto" w:fill="FFFFFF"/>
          <w:lang w:val="en-US" w:eastAsia="zh-CN"/>
        </w:rPr>
        <w:t>四</w:t>
      </w:r>
      <w:r>
        <w:rPr>
          <w:rStyle w:val="48"/>
          <w:rFonts w:hint="eastAsia" w:ascii="宋体" w:hAnsi="宋体" w:eastAsia="宋体" w:cs="宋体"/>
          <w:sz w:val="24"/>
          <w:szCs w:val="24"/>
          <w:highlight w:val="none"/>
          <w:shd w:val="clear" w:color="auto" w:fill="FFFFFF"/>
          <w:lang w:eastAsia="zh-CN"/>
        </w:rPr>
        <w:t>、商务条款</w:t>
      </w:r>
    </w:p>
    <w:p w14:paraId="5CB033CE">
      <w:pPr>
        <w:pStyle w:val="201"/>
        <w:keepNext w:val="0"/>
        <w:keepLines w:val="0"/>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（一）服务内容及人员要求</w:t>
      </w:r>
    </w:p>
    <w:p w14:paraId="47530AB0">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eastAsia="zh-CN"/>
        </w:rPr>
        <w:t>1. 总体要求</w:t>
      </w:r>
    </w:p>
    <w:p w14:paraId="7897CBCD">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 中标单位应本着认真负责态度，组织组建项目队伍，认真做好本微信智能体客服系统项目的实施、服务、维护以及技术支持工作，涵盖智能客服入口建设、智能体功能开发、中央调度对接、知识库与系统部署等全部内容。</w:t>
      </w:r>
    </w:p>
    <w:p w14:paraId="139CD32E">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 中标单位应负责在项目验收时将项目相关技术文件、资料、部署、测试、运维等文档完整交付给用户方。</w:t>
      </w:r>
    </w:p>
    <w:p w14:paraId="65A14B3C">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 结合医院实际业务情况，拟定详细的系统实施计划，包括交付、部署、测试、试运行、培训及上线计划，并保证在合同规定时间内上线，上线后系统平稳运行。</w:t>
      </w:r>
    </w:p>
    <w:p w14:paraId="2CEB4FD4">
      <w:pPr>
        <w:pStyle w:val="201"/>
        <w:pageBreakBefore w:val="0"/>
        <w:kinsoku/>
        <w:wordWrap/>
        <w:overflowPunct/>
        <w:topLinePunct w:val="0"/>
        <w:autoSpaceDE/>
        <w:autoSpaceDN/>
        <w:bidi w:val="0"/>
        <w:adjustRightInd/>
        <w:snapToGrid/>
        <w:spacing w:line="500" w:lineRule="exact"/>
        <w:ind w:leftChars="0"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2. 人员培训</w:t>
      </w:r>
    </w:p>
    <w:p w14:paraId="17AC0B4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中标单位应负责使用人员的培训及考核，并在项目实施后继续按照招标人要求开展培训。培训对象包括信息部门系统管理员、日常维护人员、技术层面人员；实际应用部门的管理人员、操作人员。系统管理人员培训内容为系统运维、知识库维护及后台管理等相关技术内容；管理人员培训内容为系统流程和相关管理思想；操作人员培训内容为智能客服日常使用与业务办理流程。</w:t>
      </w:r>
    </w:p>
    <w:p w14:paraId="5ADD2BEB">
      <w:pPr>
        <w:pStyle w:val="201"/>
        <w:pageBreakBefore w:val="0"/>
        <w:kinsoku/>
        <w:wordWrap/>
        <w:overflowPunct/>
        <w:topLinePunct w:val="0"/>
        <w:autoSpaceDE/>
        <w:autoSpaceDN/>
        <w:bidi w:val="0"/>
        <w:adjustRightInd/>
        <w:snapToGrid/>
        <w:spacing w:line="500" w:lineRule="exact"/>
        <w:ind w:leftChars="0" w:firstLine="482" w:firstLineChars="200"/>
        <w:textAlignment w:val="auto"/>
        <w:rPr>
          <w:rFonts w:hint="eastAsia" w:ascii="宋体" w:hAnsi="宋体" w:eastAsia="宋体" w:cs="宋体"/>
          <w:b/>
          <w:sz w:val="24"/>
          <w:szCs w:val="24"/>
          <w:lang w:eastAsia="zh-CN"/>
        </w:rPr>
      </w:pPr>
      <w:r>
        <w:rPr>
          <w:rFonts w:hint="eastAsia" w:ascii="宋体" w:hAnsi="宋体" w:eastAsia="宋体" w:cs="宋体"/>
          <w:b/>
          <w:sz w:val="24"/>
          <w:szCs w:val="24"/>
          <w:lang w:eastAsia="zh-CN"/>
        </w:rPr>
        <w:t>3. 对实施人员的要求</w:t>
      </w:r>
    </w:p>
    <w:p w14:paraId="259EB394">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招标人有权根据实施情况要求更换项目经理和实施人员。</w:t>
      </w:r>
    </w:p>
    <w:p w14:paraId="32B7790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对中标单位项目经理等级基本要求：要求投标人针对本项目成立项目小组，人员一旦得到招标人确认，无特殊理由不得随意变动。</w:t>
      </w:r>
    </w:p>
    <w:tbl>
      <w:tblPr>
        <w:tblStyle w:val="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84"/>
        <w:gridCol w:w="1097"/>
        <w:gridCol w:w="791"/>
        <w:gridCol w:w="6883"/>
      </w:tblGrid>
      <w:tr w14:paraId="59892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0" w:type="auto"/>
            <w:tcBorders>
              <w:top w:val="single" w:color="CCCCCC" w:sz="6" w:space="0"/>
              <w:left w:val="single" w:color="CCCCCC" w:sz="6" w:space="0"/>
              <w:bottom w:val="single" w:color="CCCCCC" w:sz="6" w:space="0"/>
              <w:right w:val="single" w:color="CCCCCC" w:sz="6" w:space="0"/>
            </w:tcBorders>
            <w:shd w:val="clear" w:color="auto" w:fill="FFFFFF" w:themeFill="background1"/>
            <w:tcMar>
              <w:top w:w="120" w:type="dxa"/>
              <w:left w:w="120" w:type="dxa"/>
              <w:bottom w:w="120" w:type="dxa"/>
              <w:right w:w="120" w:type="dxa"/>
            </w:tcMar>
            <w:vAlign w:val="center"/>
          </w:tcPr>
          <w:p w14:paraId="4A7CE243">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序号</w:t>
            </w:r>
          </w:p>
        </w:tc>
        <w:tc>
          <w:tcPr>
            <w:tcW w:w="0" w:type="auto"/>
            <w:tcBorders>
              <w:top w:val="single" w:color="CCCCCC" w:sz="6" w:space="0"/>
              <w:left w:val="single" w:color="CCCCCC" w:sz="6" w:space="0"/>
              <w:bottom w:val="single" w:color="CCCCCC" w:sz="6" w:space="0"/>
              <w:right w:val="single" w:color="CCCCCC" w:sz="6" w:space="0"/>
            </w:tcBorders>
            <w:shd w:val="clear" w:color="auto" w:fill="FFFFFF" w:themeFill="background1"/>
            <w:tcMar>
              <w:top w:w="120" w:type="dxa"/>
              <w:left w:w="120" w:type="dxa"/>
              <w:bottom w:w="120" w:type="dxa"/>
              <w:right w:w="120" w:type="dxa"/>
            </w:tcMar>
            <w:vAlign w:val="center"/>
          </w:tcPr>
          <w:p w14:paraId="064C79A4">
            <w:pPr>
              <w:pageBreakBefore w:val="0"/>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岗位</w:t>
            </w:r>
          </w:p>
        </w:tc>
        <w:tc>
          <w:tcPr>
            <w:tcW w:w="0" w:type="auto"/>
            <w:tcBorders>
              <w:top w:val="single" w:color="CCCCCC" w:sz="6" w:space="0"/>
              <w:left w:val="single" w:color="CCCCCC" w:sz="6" w:space="0"/>
              <w:bottom w:val="single" w:color="CCCCCC" w:sz="6" w:space="0"/>
              <w:right w:val="single" w:color="CCCCCC" w:sz="6" w:space="0"/>
            </w:tcBorders>
            <w:shd w:val="clear" w:color="auto" w:fill="FFFFFF" w:themeFill="background1"/>
            <w:tcMar>
              <w:top w:w="120" w:type="dxa"/>
              <w:left w:w="120" w:type="dxa"/>
              <w:bottom w:w="120" w:type="dxa"/>
              <w:right w:w="120" w:type="dxa"/>
            </w:tcMar>
            <w:vAlign w:val="center"/>
          </w:tcPr>
          <w:p w14:paraId="07F1FC8C">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人数下限</w:t>
            </w:r>
          </w:p>
        </w:tc>
        <w:tc>
          <w:tcPr>
            <w:tcW w:w="0" w:type="auto"/>
            <w:tcBorders>
              <w:top w:val="single" w:color="CCCCCC" w:sz="6" w:space="0"/>
              <w:left w:val="single" w:color="CCCCCC" w:sz="6" w:space="0"/>
              <w:bottom w:val="single" w:color="CCCCCC" w:sz="6" w:space="0"/>
              <w:right w:val="single" w:color="CCCCCC" w:sz="6" w:space="0"/>
            </w:tcBorders>
            <w:shd w:val="clear" w:color="auto" w:fill="FFFFFF" w:themeFill="background1"/>
            <w:tcMar>
              <w:top w:w="120" w:type="dxa"/>
              <w:left w:w="120" w:type="dxa"/>
              <w:bottom w:w="120" w:type="dxa"/>
              <w:right w:w="120" w:type="dxa"/>
            </w:tcMar>
            <w:vAlign w:val="center"/>
          </w:tcPr>
          <w:p w14:paraId="21D72427">
            <w:pPr>
              <w:pageBreakBefore w:val="0"/>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基本要求</w:t>
            </w:r>
          </w:p>
        </w:tc>
      </w:tr>
      <w:tr w14:paraId="0B74A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96A1543">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3693C9D">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项目经理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51A8AA2">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EAF377D">
            <w:pPr>
              <w:pageBreakBefore w:val="0"/>
              <w:kinsoku/>
              <w:wordWrap/>
              <w:overflowPunct/>
              <w:topLinePunct w:val="0"/>
              <w:autoSpaceDE/>
              <w:autoSpaceDN/>
              <w:bidi w:val="0"/>
              <w:adjustRightInd/>
              <w:snapToGrid/>
              <w:spacing w:after="0" w:line="500" w:lineRule="exact"/>
              <w:ind w:leftChars="0"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具备信息系统项目管理相关经验，及本项目服务内容（智能客服、智能体系统建设与运维）相关的专业基础理论知识和专业技术知识。</w:t>
            </w:r>
          </w:p>
        </w:tc>
      </w:tr>
      <w:tr w14:paraId="7838A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5D04F46">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0C34AC5">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核心软件工程师</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CBE5E6">
            <w:pPr>
              <w:pageBreakBefore w:val="0"/>
              <w:kinsoku/>
              <w:wordWrap/>
              <w:overflowPunct/>
              <w:topLinePunct w:val="0"/>
              <w:autoSpaceDE/>
              <w:autoSpaceDN/>
              <w:bidi w:val="0"/>
              <w:adjustRightInd/>
              <w:snapToGrid/>
              <w:spacing w:after="0" w:line="50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551C978">
            <w:pPr>
              <w:pageBreakBefore w:val="0"/>
              <w:kinsoku/>
              <w:wordWrap/>
              <w:overflowPunct/>
              <w:topLinePunct w:val="0"/>
              <w:autoSpaceDE/>
              <w:autoSpaceDN/>
              <w:bidi w:val="0"/>
              <w:adjustRightInd/>
              <w:snapToGrid/>
              <w:spacing w:after="0" w:line="500" w:lineRule="exact"/>
              <w:ind w:leftChars="0" w:firstLine="480" w:firstLineChars="20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熟悉数据库系统设计、开发与运维流程，熟悉后端服务开发与系统对接，具备承担本项目数据管理与智能体系统开发任务的专业能力。</w:t>
            </w:r>
          </w:p>
        </w:tc>
      </w:tr>
    </w:tbl>
    <w:p w14:paraId="2265A7DE">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4. 驻场开发要求</w:t>
      </w:r>
    </w:p>
    <w:p w14:paraId="2FB53EBF">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ascii="宋体" w:hAnsi="宋体" w:eastAsia="宋体" w:cs="宋体"/>
          <w:sz w:val="24"/>
          <w:szCs w:val="24"/>
        </w:rPr>
      </w:pPr>
      <w:r>
        <w:rPr>
          <w:rFonts w:hint="eastAsia" w:ascii="宋体" w:hAnsi="宋体" w:eastAsia="宋体" w:cs="宋体"/>
          <w:sz w:val="24"/>
          <w:szCs w:val="24"/>
        </w:rPr>
        <w:t xml:space="preserve">4.1 </w:t>
      </w:r>
      <w:r>
        <w:rPr>
          <w:rFonts w:ascii="宋体" w:hAnsi="宋体" w:eastAsia="宋体" w:cs="宋体"/>
          <w:sz w:val="24"/>
          <w:szCs w:val="24"/>
        </w:rPr>
        <w:t>中标人须承诺并实施驻场开发：自项目启动之日起，安排项目</w:t>
      </w:r>
      <w:r>
        <w:rPr>
          <w:rFonts w:hint="eastAsia" w:ascii="宋体" w:hAnsi="宋体" w:eastAsia="宋体" w:cs="宋体"/>
          <w:sz w:val="24"/>
          <w:szCs w:val="24"/>
          <w:lang w:val="en-US" w:eastAsia="zh-CN"/>
        </w:rPr>
        <w:t>负责人及其成员</w:t>
      </w:r>
      <w:r>
        <w:rPr>
          <w:rFonts w:ascii="宋体" w:hAnsi="宋体" w:eastAsia="宋体" w:cs="宋体"/>
          <w:sz w:val="24"/>
          <w:szCs w:val="24"/>
        </w:rPr>
        <w:t>驻场</w:t>
      </w:r>
      <w:r>
        <w:rPr>
          <w:rFonts w:hint="eastAsia" w:ascii="宋体" w:hAnsi="宋体" w:eastAsia="宋体" w:cs="宋体"/>
          <w:sz w:val="24"/>
          <w:szCs w:val="24"/>
          <w:lang w:val="en-US" w:eastAsia="zh-CN"/>
        </w:rPr>
        <w:t>开发</w:t>
      </w:r>
      <w:r>
        <w:rPr>
          <w:rFonts w:ascii="宋体" w:hAnsi="宋体" w:eastAsia="宋体" w:cs="宋体"/>
          <w:sz w:val="24"/>
          <w:szCs w:val="24"/>
        </w:rPr>
        <w:t>，驻场</w:t>
      </w:r>
      <w:r>
        <w:rPr>
          <w:rFonts w:hint="eastAsia" w:ascii="宋体" w:hAnsi="宋体" w:eastAsia="宋体" w:cs="宋体"/>
          <w:sz w:val="24"/>
          <w:szCs w:val="24"/>
          <w:lang w:val="en-US" w:eastAsia="zh-CN"/>
        </w:rPr>
        <w:t>开发</w:t>
      </w:r>
      <w:r>
        <w:rPr>
          <w:rFonts w:ascii="宋体" w:hAnsi="宋体" w:eastAsia="宋体" w:cs="宋体"/>
          <w:sz w:val="24"/>
          <w:szCs w:val="24"/>
        </w:rPr>
        <w:t>服务期限不少</w:t>
      </w:r>
      <w:r>
        <w:rPr>
          <w:rFonts w:hint="eastAsia" w:ascii="宋体" w:hAnsi="宋体" w:eastAsia="宋体" w:cs="宋体"/>
          <w:sz w:val="24"/>
          <w:szCs w:val="24"/>
          <w:lang w:val="en-US" w:eastAsia="zh-CN"/>
        </w:rPr>
        <w:t>于</w:t>
      </w:r>
      <w:r>
        <w:rPr>
          <w:rFonts w:ascii="宋体" w:hAnsi="宋体" w:eastAsia="宋体" w:cs="宋体"/>
          <w:sz w:val="24"/>
          <w:szCs w:val="24"/>
        </w:rPr>
        <w:t>6个月，覆盖项目开发、系统上线及初期运维保障全阶段。</w:t>
      </w:r>
    </w:p>
    <w:p w14:paraId="7BF92C1D">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4.2 驻场人员须服从采购人现场管理要求，签订保密协议；未经采购人同意，不得擅自更换驻场人员；驻场产生的全部费用（含差旅、住宿、人力等）已包含在投标报价中，采购人不再另行支付。</w:t>
      </w:r>
    </w:p>
    <w:p w14:paraId="339C4B7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4.3 </w:t>
      </w:r>
      <w:r>
        <w:rPr>
          <w:rFonts w:ascii="宋体" w:hAnsi="宋体" w:eastAsia="宋体" w:cs="宋体"/>
          <w:sz w:val="24"/>
          <w:szCs w:val="24"/>
        </w:rPr>
        <w:t>投标人须在投标文件中提供驻场开发承诺函（格式自拟），作为本项目履约及现场服务承诺评分项的评审依据。承诺函应载明驻场人员名单、驻场服务时段及擅自撤场的违约责任；未提供承诺函或承诺内容不满足评分标准要求的，按评分标准相应档位计分。</w:t>
      </w:r>
    </w:p>
    <w:p w14:paraId="07B58F0E">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5. 前置部署与数据安全履约要求</w:t>
      </w:r>
    </w:p>
    <w:p w14:paraId="29883218">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5.1 中标人须按本项目要求采用院内前置化部署方案完成系统部署，确保全部院内数据不出院、不上云；部署前须向采购人提交数据流向说明及安全实施方案，经审核同意后实施。</w:t>
      </w:r>
    </w:p>
    <w:p w14:paraId="31C019A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5.2 中标人须确保算法备案、安全评估等合规证明在合同期内持续有效，并按采购人要求配合完成合规复核及备案信息更新；发生数据出院、数据上传云平台等违规行为的，采购人有权解除合同并追究相应责任。</w:t>
      </w:r>
    </w:p>
    <w:p w14:paraId="4BABE5BC">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eastAsia="zh-CN"/>
        </w:rPr>
        <w:t>服务期限</w:t>
      </w:r>
    </w:p>
    <w:p w14:paraId="1C9949CC">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rPr>
        <w:t>30天内</w:t>
      </w:r>
      <w:r>
        <w:rPr>
          <w:rFonts w:hint="eastAsia" w:ascii="宋体" w:hAnsi="宋体" w:eastAsia="宋体" w:cs="宋体"/>
          <w:sz w:val="24"/>
          <w:szCs w:val="24"/>
          <w:highlight w:val="none"/>
          <w:lang w:eastAsia="zh-CN"/>
        </w:rPr>
        <w:t>完成项目，验收结束后，进入</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年的免费维保期。</w:t>
      </w:r>
    </w:p>
    <w:p w14:paraId="3FB0CB2F">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lang w:eastAsia="zh-CN"/>
        </w:rPr>
        <w:t>）培训服务</w:t>
      </w:r>
    </w:p>
    <w:p w14:paraId="7C6FAD20">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中标供应商需提供系统的操作培训服务，确保太仓市娄江新城医院（瑞金医院太仓分院）及相关用户能够熟练使用系统。</w:t>
      </w:r>
    </w:p>
    <w:p w14:paraId="6351A9C5">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四</w:t>
      </w:r>
      <w:r>
        <w:rPr>
          <w:rFonts w:hint="eastAsia" w:ascii="宋体" w:hAnsi="宋体" w:eastAsia="宋体" w:cs="宋体"/>
          <w:b/>
          <w:bCs/>
          <w:sz w:val="24"/>
          <w:szCs w:val="24"/>
          <w:highlight w:val="none"/>
          <w:lang w:eastAsia="zh-CN"/>
        </w:rPr>
        <w:t>）运维服务</w:t>
      </w:r>
    </w:p>
    <w:p w14:paraId="4EEAE23A">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本项目验收合格后，承建方需提供</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年的免费运维服务期，服务内容包括系统故障排除、性能优化等。</w:t>
      </w:r>
    </w:p>
    <w:p w14:paraId="23F5A7FC">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免费运维服务期内，承建单位需配合完成后续新增服务场景与业务系统的数据接入、系统集成，以及根据要求提供对外数据安全共享服务。</w:t>
      </w:r>
    </w:p>
    <w:p w14:paraId="223A2B04">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五</w:t>
      </w:r>
      <w:r>
        <w:rPr>
          <w:rFonts w:hint="eastAsia" w:ascii="宋体" w:hAnsi="宋体" w:eastAsia="宋体" w:cs="宋体"/>
          <w:b/>
          <w:bCs/>
          <w:sz w:val="24"/>
          <w:szCs w:val="24"/>
          <w:highlight w:val="none"/>
          <w:lang w:eastAsia="zh-CN"/>
        </w:rPr>
        <w:t>）安全保障</w:t>
      </w:r>
    </w:p>
    <w:p w14:paraId="2C91025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标单位在项目实施期间需按质量管理体系，对工程建设各阶段进行严格的质量监督与控制。在项目实施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w:t>
      </w:r>
    </w:p>
    <w:p w14:paraId="52135477">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六</w:t>
      </w:r>
      <w:r>
        <w:rPr>
          <w:rFonts w:hint="eastAsia" w:ascii="宋体" w:hAnsi="宋体" w:eastAsia="宋体" w:cs="宋体"/>
          <w:b/>
          <w:bCs/>
          <w:sz w:val="24"/>
          <w:szCs w:val="24"/>
          <w:highlight w:val="none"/>
          <w:lang w:eastAsia="zh-CN"/>
        </w:rPr>
        <w:t>）付款进度及方式</w:t>
      </w:r>
    </w:p>
    <w:p w14:paraId="65FD4D5D">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合同签订后，支付合同总价50%的预付款，项目上线经甲方</w:t>
      </w:r>
      <w:r>
        <w:rPr>
          <w:rFonts w:hint="eastAsia" w:ascii="宋体" w:hAnsi="宋体" w:eastAsia="宋体" w:cs="宋体"/>
          <w:sz w:val="24"/>
          <w:szCs w:val="24"/>
          <w:highlight w:val="none"/>
          <w:lang w:val="en-US" w:eastAsia="zh-CN"/>
        </w:rPr>
        <w:t>验收</w:t>
      </w:r>
      <w:r>
        <w:rPr>
          <w:rFonts w:hint="eastAsia" w:ascii="宋体" w:hAnsi="宋体" w:eastAsia="宋体" w:cs="宋体"/>
          <w:sz w:val="24"/>
          <w:szCs w:val="24"/>
          <w:highlight w:val="none"/>
          <w:lang w:eastAsia="zh-CN"/>
        </w:rPr>
        <w:t>通过后1个月内，甲方</w:t>
      </w:r>
      <w:r>
        <w:rPr>
          <w:rFonts w:hint="eastAsia" w:ascii="宋体" w:hAnsi="宋体" w:eastAsia="宋体" w:cs="宋体"/>
          <w:sz w:val="24"/>
          <w:szCs w:val="24"/>
          <w:highlight w:val="none"/>
          <w:lang w:val="en-US" w:eastAsia="zh-CN"/>
        </w:rPr>
        <w:t>在收到乙方的发票后</w:t>
      </w:r>
      <w:r>
        <w:rPr>
          <w:rFonts w:hint="eastAsia" w:ascii="宋体" w:hAnsi="宋体" w:eastAsia="宋体" w:cs="宋体"/>
          <w:sz w:val="24"/>
          <w:szCs w:val="24"/>
          <w:highlight w:val="none"/>
          <w:lang w:eastAsia="zh-CN"/>
        </w:rPr>
        <w:t>向乙方支付</w:t>
      </w:r>
      <w:r>
        <w:rPr>
          <w:rFonts w:hint="eastAsia" w:ascii="宋体" w:hAnsi="宋体" w:eastAsia="宋体" w:cs="宋体"/>
          <w:sz w:val="24"/>
          <w:szCs w:val="24"/>
          <w:highlight w:val="none"/>
          <w:lang w:val="en-US" w:eastAsia="zh-CN"/>
        </w:rPr>
        <w:t>合同总价</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款项</w:t>
      </w:r>
      <w:r>
        <w:rPr>
          <w:rFonts w:hint="eastAsia" w:ascii="宋体" w:hAnsi="宋体" w:eastAsia="宋体" w:cs="宋体"/>
          <w:sz w:val="24"/>
          <w:szCs w:val="24"/>
          <w:highlight w:val="none"/>
          <w:lang w:eastAsia="zh-CN"/>
        </w:rPr>
        <w:t>。</w:t>
      </w:r>
    </w:p>
    <w:p w14:paraId="418DE0AC">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七</w:t>
      </w:r>
      <w:r>
        <w:rPr>
          <w:rFonts w:hint="eastAsia" w:ascii="宋体" w:hAnsi="宋体" w:eastAsia="宋体" w:cs="宋体"/>
          <w:b/>
          <w:bCs/>
          <w:sz w:val="24"/>
          <w:szCs w:val="24"/>
          <w:highlight w:val="none"/>
          <w:lang w:eastAsia="zh-CN"/>
        </w:rPr>
        <w:t>）项目验收要求</w:t>
      </w:r>
    </w:p>
    <w:p w14:paraId="7AF0F1EF">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中标供应商应按照采购人要求，完成本项目所涉及的数据整合、系统开发集成、用户培训全部建设任务，并完成</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个月试运行，提交有关文件材料，可向业主方书面申请验收付款。如无合理理由，采购人应接到中标供应商书面验收申请7个工作日内应组织本项目内容进行验收确认。</w:t>
      </w:r>
    </w:p>
    <w:p w14:paraId="087E5AA9">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采购人应组织其各使用单位与管理单位提供必要的场地和部署工作条件。应组织各使用单位与管理单位责任人及时配合培训与验收工作。</w:t>
      </w:r>
    </w:p>
    <w:p w14:paraId="7268AA2E">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内容包括系统功能、性能及数据安全核验（含前置部署、数据不出院、日志留存等情况核查）；验收标准按照国家、地区相关标准，招投标文件、合同条款具体执行。核验不通过的，中标供应商须完成整改后重新申请验收。</w:t>
      </w:r>
    </w:p>
    <w:p w14:paraId="3455AE08">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lang w:eastAsia="zh-CN"/>
        </w:rPr>
        <w:t>）需要投标人提供的服务方案要求</w:t>
      </w:r>
    </w:p>
    <w:p w14:paraId="268D1CD1">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1、项目</w:t>
      </w:r>
      <w:r>
        <w:rPr>
          <w:rFonts w:hint="eastAsia" w:ascii="宋体" w:hAnsi="宋体" w:eastAsia="宋体" w:cs="宋体"/>
          <w:b/>
          <w:bCs/>
          <w:sz w:val="24"/>
          <w:szCs w:val="24"/>
          <w:highlight w:val="none"/>
          <w:lang w:val="en-US" w:eastAsia="zh-CN"/>
        </w:rPr>
        <w:t>需求理解方案</w:t>
      </w:r>
    </w:p>
    <w:p w14:paraId="342BF1FE">
      <w:pPr>
        <w:pStyle w:val="201"/>
        <w:pageBreakBefore w:val="0"/>
        <w:widowControl/>
        <w:numPr>
          <w:ilvl w:val="0"/>
          <w:numId w:val="3"/>
        </w:numPr>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项目建设需求分析：需提供本项目建设需求分析的说明。需包括业务需求、系统需求，针对本项目场景，明确核心需求拆解要求。</w:t>
      </w:r>
    </w:p>
    <w:p w14:paraId="627488C9">
      <w:pPr>
        <w:pStyle w:val="201"/>
        <w:pageBreakBefore w:val="0"/>
        <w:widowControl/>
        <w:numPr>
          <w:ilvl w:val="0"/>
          <w:numId w:val="3"/>
        </w:numPr>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项目建设范围</w:t>
      </w:r>
      <w:r>
        <w:rPr>
          <w:rFonts w:hint="eastAsia" w:ascii="宋体" w:hAnsi="宋体" w:eastAsia="宋体" w:cs="宋体"/>
          <w:sz w:val="24"/>
          <w:szCs w:val="24"/>
          <w:highlight w:val="none"/>
          <w:lang w:val="en-US" w:eastAsia="zh-CN"/>
        </w:rPr>
        <w:t>及必要性：</w:t>
      </w:r>
      <w:r>
        <w:rPr>
          <w:rFonts w:hint="eastAsia" w:ascii="宋体" w:hAnsi="宋体" w:eastAsia="宋体" w:cs="宋体"/>
          <w:sz w:val="24"/>
          <w:szCs w:val="24"/>
          <w:highlight w:val="none"/>
          <w:lang w:eastAsia="zh-CN"/>
        </w:rPr>
        <w:t>需提供本项目建设范围及必要性分析的说明。需包括建设边界、建设价值，针对本项目建设目标，明确范围界定与必要性说明要求。</w:t>
      </w:r>
    </w:p>
    <w:p w14:paraId="63A8D88D">
      <w:pPr>
        <w:pStyle w:val="201"/>
        <w:pageBreakBefore w:val="0"/>
        <w:widowControl/>
        <w:numPr>
          <w:ilvl w:val="-1"/>
          <w:numId w:val="0"/>
        </w:numPr>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2、项目总体设计方案</w:t>
      </w:r>
    </w:p>
    <w:p w14:paraId="0C677C08">
      <w:pPr>
        <w:pStyle w:val="201"/>
        <w:pageBreakBefore w:val="0"/>
        <w:widowControl/>
        <w:numPr>
          <w:ilvl w:val="0"/>
          <w:numId w:val="4"/>
        </w:numPr>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项目总体设计方案：需提供本项目总体设计方案的说明。需包括建设思路、整体规划，针对本项目目标，明确总体设计落地要求。</w:t>
      </w:r>
    </w:p>
    <w:p w14:paraId="36D07249">
      <w:pPr>
        <w:pStyle w:val="201"/>
        <w:pageBreakBefore w:val="0"/>
        <w:widowControl/>
        <w:numPr>
          <w:ilvl w:val="0"/>
          <w:numId w:val="4"/>
        </w:numPr>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需提供本项目关键技术应用方案的说明。需包括技术选型、场景适配，针对本项目业务需求，明确技术落地实施要求。</w:t>
      </w:r>
    </w:p>
    <w:p w14:paraId="4C4E1814">
      <w:pPr>
        <w:pStyle w:val="201"/>
        <w:pageBreakBefore w:val="0"/>
        <w:widowControl/>
        <w:numPr>
          <w:ilvl w:val="0"/>
          <w:numId w:val="4"/>
        </w:numPr>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项目架构设计总体说明：需提供本项目架构设计总体说明的说明。需包括设计逻辑、适配优势，针对本项目建设需求，明确架构设计核心说明要求。</w:t>
      </w:r>
    </w:p>
    <w:p w14:paraId="25080928">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具体应用系统设计</w:t>
      </w:r>
    </w:p>
    <w:p w14:paraId="3629A6E9">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①建设清单说明描述：需提供本项目建设清单说明描述的说明。需包括建设内容、模块划分，针对本项目系统建设，明确清单落地要求。</w:t>
      </w:r>
    </w:p>
    <w:p w14:paraId="142A472B">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②规范多数据来源接口建设方案：需提供本项目多数据来源接口建设方案的说明。需包括接口规范、对接标准，针对本项目多源数据接入，明确接口建设要求。</w:t>
      </w:r>
    </w:p>
    <w:p w14:paraId="4B8C2ABB">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③</w:t>
      </w:r>
      <w:r>
        <w:rPr>
          <w:rFonts w:hint="eastAsia" w:asciiTheme="minorEastAsia" w:hAnsiTheme="minorEastAsia" w:eastAsiaTheme="minorEastAsia"/>
          <w:sz w:val="24"/>
          <w:szCs w:val="24"/>
          <w:highlight w:val="none"/>
          <w:lang w:eastAsia="zh-CN"/>
        </w:rPr>
        <w:t>数据管理建设</w:t>
      </w:r>
      <w:r>
        <w:rPr>
          <w:rFonts w:hint="eastAsia" w:asciiTheme="minorEastAsia" w:hAnsiTheme="minorEastAsia" w:eastAsiaTheme="minorEastAsia"/>
          <w:sz w:val="24"/>
          <w:szCs w:val="24"/>
          <w:highlight w:val="none"/>
          <w:lang w:val="en-US" w:eastAsia="zh-CN"/>
        </w:rPr>
        <w:t>及历史数据迁移</w:t>
      </w:r>
      <w:r>
        <w:rPr>
          <w:rFonts w:hint="eastAsia" w:asciiTheme="minorEastAsia" w:hAnsiTheme="minorEastAsia" w:eastAsiaTheme="minorEastAsia"/>
          <w:sz w:val="24"/>
          <w:szCs w:val="24"/>
          <w:highlight w:val="none"/>
          <w:lang w:eastAsia="zh-CN"/>
        </w:rPr>
        <w:t>方案</w:t>
      </w:r>
      <w:r>
        <w:rPr>
          <w:rFonts w:hint="eastAsia" w:ascii="宋体" w:hAnsi="宋体" w:eastAsia="宋体" w:cs="宋体"/>
          <w:sz w:val="24"/>
          <w:szCs w:val="24"/>
          <w:highlight w:val="none"/>
          <w:lang w:eastAsia="zh-CN"/>
        </w:rPr>
        <w:t>：需提供本项目数据管理建设方案</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lang w:eastAsia="zh-CN"/>
        </w:rPr>
        <w:t>本项目历史数据迁移方案的说明。需包括数据管控、全流程管理、迁移范围、数据校验，针对本项目数据应用、存量数据，明确数据管理要求</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lang w:eastAsia="zh-CN"/>
        </w:rPr>
        <w:t>平稳迁移要求。</w:t>
      </w:r>
    </w:p>
    <w:p w14:paraId="2F839AC0">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④</w:t>
      </w:r>
      <w:r>
        <w:rPr>
          <w:rFonts w:ascii="宋体" w:hAnsi="宋体" w:eastAsia="宋体" w:cs="宋体"/>
          <w:sz w:val="24"/>
          <w:szCs w:val="24"/>
        </w:rPr>
        <w:t>系统安全与私有化部署方案</w:t>
      </w:r>
      <w:r>
        <w:rPr>
          <w:rFonts w:hint="eastAsia" w:ascii="宋体" w:hAnsi="宋体" w:eastAsia="宋体" w:cs="宋体"/>
          <w:sz w:val="24"/>
          <w:szCs w:val="24"/>
          <w:highlight w:val="none"/>
          <w:lang w:eastAsia="zh-CN"/>
        </w:rPr>
        <w:t>：</w:t>
      </w:r>
      <w:r>
        <w:rPr>
          <w:rFonts w:ascii="宋体" w:hAnsi="宋体" w:eastAsia="宋体" w:cs="宋体"/>
          <w:sz w:val="24"/>
          <w:szCs w:val="24"/>
        </w:rPr>
        <w:t>需提供本项目系统安全与私有化部署方案的说明。需包括部署范围、安全校验，针对本项目院内存量环境与业务数据，明确平稳部署与数据不出院安全可控要求。</w:t>
      </w:r>
    </w:p>
    <w:p w14:paraId="12E2E72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⑤技术框架选型：需提供本项目技术框架选型的说明。需包括框架选型、适配性说明，针对本项目建设需求，明确技术落地要求。</w:t>
      </w:r>
    </w:p>
    <w:p w14:paraId="32774C82">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w:t>
      </w:r>
      <w:r>
        <w:rPr>
          <w:rFonts w:hint="eastAsia" w:ascii="宋体" w:hAnsi="宋体" w:eastAsia="宋体" w:cs="宋体"/>
          <w:b/>
          <w:bCs/>
          <w:sz w:val="24"/>
          <w:szCs w:val="24"/>
          <w:highlight w:val="none"/>
          <w:lang w:eastAsia="zh-CN"/>
        </w:rPr>
        <w:t>、实施管理方案</w:t>
      </w:r>
    </w:p>
    <w:p w14:paraId="6FAA4C8B">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响应人需提供本项目的开发实施管理方案，方案需要包含项目实施及人员规划组织方案、开发工作流程方案、项目实施进度计划及阶段测试实施方案。方案内容需详细完整，结构清晰，符合实际。</w:t>
      </w:r>
    </w:p>
    <w:p w14:paraId="5C196C6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①项目实施及人员规划组织方案：需提供本项目实施及人员规划组织方案的说明。需包括组织架构、人员配置，针对项目全周期交付，明确团队管理与履职要求。</w:t>
      </w:r>
    </w:p>
    <w:p w14:paraId="6AC3731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②开发工作流程方案：需提供本项目开发工作流程方案的说明。需包括开发规范、流程管控，针对系统开发全流程，明确开发执行与管理要求。</w:t>
      </w:r>
    </w:p>
    <w:p w14:paraId="5D6B2F6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③项目实施进度计划</w:t>
      </w:r>
      <w:r>
        <w:rPr>
          <w:rFonts w:hint="eastAsia" w:ascii="宋体" w:hAnsi="宋体" w:eastAsia="宋体" w:cs="宋体"/>
          <w:sz w:val="24"/>
          <w:szCs w:val="24"/>
          <w:highlight w:val="none"/>
          <w:lang w:val="en-US" w:eastAsia="zh-CN"/>
        </w:rPr>
        <w:t>及阶段</w:t>
      </w:r>
      <w:r>
        <w:rPr>
          <w:rFonts w:hint="eastAsia" w:ascii="宋体" w:hAnsi="宋体" w:eastAsia="宋体" w:cs="宋体"/>
          <w:sz w:val="24"/>
          <w:szCs w:val="24"/>
          <w:highlight w:val="none"/>
          <w:lang w:eastAsia="zh-CN"/>
        </w:rPr>
        <w:t>测试实施方案：需提供本项目实施进度计划</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lang w:eastAsia="zh-CN"/>
        </w:rPr>
        <w:t>本项目阶段测试实施方案的说明。需包括阶段划分、里程碑节点、测试阶段、验收标准，针对系统建设全流程</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lang w:eastAsia="zh-CN"/>
        </w:rPr>
        <w:t>项目1个月交付工期，明确进度管控与落地</w:t>
      </w:r>
      <w:r>
        <w:rPr>
          <w:rFonts w:hint="eastAsia" w:ascii="宋体" w:hAnsi="宋体" w:eastAsia="宋体" w:cs="宋体"/>
          <w:sz w:val="24"/>
          <w:szCs w:val="24"/>
          <w:highlight w:val="none"/>
          <w:lang w:val="en-US" w:eastAsia="zh-CN"/>
        </w:rPr>
        <w:t>要求和</w:t>
      </w:r>
      <w:r>
        <w:rPr>
          <w:rFonts w:hint="eastAsia" w:ascii="宋体" w:hAnsi="宋体" w:eastAsia="宋体" w:cs="宋体"/>
          <w:sz w:val="24"/>
          <w:szCs w:val="24"/>
          <w:highlight w:val="none"/>
          <w:lang w:eastAsia="zh-CN"/>
        </w:rPr>
        <w:t>测试执行与质量要求。</w:t>
      </w:r>
    </w:p>
    <w:p w14:paraId="3B3D084E">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lang w:eastAsia="zh-CN"/>
        </w:rPr>
        <w:t>、系统安全需求</w:t>
      </w:r>
    </w:p>
    <w:p w14:paraId="2BDCCEA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响应人需提供本项目的安全保障方案，方案需要包含完善的网络安全配置方案、隐私数据安全保护方案。方案内容需详细完整，结构清晰，符合实际。</w:t>
      </w:r>
    </w:p>
    <w:p w14:paraId="2E35AA5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①网络安全配置方案：需提供本项目网络安全配置方案的说明。需包括边界防护、访问控制、安全监测，针对每个配置项，明确安全防护要求。</w:t>
      </w:r>
    </w:p>
    <w:p w14:paraId="428B929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②隐私数据安全保护方案：需提供本项目隐私数据安全保护方案的说明。需包括数据分级、合规使用、泄露防护，针对每个环节，明确安全管理要求。</w:t>
      </w:r>
    </w:p>
    <w:p w14:paraId="0972393C">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、风险管理需求</w:t>
      </w:r>
    </w:p>
    <w:p w14:paraId="1FE4C44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响应人需提供本项目的风险管理方案，方案需要包含风险管理计划、风险识别、风险应对措施。方案内容需详细完整，结构清晰，符合实际。</w:t>
      </w:r>
    </w:p>
    <w:p w14:paraId="460C1F25">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①风险管理计划：需提供风险管理计划的说明。需在项目初步范围内，采用规划会议和分析技术编制《项目风险管理计划》。</w:t>
      </w:r>
    </w:p>
    <w:p w14:paraId="20736714">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②风险识别：需提供风险识别的说明。通过收集与系统相关的各种信息，利用相关工具及方法，识别可能影响系统目标实现的各种风险。</w:t>
      </w:r>
    </w:p>
    <w:p w14:paraId="44C1B971">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③风险分析</w:t>
      </w:r>
      <w:r>
        <w:rPr>
          <w:rFonts w:hint="eastAsia" w:ascii="宋体" w:hAnsi="宋体" w:eastAsia="宋体" w:cs="宋体"/>
          <w:sz w:val="24"/>
          <w:szCs w:val="24"/>
          <w:highlight w:val="none"/>
          <w:lang w:val="en-US" w:eastAsia="zh-CN"/>
        </w:rPr>
        <w:t>及应对措施</w:t>
      </w:r>
      <w:r>
        <w:rPr>
          <w:rFonts w:hint="eastAsia" w:ascii="宋体" w:hAnsi="宋体" w:eastAsia="宋体" w:cs="宋体"/>
          <w:sz w:val="24"/>
          <w:szCs w:val="24"/>
          <w:highlight w:val="none"/>
          <w:lang w:eastAsia="zh-CN"/>
        </w:rPr>
        <w:t>：</w:t>
      </w:r>
      <w:r>
        <w:rPr>
          <w:rFonts w:ascii="宋体" w:hAnsi="宋体" w:eastAsia="宋体" w:cs="宋体"/>
          <w:sz w:val="24"/>
          <w:szCs w:val="24"/>
        </w:rPr>
        <w:t>需提供风险分析及相关的风险应对措施的说明，需包括明确目标、风险识别、风险评价、应对方案、实施方案、评估与审核，以及外部、内部和长期运行风险</w:t>
      </w:r>
      <w:r>
        <w:rPr>
          <w:rFonts w:hint="eastAsia" w:ascii="宋体" w:hAnsi="宋体" w:eastAsia="宋体" w:cs="宋体"/>
          <w:sz w:val="24"/>
          <w:szCs w:val="24"/>
          <w:lang w:eastAsia="zh-CN"/>
        </w:rPr>
        <w:t>。</w:t>
      </w:r>
    </w:p>
    <w:p w14:paraId="355A87EA">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7</w:t>
      </w:r>
      <w:r>
        <w:rPr>
          <w:rFonts w:hint="eastAsia" w:ascii="宋体" w:hAnsi="宋体" w:eastAsia="宋体" w:cs="宋体"/>
          <w:b/>
          <w:bCs/>
          <w:sz w:val="24"/>
          <w:szCs w:val="24"/>
          <w:highlight w:val="none"/>
          <w:lang w:eastAsia="zh-CN"/>
        </w:rPr>
        <w:t>、应急事件处理需求</w:t>
      </w:r>
    </w:p>
    <w:p w14:paraId="77DCE13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响应人需提供本项目的应急方案，方案需要包含应急响应分级、应急响应流程及应急预案。方案内容需详细完整，结构清晰，符合实际。</w:t>
      </w:r>
    </w:p>
    <w:p w14:paraId="76C14DA0">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①应急响应分级： 需提供应急响应分级的说明。需包括一级应急响应、二级应急响应、三级应急响应，针对每个应急响应等级，明确应急响应的流程和措施。</w:t>
      </w:r>
    </w:p>
    <w:p w14:paraId="716E6C23">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②应急响应流程</w:t>
      </w:r>
      <w:r>
        <w:rPr>
          <w:rFonts w:hint="eastAsia" w:ascii="宋体" w:hAnsi="宋体" w:eastAsia="宋体" w:cs="宋体"/>
          <w:sz w:val="24"/>
          <w:szCs w:val="24"/>
          <w:highlight w:val="none"/>
          <w:lang w:val="en-US" w:eastAsia="zh-CN"/>
        </w:rPr>
        <w:t>及预案</w:t>
      </w:r>
      <w:r>
        <w:rPr>
          <w:rFonts w:hint="eastAsia" w:ascii="宋体" w:hAnsi="宋体" w:eastAsia="宋体" w:cs="宋体"/>
          <w:sz w:val="24"/>
          <w:szCs w:val="24"/>
          <w:highlight w:val="none"/>
          <w:lang w:eastAsia="zh-CN"/>
        </w:rPr>
        <w:t>：需提供应急响应流程的说明</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lang w:eastAsia="zh-CN"/>
        </w:rPr>
        <w:t>软件系统应急预案、数据库故障应急预案和主机层面应急预案。需包括事件报警与确认、对系统进行检查、安全审计及事故分析、重新启动系统。</w:t>
      </w:r>
    </w:p>
    <w:p w14:paraId="409DF4E1">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8、</w:t>
      </w:r>
      <w:r>
        <w:rPr>
          <w:rFonts w:hint="eastAsia" w:ascii="宋体" w:hAnsi="宋体" w:eastAsia="宋体" w:cs="宋体"/>
          <w:b/>
          <w:bCs/>
          <w:sz w:val="24"/>
          <w:szCs w:val="24"/>
          <w:highlight w:val="none"/>
          <w:lang w:eastAsia="zh-CN"/>
        </w:rPr>
        <w:t>质量管理控制方案与培训</w:t>
      </w:r>
    </w:p>
    <w:p w14:paraId="23044CCB">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①质量管理控制方案：需提供本项目质量管理控制方案的说明。需包括全流程质量管控、验收标准落实，针对各项目阶段，明确质量管控要求。</w:t>
      </w:r>
    </w:p>
    <w:p w14:paraId="53FE65E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②培训方案：需提供本项目培训方案的说明。需包括操作使用培训、运维管理培训，针对不同使用人员，明确培训实施要求。</w:t>
      </w:r>
    </w:p>
    <w:p w14:paraId="76644A6B">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lang w:eastAsia="zh-CN"/>
        </w:rPr>
        <w:t>售后服务</w:t>
      </w:r>
    </w:p>
    <w:p w14:paraId="7E5ED5A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①售后服务人员配置及职责分工方案：需提供本项目售后服务人员配置及职责分工方案的说明，</w:t>
      </w:r>
      <w:r>
        <w:rPr>
          <w:rFonts w:hint="eastAsia" w:ascii="宋体" w:hAnsi="宋体" w:eastAsia="宋体" w:cs="宋体"/>
          <w:sz w:val="24"/>
          <w:szCs w:val="24"/>
          <w:lang w:val="en-US" w:eastAsia="zh-CN"/>
        </w:rPr>
        <w:t>并</w:t>
      </w:r>
      <w:r>
        <w:rPr>
          <w:rFonts w:ascii="宋体" w:hAnsi="宋体" w:eastAsia="宋体" w:cs="宋体"/>
          <w:sz w:val="24"/>
          <w:szCs w:val="24"/>
        </w:rPr>
        <w:t>承诺配备常驻服务团队</w:t>
      </w:r>
      <w:r>
        <w:rPr>
          <w:rFonts w:hint="eastAsia" w:ascii="宋体" w:hAnsi="宋体" w:eastAsia="宋体" w:cs="宋体"/>
          <w:sz w:val="24"/>
          <w:szCs w:val="24"/>
          <w:highlight w:val="none"/>
          <w:lang w:eastAsia="zh-CN"/>
        </w:rPr>
        <w:t>。需包括人员配置、岗位职责划分，针对各售后岗位，明确工作履职要求。</w:t>
      </w:r>
    </w:p>
    <w:p w14:paraId="0AF43E81">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eastAsia="zh-CN"/>
        </w:rPr>
        <w:t>②售后服务故障响应方式和时间保障方案：需提供本项目售后服务故障响应方式和时间保障方案的说明</w:t>
      </w:r>
      <w:r>
        <w:rPr>
          <w:rFonts w:ascii="宋体" w:hAnsi="宋体" w:eastAsia="宋体" w:cs="宋体"/>
          <w:sz w:val="24"/>
          <w:szCs w:val="24"/>
        </w:rPr>
        <w:t>，</w:t>
      </w:r>
      <w:r>
        <w:rPr>
          <w:rFonts w:hint="eastAsia" w:ascii="宋体" w:hAnsi="宋体" w:eastAsia="宋体" w:cs="宋体"/>
          <w:sz w:val="24"/>
          <w:szCs w:val="24"/>
          <w:lang w:val="en-US" w:eastAsia="zh-CN"/>
        </w:rPr>
        <w:t>并承诺</w:t>
      </w:r>
      <w:r>
        <w:rPr>
          <w:rFonts w:ascii="宋体" w:hAnsi="宋体" w:eastAsia="宋体" w:cs="宋体"/>
          <w:sz w:val="24"/>
          <w:szCs w:val="24"/>
        </w:rPr>
        <w:t>系统故障1小时内响应</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2小时内解决</w:t>
      </w:r>
      <w:r>
        <w:rPr>
          <w:rFonts w:hint="eastAsia" w:ascii="宋体" w:hAnsi="宋体" w:eastAsia="宋体" w:cs="宋体"/>
          <w:sz w:val="24"/>
          <w:szCs w:val="24"/>
          <w:lang w:eastAsia="zh-CN"/>
        </w:rPr>
        <w:t>，</w:t>
      </w:r>
      <w:r>
        <w:rPr>
          <w:rFonts w:ascii="宋体" w:hAnsi="宋体" w:eastAsia="宋体" w:cs="宋体"/>
          <w:sz w:val="24"/>
          <w:szCs w:val="24"/>
        </w:rPr>
        <w:t>一般问题4小时内现场</w:t>
      </w:r>
      <w:r>
        <w:rPr>
          <w:rFonts w:hint="eastAsia" w:ascii="宋体" w:hAnsi="宋体" w:eastAsia="宋体" w:cs="宋体"/>
          <w:sz w:val="24"/>
          <w:szCs w:val="24"/>
          <w:lang w:val="en-US" w:eastAsia="zh-CN"/>
        </w:rPr>
        <w:t>处理</w:t>
      </w:r>
      <w:r>
        <w:rPr>
          <w:rFonts w:hint="eastAsia" w:ascii="宋体" w:hAnsi="宋体" w:eastAsia="宋体" w:cs="宋体"/>
          <w:sz w:val="24"/>
          <w:szCs w:val="24"/>
          <w:highlight w:val="none"/>
          <w:lang w:eastAsia="zh-CN"/>
        </w:rPr>
        <w:t>。需包括响应方式、处理时限，针对不同故障等级，明确时效保障要求。</w:t>
      </w:r>
    </w:p>
    <w:p w14:paraId="1FD252CA">
      <w:pPr>
        <w:pStyle w:val="201"/>
        <w:pageBreakBefore w:val="0"/>
        <w:widowControl/>
        <w:kinsoku/>
        <w:wordWrap/>
        <w:overflowPunct/>
        <w:topLinePunct w:val="0"/>
        <w:autoSpaceDE/>
        <w:autoSpaceDN/>
        <w:bidi w:val="0"/>
        <w:adjustRightInd/>
        <w:snapToGrid/>
        <w:spacing w:after="0" w:line="500" w:lineRule="exact"/>
        <w:ind w:leftChars="0" w:firstLine="482" w:firstLineChars="20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lang w:eastAsia="zh-CN"/>
        </w:rPr>
        <w:t>、综合说明</w:t>
      </w:r>
    </w:p>
    <w:p w14:paraId="62BEDDC2">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1、中标人对服务缺陷不予更正，招标人有权另请其他单位更正，所发生的费用由中标单位承担。</w:t>
      </w:r>
    </w:p>
    <w:p w14:paraId="065A765C">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577B62B0">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3385EDC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33FFBE1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、投标人应在投标文件中说明，如能中标，在服务过程中需要招标人配合的工作和需要提供的条件。</w:t>
      </w:r>
    </w:p>
    <w:p w14:paraId="40403157">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、本项目涉及院内前置化部署、驻场开发及数据不出院（不上云）等要求，投标人须在投标文件中作出实质性响应；中标人未按承诺履行的，采购人有权要求整改、解除合同并追究违约责任。</w:t>
      </w:r>
    </w:p>
    <w:p w14:paraId="38A9EF5D">
      <w:pPr>
        <w:pStyle w:val="201"/>
        <w:pageBreakBefore w:val="0"/>
        <w:widowControl/>
        <w:kinsoku/>
        <w:wordWrap/>
        <w:overflowPunct/>
        <w:topLinePunct w:val="0"/>
        <w:autoSpaceDE/>
        <w:autoSpaceDN/>
        <w:bidi w:val="0"/>
        <w:adjustRightInd/>
        <w:snapToGrid/>
        <w:spacing w:after="0" w:line="500" w:lineRule="exact"/>
        <w:ind w:lef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、中标人须配合采购人完成算法备案、安全评估等合规材料的核验与信息更新工作（如需），确保系统全生命周期符合国家有关监管要求。</w:t>
      </w:r>
    </w:p>
    <w:p w14:paraId="10B60052">
      <w:pPr>
        <w:pStyle w:val="201"/>
        <w:spacing w:line="480" w:lineRule="exact"/>
        <w:rPr>
          <w:rFonts w:ascii="宋体" w:hAnsi="宋体" w:eastAsia="宋体" w:cs="宋体"/>
          <w:sz w:val="24"/>
          <w:szCs w:val="24"/>
          <w:highlight w:val="none"/>
          <w:lang w:eastAsia="zh-CN"/>
        </w:rPr>
      </w:pPr>
    </w:p>
    <w:p w14:paraId="23136235">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3142F2E0">
      <w:pPr>
        <w:spacing w:line="240" w:lineRule="auto"/>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34C3EE4E">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w:t>
      </w:r>
      <w:r>
        <w:rPr>
          <w:rFonts w:hint="eastAsia" w:ascii="宋体" w:hAnsi="宋体" w:eastAsia="宋体" w:cs="宋体"/>
          <w:b/>
          <w:sz w:val="24"/>
          <w:szCs w:val="24"/>
          <w:highlight w:val="none"/>
          <w:lang w:val="en-US" w:eastAsia="zh-CN"/>
        </w:rPr>
        <w:t>1</w:t>
      </w:r>
      <w:r>
        <w:rPr>
          <w:rFonts w:hint="eastAsia" w:ascii="宋体" w:hAnsi="宋体" w:eastAsia="宋体" w:cs="宋体"/>
          <w:b/>
          <w:sz w:val="24"/>
          <w:szCs w:val="24"/>
          <w:highlight w:val="none"/>
          <w:lang w:eastAsia="zh-CN"/>
        </w:rPr>
        <w:t>服务类项目履约验收方案</w:t>
      </w:r>
      <w:r>
        <w:rPr>
          <w:rFonts w:hint="eastAsia" w:ascii="宋体" w:hAnsi="宋体" w:eastAsia="宋体" w:cs="宋体"/>
          <w:sz w:val="24"/>
          <w:szCs w:val="24"/>
          <w:highlight w:val="none"/>
          <w:lang w:eastAsia="zh-CN"/>
        </w:rPr>
        <w:t>（模板，具体验收方案以本项目管理考核办法为准）</w:t>
      </w:r>
    </w:p>
    <w:p w14:paraId="1D93E608">
      <w:pPr>
        <w:pStyle w:val="201"/>
        <w:spacing w:line="500" w:lineRule="exact"/>
        <w:rPr>
          <w:rFonts w:ascii="宋体" w:hAnsi="宋体" w:eastAsia="宋体" w:cs="宋体"/>
          <w:sz w:val="24"/>
          <w:szCs w:val="24"/>
          <w:highlight w:val="none"/>
          <w:lang w:eastAsia="zh-CN"/>
        </w:rPr>
      </w:pPr>
    </w:p>
    <w:p w14:paraId="053109C2">
      <w:pPr>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29F34BFC">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3D9EAE5A">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62D86EA1">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170D0F31">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79EBA26F">
      <w:pPr>
        <w:pStyle w:val="201"/>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5F3BA4EF">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0706BF5">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481CF6D8">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3CC3A68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2F6089F1">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7F89EC6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D724B98">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4D2B009D">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061A232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3BE3CB0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37599528">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45493F0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1C12D1B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98DFCC2">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64E34E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3866D4F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4726C79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4BECFBCF">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4BE99AF7">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17D1444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1551D094">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34C67107">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17A7B1D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34DF5D7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76FC929">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EF5951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6124DB56">
      <w:pPr>
        <w:pStyle w:val="201"/>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3C895056">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51ABF12B">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2E2BB244">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5B59A34A">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6D11E26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27ED9044">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0F49D3B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4538B72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1FC6C57C">
      <w:pPr>
        <w:pStyle w:val="201"/>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0915CA28">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5255ACDE">
      <w:pPr>
        <w:pStyle w:val="201"/>
        <w:spacing w:line="460" w:lineRule="exact"/>
        <w:rPr>
          <w:rFonts w:ascii="宋体" w:hAnsi="宋体" w:eastAsia="宋体" w:cs="宋体"/>
          <w:spacing w:val="9"/>
          <w:sz w:val="24"/>
          <w:szCs w:val="24"/>
          <w:highlight w:val="none"/>
          <w:lang w:eastAsia="zh-CN"/>
        </w:rPr>
      </w:pPr>
    </w:p>
    <w:p w14:paraId="658043F5">
      <w:pPr>
        <w:pStyle w:val="201"/>
        <w:spacing w:line="460" w:lineRule="exact"/>
        <w:rPr>
          <w:rFonts w:ascii="宋体" w:hAnsi="宋体" w:eastAsia="宋体" w:cs="宋体"/>
          <w:spacing w:val="9"/>
          <w:sz w:val="24"/>
          <w:szCs w:val="24"/>
          <w:highlight w:val="none"/>
          <w:lang w:eastAsia="zh-CN"/>
        </w:rPr>
      </w:pPr>
    </w:p>
    <w:p w14:paraId="750AF35C">
      <w:pPr>
        <w:pStyle w:val="201"/>
        <w:spacing w:line="460" w:lineRule="exact"/>
        <w:rPr>
          <w:rFonts w:ascii="宋体" w:hAnsi="宋体" w:eastAsia="宋体" w:cs="宋体"/>
          <w:spacing w:val="9"/>
          <w:sz w:val="24"/>
          <w:szCs w:val="24"/>
          <w:highlight w:val="none"/>
          <w:lang w:eastAsia="zh-CN"/>
        </w:rPr>
      </w:pPr>
    </w:p>
    <w:p w14:paraId="1243AA2E">
      <w:pPr>
        <w:pStyle w:val="201"/>
        <w:spacing w:line="460" w:lineRule="exact"/>
        <w:rPr>
          <w:rFonts w:ascii="宋体" w:hAnsi="宋体" w:eastAsia="宋体" w:cs="宋体"/>
          <w:spacing w:val="9"/>
          <w:sz w:val="24"/>
          <w:szCs w:val="24"/>
          <w:highlight w:val="none"/>
          <w:lang w:eastAsia="zh-CN"/>
        </w:rPr>
      </w:pPr>
    </w:p>
    <w:p w14:paraId="48C5DF4A">
      <w:pPr>
        <w:pStyle w:val="201"/>
        <w:spacing w:line="460" w:lineRule="exact"/>
        <w:rPr>
          <w:rFonts w:ascii="宋体" w:hAnsi="宋体" w:eastAsia="宋体" w:cs="宋体"/>
          <w:spacing w:val="9"/>
          <w:sz w:val="24"/>
          <w:szCs w:val="24"/>
          <w:highlight w:val="none"/>
          <w:lang w:eastAsia="zh-CN"/>
        </w:rPr>
      </w:pPr>
    </w:p>
    <w:p w14:paraId="3F9455FA">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741175A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C83F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4CF081B">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0FCE74B">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D10E12B">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6AB297E0">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47F7F47">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463F250A">
            <w:pPr>
              <w:spacing w:line="300" w:lineRule="exact"/>
              <w:jc w:val="center"/>
              <w:rPr>
                <w:rFonts w:ascii="宋体" w:hAnsi="宋体" w:eastAsia="宋体" w:cs="宋体"/>
                <w:sz w:val="18"/>
                <w:szCs w:val="18"/>
                <w:highlight w:val="none"/>
                <w:lang w:bidi="ar"/>
              </w:rPr>
            </w:pPr>
          </w:p>
        </w:tc>
      </w:tr>
      <w:tr w14:paraId="2AD6C1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AA02FE6">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FDC8CF7">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42BAEA9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7F6EF4D1">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722220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4C5F4AEF">
            <w:pPr>
              <w:spacing w:line="300" w:lineRule="exact"/>
              <w:jc w:val="center"/>
              <w:rPr>
                <w:rFonts w:ascii="宋体" w:hAnsi="宋体" w:eastAsia="宋体" w:cs="宋体"/>
                <w:sz w:val="18"/>
                <w:szCs w:val="18"/>
                <w:highlight w:val="none"/>
                <w:lang w:bidi="ar"/>
              </w:rPr>
            </w:pPr>
          </w:p>
        </w:tc>
      </w:tr>
      <w:tr w14:paraId="7FEA1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3588E08">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28A475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20D28EA">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6F604B97">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2B254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AF2AB1E">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1BFE16FA">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77B4F3AB">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1827A25C">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2E607B91">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60B0E0C5">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4E31FC61">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4A0B06AD">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3A990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28B1E04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47819900">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2B7D6CE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3687AE5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C92D3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260F926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5153A4A3">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1C5E7B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264E4BD2">
            <w:pPr>
              <w:spacing w:line="300" w:lineRule="exact"/>
              <w:jc w:val="center"/>
              <w:rPr>
                <w:rFonts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7920041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B42569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258F226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48E2B6A6">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776B34F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C65179D">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7850D3B">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393A342">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BE8B6C3">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48E12F4D">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30D57D5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5132180">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48346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59433B8">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3218EB7B">
            <w:pPr>
              <w:spacing w:line="300" w:lineRule="exact"/>
              <w:jc w:val="center"/>
              <w:rPr>
                <w:rFonts w:ascii="宋体" w:hAnsi="宋体" w:eastAsia="宋体" w:cs="宋体"/>
                <w:sz w:val="18"/>
                <w:szCs w:val="18"/>
                <w:highlight w:val="none"/>
                <w:lang w:eastAsia="zh-CN" w:bidi="ar"/>
              </w:rPr>
            </w:pPr>
          </w:p>
        </w:tc>
      </w:tr>
      <w:tr w14:paraId="18DE9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898729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4CE54622">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99311C">
            <w:pPr>
              <w:spacing w:line="300" w:lineRule="exact"/>
              <w:jc w:val="center"/>
              <w:rPr>
                <w:rFonts w:ascii="宋体" w:hAnsi="宋体" w:eastAsia="宋体" w:cs="宋体"/>
                <w:sz w:val="18"/>
                <w:szCs w:val="18"/>
                <w:highlight w:val="none"/>
                <w:lang w:bidi="ar"/>
              </w:rPr>
            </w:pPr>
          </w:p>
        </w:tc>
      </w:tr>
      <w:tr w14:paraId="320FC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CDFF6C1">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BB0639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33632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82E4BFE">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25F5CFAD">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4DF3EF5F">
            <w:pPr>
              <w:spacing w:line="300" w:lineRule="exact"/>
              <w:jc w:val="center"/>
              <w:rPr>
                <w:rFonts w:ascii="宋体" w:hAnsi="宋体" w:eastAsia="宋体" w:cs="宋体"/>
                <w:sz w:val="18"/>
                <w:szCs w:val="18"/>
                <w:highlight w:val="none"/>
                <w:lang w:bidi="ar"/>
              </w:rPr>
            </w:pPr>
          </w:p>
        </w:tc>
      </w:tr>
      <w:tr w14:paraId="7B699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5F3732A">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53C9492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30C08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0F6936F3">
            <w:pPr>
              <w:spacing w:line="300" w:lineRule="exact"/>
              <w:rPr>
                <w:rFonts w:ascii="宋体" w:hAnsi="宋体" w:eastAsia="宋体" w:cs="宋体"/>
                <w:sz w:val="18"/>
                <w:szCs w:val="18"/>
                <w:highlight w:val="none"/>
                <w:lang w:eastAsia="zh-CN" w:bidi="ar"/>
              </w:rPr>
            </w:pPr>
          </w:p>
          <w:p w14:paraId="6665B90D">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54B10F0">
            <w:pPr>
              <w:spacing w:line="300" w:lineRule="exact"/>
              <w:rPr>
                <w:rFonts w:ascii="宋体" w:hAnsi="宋体" w:eastAsia="宋体" w:cs="宋体"/>
                <w:sz w:val="18"/>
                <w:szCs w:val="18"/>
                <w:highlight w:val="none"/>
                <w:lang w:eastAsia="zh-CN" w:bidi="ar"/>
              </w:rPr>
            </w:pPr>
          </w:p>
          <w:p w14:paraId="36FF7098">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13830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47C4088C">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493D246F">
            <w:pPr>
              <w:spacing w:line="300" w:lineRule="exact"/>
              <w:rPr>
                <w:rFonts w:ascii="宋体" w:hAnsi="宋体" w:eastAsia="宋体" w:cs="宋体"/>
                <w:sz w:val="18"/>
                <w:szCs w:val="18"/>
                <w:highlight w:val="none"/>
                <w:lang w:eastAsia="zh-CN" w:bidi="ar"/>
              </w:rPr>
            </w:pPr>
          </w:p>
          <w:p w14:paraId="384F293D">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237A2CE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757"/>
        <w:gridCol w:w="734"/>
        <w:gridCol w:w="2595"/>
        <w:gridCol w:w="1734"/>
      </w:tblGrid>
      <w:tr w14:paraId="11B3F87D">
        <w:trPr>
          <w:trHeight w:val="1180" w:hRule="atLeast"/>
        </w:trPr>
        <w:tc>
          <w:tcPr>
            <w:tcW w:w="5000" w:type="pct"/>
            <w:gridSpan w:val="4"/>
            <w:tcBorders>
              <w:top w:val="nil"/>
              <w:left w:val="nil"/>
              <w:bottom w:val="nil"/>
              <w:right w:val="nil"/>
            </w:tcBorders>
            <w:noWrap/>
            <w:vAlign w:val="center"/>
          </w:tcPr>
          <w:p w14:paraId="373B11C0">
            <w:pPr>
              <w:jc w:val="center"/>
              <w:textAlignment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42E8E189">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7F3F569E">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2B31966F">
            <w:pPr>
              <w:jc w:val="center"/>
              <w:rPr>
                <w:rFonts w:ascii="宋体" w:hAnsi="宋体" w:eastAsia="宋体" w:cs="宋体"/>
                <w:sz w:val="24"/>
                <w:szCs w:val="24"/>
                <w:highlight w:val="none"/>
              </w:rPr>
            </w:pPr>
          </w:p>
        </w:tc>
        <w:tc>
          <w:tcPr>
            <w:tcW w:w="1471" w:type="pct"/>
            <w:tcBorders>
              <w:top w:val="nil"/>
              <w:left w:val="nil"/>
              <w:bottom w:val="nil"/>
              <w:right w:val="nil"/>
            </w:tcBorders>
            <w:noWrap/>
            <w:vAlign w:val="center"/>
          </w:tcPr>
          <w:p w14:paraId="36C6E8B8">
            <w:pPr>
              <w:jc w:val="center"/>
              <w:rPr>
                <w:rFonts w:ascii="宋体" w:hAnsi="宋体" w:eastAsia="宋体" w:cs="宋体"/>
                <w:sz w:val="24"/>
                <w:szCs w:val="24"/>
                <w:highlight w:val="none"/>
              </w:rPr>
            </w:pPr>
          </w:p>
        </w:tc>
        <w:tc>
          <w:tcPr>
            <w:tcW w:w="981" w:type="pct"/>
            <w:tcBorders>
              <w:top w:val="nil"/>
              <w:left w:val="nil"/>
              <w:bottom w:val="nil"/>
              <w:right w:val="nil"/>
            </w:tcBorders>
            <w:noWrap/>
            <w:vAlign w:val="center"/>
          </w:tcPr>
          <w:p w14:paraId="4C50E33F">
            <w:pPr>
              <w:jc w:val="center"/>
              <w:rPr>
                <w:rFonts w:ascii="宋体" w:hAnsi="宋体" w:eastAsia="宋体" w:cs="宋体"/>
                <w:sz w:val="24"/>
                <w:szCs w:val="24"/>
                <w:highlight w:val="none"/>
              </w:rPr>
            </w:pPr>
          </w:p>
        </w:tc>
      </w:tr>
      <w:tr w14:paraId="35914628">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51467ED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24C9F5DB">
            <w:pPr>
              <w:jc w:val="center"/>
              <w:rPr>
                <w:rFonts w:ascii="宋体" w:hAnsi="宋体" w:eastAsia="宋体" w:cs="宋体"/>
                <w:sz w:val="24"/>
                <w:szCs w:val="24"/>
                <w:highlight w:val="none"/>
              </w:rPr>
            </w:pPr>
          </w:p>
        </w:tc>
      </w:tr>
      <w:tr w14:paraId="7637978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941FE5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2191113B">
            <w:pPr>
              <w:jc w:val="center"/>
              <w:rPr>
                <w:rFonts w:ascii="宋体" w:hAnsi="宋体" w:eastAsia="宋体" w:cs="宋体"/>
                <w:sz w:val="24"/>
                <w:szCs w:val="24"/>
                <w:highlight w:val="none"/>
              </w:rPr>
            </w:pPr>
          </w:p>
        </w:tc>
      </w:tr>
      <w:tr w14:paraId="7E84488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4AC4FD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5253BDDA">
            <w:pPr>
              <w:jc w:val="center"/>
              <w:rPr>
                <w:rFonts w:ascii="宋体" w:hAnsi="宋体" w:eastAsia="宋体" w:cs="宋体"/>
                <w:sz w:val="24"/>
                <w:szCs w:val="24"/>
                <w:highlight w:val="none"/>
              </w:rPr>
            </w:pPr>
          </w:p>
        </w:tc>
      </w:tr>
      <w:tr w14:paraId="572D091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5B65D16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358DC232">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4DD1B49F">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721A705C">
            <w:pPr>
              <w:jc w:val="center"/>
              <w:rPr>
                <w:rFonts w:ascii="宋体" w:hAnsi="宋体" w:eastAsia="宋体" w:cs="宋体"/>
                <w:sz w:val="24"/>
                <w:szCs w:val="24"/>
                <w:highlight w:val="none"/>
              </w:rPr>
            </w:pPr>
          </w:p>
        </w:tc>
      </w:tr>
      <w:tr w14:paraId="5B3441B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59023EA">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1648AE37">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C52DB2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70EB4973">
            <w:pPr>
              <w:jc w:val="center"/>
              <w:rPr>
                <w:rFonts w:ascii="宋体" w:hAnsi="宋体" w:eastAsia="宋体" w:cs="宋体"/>
                <w:sz w:val="24"/>
                <w:szCs w:val="24"/>
                <w:highlight w:val="none"/>
              </w:rPr>
            </w:pPr>
          </w:p>
        </w:tc>
      </w:tr>
      <w:tr w14:paraId="2856070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5BAB8C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53572FF1">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7CF6D78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46A7F887">
            <w:pPr>
              <w:jc w:val="center"/>
              <w:rPr>
                <w:rFonts w:ascii="宋体" w:hAnsi="宋体" w:eastAsia="宋体" w:cs="宋体"/>
                <w:sz w:val="24"/>
                <w:szCs w:val="24"/>
                <w:highlight w:val="none"/>
              </w:rPr>
            </w:pPr>
          </w:p>
        </w:tc>
      </w:tr>
      <w:tr w14:paraId="543A0A33">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F13DE89">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2CFE91FD">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09CD42F9">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28571F0E">
            <w:pPr>
              <w:jc w:val="center"/>
              <w:textAlignment w:val="center"/>
              <w:rPr>
                <w:rFonts w:ascii="宋体" w:hAnsi="宋体" w:eastAsia="宋体" w:cs="宋体"/>
                <w:sz w:val="24"/>
                <w:szCs w:val="24"/>
                <w:highlight w:val="none"/>
                <w:lang w:eastAsia="zh-CN" w:bidi="ar"/>
              </w:rPr>
            </w:pPr>
          </w:p>
          <w:p w14:paraId="45155EF5">
            <w:pPr>
              <w:jc w:val="center"/>
              <w:textAlignment w:val="center"/>
              <w:rPr>
                <w:rFonts w:ascii="宋体" w:hAnsi="宋体" w:eastAsia="宋体" w:cs="宋体"/>
                <w:sz w:val="24"/>
                <w:szCs w:val="24"/>
                <w:highlight w:val="none"/>
                <w:lang w:eastAsia="zh-CN" w:bidi="ar"/>
              </w:rPr>
            </w:pPr>
          </w:p>
          <w:p w14:paraId="7BA333C8">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0E1EA80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004A553C">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8736DC8">
            <w:pPr>
              <w:jc w:val="center"/>
              <w:rPr>
                <w:rFonts w:ascii="宋体" w:hAnsi="宋体" w:eastAsia="宋体" w:cs="宋体"/>
                <w:sz w:val="24"/>
                <w:szCs w:val="24"/>
                <w:highlight w:val="none"/>
              </w:rPr>
            </w:pPr>
          </w:p>
        </w:tc>
      </w:tr>
      <w:tr w14:paraId="7A14656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F5977A8">
            <w:pPr>
              <w:jc w:val="center"/>
              <w:rPr>
                <w:rFonts w:ascii="宋体" w:hAnsi="宋体" w:eastAsia="宋体" w:cs="宋体"/>
                <w:sz w:val="24"/>
                <w:szCs w:val="24"/>
                <w:highlight w:val="none"/>
              </w:rPr>
            </w:pPr>
          </w:p>
        </w:tc>
      </w:tr>
      <w:tr w14:paraId="6E4C5E3A">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71FA00F">
            <w:pPr>
              <w:jc w:val="center"/>
              <w:rPr>
                <w:rFonts w:ascii="宋体" w:hAnsi="宋体" w:eastAsia="宋体" w:cs="宋体"/>
                <w:sz w:val="24"/>
                <w:szCs w:val="24"/>
                <w:highlight w:val="none"/>
              </w:rPr>
            </w:pPr>
          </w:p>
        </w:tc>
      </w:tr>
      <w:tr w14:paraId="25AAB85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F88958">
            <w:pPr>
              <w:jc w:val="center"/>
              <w:rPr>
                <w:rFonts w:ascii="宋体" w:hAnsi="宋体" w:eastAsia="宋体" w:cs="宋体"/>
                <w:sz w:val="24"/>
                <w:szCs w:val="24"/>
                <w:highlight w:val="none"/>
              </w:rPr>
            </w:pPr>
          </w:p>
        </w:tc>
      </w:tr>
      <w:tr w14:paraId="79B2DBC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130254E">
            <w:pPr>
              <w:jc w:val="center"/>
              <w:rPr>
                <w:rFonts w:ascii="宋体" w:hAnsi="宋体" w:eastAsia="宋体" w:cs="宋体"/>
                <w:sz w:val="24"/>
                <w:szCs w:val="24"/>
                <w:highlight w:val="none"/>
              </w:rPr>
            </w:pPr>
          </w:p>
        </w:tc>
      </w:tr>
      <w:tr w14:paraId="39DA68B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B5C8E50">
            <w:pPr>
              <w:jc w:val="center"/>
              <w:rPr>
                <w:rFonts w:ascii="宋体" w:hAnsi="宋体" w:eastAsia="宋体" w:cs="宋体"/>
                <w:sz w:val="24"/>
                <w:szCs w:val="24"/>
                <w:highlight w:val="none"/>
              </w:rPr>
            </w:pPr>
          </w:p>
        </w:tc>
      </w:tr>
      <w:tr w14:paraId="7FFC07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40AB74FB">
            <w:pPr>
              <w:jc w:val="center"/>
              <w:rPr>
                <w:rFonts w:ascii="宋体" w:hAnsi="宋体" w:eastAsia="宋体" w:cs="宋体"/>
                <w:sz w:val="24"/>
                <w:szCs w:val="24"/>
                <w:highlight w:val="none"/>
              </w:rPr>
            </w:pPr>
          </w:p>
        </w:tc>
      </w:tr>
      <w:tr w14:paraId="2007F2E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0DCCE1D">
            <w:pPr>
              <w:jc w:val="center"/>
              <w:rPr>
                <w:rFonts w:ascii="宋体" w:hAnsi="宋体" w:eastAsia="宋体" w:cs="宋体"/>
                <w:sz w:val="24"/>
                <w:szCs w:val="24"/>
                <w:highlight w:val="none"/>
              </w:rPr>
            </w:pPr>
          </w:p>
        </w:tc>
      </w:tr>
      <w:tr w14:paraId="426742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007ACF4">
            <w:pPr>
              <w:jc w:val="center"/>
              <w:rPr>
                <w:rFonts w:ascii="宋体" w:hAnsi="宋体" w:eastAsia="宋体" w:cs="宋体"/>
                <w:sz w:val="24"/>
                <w:szCs w:val="24"/>
                <w:highlight w:val="none"/>
              </w:rPr>
            </w:pPr>
          </w:p>
        </w:tc>
      </w:tr>
      <w:tr w14:paraId="1263104E">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3C8E25C">
            <w:pPr>
              <w:jc w:val="center"/>
              <w:rPr>
                <w:rFonts w:ascii="宋体" w:hAnsi="宋体" w:eastAsia="宋体" w:cs="宋体"/>
                <w:sz w:val="24"/>
                <w:szCs w:val="24"/>
                <w:highlight w:val="none"/>
              </w:rPr>
            </w:pPr>
          </w:p>
        </w:tc>
      </w:tr>
    </w:tbl>
    <w:p w14:paraId="417FBAE0">
      <w:pPr>
        <w:rPr>
          <w:rFonts w:ascii="宋体" w:hAnsi="宋体" w:eastAsia="宋体" w:cs="宋体"/>
          <w:highlight w:val="none"/>
          <w:lang w:eastAsia="zh-CN"/>
        </w:rPr>
      </w:pPr>
    </w:p>
    <w:p w14:paraId="723FC0F1">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367609C8">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11657DFE">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01A6749A">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5BC84BBB">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1B406F3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F54081">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631B0B8F">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7674BC76">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3E99EC4">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79F3E3B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41B8FE74">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7BC0BB45">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605D14DE">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046480D">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3E9B3F33">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JSZC-320585-JZCG-G2026-0096</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400F055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F99F53E">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582C33D">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75092A61">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7C011DA">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F70558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2537E6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FA4C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52E417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0D69C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A8432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FC8E7D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E04E1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1B738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EF75D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E8AFEF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B802C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6D73C0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1FB1C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6DEB24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043577F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0836BCD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86E49B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4339D1D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2D0627A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FF3018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4DB4929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574D4ADD">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4D88B597">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A1F806F">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微信智能体客服系统项目</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JSZC-320585-JZCG-G2026-0096</w:t>
      </w:r>
      <w:r>
        <w:rPr>
          <w:rFonts w:hint="eastAsia" w:ascii="宋体" w:hAnsi="宋体" w:eastAsia="宋体" w:cs="宋体"/>
          <w:color w:val="000000"/>
          <w:sz w:val="24"/>
          <w:highlight w:val="none"/>
          <w:lang w:eastAsia="zh-CN"/>
        </w:rPr>
        <w:t>），经仔细阅读和研究，我们决定参加投标。</w:t>
      </w:r>
    </w:p>
    <w:p w14:paraId="0D246433">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545602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6F046C9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7C3B275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2BAA899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4FDF0E3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29E9692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10426BF9">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4740B6FD">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6911339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21B1143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66CF90F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44BEC656">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3791C96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39F66746">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27D4F46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0CC2C26D">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342C4985">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0798B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0A56092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0051E38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2832C29">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3A24E3B8">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2AE7F1E5">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6911897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5BF818E9">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330D38B">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2F6BF5E2">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296B5AD5">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7DAF6E6D">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 </w:t>
      </w:r>
    </w:p>
    <w:p w14:paraId="4EF2A66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6D264BFC">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78CF06D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4F9E6E7C">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ECA25B5">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410EAA0C">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4B3C1831">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5D637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B2C0EB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6F8DC3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6D2744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D1E2E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374727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0006C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C61CD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5D6C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04E0F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万元</w:t>
            </w:r>
          </w:p>
        </w:tc>
      </w:tr>
      <w:tr w14:paraId="075C13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17ED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829CB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29716B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1014E9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A42A3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B6A8AB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ED07A7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A3AD1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7E92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B58235">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B2634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717BB3">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highlight w:val="none"/>
              </w:rPr>
            </w:pPr>
            <w:r>
              <w:rPr>
                <w:rFonts w:hint="eastAsia" w:ascii="宋体" w:hAnsi="宋体" w:eastAsia="宋体" w:cs="宋体"/>
                <w:color w:val="000000"/>
                <w:sz w:val="24"/>
                <w:highlight w:val="none"/>
              </w:rPr>
              <w:t>  万元</w:t>
            </w:r>
          </w:p>
        </w:tc>
      </w:tr>
      <w:tr w14:paraId="481795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DA095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3C7F44">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A400D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7B2E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r>
      <w:tr w14:paraId="5B4D6C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3EA6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7645A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8E341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7E40CC">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110821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91ED5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7995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AB39E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6C30C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7CE6709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4133FD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5B147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289E15">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F62BA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7A706">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BE224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24F404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8FFF89">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3C57B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634002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2A263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D5A1D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BE5AC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D54C50">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22FB7E">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1E448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935D8C">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9A2AC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169E6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09336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3577A7">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B6C11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EC46E0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032F1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bl>
    <w:p w14:paraId="73F2AE9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1029A2A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51428416">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137DBA8">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10B0C51">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14905083">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3E1118">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3A96362">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JSZC-320585-JZCG-G2026-0096</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4DEC1677">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541DF68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4C2CA89F">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4829659">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1CBDAA99">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196E587A">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297304DA">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196D0FEB">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42308202">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0555D9B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0F33AEC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263C580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538B1D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C43EB80">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1ABA3F20">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JSZC-320585-JZCG-G2026-0096</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19C5DE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330B08">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037B5D">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投标总价</w:t>
            </w:r>
          </w:p>
        </w:tc>
      </w:tr>
      <w:tr w14:paraId="7C894E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0C8EEC">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bCs/>
                <w:color w:val="000000"/>
                <w:sz w:val="24"/>
                <w:highlight w:val="none"/>
                <w:lang w:eastAsia="zh-CN"/>
              </w:rPr>
              <w:t>微信智能体客服系统项目</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4A6FBD">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小写          （元人民币）</w:t>
            </w:r>
          </w:p>
        </w:tc>
      </w:tr>
      <w:tr w14:paraId="6F2551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5709FF">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527D69">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金额大写：</w:t>
            </w:r>
          </w:p>
        </w:tc>
      </w:tr>
    </w:tbl>
    <w:p w14:paraId="4F5E4819">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highlight w:val="none"/>
        </w:rPr>
      </w:pPr>
      <w:r>
        <w:rPr>
          <w:rFonts w:hint="eastAsia" w:ascii="宋体" w:hAnsi="宋体" w:eastAsia="宋体" w:cs="宋体"/>
          <w:b/>
          <w:color w:val="000000"/>
          <w:sz w:val="24"/>
          <w:highlight w:val="none"/>
        </w:rPr>
        <w:t> </w:t>
      </w:r>
    </w:p>
    <w:p w14:paraId="7914E3DF">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highlight w:val="none"/>
        </w:rPr>
      </w:pPr>
      <w:r>
        <w:rPr>
          <w:rFonts w:hint="eastAsia" w:ascii="宋体" w:hAnsi="宋体" w:eastAsia="宋体" w:cs="宋体"/>
          <w:color w:val="000000"/>
          <w:sz w:val="24"/>
          <w:highlight w:val="none"/>
        </w:rPr>
        <w:t>日期：年月日</w:t>
      </w:r>
    </w:p>
    <w:p w14:paraId="335330E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b/>
          <w:color w:val="000000"/>
          <w:sz w:val="24"/>
          <w:highlight w:val="none"/>
        </w:rPr>
        <w:t> </w:t>
      </w:r>
    </w:p>
    <w:p w14:paraId="68017D4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334CB7F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b/>
          <w:color w:val="000000"/>
          <w:sz w:val="28"/>
          <w:highlight w:val="none"/>
        </w:rPr>
        <w:t>7、投标报价明细表</w:t>
      </w:r>
    </w:p>
    <w:p w14:paraId="597CA6E9">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highlight w:val="none"/>
        </w:rPr>
      </w:pPr>
      <w:r>
        <w:rPr>
          <w:rFonts w:hint="eastAsia" w:ascii="宋体" w:hAnsi="宋体" w:eastAsia="宋体" w:cs="宋体"/>
          <w:b/>
          <w:color w:val="000000"/>
          <w:sz w:val="30"/>
          <w:highlight w:val="none"/>
        </w:rPr>
        <w:t> </w:t>
      </w:r>
    </w:p>
    <w:p w14:paraId="26E56924">
      <w:pPr>
        <w:pBdr>
          <w:top w:val="none" w:color="000000" w:sz="0" w:space="0"/>
          <w:left w:val="none" w:color="000000" w:sz="0" w:space="0"/>
          <w:bottom w:val="none" w:color="000000" w:sz="0" w:space="0"/>
          <w:right w:val="none" w:color="000000" w:sz="0" w:space="0"/>
        </w:pBdr>
        <w:ind w:firstLine="2811"/>
        <w:rPr>
          <w:highlight w:val="none"/>
        </w:rPr>
      </w:pPr>
      <w:bookmarkStart w:id="4" w:name="OLE_LINK57"/>
      <w:r>
        <w:rPr>
          <w:rFonts w:ascii="宋体" w:hAnsi="宋体" w:cs="宋体"/>
          <w:b/>
          <w:sz w:val="28"/>
          <w:highlight w:val="none"/>
        </w:rPr>
        <w:t>（一）投标报价明细表</w:t>
      </w:r>
    </w:p>
    <w:p w14:paraId="145E6AFA">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2027"/>
        <w:gridCol w:w="1260"/>
        <w:gridCol w:w="1332"/>
        <w:gridCol w:w="1500"/>
        <w:gridCol w:w="1416"/>
        <w:gridCol w:w="1140"/>
      </w:tblGrid>
      <w:tr w14:paraId="1FDFB4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trPr>
        <w:tc>
          <w:tcPr>
            <w:tcW w:w="5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53C406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序号</w:t>
            </w:r>
          </w:p>
        </w:tc>
        <w:tc>
          <w:tcPr>
            <w:tcW w:w="20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11A279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分项名称</w:t>
            </w:r>
          </w:p>
        </w:tc>
        <w:tc>
          <w:tcPr>
            <w:tcW w:w="1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C632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数量</w:t>
            </w:r>
          </w:p>
        </w:tc>
        <w:tc>
          <w:tcPr>
            <w:tcW w:w="133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3E1EB1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单位</w:t>
            </w:r>
          </w:p>
        </w:tc>
        <w:tc>
          <w:tcPr>
            <w:tcW w:w="150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00E34B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单价</w:t>
            </w:r>
          </w:p>
        </w:tc>
        <w:tc>
          <w:tcPr>
            <w:tcW w:w="141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15105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总价</w:t>
            </w:r>
          </w:p>
        </w:tc>
        <w:tc>
          <w:tcPr>
            <w:tcW w:w="114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19B89D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备注</w:t>
            </w:r>
          </w:p>
        </w:tc>
      </w:tr>
      <w:tr w14:paraId="502ABB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566DB3">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1</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BD0E16">
            <w:pPr>
              <w:pBdr>
                <w:top w:val="none" w:color="000000" w:sz="0" w:space="0"/>
                <w:left w:val="none" w:color="000000" w:sz="0" w:space="0"/>
                <w:bottom w:val="none" w:color="000000" w:sz="0" w:space="0"/>
                <w:right w:val="none" w:color="000000" w:sz="0" w:space="0"/>
              </w:pBdr>
              <w:spacing w:after="0" w:line="380" w:lineRule="atLeast"/>
              <w:ind w:right="-199"/>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3CA3BB">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DB4D9A1">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E5160D">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08DB7F">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5D4237">
            <w:pPr>
              <w:pBdr>
                <w:top w:val="none" w:color="000000" w:sz="0" w:space="0"/>
                <w:left w:val="none" w:color="000000" w:sz="0" w:space="0"/>
                <w:bottom w:val="none" w:color="000000" w:sz="0" w:space="0"/>
                <w:right w:val="none" w:color="000000" w:sz="0" w:space="0"/>
              </w:pBdr>
              <w:spacing w:after="0" w:line="380" w:lineRule="atLeast"/>
              <w:jc w:val="center"/>
              <w:rPr>
                <w:highlight w:val="none"/>
              </w:rPr>
            </w:pPr>
            <w:r>
              <w:rPr>
                <w:rFonts w:ascii="Times New Roman" w:hAnsi="Times New Roman" w:eastAsia="Times New Roman" w:cs="Times New Roman"/>
                <w:color w:val="000000"/>
                <w:sz w:val="24"/>
                <w:highlight w:val="none"/>
              </w:rPr>
              <w:t> </w:t>
            </w:r>
          </w:p>
        </w:tc>
      </w:tr>
      <w:tr w14:paraId="452C8C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8F7AD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2</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C100C9">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22DFD0">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AA8811">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F5D6B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92C78A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534E8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0B690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052A75">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3</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F6A296">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6A99A02">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DABCE6E">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47C6D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847FA4">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5FAEF9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435013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5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54ECFC">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20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BD213F">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w:t>
            </w:r>
          </w:p>
        </w:tc>
        <w:tc>
          <w:tcPr>
            <w:tcW w:w="12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610E597">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33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A76C45D">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50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F7D078">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41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98A67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c>
          <w:tcPr>
            <w:tcW w:w="114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FF08DA">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Times New Roman" w:hAnsi="Times New Roman" w:eastAsia="Times New Roman" w:cs="Times New Roman"/>
                <w:color w:val="000000"/>
                <w:sz w:val="24"/>
                <w:highlight w:val="none"/>
              </w:rPr>
              <w:t> </w:t>
            </w:r>
          </w:p>
        </w:tc>
      </w:tr>
      <w:tr w14:paraId="7F7638B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2626"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0894A3">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投标总报价</w:t>
            </w:r>
          </w:p>
        </w:tc>
        <w:tc>
          <w:tcPr>
            <w:tcW w:w="6648" w:type="dxa"/>
            <w:gridSpan w:val="5"/>
            <w:tcBorders>
              <w:top w:val="nil"/>
              <w:left w:val="nil"/>
              <w:bottom w:val="single" w:color="000000" w:sz="8" w:space="0"/>
              <w:right w:val="single" w:color="000000" w:sz="8" w:space="0"/>
            </w:tcBorders>
            <w:tcMar>
              <w:top w:w="0" w:type="dxa"/>
              <w:left w:w="108" w:type="dxa"/>
              <w:bottom w:w="0" w:type="dxa"/>
              <w:right w:w="108" w:type="dxa"/>
            </w:tcMar>
            <w:vAlign w:val="center"/>
          </w:tcPr>
          <w:p w14:paraId="6B0AA23B">
            <w:pPr>
              <w:pBdr>
                <w:top w:val="none" w:color="000000" w:sz="0" w:space="0"/>
                <w:left w:val="none" w:color="000000" w:sz="0" w:space="0"/>
                <w:bottom w:val="none" w:color="000000" w:sz="0" w:space="0"/>
                <w:right w:val="none" w:color="000000" w:sz="0" w:space="0"/>
              </w:pBdr>
              <w:spacing w:after="0" w:line="240" w:lineRule="auto"/>
              <w:jc w:val="center"/>
              <w:rPr>
                <w:highlight w:val="none"/>
              </w:rPr>
            </w:pPr>
            <w:r>
              <w:rPr>
                <w:rFonts w:ascii="宋体" w:hAnsi="宋体" w:eastAsia="宋体" w:cs="宋体"/>
                <w:color w:val="000000"/>
                <w:sz w:val="24"/>
                <w:highlight w:val="none"/>
              </w:rPr>
              <w:t>大写：元；小写：元</w:t>
            </w:r>
          </w:p>
        </w:tc>
      </w:tr>
    </w:tbl>
    <w:p w14:paraId="06B24A3A">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注：</w:t>
      </w:r>
    </w:p>
    <w:p w14:paraId="27E76F55">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1、</w:t>
      </w:r>
      <w:r>
        <w:rPr>
          <w:rFonts w:ascii="宋体" w:hAnsi="宋体" w:cs="宋体"/>
          <w:sz w:val="24"/>
          <w:highlight w:val="none"/>
          <w:lang w:eastAsia="zh-CN"/>
        </w:rPr>
        <w:t>本表报价的合计金额应与开标一览表报价一致</w:t>
      </w:r>
    </w:p>
    <w:p w14:paraId="7123A064">
      <w:pPr>
        <w:pBdr>
          <w:top w:val="none" w:color="000000" w:sz="0" w:space="0"/>
          <w:left w:val="none" w:color="000000" w:sz="0" w:space="0"/>
          <w:bottom w:val="none" w:color="000000" w:sz="0" w:space="0"/>
          <w:right w:val="none" w:color="000000" w:sz="0" w:space="0"/>
        </w:pBdr>
        <w:spacing w:line="499" w:lineRule="atLeast"/>
        <w:rPr>
          <w:highlight w:val="none"/>
          <w:lang w:eastAsia="zh-CN"/>
        </w:rPr>
      </w:pPr>
      <w:r>
        <w:rPr>
          <w:rFonts w:ascii="宋体" w:hAnsi="宋体" w:cs="宋体"/>
          <w:sz w:val="24"/>
          <w:highlight w:val="none"/>
          <w:lang w:eastAsia="zh-CN"/>
        </w:rPr>
        <w:t>投标单位：（公章）</w:t>
      </w:r>
    </w:p>
    <w:p w14:paraId="047517DF">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 xml:space="preserve">法定代表人或委托代理人（签字或盖章）： </w:t>
      </w:r>
    </w:p>
    <w:p w14:paraId="2D9B7BE9">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szCs w:val="21"/>
          <w:highlight w:val="none"/>
          <w:lang w:eastAsia="zh-CN"/>
        </w:rPr>
      </w:pPr>
      <w:r>
        <w:rPr>
          <w:rFonts w:ascii="宋体" w:hAnsi="宋体" w:cs="宋体"/>
          <w:sz w:val="24"/>
          <w:highlight w:val="none"/>
          <w:lang w:eastAsia="zh-CN"/>
        </w:rPr>
        <w:t>投标日期： 年 月 日</w:t>
      </w:r>
    </w:p>
    <w:p w14:paraId="45FBB84B">
      <w:pPr>
        <w:ind w:firstLine="1506" w:firstLineChars="500"/>
        <w:rPr>
          <w:rFonts w:ascii="宋体" w:hAnsi="宋体" w:eastAsia="宋体" w:cs="宋体"/>
          <w:b/>
          <w:sz w:val="30"/>
          <w:szCs w:val="30"/>
          <w:highlight w:val="none"/>
          <w:lang w:eastAsia="zh-CN"/>
        </w:rPr>
      </w:pPr>
    </w:p>
    <w:p w14:paraId="0943DFE3">
      <w:pPr>
        <w:ind w:firstLine="1506" w:firstLineChars="500"/>
        <w:rPr>
          <w:rFonts w:ascii="宋体" w:hAnsi="宋体" w:eastAsia="宋体" w:cs="宋体"/>
          <w:b/>
          <w:sz w:val="30"/>
          <w:szCs w:val="30"/>
          <w:highlight w:val="none"/>
          <w:lang w:eastAsia="zh-CN"/>
        </w:rPr>
      </w:pPr>
    </w:p>
    <w:p w14:paraId="287D9D9E">
      <w:pPr>
        <w:ind w:firstLine="1506" w:firstLineChars="500"/>
        <w:rPr>
          <w:rFonts w:ascii="宋体" w:hAnsi="宋体" w:eastAsia="宋体" w:cs="宋体"/>
          <w:b/>
          <w:sz w:val="30"/>
          <w:szCs w:val="30"/>
          <w:highlight w:val="none"/>
          <w:lang w:eastAsia="zh-CN"/>
        </w:rPr>
      </w:pPr>
    </w:p>
    <w:p w14:paraId="29F885C4">
      <w:pPr>
        <w:ind w:firstLine="1506" w:firstLineChars="500"/>
        <w:rPr>
          <w:rFonts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75AD2C0D">
      <w:pPr>
        <w:spacing w:line="420" w:lineRule="exact"/>
        <w:rPr>
          <w:rFonts w:ascii="宋体" w:hAnsi="宋体" w:eastAsia="宋体" w:cs="宋体"/>
          <w:b/>
          <w:sz w:val="24"/>
          <w:szCs w:val="24"/>
          <w:highlight w:val="none"/>
          <w:lang w:eastAsia="zh-CN"/>
        </w:rPr>
      </w:pPr>
    </w:p>
    <w:p w14:paraId="49DA168F">
      <w:pPr>
        <w:spacing w:line="420" w:lineRule="exact"/>
        <w:rPr>
          <w:rFonts w:ascii="宋体" w:hAnsi="宋体"/>
          <w:b/>
          <w:highlight w:val="none"/>
          <w:lang w:eastAsia="zh-CN"/>
        </w:rPr>
      </w:pPr>
    </w:p>
    <w:p w14:paraId="73B530A5">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2B040134">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509809DC">
      <w:pPr>
        <w:spacing w:line="420" w:lineRule="exact"/>
        <w:ind w:firstLine="480" w:firstLineChars="200"/>
        <w:rPr>
          <w:rFonts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31C3B878">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6149DC97">
      <w:pPr>
        <w:spacing w:line="420" w:lineRule="exact"/>
        <w:rPr>
          <w:rFonts w:ascii="宋体" w:hAnsi="宋体"/>
          <w:b/>
          <w:highlight w:val="none"/>
          <w:lang w:eastAsia="zh-CN"/>
        </w:rPr>
      </w:pPr>
    </w:p>
    <w:p w14:paraId="58988234">
      <w:pPr>
        <w:spacing w:line="420" w:lineRule="exact"/>
        <w:rPr>
          <w:rFonts w:ascii="宋体" w:hAnsi="宋体"/>
          <w:b/>
          <w:highlight w:val="none"/>
          <w:lang w:eastAsia="zh-CN"/>
        </w:rPr>
      </w:pPr>
    </w:p>
    <w:p w14:paraId="5697A822">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0E314AE7">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318EDD94">
      <w:pPr>
        <w:pStyle w:val="20"/>
        <w:ind w:firstLine="0"/>
        <w:rPr>
          <w:rFonts w:hAnsi="宋体" w:eastAsia="宋体" w:cs="宋体"/>
          <w:highlight w:val="none"/>
          <w:lang w:eastAsia="zh-CN"/>
        </w:rPr>
      </w:pPr>
      <w:r>
        <w:rPr>
          <w:rFonts w:hint="eastAsia" w:hAnsi="宋体" w:eastAsia="宋体" w:cs="宋体"/>
          <w:sz w:val="24"/>
          <w:highlight w:val="none"/>
          <w:lang w:eastAsia="zh-CN"/>
        </w:rPr>
        <w:t>日期：      年     月     日</w:t>
      </w:r>
      <w:bookmarkEnd w:id="4"/>
    </w:p>
    <w:p w14:paraId="4F824B3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46540C1A">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3182B36F">
      <w:pPr>
        <w:jc w:val="center"/>
        <w:rPr>
          <w:rFonts w:ascii="宋体" w:hAnsi="宋体" w:eastAsia="宋体" w:cs="宋体"/>
          <w:b/>
          <w:sz w:val="30"/>
          <w:szCs w:val="30"/>
          <w:highlight w:val="none"/>
          <w:lang w:eastAsia="zh-CN"/>
        </w:rPr>
      </w:pPr>
    </w:p>
    <w:p w14:paraId="6AC3DBED">
      <w:pPr>
        <w:jc w:val="center"/>
        <w:rPr>
          <w:rFonts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1F6AA9F9">
      <w:pPr>
        <w:pStyle w:val="18"/>
        <w:spacing w:after="0" w:line="360" w:lineRule="auto"/>
        <w:ind w:left="22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42BBF28F">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1D5893C9">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468129C2">
            <w:pPr>
              <w:jc w:val="center"/>
              <w:rPr>
                <w:rFonts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0A2DD4D0">
            <w:pPr>
              <w:jc w:val="center"/>
              <w:rPr>
                <w:rFonts w:ascii="宋体" w:hAnsi="宋体" w:eastAsia="宋体" w:cs="宋体"/>
                <w:sz w:val="24"/>
                <w:szCs w:val="24"/>
                <w:highlight w:val="none"/>
              </w:rPr>
            </w:pPr>
            <w:r>
              <w:rPr>
                <w:rFonts w:hint="eastAsia" w:ascii="宋体" w:hAnsi="宋体" w:eastAsia="宋体" w:cs="宋体"/>
                <w:sz w:val="24"/>
                <w:szCs w:val="24"/>
                <w:highlight w:val="none"/>
              </w:rPr>
              <w:t>招标文件</w:t>
            </w:r>
          </w:p>
          <w:p w14:paraId="1B52B140">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5190D7AF">
            <w:pPr>
              <w:jc w:val="center"/>
              <w:rPr>
                <w:rFonts w:ascii="宋体" w:hAnsi="宋体" w:eastAsia="宋体" w:cs="宋体"/>
                <w:sz w:val="24"/>
                <w:szCs w:val="24"/>
                <w:highlight w:val="none"/>
              </w:rPr>
            </w:pPr>
            <w:r>
              <w:rPr>
                <w:rFonts w:hint="eastAsia" w:ascii="宋体" w:hAnsi="宋体" w:eastAsia="宋体" w:cs="宋体"/>
                <w:sz w:val="24"/>
                <w:szCs w:val="24"/>
                <w:highlight w:val="none"/>
              </w:rPr>
              <w:t>投标文件</w:t>
            </w:r>
          </w:p>
          <w:p w14:paraId="497280AC">
            <w:pPr>
              <w:jc w:val="center"/>
              <w:rPr>
                <w:rFonts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3AE26C85">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1F8A5A02">
            <w:pPr>
              <w:rPr>
                <w:rFonts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58A6A6A8">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616D602E">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7E9DFA6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8B9DD99">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FF5F5FA">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D4D9B91">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19736CC5">
            <w:pPr>
              <w:jc w:val="center"/>
              <w:rPr>
                <w:rFonts w:ascii="宋体" w:hAnsi="宋体" w:eastAsia="宋体" w:cs="宋体"/>
                <w:sz w:val="24"/>
                <w:szCs w:val="24"/>
                <w:highlight w:val="none"/>
              </w:rPr>
            </w:pPr>
          </w:p>
        </w:tc>
      </w:tr>
      <w:tr w14:paraId="256FCF24">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0CF4DC54">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6946CBBC">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D3F007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D576DAB">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503A7E7">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562390D">
            <w:pPr>
              <w:jc w:val="center"/>
              <w:rPr>
                <w:rFonts w:ascii="宋体" w:hAnsi="宋体" w:eastAsia="宋体" w:cs="宋体"/>
                <w:sz w:val="24"/>
                <w:szCs w:val="24"/>
                <w:highlight w:val="none"/>
              </w:rPr>
            </w:pPr>
          </w:p>
        </w:tc>
      </w:tr>
      <w:tr w14:paraId="728EC20F">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3102079">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7D712B9">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6A08FFCB">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51C5355E">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BA31A10">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31FD8E77">
            <w:pPr>
              <w:jc w:val="center"/>
              <w:rPr>
                <w:rFonts w:ascii="宋体" w:hAnsi="宋体" w:eastAsia="宋体" w:cs="宋体"/>
                <w:sz w:val="24"/>
                <w:szCs w:val="24"/>
                <w:highlight w:val="none"/>
              </w:rPr>
            </w:pPr>
          </w:p>
        </w:tc>
      </w:tr>
      <w:tr w14:paraId="549BB6E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5EF178C">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48691BD4">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4AF66345">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09FD3131">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0C1939E8">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6539A56D">
            <w:pPr>
              <w:jc w:val="center"/>
              <w:rPr>
                <w:rFonts w:ascii="宋体" w:hAnsi="宋体" w:eastAsia="宋体" w:cs="宋体"/>
                <w:sz w:val="24"/>
                <w:szCs w:val="24"/>
                <w:highlight w:val="none"/>
              </w:rPr>
            </w:pPr>
          </w:p>
        </w:tc>
      </w:tr>
      <w:tr w14:paraId="101B074B">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07C231B">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F03E48E">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3127315">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0F2B227">
            <w:pPr>
              <w:jc w:val="center"/>
              <w:rPr>
                <w:rFonts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A15B5BC">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466D4BB8">
            <w:pPr>
              <w:jc w:val="center"/>
              <w:rPr>
                <w:rFonts w:ascii="宋体" w:hAnsi="宋体" w:eastAsia="宋体" w:cs="宋体"/>
                <w:sz w:val="24"/>
                <w:szCs w:val="24"/>
                <w:highlight w:val="none"/>
              </w:rPr>
            </w:pPr>
          </w:p>
        </w:tc>
      </w:tr>
    </w:tbl>
    <w:p w14:paraId="3D79D373">
      <w:pPr>
        <w:rPr>
          <w:rFonts w:ascii="宋体" w:hAnsi="宋体" w:eastAsia="宋体" w:cs="宋体"/>
          <w:b/>
          <w:sz w:val="24"/>
          <w:szCs w:val="24"/>
          <w:highlight w:val="none"/>
        </w:rPr>
      </w:pPr>
    </w:p>
    <w:p w14:paraId="50F40EF7">
      <w:pPr>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4A16C565">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0EF1A5D9">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6F120DB">
      <w:pPr>
        <w:ind w:firstLine="48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2F900C01">
      <w:pPr>
        <w:rPr>
          <w:rFonts w:ascii="宋体" w:hAnsi="宋体" w:eastAsia="宋体" w:cs="宋体"/>
          <w:sz w:val="24"/>
          <w:szCs w:val="24"/>
          <w:highlight w:val="none"/>
          <w:lang w:eastAsia="zh-CN"/>
        </w:rPr>
      </w:pPr>
    </w:p>
    <w:p w14:paraId="4F0B110F">
      <w:pPr>
        <w:rPr>
          <w:rFonts w:ascii="宋体" w:hAnsi="宋体" w:eastAsia="宋体" w:cs="宋体"/>
          <w:sz w:val="24"/>
          <w:szCs w:val="24"/>
          <w:highlight w:val="none"/>
          <w:lang w:eastAsia="zh-CN"/>
        </w:rPr>
      </w:pPr>
    </w:p>
    <w:p w14:paraId="661692D7">
      <w:pPr>
        <w:rPr>
          <w:rFonts w:ascii="宋体" w:hAnsi="宋体" w:eastAsia="宋体" w:cs="宋体"/>
          <w:sz w:val="24"/>
          <w:szCs w:val="24"/>
          <w:highlight w:val="none"/>
          <w:lang w:eastAsia="zh-CN"/>
        </w:rPr>
      </w:pPr>
    </w:p>
    <w:p w14:paraId="4A5CFEC8">
      <w:pP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2C24CF7B">
      <w:pPr>
        <w:rPr>
          <w:rFonts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188230EF">
      <w:pPr>
        <w:pBdr>
          <w:top w:val="none" w:color="000000" w:sz="0" w:space="0"/>
          <w:left w:val="none" w:color="000000" w:sz="0" w:space="0"/>
          <w:bottom w:val="none" w:color="000000" w:sz="0" w:space="0"/>
          <w:right w:val="none" w:color="000000" w:sz="0" w:space="0"/>
        </w:pBd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38CD34D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p>
    <w:p w14:paraId="658F1682">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41221C">
      <w:pPr>
        <w:snapToGrid w:val="0"/>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63E58404">
      <w:pPr>
        <w:snapToGrid w:val="0"/>
        <w:spacing w:line="360" w:lineRule="auto"/>
        <w:jc w:val="center"/>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4B90D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03796005">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6D3823F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379E7352">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C87FD53">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503F39CB">
            <w:pPr>
              <w:snapToGrid w:val="0"/>
              <w:spacing w:line="360" w:lineRule="auto"/>
              <w:jc w:val="center"/>
              <w:rPr>
                <w:rFonts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40BBCFB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065512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996CD1F">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7E39BBD1">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2F96959A">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6B23BF0">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82D7D2B">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2A73CC8">
            <w:pPr>
              <w:snapToGrid w:val="0"/>
              <w:spacing w:line="360" w:lineRule="auto"/>
              <w:rPr>
                <w:rFonts w:ascii="宋体" w:hAnsi="宋体" w:eastAsia="宋体" w:cs="宋体"/>
                <w:sz w:val="24"/>
                <w:szCs w:val="24"/>
                <w:highlight w:val="none"/>
              </w:rPr>
            </w:pPr>
          </w:p>
        </w:tc>
      </w:tr>
      <w:tr w14:paraId="2ADCEC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B47FD5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3044FFB2">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057BF550">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536687A">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F86498A">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B16E9DA">
            <w:pPr>
              <w:snapToGrid w:val="0"/>
              <w:spacing w:line="360" w:lineRule="auto"/>
              <w:rPr>
                <w:rFonts w:ascii="宋体" w:hAnsi="宋体" w:eastAsia="宋体" w:cs="宋体"/>
                <w:sz w:val="24"/>
                <w:szCs w:val="24"/>
                <w:highlight w:val="none"/>
              </w:rPr>
            </w:pPr>
          </w:p>
        </w:tc>
      </w:tr>
      <w:tr w14:paraId="31EF8C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29C5943">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20267272">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53D482BF">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B5BD56D">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A6365AF">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E9ABE58">
            <w:pPr>
              <w:snapToGrid w:val="0"/>
              <w:spacing w:line="360" w:lineRule="auto"/>
              <w:rPr>
                <w:rFonts w:ascii="宋体" w:hAnsi="宋体" w:eastAsia="宋体" w:cs="宋体"/>
                <w:sz w:val="24"/>
                <w:szCs w:val="24"/>
                <w:highlight w:val="none"/>
              </w:rPr>
            </w:pPr>
          </w:p>
        </w:tc>
      </w:tr>
      <w:tr w14:paraId="04344A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BB17A51">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146CB159">
            <w:pPr>
              <w:snapToGrid w:val="0"/>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6C0537DF">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DD5593B">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480991D">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372E39A">
            <w:pPr>
              <w:snapToGrid w:val="0"/>
              <w:spacing w:line="360" w:lineRule="auto"/>
              <w:rPr>
                <w:rFonts w:ascii="宋体" w:hAnsi="宋体" w:eastAsia="宋体" w:cs="宋体"/>
                <w:sz w:val="24"/>
                <w:szCs w:val="24"/>
                <w:highlight w:val="none"/>
              </w:rPr>
            </w:pPr>
          </w:p>
        </w:tc>
      </w:tr>
      <w:tr w14:paraId="78608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2C1DC8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4E0297B3">
            <w:pPr>
              <w:snapToGrid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23BE465B">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D19B937">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7E3F448">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6E2241B">
            <w:pPr>
              <w:snapToGrid w:val="0"/>
              <w:spacing w:line="360" w:lineRule="auto"/>
              <w:rPr>
                <w:rFonts w:ascii="宋体" w:hAnsi="宋体" w:eastAsia="宋体" w:cs="宋体"/>
                <w:sz w:val="24"/>
                <w:szCs w:val="24"/>
                <w:highlight w:val="none"/>
              </w:rPr>
            </w:pPr>
          </w:p>
        </w:tc>
      </w:tr>
      <w:tr w14:paraId="1C0E8E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4AF485">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4F5D9BE8">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C986310">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80157AC">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6B4D9D3">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D20F9BA">
            <w:pPr>
              <w:snapToGrid w:val="0"/>
              <w:spacing w:line="360" w:lineRule="auto"/>
              <w:rPr>
                <w:rFonts w:ascii="宋体" w:hAnsi="宋体" w:eastAsia="宋体" w:cs="宋体"/>
                <w:sz w:val="24"/>
                <w:szCs w:val="24"/>
                <w:highlight w:val="none"/>
              </w:rPr>
            </w:pPr>
          </w:p>
        </w:tc>
      </w:tr>
      <w:tr w14:paraId="30C99D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60FFA4">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7EA1A5B1">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6A83D81">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F8C0CB3">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0E4614A">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F685D87">
            <w:pPr>
              <w:snapToGrid w:val="0"/>
              <w:spacing w:line="360" w:lineRule="auto"/>
              <w:rPr>
                <w:rFonts w:ascii="宋体" w:hAnsi="宋体" w:eastAsia="宋体" w:cs="宋体"/>
                <w:sz w:val="24"/>
                <w:szCs w:val="24"/>
                <w:highlight w:val="none"/>
              </w:rPr>
            </w:pPr>
          </w:p>
        </w:tc>
      </w:tr>
      <w:tr w14:paraId="69C855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A47788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65E05D8B">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CA72102">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960E9C5">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19FEE87">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18339A2">
            <w:pPr>
              <w:snapToGrid w:val="0"/>
              <w:spacing w:line="360" w:lineRule="auto"/>
              <w:rPr>
                <w:rFonts w:ascii="宋体" w:hAnsi="宋体" w:eastAsia="宋体" w:cs="宋体"/>
                <w:sz w:val="24"/>
                <w:szCs w:val="24"/>
                <w:highlight w:val="none"/>
              </w:rPr>
            </w:pPr>
          </w:p>
        </w:tc>
      </w:tr>
      <w:tr w14:paraId="70C56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42128FC">
            <w:pPr>
              <w:snapToGrid w:val="0"/>
              <w:spacing w:line="360" w:lineRule="auto"/>
              <w:jc w:val="center"/>
              <w:rPr>
                <w:rFonts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64F3E2E3">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275C999E">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C2E4AC2">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A69FED8">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B69F98C">
            <w:pPr>
              <w:snapToGrid w:val="0"/>
              <w:spacing w:line="360" w:lineRule="auto"/>
              <w:rPr>
                <w:rFonts w:ascii="宋体" w:hAnsi="宋体" w:eastAsia="宋体" w:cs="宋体"/>
                <w:sz w:val="24"/>
                <w:szCs w:val="24"/>
                <w:highlight w:val="none"/>
              </w:rPr>
            </w:pPr>
          </w:p>
        </w:tc>
      </w:tr>
    </w:tbl>
    <w:p w14:paraId="2D1E935F">
      <w:pPr>
        <w:snapToGrid w:val="0"/>
        <w:spacing w:line="360" w:lineRule="auto"/>
        <w:ind w:firstLine="482" w:firstLineChars="200"/>
        <w:rPr>
          <w:rFonts w:ascii="宋体" w:hAnsi="宋体" w:eastAsia="宋体" w:cs="宋体"/>
          <w:b/>
          <w:sz w:val="24"/>
          <w:szCs w:val="24"/>
          <w:highlight w:val="none"/>
        </w:rPr>
      </w:pPr>
    </w:p>
    <w:p w14:paraId="66E73127">
      <w:pPr>
        <w:autoSpaceDE w:val="0"/>
        <w:autoSpaceDN w:val="0"/>
        <w:adjustRightInd w:val="0"/>
        <w:snapToGrid w:val="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7A5C2E7D">
      <w:pPr>
        <w:pStyle w:val="14"/>
        <w:overflowPunct w:val="0"/>
        <w:spacing w:line="360" w:lineRule="auto"/>
        <w:ind w:firstLine="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066DD03D">
      <w:pPr>
        <w:adjustRightInd w:val="0"/>
        <w:snapToGrid w:val="0"/>
        <w:spacing w:line="360" w:lineRule="auto"/>
        <w:ind w:firstLine="480" w:firstLineChars="200"/>
        <w:rPr>
          <w:rFonts w:ascii="宋体" w:hAnsi="宋体" w:eastAsia="宋体" w:cs="宋体"/>
          <w:sz w:val="24"/>
          <w:szCs w:val="24"/>
          <w:highlight w:val="none"/>
          <w:lang w:eastAsia="zh-CN"/>
        </w:rPr>
      </w:pPr>
    </w:p>
    <w:p w14:paraId="0F003B8D">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0E9E55E3">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3C152709">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0A09C4B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13108F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66E6B63">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52853C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254A35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B1334B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61ECA3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261A65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FEE744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042CFB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0BBEBDD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F181C8D">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3907672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DC868E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73A714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7B2CA6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D93533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BEC24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2E16ABC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B3BFB3B">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4FF2711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4E35D12">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48E86EC">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A46DC80">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453FDB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79037CB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E1DCFA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73D9A06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A99840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780D93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7746CD6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87B8DA2">
      <w:pPr>
        <w:snapToGrid w:val="0"/>
        <w:rPr>
          <w:rFonts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37E508D7">
      <w:pPr>
        <w:spacing w:line="360" w:lineRule="auto"/>
        <w:jc w:val="center"/>
        <w:rPr>
          <w:rFonts w:ascii="宋体" w:hAnsi="宋体" w:eastAsia="宋体" w:cs="宋体"/>
          <w:b/>
          <w:sz w:val="28"/>
          <w:szCs w:val="28"/>
          <w:highlight w:val="none"/>
          <w:lang w:eastAsia="zh-CN"/>
        </w:rPr>
      </w:pPr>
    </w:p>
    <w:p w14:paraId="0FAC8A55">
      <w:pPr>
        <w:spacing w:line="360" w:lineRule="auto"/>
        <w:jc w:val="center"/>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0046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BA2C75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28F1D36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2485E995">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735559A7">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合同金额</w:t>
            </w:r>
          </w:p>
          <w:p w14:paraId="6A0B935B">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139D5F1D">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02381966">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备注</w:t>
            </w:r>
          </w:p>
        </w:tc>
      </w:tr>
      <w:tr w14:paraId="0770C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6543A1C">
            <w:pPr>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4402A3DC">
            <w:pPr>
              <w:spacing w:line="360" w:lineRule="auto"/>
              <w:jc w:val="center"/>
              <w:rPr>
                <w:rFonts w:ascii="宋体" w:hAnsi="宋体" w:eastAsia="宋体" w:cs="宋体"/>
                <w:sz w:val="24"/>
                <w:highlight w:val="none"/>
              </w:rPr>
            </w:pPr>
          </w:p>
        </w:tc>
        <w:tc>
          <w:tcPr>
            <w:tcW w:w="1327" w:type="dxa"/>
          </w:tcPr>
          <w:p w14:paraId="0464402E">
            <w:pPr>
              <w:spacing w:line="360" w:lineRule="auto"/>
              <w:jc w:val="center"/>
              <w:rPr>
                <w:rFonts w:ascii="宋体" w:hAnsi="宋体" w:eastAsia="宋体" w:cs="宋体"/>
                <w:sz w:val="24"/>
                <w:highlight w:val="none"/>
              </w:rPr>
            </w:pPr>
          </w:p>
        </w:tc>
        <w:tc>
          <w:tcPr>
            <w:tcW w:w="1347" w:type="dxa"/>
            <w:vAlign w:val="center"/>
          </w:tcPr>
          <w:p w14:paraId="0D4CC7C9">
            <w:pPr>
              <w:spacing w:line="360" w:lineRule="auto"/>
              <w:jc w:val="center"/>
              <w:rPr>
                <w:rFonts w:ascii="宋体" w:hAnsi="宋体" w:eastAsia="宋体" w:cs="宋体"/>
                <w:sz w:val="24"/>
                <w:highlight w:val="none"/>
              </w:rPr>
            </w:pPr>
          </w:p>
        </w:tc>
        <w:tc>
          <w:tcPr>
            <w:tcW w:w="1965" w:type="dxa"/>
            <w:vAlign w:val="center"/>
          </w:tcPr>
          <w:p w14:paraId="6F5F795F">
            <w:pPr>
              <w:spacing w:line="360" w:lineRule="auto"/>
              <w:jc w:val="center"/>
              <w:rPr>
                <w:rFonts w:ascii="宋体" w:hAnsi="宋体" w:eastAsia="宋体" w:cs="宋体"/>
                <w:sz w:val="24"/>
                <w:highlight w:val="none"/>
              </w:rPr>
            </w:pPr>
          </w:p>
        </w:tc>
        <w:tc>
          <w:tcPr>
            <w:tcW w:w="1274" w:type="dxa"/>
            <w:vAlign w:val="center"/>
          </w:tcPr>
          <w:p w14:paraId="039FC831">
            <w:pPr>
              <w:spacing w:line="360" w:lineRule="auto"/>
              <w:jc w:val="center"/>
              <w:rPr>
                <w:rFonts w:ascii="宋体" w:hAnsi="宋体" w:eastAsia="宋体" w:cs="宋体"/>
                <w:sz w:val="24"/>
                <w:highlight w:val="none"/>
              </w:rPr>
            </w:pPr>
          </w:p>
        </w:tc>
      </w:tr>
      <w:tr w14:paraId="38AD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A82C6F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51740C34">
            <w:pPr>
              <w:spacing w:line="360" w:lineRule="auto"/>
              <w:jc w:val="center"/>
              <w:rPr>
                <w:rFonts w:ascii="宋体" w:hAnsi="宋体" w:eastAsia="宋体" w:cs="宋体"/>
                <w:sz w:val="24"/>
                <w:highlight w:val="none"/>
              </w:rPr>
            </w:pPr>
          </w:p>
        </w:tc>
        <w:tc>
          <w:tcPr>
            <w:tcW w:w="1327" w:type="dxa"/>
          </w:tcPr>
          <w:p w14:paraId="3C2A37DD">
            <w:pPr>
              <w:spacing w:line="360" w:lineRule="auto"/>
              <w:jc w:val="center"/>
              <w:rPr>
                <w:rFonts w:ascii="宋体" w:hAnsi="宋体" w:eastAsia="宋体" w:cs="宋体"/>
                <w:sz w:val="24"/>
                <w:highlight w:val="none"/>
              </w:rPr>
            </w:pPr>
          </w:p>
        </w:tc>
        <w:tc>
          <w:tcPr>
            <w:tcW w:w="1347" w:type="dxa"/>
            <w:vAlign w:val="center"/>
          </w:tcPr>
          <w:p w14:paraId="7B414324">
            <w:pPr>
              <w:spacing w:line="360" w:lineRule="auto"/>
              <w:jc w:val="center"/>
              <w:rPr>
                <w:rFonts w:ascii="宋体" w:hAnsi="宋体" w:eastAsia="宋体" w:cs="宋体"/>
                <w:sz w:val="24"/>
                <w:highlight w:val="none"/>
              </w:rPr>
            </w:pPr>
          </w:p>
        </w:tc>
        <w:tc>
          <w:tcPr>
            <w:tcW w:w="1965" w:type="dxa"/>
            <w:vAlign w:val="center"/>
          </w:tcPr>
          <w:p w14:paraId="3F7C04FC">
            <w:pPr>
              <w:spacing w:line="360" w:lineRule="auto"/>
              <w:jc w:val="center"/>
              <w:rPr>
                <w:rFonts w:ascii="宋体" w:hAnsi="宋体" w:eastAsia="宋体" w:cs="宋体"/>
                <w:sz w:val="24"/>
                <w:highlight w:val="none"/>
              </w:rPr>
            </w:pPr>
          </w:p>
        </w:tc>
        <w:tc>
          <w:tcPr>
            <w:tcW w:w="1274" w:type="dxa"/>
            <w:vAlign w:val="center"/>
          </w:tcPr>
          <w:p w14:paraId="1AFB5714">
            <w:pPr>
              <w:spacing w:line="360" w:lineRule="auto"/>
              <w:jc w:val="center"/>
              <w:rPr>
                <w:rFonts w:ascii="宋体" w:hAnsi="宋体" w:eastAsia="宋体" w:cs="宋体"/>
                <w:sz w:val="24"/>
                <w:highlight w:val="none"/>
              </w:rPr>
            </w:pPr>
          </w:p>
        </w:tc>
      </w:tr>
      <w:tr w14:paraId="1FC5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C65B8C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7B0195AB">
            <w:pPr>
              <w:spacing w:line="360" w:lineRule="auto"/>
              <w:jc w:val="center"/>
              <w:rPr>
                <w:rFonts w:ascii="宋体" w:hAnsi="宋体" w:eastAsia="宋体" w:cs="宋体"/>
                <w:sz w:val="24"/>
                <w:highlight w:val="none"/>
              </w:rPr>
            </w:pPr>
          </w:p>
        </w:tc>
        <w:tc>
          <w:tcPr>
            <w:tcW w:w="1327" w:type="dxa"/>
          </w:tcPr>
          <w:p w14:paraId="725A3E8A">
            <w:pPr>
              <w:spacing w:line="360" w:lineRule="auto"/>
              <w:jc w:val="center"/>
              <w:rPr>
                <w:rFonts w:ascii="宋体" w:hAnsi="宋体" w:eastAsia="宋体" w:cs="宋体"/>
                <w:sz w:val="24"/>
                <w:highlight w:val="none"/>
              </w:rPr>
            </w:pPr>
          </w:p>
        </w:tc>
        <w:tc>
          <w:tcPr>
            <w:tcW w:w="1347" w:type="dxa"/>
            <w:vAlign w:val="center"/>
          </w:tcPr>
          <w:p w14:paraId="3D4FBCA1">
            <w:pPr>
              <w:spacing w:line="360" w:lineRule="auto"/>
              <w:jc w:val="center"/>
              <w:rPr>
                <w:rFonts w:ascii="宋体" w:hAnsi="宋体" w:eastAsia="宋体" w:cs="宋体"/>
                <w:sz w:val="24"/>
                <w:highlight w:val="none"/>
              </w:rPr>
            </w:pPr>
          </w:p>
        </w:tc>
        <w:tc>
          <w:tcPr>
            <w:tcW w:w="1965" w:type="dxa"/>
            <w:vAlign w:val="center"/>
          </w:tcPr>
          <w:p w14:paraId="6B1ECD2B">
            <w:pPr>
              <w:spacing w:line="360" w:lineRule="auto"/>
              <w:jc w:val="center"/>
              <w:rPr>
                <w:rFonts w:ascii="宋体" w:hAnsi="宋体" w:eastAsia="宋体" w:cs="宋体"/>
                <w:sz w:val="24"/>
                <w:highlight w:val="none"/>
              </w:rPr>
            </w:pPr>
          </w:p>
        </w:tc>
        <w:tc>
          <w:tcPr>
            <w:tcW w:w="1274" w:type="dxa"/>
            <w:vAlign w:val="center"/>
          </w:tcPr>
          <w:p w14:paraId="1052DFDF">
            <w:pPr>
              <w:spacing w:line="360" w:lineRule="auto"/>
              <w:jc w:val="center"/>
              <w:rPr>
                <w:rFonts w:ascii="宋体" w:hAnsi="宋体" w:eastAsia="宋体" w:cs="宋体"/>
                <w:sz w:val="24"/>
                <w:highlight w:val="none"/>
              </w:rPr>
            </w:pPr>
          </w:p>
        </w:tc>
      </w:tr>
      <w:tr w14:paraId="0E501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9C8879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148CAA6B">
            <w:pPr>
              <w:spacing w:line="360" w:lineRule="auto"/>
              <w:jc w:val="center"/>
              <w:rPr>
                <w:rFonts w:ascii="宋体" w:hAnsi="宋体" w:eastAsia="宋体" w:cs="宋体"/>
                <w:sz w:val="24"/>
                <w:highlight w:val="none"/>
              </w:rPr>
            </w:pPr>
          </w:p>
        </w:tc>
        <w:tc>
          <w:tcPr>
            <w:tcW w:w="1327" w:type="dxa"/>
          </w:tcPr>
          <w:p w14:paraId="53011B7B">
            <w:pPr>
              <w:spacing w:line="360" w:lineRule="auto"/>
              <w:jc w:val="center"/>
              <w:rPr>
                <w:rFonts w:ascii="宋体" w:hAnsi="宋体" w:eastAsia="宋体" w:cs="宋体"/>
                <w:sz w:val="24"/>
                <w:highlight w:val="none"/>
              </w:rPr>
            </w:pPr>
          </w:p>
        </w:tc>
        <w:tc>
          <w:tcPr>
            <w:tcW w:w="1347" w:type="dxa"/>
            <w:vAlign w:val="center"/>
          </w:tcPr>
          <w:p w14:paraId="0AD98F03">
            <w:pPr>
              <w:spacing w:line="360" w:lineRule="auto"/>
              <w:jc w:val="center"/>
              <w:rPr>
                <w:rFonts w:ascii="宋体" w:hAnsi="宋体" w:eastAsia="宋体" w:cs="宋体"/>
                <w:sz w:val="24"/>
                <w:highlight w:val="none"/>
              </w:rPr>
            </w:pPr>
          </w:p>
        </w:tc>
        <w:tc>
          <w:tcPr>
            <w:tcW w:w="1965" w:type="dxa"/>
            <w:vAlign w:val="center"/>
          </w:tcPr>
          <w:p w14:paraId="08DBE240">
            <w:pPr>
              <w:spacing w:line="360" w:lineRule="auto"/>
              <w:jc w:val="center"/>
              <w:rPr>
                <w:rFonts w:ascii="宋体" w:hAnsi="宋体" w:eastAsia="宋体" w:cs="宋体"/>
                <w:sz w:val="24"/>
                <w:highlight w:val="none"/>
              </w:rPr>
            </w:pPr>
          </w:p>
        </w:tc>
        <w:tc>
          <w:tcPr>
            <w:tcW w:w="1274" w:type="dxa"/>
            <w:vAlign w:val="center"/>
          </w:tcPr>
          <w:p w14:paraId="47625AEA">
            <w:pPr>
              <w:spacing w:line="360" w:lineRule="auto"/>
              <w:jc w:val="center"/>
              <w:rPr>
                <w:rFonts w:ascii="宋体" w:hAnsi="宋体" w:eastAsia="宋体" w:cs="宋体"/>
                <w:sz w:val="24"/>
                <w:highlight w:val="none"/>
              </w:rPr>
            </w:pPr>
          </w:p>
        </w:tc>
      </w:tr>
      <w:tr w14:paraId="51BC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1B16B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4012ADE0">
            <w:pPr>
              <w:spacing w:line="360" w:lineRule="auto"/>
              <w:jc w:val="center"/>
              <w:rPr>
                <w:rFonts w:ascii="宋体" w:hAnsi="宋体" w:eastAsia="宋体" w:cs="宋体"/>
                <w:sz w:val="24"/>
                <w:highlight w:val="none"/>
              </w:rPr>
            </w:pPr>
          </w:p>
        </w:tc>
        <w:tc>
          <w:tcPr>
            <w:tcW w:w="1327" w:type="dxa"/>
          </w:tcPr>
          <w:p w14:paraId="251CA81C">
            <w:pPr>
              <w:spacing w:line="360" w:lineRule="auto"/>
              <w:jc w:val="center"/>
              <w:rPr>
                <w:rFonts w:ascii="宋体" w:hAnsi="宋体" w:eastAsia="宋体" w:cs="宋体"/>
                <w:sz w:val="24"/>
                <w:highlight w:val="none"/>
              </w:rPr>
            </w:pPr>
          </w:p>
        </w:tc>
        <w:tc>
          <w:tcPr>
            <w:tcW w:w="1347" w:type="dxa"/>
            <w:vAlign w:val="center"/>
          </w:tcPr>
          <w:p w14:paraId="23F36EAA">
            <w:pPr>
              <w:spacing w:line="360" w:lineRule="auto"/>
              <w:jc w:val="center"/>
              <w:rPr>
                <w:rFonts w:ascii="宋体" w:hAnsi="宋体" w:eastAsia="宋体" w:cs="宋体"/>
                <w:sz w:val="24"/>
                <w:highlight w:val="none"/>
              </w:rPr>
            </w:pPr>
          </w:p>
        </w:tc>
        <w:tc>
          <w:tcPr>
            <w:tcW w:w="1965" w:type="dxa"/>
            <w:vAlign w:val="center"/>
          </w:tcPr>
          <w:p w14:paraId="27B9E42D">
            <w:pPr>
              <w:spacing w:line="360" w:lineRule="auto"/>
              <w:jc w:val="center"/>
              <w:rPr>
                <w:rFonts w:ascii="宋体" w:hAnsi="宋体" w:eastAsia="宋体" w:cs="宋体"/>
                <w:sz w:val="24"/>
                <w:highlight w:val="none"/>
              </w:rPr>
            </w:pPr>
          </w:p>
        </w:tc>
        <w:tc>
          <w:tcPr>
            <w:tcW w:w="1274" w:type="dxa"/>
            <w:vAlign w:val="center"/>
          </w:tcPr>
          <w:p w14:paraId="396A9FD7">
            <w:pPr>
              <w:spacing w:line="360" w:lineRule="auto"/>
              <w:jc w:val="center"/>
              <w:rPr>
                <w:rFonts w:ascii="宋体" w:hAnsi="宋体" w:eastAsia="宋体" w:cs="宋体"/>
                <w:sz w:val="24"/>
                <w:highlight w:val="none"/>
              </w:rPr>
            </w:pPr>
          </w:p>
        </w:tc>
      </w:tr>
      <w:tr w14:paraId="285D9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B8A9AE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593C0A3A">
            <w:pPr>
              <w:spacing w:line="360" w:lineRule="auto"/>
              <w:jc w:val="center"/>
              <w:rPr>
                <w:rFonts w:ascii="宋体" w:hAnsi="宋体" w:eastAsia="宋体" w:cs="宋体"/>
                <w:sz w:val="24"/>
                <w:highlight w:val="none"/>
              </w:rPr>
            </w:pPr>
          </w:p>
        </w:tc>
        <w:tc>
          <w:tcPr>
            <w:tcW w:w="1327" w:type="dxa"/>
          </w:tcPr>
          <w:p w14:paraId="41CA873B">
            <w:pPr>
              <w:spacing w:line="360" w:lineRule="auto"/>
              <w:jc w:val="center"/>
              <w:rPr>
                <w:rFonts w:ascii="宋体" w:hAnsi="宋体" w:eastAsia="宋体" w:cs="宋体"/>
                <w:sz w:val="24"/>
                <w:highlight w:val="none"/>
              </w:rPr>
            </w:pPr>
          </w:p>
        </w:tc>
        <w:tc>
          <w:tcPr>
            <w:tcW w:w="1347" w:type="dxa"/>
            <w:vAlign w:val="center"/>
          </w:tcPr>
          <w:p w14:paraId="3947535E">
            <w:pPr>
              <w:spacing w:line="360" w:lineRule="auto"/>
              <w:jc w:val="center"/>
              <w:rPr>
                <w:rFonts w:ascii="宋体" w:hAnsi="宋体" w:eastAsia="宋体" w:cs="宋体"/>
                <w:sz w:val="24"/>
                <w:highlight w:val="none"/>
              </w:rPr>
            </w:pPr>
          </w:p>
        </w:tc>
        <w:tc>
          <w:tcPr>
            <w:tcW w:w="1965" w:type="dxa"/>
            <w:vAlign w:val="center"/>
          </w:tcPr>
          <w:p w14:paraId="434C4BBF">
            <w:pPr>
              <w:spacing w:line="360" w:lineRule="auto"/>
              <w:jc w:val="center"/>
              <w:rPr>
                <w:rFonts w:ascii="宋体" w:hAnsi="宋体" w:eastAsia="宋体" w:cs="宋体"/>
                <w:sz w:val="24"/>
                <w:highlight w:val="none"/>
              </w:rPr>
            </w:pPr>
          </w:p>
        </w:tc>
        <w:tc>
          <w:tcPr>
            <w:tcW w:w="1274" w:type="dxa"/>
            <w:vAlign w:val="center"/>
          </w:tcPr>
          <w:p w14:paraId="57B67E7D">
            <w:pPr>
              <w:spacing w:line="360" w:lineRule="auto"/>
              <w:jc w:val="center"/>
              <w:rPr>
                <w:rFonts w:ascii="宋体" w:hAnsi="宋体" w:eastAsia="宋体" w:cs="宋体"/>
                <w:sz w:val="24"/>
                <w:highlight w:val="none"/>
              </w:rPr>
            </w:pPr>
          </w:p>
        </w:tc>
      </w:tr>
      <w:tr w14:paraId="5553F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0DEB3B1">
            <w:pPr>
              <w:spacing w:line="360" w:lineRule="auto"/>
              <w:jc w:val="center"/>
              <w:rPr>
                <w:rFonts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54F6C5CD">
            <w:pPr>
              <w:spacing w:line="360" w:lineRule="auto"/>
              <w:jc w:val="center"/>
              <w:rPr>
                <w:rFonts w:ascii="宋体" w:hAnsi="宋体" w:eastAsia="宋体" w:cs="宋体"/>
                <w:sz w:val="24"/>
                <w:highlight w:val="none"/>
              </w:rPr>
            </w:pPr>
          </w:p>
        </w:tc>
        <w:tc>
          <w:tcPr>
            <w:tcW w:w="1327" w:type="dxa"/>
          </w:tcPr>
          <w:p w14:paraId="2F047F8A">
            <w:pPr>
              <w:spacing w:line="360" w:lineRule="auto"/>
              <w:jc w:val="center"/>
              <w:rPr>
                <w:rFonts w:ascii="宋体" w:hAnsi="宋体" w:eastAsia="宋体" w:cs="宋体"/>
                <w:sz w:val="24"/>
                <w:highlight w:val="none"/>
              </w:rPr>
            </w:pPr>
          </w:p>
        </w:tc>
        <w:tc>
          <w:tcPr>
            <w:tcW w:w="1347" w:type="dxa"/>
            <w:vAlign w:val="center"/>
          </w:tcPr>
          <w:p w14:paraId="30BE8CF7">
            <w:pPr>
              <w:spacing w:line="360" w:lineRule="auto"/>
              <w:jc w:val="center"/>
              <w:rPr>
                <w:rFonts w:ascii="宋体" w:hAnsi="宋体" w:eastAsia="宋体" w:cs="宋体"/>
                <w:sz w:val="24"/>
                <w:highlight w:val="none"/>
              </w:rPr>
            </w:pPr>
          </w:p>
        </w:tc>
        <w:tc>
          <w:tcPr>
            <w:tcW w:w="1965" w:type="dxa"/>
            <w:vAlign w:val="center"/>
          </w:tcPr>
          <w:p w14:paraId="3075BF3B">
            <w:pPr>
              <w:spacing w:line="360" w:lineRule="auto"/>
              <w:jc w:val="center"/>
              <w:rPr>
                <w:rFonts w:ascii="宋体" w:hAnsi="宋体" w:eastAsia="宋体" w:cs="宋体"/>
                <w:sz w:val="24"/>
                <w:highlight w:val="none"/>
              </w:rPr>
            </w:pPr>
          </w:p>
        </w:tc>
        <w:tc>
          <w:tcPr>
            <w:tcW w:w="1274" w:type="dxa"/>
            <w:vAlign w:val="center"/>
          </w:tcPr>
          <w:p w14:paraId="2556C54E">
            <w:pPr>
              <w:spacing w:line="360" w:lineRule="auto"/>
              <w:jc w:val="center"/>
              <w:rPr>
                <w:rFonts w:ascii="宋体" w:hAnsi="宋体" w:eastAsia="宋体" w:cs="宋体"/>
                <w:sz w:val="24"/>
                <w:highlight w:val="none"/>
              </w:rPr>
            </w:pPr>
          </w:p>
        </w:tc>
      </w:tr>
    </w:tbl>
    <w:p w14:paraId="0381671D">
      <w:pPr>
        <w:spacing w:line="440" w:lineRule="exact"/>
        <w:ind w:firstLine="240" w:firstLineChars="100"/>
        <w:rPr>
          <w:rFonts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6D632E3B">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55A27005">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6C24C619">
      <w:pPr>
        <w:ind w:firstLine="480" w:firstLineChars="200"/>
        <w:rPr>
          <w:rFonts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4AB3AF5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20163A63">
      <w:pPr>
        <w:snapToGrid w:val="0"/>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281AE17B">
      <w:pPr>
        <w:pStyle w:val="205"/>
        <w:ind w:firstLine="1043" w:firstLineChars="371"/>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1B7D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5BE74B4E">
            <w:pPr>
              <w:jc w:val="center"/>
              <w:rPr>
                <w:rFonts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65B027C5">
            <w:pPr>
              <w:jc w:val="center"/>
              <w:rPr>
                <w:rFonts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5A318E1A">
            <w:pPr>
              <w:jc w:val="center"/>
              <w:rPr>
                <w:rFonts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5CD8B73C">
            <w:pPr>
              <w:jc w:val="center"/>
              <w:rPr>
                <w:rFonts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6CFB621F">
            <w:pPr>
              <w:jc w:val="center"/>
              <w:rPr>
                <w:rFonts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7A3161D0">
            <w:pPr>
              <w:jc w:val="center"/>
              <w:rPr>
                <w:rFonts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5FE5596C">
            <w:pPr>
              <w:jc w:val="center"/>
              <w:rPr>
                <w:rFonts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3A1F8803">
            <w:pPr>
              <w:ind w:firstLine="221" w:firstLineChars="100"/>
              <w:rPr>
                <w:rFonts w:ascii="宋体" w:hAnsi="宋体" w:eastAsia="宋体" w:cs="宋体"/>
                <w:b/>
                <w:highlight w:val="none"/>
              </w:rPr>
            </w:pPr>
            <w:r>
              <w:rPr>
                <w:rFonts w:hint="eastAsia" w:ascii="宋体" w:hAnsi="宋体" w:eastAsia="宋体" w:cs="宋体"/>
                <w:b/>
                <w:highlight w:val="none"/>
              </w:rPr>
              <w:t>备注</w:t>
            </w:r>
          </w:p>
        </w:tc>
      </w:tr>
      <w:tr w14:paraId="07678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A58A00F">
            <w:pPr>
              <w:snapToGrid w:val="0"/>
              <w:ind w:firstLine="220" w:firstLineChars="100"/>
              <w:rPr>
                <w:rFonts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07EFA289">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48521F8">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1D22956">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3BDD493">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A28F096">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F362B93">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1FB678D">
            <w:pPr>
              <w:snapToGrid w:val="0"/>
              <w:ind w:firstLine="480"/>
              <w:jc w:val="center"/>
              <w:rPr>
                <w:rFonts w:ascii="宋体" w:hAnsi="宋体" w:eastAsia="宋体" w:cs="宋体"/>
                <w:highlight w:val="none"/>
              </w:rPr>
            </w:pPr>
          </w:p>
        </w:tc>
      </w:tr>
      <w:tr w14:paraId="2658A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2AACE02">
            <w:pPr>
              <w:snapToGrid w:val="0"/>
              <w:ind w:firstLine="220" w:firstLineChars="100"/>
              <w:rPr>
                <w:rFonts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1D4D1106">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AA3650">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6DE2AFD">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5144689">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B232B35">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9F2EAAB">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885E5B2">
            <w:pPr>
              <w:snapToGrid w:val="0"/>
              <w:ind w:firstLine="480"/>
              <w:jc w:val="center"/>
              <w:rPr>
                <w:rFonts w:ascii="宋体" w:hAnsi="宋体" w:eastAsia="宋体" w:cs="宋体"/>
                <w:highlight w:val="none"/>
              </w:rPr>
            </w:pPr>
          </w:p>
        </w:tc>
      </w:tr>
      <w:tr w14:paraId="55FE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D9BECB3">
            <w:pPr>
              <w:snapToGrid w:val="0"/>
              <w:ind w:firstLine="220" w:firstLineChars="100"/>
              <w:rPr>
                <w:rFonts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790ABBD3">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91F0D52">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EDF4FA0">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F1DCF12">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11DE1EA">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34D0F4E">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040076D">
            <w:pPr>
              <w:snapToGrid w:val="0"/>
              <w:ind w:firstLine="480"/>
              <w:jc w:val="center"/>
              <w:rPr>
                <w:rFonts w:ascii="宋体" w:hAnsi="宋体" w:eastAsia="宋体" w:cs="宋体"/>
                <w:highlight w:val="none"/>
              </w:rPr>
            </w:pPr>
          </w:p>
        </w:tc>
      </w:tr>
      <w:tr w14:paraId="5160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B97D710">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7E509BB">
            <w:pPr>
              <w:snapToGrid w:val="0"/>
              <w:ind w:firstLine="480"/>
              <w:rPr>
                <w:rFonts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35E26AC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A00AE12">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D4012B6">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60CFD83">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BBB045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BE59D7E">
            <w:pPr>
              <w:snapToGrid w:val="0"/>
              <w:ind w:firstLine="480"/>
              <w:rPr>
                <w:rFonts w:ascii="宋体" w:hAnsi="宋体" w:eastAsia="宋体" w:cs="宋体"/>
                <w:highlight w:val="none"/>
              </w:rPr>
            </w:pPr>
          </w:p>
        </w:tc>
      </w:tr>
      <w:tr w14:paraId="4A2F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00728E">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2571B11">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F35C80F">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1AB1E46">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1F2EEAF">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8EA70ED">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6A617B37">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58358A4">
            <w:pPr>
              <w:snapToGrid w:val="0"/>
              <w:ind w:firstLine="480"/>
              <w:rPr>
                <w:rFonts w:ascii="宋体" w:hAnsi="宋体" w:eastAsia="宋体" w:cs="宋体"/>
                <w:highlight w:val="none"/>
              </w:rPr>
            </w:pPr>
          </w:p>
        </w:tc>
      </w:tr>
      <w:tr w14:paraId="76FE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EBD9002">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615273C">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C337037">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A7436CD">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D07C39E">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E6B46CA">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02DA4A">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F77BB0A">
            <w:pPr>
              <w:snapToGrid w:val="0"/>
              <w:ind w:firstLine="480"/>
              <w:rPr>
                <w:rFonts w:ascii="宋体" w:hAnsi="宋体" w:eastAsia="宋体" w:cs="宋体"/>
                <w:highlight w:val="none"/>
              </w:rPr>
            </w:pPr>
          </w:p>
        </w:tc>
      </w:tr>
      <w:tr w14:paraId="24BF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819B192">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62AEBBC">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1DB0BDB">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7EC64F0">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8478F6">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82DE750">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208ED74">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72C264F">
            <w:pPr>
              <w:snapToGrid w:val="0"/>
              <w:ind w:firstLine="480"/>
              <w:rPr>
                <w:rFonts w:ascii="宋体" w:hAnsi="宋体" w:eastAsia="宋体" w:cs="宋体"/>
                <w:highlight w:val="none"/>
              </w:rPr>
            </w:pPr>
          </w:p>
        </w:tc>
      </w:tr>
      <w:tr w14:paraId="7F1B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00E325D">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077E820">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6AB7C17">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B622E1">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0D55C33">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5047F03">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681AEB69">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B79B584">
            <w:pPr>
              <w:snapToGrid w:val="0"/>
              <w:ind w:firstLine="480"/>
              <w:rPr>
                <w:rFonts w:ascii="宋体" w:hAnsi="宋体" w:eastAsia="宋体" w:cs="宋体"/>
                <w:highlight w:val="none"/>
              </w:rPr>
            </w:pPr>
          </w:p>
        </w:tc>
      </w:tr>
      <w:tr w14:paraId="6E99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2F5AFC0">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E9FE721">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9C1E779">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2707B77">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77D6E48">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6EAC81E">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AABD09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AA41833">
            <w:pPr>
              <w:snapToGrid w:val="0"/>
              <w:ind w:firstLine="480"/>
              <w:rPr>
                <w:rFonts w:ascii="宋体" w:hAnsi="宋体" w:eastAsia="宋体" w:cs="宋体"/>
                <w:highlight w:val="none"/>
              </w:rPr>
            </w:pPr>
          </w:p>
        </w:tc>
      </w:tr>
    </w:tbl>
    <w:p w14:paraId="3DDEAD3A">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053666C6">
      <w:pPr>
        <w:spacing w:line="420" w:lineRule="exact"/>
        <w:rPr>
          <w:rFonts w:ascii="宋体" w:hAnsi="宋体" w:eastAsia="宋体" w:cs="宋体"/>
          <w:sz w:val="24"/>
          <w:highlight w:val="none"/>
          <w:lang w:eastAsia="zh-CN"/>
        </w:rPr>
      </w:pPr>
    </w:p>
    <w:p w14:paraId="796693DD">
      <w:pPr>
        <w:pStyle w:val="20"/>
        <w:rPr>
          <w:rFonts w:hAnsi="宋体" w:eastAsia="宋体" w:cs="宋体"/>
          <w:highlight w:val="none"/>
          <w:lang w:eastAsia="zh-CN"/>
        </w:rPr>
      </w:pPr>
    </w:p>
    <w:p w14:paraId="540FFE4B">
      <w:pPr>
        <w:pStyle w:val="20"/>
        <w:rPr>
          <w:rFonts w:hAnsi="宋体" w:eastAsia="宋体" w:cs="宋体"/>
          <w:highlight w:val="none"/>
          <w:lang w:eastAsia="zh-CN"/>
        </w:rPr>
      </w:pPr>
    </w:p>
    <w:p w14:paraId="0A8CE332">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2620A877">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656D7D5E">
      <w:pPr>
        <w:pStyle w:val="20"/>
        <w:rPr>
          <w:rFonts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2D5FC36E">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6AA87F1D">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0F2514DA">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2CF29767">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2896A2DC">
      <w:pPr>
        <w:spacing w:line="360" w:lineRule="auto"/>
        <w:rPr>
          <w:rFonts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6E506DEF">
      <w:pPr>
        <w:autoSpaceDE w:val="0"/>
        <w:autoSpaceDN w:val="0"/>
        <w:adjustRightInd w:val="0"/>
        <w:spacing w:line="400" w:lineRule="exact"/>
        <w:rPr>
          <w:rFonts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658558E1">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微信智能体客服系统项目</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JSZC-320585-JZCG-G2026-0096</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3B6ED877">
      <w:pPr>
        <w:numPr>
          <w:ilvl w:val="0"/>
          <w:numId w:val="5"/>
        </w:numPr>
        <w:spacing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bCs/>
          <w:sz w:val="24"/>
          <w:highlight w:val="none"/>
          <w:u w:val="single"/>
          <w:lang w:eastAsia="zh-CN"/>
        </w:rPr>
        <w:t>软件和信息服务业</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2BA41FBF">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23E3729F">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7020FA8B">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7C5C44A8">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069F804B">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6D4DF2A3">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51621261">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603314D4">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w:t>
      </w:r>
      <w:r>
        <w:rPr>
          <w:rFonts w:hint="eastAsia" w:ascii="宋体" w:hAnsi="宋体" w:eastAsia="宋体" w:cs="宋体"/>
          <w:b/>
          <w:bCs/>
          <w:sz w:val="24"/>
          <w:szCs w:val="24"/>
          <w:highlight w:val="none"/>
          <w:lang w:eastAsia="zh-CN"/>
        </w:rPr>
        <w:t>专门面向</w:t>
      </w:r>
      <w:r>
        <w:rPr>
          <w:rFonts w:hint="eastAsia" w:ascii="宋体" w:hAnsi="宋体" w:eastAsia="宋体" w:cs="宋体"/>
          <w:sz w:val="24"/>
          <w:szCs w:val="24"/>
          <w:highlight w:val="none"/>
          <w:lang w:eastAsia="zh-CN"/>
        </w:rPr>
        <w:t>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否则视为投标无效</w:t>
      </w:r>
    </w:p>
    <w:p w14:paraId="03B9C6D3">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2、投标人提供的中小企业声明函必须包含本项目所有服务及其服务承接企业，并按照声明函格式填写完整、明确，否则视为未按规定提供声明函，投标无效。</w:t>
      </w:r>
    </w:p>
    <w:p w14:paraId="39DACB4E">
      <w:pPr>
        <w:spacing w:after="0"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3、中标、成交供应商享受规定的中小企业扶持政策的，《中小企业声明函》应当随中标、成交结果同时公告，接受社会监督。</w:t>
      </w:r>
    </w:p>
    <w:p w14:paraId="3AE1B2B5">
      <w:pPr>
        <w:pBdr>
          <w:top w:val="none" w:color="000000" w:sz="0" w:space="0"/>
          <w:left w:val="none" w:color="000000" w:sz="0" w:space="0"/>
          <w:bottom w:val="none" w:color="000000" w:sz="0" w:space="0"/>
          <w:right w:val="none" w:color="000000" w:sz="0" w:space="0"/>
        </w:pBdr>
        <w:spacing w:line="439" w:lineRule="atLeast"/>
        <w:ind w:firstLine="640" w:firstLineChars="200"/>
        <w:rPr>
          <w:rFonts w:ascii="宋体" w:hAnsi="宋体" w:cs="宋体"/>
          <w:b/>
          <w:sz w:val="32"/>
          <w:highlight w:val="none"/>
          <w:lang w:eastAsia="zh-CN"/>
        </w:rPr>
      </w:pPr>
      <w:r>
        <w:rPr>
          <w:rFonts w:hint="eastAsia" w:ascii="宋体" w:hAnsi="宋体" w:cs="宋体"/>
          <w:b/>
          <w:sz w:val="32"/>
          <w:highlight w:val="none"/>
          <w:lang w:eastAsia="zh-CN"/>
        </w:rPr>
        <w:t> </w:t>
      </w:r>
    </w:p>
    <w:p w14:paraId="5F80406D">
      <w:pPr>
        <w:adjustRightInd w:val="0"/>
        <w:snapToGrid w:val="0"/>
        <w:spacing w:line="400" w:lineRule="exact"/>
        <w:ind w:firstLine="480" w:firstLineChars="200"/>
        <w:rPr>
          <w:rFonts w:ascii="仿宋" w:hAnsi="仿宋" w:eastAsia="仿宋" w:cs="仿宋"/>
          <w:sz w:val="24"/>
          <w:szCs w:val="24"/>
          <w:highlight w:val="none"/>
          <w:lang w:eastAsia="zh-CN"/>
        </w:rPr>
      </w:pPr>
    </w:p>
    <w:p w14:paraId="4525153E">
      <w:pPr>
        <w:spacing w:after="0" w:line="440" w:lineRule="exact"/>
        <w:ind w:firstLine="480" w:firstLineChars="200"/>
        <w:rPr>
          <w:rFonts w:ascii="宋体" w:hAnsi="宋体" w:eastAsia="宋体" w:cs="宋体"/>
          <w:sz w:val="24"/>
          <w:szCs w:val="24"/>
          <w:highlight w:val="none"/>
          <w:lang w:eastAsia="zh-CN"/>
        </w:rPr>
      </w:pPr>
    </w:p>
    <w:p w14:paraId="1807F730">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6540D37F">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0B8A935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02A9A8FB">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0C5724F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4DAA15D0">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2DD374B7">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highlight w:val="none"/>
          <w:lang w:eastAsia="zh-CN"/>
        </w:rPr>
      </w:pPr>
      <w:r>
        <w:rPr>
          <w:rFonts w:hint="eastAsia" w:ascii="宋体" w:hAnsi="宋体" w:eastAsia="宋体" w:cs="宋体"/>
          <w:b/>
          <w:sz w:val="32"/>
          <w:highlight w:val="none"/>
          <w:lang w:eastAsia="zh-CN"/>
        </w:rPr>
        <w:t> </w:t>
      </w:r>
    </w:p>
    <w:p w14:paraId="7E594258">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BAA1F2D">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68A38D7C">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0FF9195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w:t>
      </w:r>
    </w:p>
    <w:p w14:paraId="684E9E02">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39CAB13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p>
    <w:p w14:paraId="538FD1B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33C243C9">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7DAF975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28A3D6C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0435A8F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0192B07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2B61B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49FF56A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54BEF2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8921F9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436502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E8650E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3656F3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59221C7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2BD78DD">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6B7E2B5">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07EE8E1A">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712E735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759AE6E8">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3FEF49AD">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ECF7717">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highlight w:val="none"/>
          <w:lang w:eastAsia="zh-CN"/>
        </w:rPr>
      </w:pPr>
    </w:p>
    <w:p w14:paraId="1BEF9F19">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4F1D2776">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1B495C5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24DF6EE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65609D89">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120984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53D3B79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3636555">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124E614B">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273083E8">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0505FC3C">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704AE742">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548B8A0D">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3B8F5F3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A365CA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3E52071F">
      <w:pPr>
        <w:pStyle w:val="201"/>
        <w:spacing w:line="480" w:lineRule="exact"/>
        <w:ind w:firstLine="480"/>
        <w:rPr>
          <w:rFonts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5A1B156E">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3ED2EDA3">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7203D5E">
      <w:pPr>
        <w:pBdr>
          <w:top w:val="none" w:color="000000" w:sz="0" w:space="0"/>
          <w:left w:val="none" w:color="000000" w:sz="0" w:space="0"/>
          <w:bottom w:val="none" w:color="000000" w:sz="0" w:space="0"/>
          <w:right w:val="none" w:color="000000" w:sz="0" w:space="0"/>
        </w:pBdr>
        <w:spacing w:after="0" w:line="460" w:lineRule="atLeast"/>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2866F0D9">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28D7D86">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1F5C6D99">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highlight w:val="none"/>
          <w:lang w:eastAsia="zh-CN"/>
        </w:rPr>
      </w:pPr>
      <w:r>
        <w:rPr>
          <w:rFonts w:hint="eastAsia" w:ascii="宋体" w:hAnsi="宋体" w:eastAsia="宋体" w:cs="宋体"/>
          <w:sz w:val="24"/>
          <w:highlight w:val="none"/>
          <w:lang w:eastAsia="zh-CN"/>
        </w:rPr>
        <w:t>七、中小企业相关政策：</w:t>
      </w:r>
    </w:p>
    <w:p w14:paraId="635D7CEB">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但与大企业的负责人为同一人，或者与大企业存在直接控股、管理关系的除外。</w:t>
      </w:r>
      <w:r>
        <w:rPr>
          <w:rFonts w:hint="eastAsia" w:ascii="宋体" w:hAnsi="宋体" w:eastAsia="宋体" w:cs="宋体"/>
          <w:sz w:val="24"/>
          <w:highlight w:val="none"/>
          <w:lang w:eastAsia="zh-CN"/>
        </w:rPr>
        <w:t>符合中小企业划分标准的个体工商户，在政府采购活动中视同中小企业.</w:t>
      </w:r>
    </w:p>
    <w:p w14:paraId="095B982D">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2F988F1D">
      <w:pP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专门面向中小企业采购的项目，不再执行价格评审优惠的扶持政策。</w:t>
      </w:r>
    </w:p>
    <w:p w14:paraId="09737F9A">
      <w:pPr>
        <w:pStyle w:val="201"/>
        <w:spacing w:line="500" w:lineRule="exact"/>
        <w:rPr>
          <w:rFonts w:asciiTheme="minorEastAsia" w:hAnsiTheme="minorEastAsia" w:eastAsiaTheme="minorEastAsia"/>
          <w:b/>
          <w:sz w:val="24"/>
          <w:szCs w:val="24"/>
          <w:highlight w:val="none"/>
          <w:lang w:eastAsia="zh-CN"/>
        </w:rPr>
      </w:pPr>
      <w:bookmarkStart w:id="5" w:name="_Hlk166575460"/>
      <w:bookmarkStart w:id="6" w:name="OLE_LINK22"/>
    </w:p>
    <w:p w14:paraId="5B36BF2B">
      <w:pPr>
        <w:pStyle w:val="201"/>
        <w:spacing w:line="500" w:lineRule="exact"/>
        <w:rPr>
          <w:rFonts w:asciiTheme="minorEastAsia" w:hAnsiTheme="minorEastAsia" w:eastAsiaTheme="minorEastAsia"/>
          <w:b/>
          <w:sz w:val="24"/>
          <w:szCs w:val="24"/>
          <w:highlight w:val="none"/>
          <w:lang w:eastAsia="zh-CN"/>
        </w:rPr>
      </w:pPr>
    </w:p>
    <w:p w14:paraId="19896F62">
      <w:pPr>
        <w:pStyle w:val="201"/>
        <w:spacing w:line="500" w:lineRule="exact"/>
        <w:rPr>
          <w:rFonts w:asciiTheme="minorEastAsia" w:hAnsiTheme="minorEastAsia" w:eastAsiaTheme="minorEastAsia"/>
          <w:b/>
          <w:sz w:val="24"/>
          <w:szCs w:val="24"/>
          <w:highlight w:val="none"/>
          <w:lang w:eastAsia="zh-CN"/>
        </w:rPr>
      </w:pPr>
    </w:p>
    <w:p w14:paraId="5B8170EA">
      <w:pPr>
        <w:pStyle w:val="201"/>
        <w:spacing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p>
    <w:p w14:paraId="501B7565">
      <w:pPr>
        <w:pStyle w:val="201"/>
        <w:keepNext w:val="0"/>
        <w:keepLines w:val="0"/>
        <w:pageBreakBefore w:val="0"/>
        <w:widowControl/>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一、价格分（</w:t>
      </w:r>
      <w:r>
        <w:rPr>
          <w:rFonts w:hint="eastAsia" w:ascii="宋体" w:hAnsi="宋体" w:eastAsia="宋体" w:cs="宋体"/>
          <w:b/>
          <w:bCs/>
          <w:sz w:val="24"/>
          <w:szCs w:val="24"/>
          <w:highlight w:val="none"/>
          <w:lang w:val="en-US" w:eastAsia="zh-CN"/>
        </w:rPr>
        <w:t>20</w:t>
      </w:r>
      <w:r>
        <w:rPr>
          <w:rFonts w:hint="eastAsia" w:ascii="宋体" w:hAnsi="宋体" w:eastAsia="宋体" w:cs="宋体"/>
          <w:b/>
          <w:bCs/>
          <w:sz w:val="24"/>
          <w:szCs w:val="24"/>
          <w:highlight w:val="none"/>
          <w:lang w:eastAsia="zh-CN"/>
        </w:rPr>
        <w:t>分）</w:t>
      </w:r>
    </w:p>
    <w:p w14:paraId="2E612056">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第一步：投标报价低于或等于财政预算价格的，为有效投标报价。超财政预算的投标报价为无效投标报价。</w:t>
      </w:r>
    </w:p>
    <w:p w14:paraId="614E77AE">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第二步：在所有有效投标报价中满足采购文件要求，且投标价格最低的投标报价为评标基准价，其他投标人的价格分按照下列公式计算（计算结果四舍五入保留两位小数）。</w:t>
      </w:r>
    </w:p>
    <w:p w14:paraId="65402BDF">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报价得分=(评标基准价/投标报价)×</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lang w:eastAsia="zh-CN"/>
        </w:rPr>
        <w:t>%×100</w:t>
      </w:r>
    </w:p>
    <w:p w14:paraId="0632CA70">
      <w:pPr>
        <w:pStyle w:val="201"/>
        <w:keepNext w:val="0"/>
        <w:keepLines w:val="0"/>
        <w:pageBreakBefore w:val="0"/>
        <w:widowControl/>
        <w:numPr>
          <w:ilvl w:val="-1"/>
          <w:numId w:val="0"/>
        </w:numPr>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color w:val="auto"/>
          <w:sz w:val="24"/>
          <w:szCs w:val="24"/>
          <w:highlight w:val="none"/>
          <w:lang w:eastAsia="zh-CN"/>
        </w:rPr>
        <w:t>技术及服务部分（</w:t>
      </w:r>
      <w:r>
        <w:rPr>
          <w:rFonts w:hint="eastAsia" w:ascii="宋体" w:hAnsi="宋体" w:eastAsia="宋体" w:cs="宋体"/>
          <w:b/>
          <w:bCs/>
          <w:color w:val="auto"/>
          <w:sz w:val="24"/>
          <w:szCs w:val="24"/>
          <w:highlight w:val="none"/>
          <w:lang w:val="en-US" w:eastAsia="zh-CN"/>
        </w:rPr>
        <w:t>65分）</w:t>
      </w:r>
    </w:p>
    <w:p w14:paraId="0866FEF0">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1、系统功能及</w:t>
      </w:r>
      <w:r>
        <w:rPr>
          <w:rFonts w:hint="eastAsia" w:ascii="宋体" w:hAnsi="宋体" w:eastAsia="宋体" w:cs="宋体"/>
          <w:b/>
          <w:bCs/>
          <w:color w:val="000000"/>
          <w:sz w:val="24"/>
          <w:szCs w:val="24"/>
        </w:rPr>
        <w:t>技术参数响应（</w:t>
      </w:r>
      <w:r>
        <w:rPr>
          <w:rFonts w:hint="eastAsia" w:ascii="宋体" w:hAnsi="宋体" w:eastAsia="宋体" w:cs="宋体"/>
          <w:b/>
          <w:bCs/>
          <w:color w:val="000000"/>
          <w:sz w:val="24"/>
          <w:szCs w:val="24"/>
          <w:lang w:val="en-US" w:eastAsia="zh-CN"/>
        </w:rPr>
        <w:t>38</w:t>
      </w:r>
      <w:r>
        <w:rPr>
          <w:rFonts w:hint="eastAsia" w:ascii="宋体" w:hAnsi="宋体" w:eastAsia="宋体" w:cs="宋体"/>
          <w:b/>
          <w:bCs/>
          <w:color w:val="000000"/>
          <w:sz w:val="24"/>
          <w:szCs w:val="24"/>
        </w:rPr>
        <w:t>分）</w:t>
      </w:r>
    </w:p>
    <w:p w14:paraId="779A059A">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技术参数全部满足项目需求（二）系统功能技术参数要求得</w:t>
      </w:r>
      <w:r>
        <w:rPr>
          <w:rFonts w:hint="eastAsia" w:ascii="宋体" w:hAnsi="宋体" w:eastAsia="宋体" w:cs="宋体"/>
          <w:color w:val="000000"/>
          <w:sz w:val="24"/>
          <w:szCs w:val="24"/>
          <w:lang w:val="en-US" w:eastAsia="zh-CN"/>
        </w:rPr>
        <w:t>38</w:t>
      </w:r>
      <w:r>
        <w:rPr>
          <w:rFonts w:hint="eastAsia" w:ascii="宋体" w:hAnsi="宋体" w:eastAsia="宋体" w:cs="宋体"/>
          <w:color w:val="000000"/>
          <w:sz w:val="24"/>
          <w:szCs w:val="24"/>
          <w:lang w:eastAsia="zh-CN"/>
        </w:rPr>
        <w:t>分。</w:t>
      </w:r>
      <w:r>
        <w:rPr>
          <w:rFonts w:ascii="宋体" w:hAnsi="宋体" w:eastAsia="宋体" w:cs="宋体"/>
          <w:sz w:val="24"/>
          <w:szCs w:val="24"/>
        </w:rPr>
        <w:t>该章节共包含技术参数31项，其中标注“▲”的重要技术参数共1</w:t>
      </w:r>
      <w:r>
        <w:rPr>
          <w:rFonts w:hint="eastAsia" w:ascii="宋体" w:hAnsi="宋体" w:eastAsia="宋体" w:cs="宋体"/>
          <w:sz w:val="24"/>
          <w:szCs w:val="24"/>
          <w:lang w:val="en-US" w:eastAsia="zh-CN"/>
        </w:rPr>
        <w:t>5</w:t>
      </w:r>
      <w:r>
        <w:rPr>
          <w:rFonts w:ascii="宋体" w:hAnsi="宋体" w:eastAsia="宋体" w:cs="宋体"/>
          <w:sz w:val="24"/>
          <w:szCs w:val="24"/>
        </w:rPr>
        <w:t>项，每满足1项得2分；</w:t>
      </w:r>
      <w:r>
        <w:rPr>
          <w:rFonts w:hint="eastAsia" w:ascii="宋体" w:hAnsi="宋体" w:eastAsia="宋体" w:cs="宋体"/>
          <w:sz w:val="24"/>
          <w:szCs w:val="24"/>
          <w:lang w:val="en-US" w:eastAsia="zh-CN"/>
        </w:rPr>
        <w:t>未</w:t>
      </w:r>
      <w:r>
        <w:rPr>
          <w:rFonts w:ascii="宋体" w:hAnsi="宋体" w:eastAsia="宋体" w:cs="宋体"/>
          <w:sz w:val="24"/>
          <w:szCs w:val="24"/>
        </w:rPr>
        <w:t>标注“▲”的一般技术参数共16项，每满足1项得0.5分。</w:t>
      </w:r>
    </w:p>
    <w:p w14:paraId="23E4087D">
      <w:pPr>
        <w:pStyle w:val="201"/>
        <w:spacing w:line="500" w:lineRule="exact"/>
        <w:ind w:firstLine="480" w:firstLineChars="200"/>
        <w:jc w:val="both"/>
        <w:rPr>
          <w:rFonts w:hint="default" w:ascii="宋体" w:hAnsi="宋体" w:eastAsia="宋体" w:cs="宋体"/>
          <w:color w:val="auto"/>
          <w:sz w:val="24"/>
          <w:szCs w:val="24"/>
          <w:lang w:val="en-US" w:eastAsia="zh-CN"/>
        </w:rPr>
      </w:pPr>
      <w:r>
        <w:rPr>
          <w:rFonts w:ascii="宋体" w:hAnsi="宋体" w:eastAsia="宋体" w:cs="宋体"/>
          <w:color w:val="auto"/>
          <w:sz w:val="24"/>
          <w:szCs w:val="24"/>
          <w:lang w:eastAsia="zh-CN"/>
        </w:rPr>
        <w:t>注：</w:t>
      </w:r>
      <w:r>
        <w:rPr>
          <w:rFonts w:hint="eastAsia" w:ascii="宋体" w:hAnsi="宋体" w:eastAsia="宋体" w:cs="宋体"/>
          <w:color w:val="auto"/>
          <w:sz w:val="24"/>
          <w:szCs w:val="24"/>
          <w:lang w:eastAsia="zh-CN"/>
        </w:rPr>
        <w:t>标注“▲”</w:t>
      </w:r>
      <w:r>
        <w:rPr>
          <w:rFonts w:hint="eastAsia" w:ascii="宋体" w:hAnsi="宋体" w:eastAsia="宋体" w:cs="宋体"/>
          <w:color w:val="auto"/>
          <w:sz w:val="24"/>
          <w:szCs w:val="24"/>
          <w:lang w:val="en-US" w:eastAsia="zh-CN"/>
        </w:rPr>
        <w:t>项的</w:t>
      </w:r>
      <w:r>
        <w:rPr>
          <w:rFonts w:hint="eastAsia" w:ascii="宋体" w:hAnsi="宋体" w:eastAsia="宋体" w:cs="宋体"/>
          <w:color w:val="auto"/>
          <w:sz w:val="24"/>
          <w:szCs w:val="24"/>
          <w:lang w:eastAsia="zh-CN"/>
        </w:rPr>
        <w:t>重要技术参数需提供功能截图/技术说明/测试</w:t>
      </w:r>
      <w:r>
        <w:rPr>
          <w:rFonts w:hint="eastAsia" w:ascii="宋体" w:hAnsi="宋体" w:eastAsia="宋体" w:cs="宋体"/>
          <w:color w:val="auto"/>
          <w:sz w:val="24"/>
          <w:szCs w:val="24"/>
          <w:lang w:val="en-US" w:eastAsia="zh-CN"/>
        </w:rPr>
        <w:t>报告</w:t>
      </w:r>
      <w:r>
        <w:rPr>
          <w:rFonts w:hint="eastAsia" w:ascii="宋体" w:hAnsi="宋体" w:eastAsia="宋体" w:cs="宋体"/>
          <w:color w:val="auto"/>
          <w:sz w:val="24"/>
          <w:szCs w:val="24"/>
          <w:lang w:eastAsia="zh-CN"/>
        </w:rPr>
        <w:t>或其他有效材料说明响应情况，未提供视为未响应要求，不得分。</w:t>
      </w:r>
    </w:p>
    <w:p w14:paraId="449E7AAB">
      <w:pPr>
        <w:pStyle w:val="201"/>
        <w:keepNext w:val="0"/>
        <w:keepLines w:val="0"/>
        <w:pageBreakBefore w:val="0"/>
        <w:widowControl/>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sz w:val="24"/>
          <w:szCs w:val="24"/>
          <w:highlight w:val="none"/>
          <w:lang w:eastAsia="zh-CN"/>
        </w:rPr>
      </w:pP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lang w:eastAsia="zh-CN"/>
        </w:rPr>
        <w:t>项目理解（</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lang w:eastAsia="zh-CN"/>
        </w:rPr>
        <w:t>分）</w:t>
      </w:r>
    </w:p>
    <w:p w14:paraId="10EA986E">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根据投标人对①</w:t>
      </w:r>
      <w:r>
        <w:rPr>
          <w:rFonts w:hint="eastAsia" w:ascii="宋体" w:hAnsi="宋体" w:eastAsia="宋体" w:cs="宋体"/>
          <w:sz w:val="24"/>
          <w:szCs w:val="24"/>
          <w:highlight w:val="none"/>
          <w:lang w:eastAsia="zh-CN"/>
        </w:rPr>
        <w:t>项目建设需求分析</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lang w:eastAsia="zh-CN"/>
        </w:rPr>
        <w:t>②</w:t>
      </w:r>
      <w:r>
        <w:rPr>
          <w:rFonts w:hint="eastAsia" w:ascii="宋体" w:hAnsi="宋体" w:eastAsia="宋体" w:cs="宋体"/>
          <w:sz w:val="24"/>
          <w:szCs w:val="24"/>
          <w:highlight w:val="none"/>
          <w:lang w:eastAsia="zh-CN"/>
        </w:rPr>
        <w:t>项目建设范围</w:t>
      </w:r>
      <w:r>
        <w:rPr>
          <w:rFonts w:hint="eastAsia" w:ascii="宋体" w:hAnsi="宋体" w:eastAsia="宋体" w:cs="宋体"/>
          <w:sz w:val="24"/>
          <w:szCs w:val="24"/>
          <w:highlight w:val="none"/>
          <w:lang w:val="en-US" w:eastAsia="zh-CN"/>
        </w:rPr>
        <w:t>及必要性</w:t>
      </w:r>
      <w:r>
        <w:rPr>
          <w:rFonts w:hint="eastAsia" w:ascii="宋体" w:hAnsi="宋体" w:eastAsia="宋体" w:cs="宋体"/>
          <w:color w:val="000000"/>
          <w:sz w:val="24"/>
          <w:szCs w:val="24"/>
          <w:highlight w:val="none"/>
          <w:lang w:eastAsia="zh-CN"/>
        </w:rPr>
        <w:t>的理解进行综合评分：方案内容每有一项内容针对本项目且符合本项目实际需求的，得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分，满分</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分。每缺少一项内容，或内容非专门针对本项目，或内容不能满足本项目实际需求的，不得分。</w:t>
      </w:r>
    </w:p>
    <w:p w14:paraId="2E6D7C22">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3、项目总体设计（6分）</w:t>
      </w:r>
    </w:p>
    <w:p w14:paraId="02252251">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投标单位根据采购需求和业务理解，提供①项目总体设计方案；②关键技术应用方案；</w:t>
      </w:r>
      <w:r>
        <w:rPr>
          <w:rFonts w:hint="default" w:ascii="宋体" w:hAnsi="宋体" w:eastAsia="宋体" w:cs="宋体"/>
          <w:color w:val="000000"/>
          <w:sz w:val="24"/>
          <w:szCs w:val="24"/>
          <w:highlight w:val="none"/>
          <w:lang w:val="en-US" w:eastAsia="zh-CN"/>
        </w:rPr>
        <w:t>③</w:t>
      </w:r>
      <w:r>
        <w:rPr>
          <w:rFonts w:hint="eastAsia" w:ascii="宋体" w:hAnsi="宋体" w:eastAsia="宋体" w:cs="宋体"/>
          <w:color w:val="000000"/>
          <w:sz w:val="24"/>
          <w:szCs w:val="24"/>
          <w:highlight w:val="none"/>
          <w:lang w:val="en-US" w:eastAsia="zh-CN"/>
        </w:rPr>
        <w:t>项目总体架构设计。</w:t>
      </w:r>
    </w:p>
    <w:p w14:paraId="58D38010">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方案内容每有一项内容针对本项目且符合本项目实际需求的，得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分，满分</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分。每缺少一项内容，或内容非专门针对本项目，或内容不能满足本项目实际需求的，不得分。</w:t>
      </w:r>
    </w:p>
    <w:p w14:paraId="2288106B">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2" w:firstLineChars="200"/>
        <w:jc w:val="both"/>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lang w:eastAsia="zh-CN"/>
        </w:rPr>
        <w:t>具体应用系统设计（</w:t>
      </w:r>
      <w:r>
        <w:rPr>
          <w:rFonts w:hint="eastAsia" w:ascii="宋体" w:hAnsi="宋体" w:eastAsia="宋体" w:cs="宋体"/>
          <w:b/>
          <w:bCs/>
          <w:color w:val="000000"/>
          <w:sz w:val="24"/>
          <w:szCs w:val="24"/>
          <w:highlight w:val="none"/>
          <w:lang w:val="en-US" w:eastAsia="zh-CN"/>
        </w:rPr>
        <w:t>5分）</w:t>
      </w:r>
    </w:p>
    <w:p w14:paraId="4C22E718">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根据项目需求的内容，投标人结合本项目实际情况，提供针对本项目</w:t>
      </w:r>
      <w:r>
        <w:rPr>
          <w:rFonts w:hint="eastAsia" w:ascii="宋体" w:hAnsi="宋体" w:eastAsia="宋体" w:cs="宋体"/>
          <w:color w:val="000000"/>
          <w:sz w:val="24"/>
          <w:szCs w:val="24"/>
          <w:highlight w:val="none"/>
          <w:lang w:val="en-US" w:eastAsia="zh-CN"/>
        </w:rPr>
        <w:t>的具体应用系统设计，内容至少包含：</w:t>
      </w:r>
      <w:r>
        <w:rPr>
          <w:rFonts w:hint="eastAsia" w:asciiTheme="minorEastAsia" w:hAnsiTheme="minorEastAsia" w:eastAsiaTheme="minorEastAsia"/>
          <w:sz w:val="24"/>
          <w:szCs w:val="24"/>
          <w:highlight w:val="none"/>
          <w:lang w:eastAsia="zh-CN"/>
        </w:rPr>
        <w:t>①建设清单说明描述；②规范多数据来源接口建设方案；③数据管理建设</w:t>
      </w:r>
      <w:r>
        <w:rPr>
          <w:rFonts w:hint="eastAsia" w:asciiTheme="minorEastAsia" w:hAnsiTheme="minorEastAsia" w:eastAsiaTheme="minorEastAsia"/>
          <w:sz w:val="24"/>
          <w:szCs w:val="24"/>
          <w:highlight w:val="none"/>
          <w:lang w:val="en-US" w:eastAsia="zh-CN"/>
        </w:rPr>
        <w:t>及历史数据迁移</w:t>
      </w:r>
      <w:r>
        <w:rPr>
          <w:rFonts w:hint="eastAsia" w:asciiTheme="minorEastAsia" w:hAnsiTheme="minorEastAsia" w:eastAsiaTheme="minorEastAsia"/>
          <w:sz w:val="24"/>
          <w:szCs w:val="24"/>
          <w:highlight w:val="none"/>
          <w:lang w:eastAsia="zh-CN"/>
        </w:rPr>
        <w:t>方案；④</w:t>
      </w:r>
      <w:r>
        <w:rPr>
          <w:rFonts w:hint="eastAsia" w:asciiTheme="minorEastAsia" w:hAnsiTheme="minorEastAsia" w:eastAsiaTheme="minorEastAsia"/>
          <w:sz w:val="24"/>
          <w:szCs w:val="24"/>
          <w:highlight w:val="none"/>
          <w:lang w:val="en-US" w:eastAsia="zh-CN"/>
        </w:rPr>
        <w:t>系</w:t>
      </w:r>
      <w:r>
        <w:rPr>
          <w:rFonts w:ascii="宋体" w:hAnsi="宋体" w:eastAsia="宋体" w:cs="宋体"/>
          <w:sz w:val="24"/>
          <w:szCs w:val="24"/>
          <w:highlight w:val="none"/>
        </w:rPr>
        <w:t>统安全与私有化部署方案</w:t>
      </w:r>
      <w:r>
        <w:rPr>
          <w:rFonts w:hint="eastAsia" w:asciiTheme="minorEastAsia" w:hAnsiTheme="minorEastAsia" w:eastAsiaTheme="minorEastAsia"/>
          <w:sz w:val="24"/>
          <w:szCs w:val="24"/>
          <w:highlight w:val="none"/>
          <w:lang w:eastAsia="zh-CN"/>
        </w:rPr>
        <w:t>；⑤技术框架选型。方案内容每有一项内容针对本项目且符合本项目实际需求的，得</w:t>
      </w:r>
      <w:r>
        <w:rPr>
          <w:rFonts w:hint="eastAsia" w:asciiTheme="minorEastAsia" w:hAnsi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分，满分</w:t>
      </w:r>
      <w:r>
        <w:rPr>
          <w:rFonts w:hint="eastAsia" w:asciiTheme="minorEastAsia" w:hAnsiTheme="minorEastAsia"/>
          <w:sz w:val="24"/>
          <w:szCs w:val="24"/>
          <w:highlight w:val="none"/>
          <w:lang w:val="en-US" w:eastAsia="zh-CN"/>
        </w:rPr>
        <w:t>5</w:t>
      </w:r>
      <w:r>
        <w:rPr>
          <w:rFonts w:hint="eastAsia" w:asciiTheme="minorEastAsia" w:hAnsiTheme="minorEastAsia" w:eastAsiaTheme="minorEastAsia"/>
          <w:sz w:val="24"/>
          <w:szCs w:val="24"/>
          <w:highlight w:val="none"/>
          <w:lang w:eastAsia="zh-CN"/>
        </w:rPr>
        <w:t>分。每缺少一项内容，或内容非专门针对本项目，或内容不能满足本项目实际需求的，不得分。</w:t>
      </w:r>
    </w:p>
    <w:p w14:paraId="074666DB">
      <w:pPr>
        <w:pStyle w:val="201"/>
        <w:spacing w:line="500" w:lineRule="exact"/>
        <w:ind w:firstLine="480"/>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5、实施管理方案</w:t>
      </w:r>
      <w:r>
        <w:rPr>
          <w:rFonts w:hint="default" w:ascii="宋体" w:hAnsi="宋体" w:eastAsia="宋体" w:cs="宋体"/>
          <w:b/>
          <w:bCs/>
          <w:color w:val="000000"/>
          <w:sz w:val="24"/>
          <w:szCs w:val="24"/>
          <w:highlight w:val="none"/>
          <w:lang w:val="en-US" w:eastAsia="zh-CN"/>
        </w:rPr>
        <w:t>（</w:t>
      </w:r>
      <w:r>
        <w:rPr>
          <w:rFonts w:hint="eastAsia" w:ascii="宋体" w:hAnsi="宋体" w:eastAsia="宋体" w:cs="宋体"/>
          <w:b/>
          <w:bCs/>
          <w:color w:val="000000"/>
          <w:sz w:val="24"/>
          <w:szCs w:val="24"/>
          <w:highlight w:val="none"/>
          <w:lang w:val="en-US" w:eastAsia="zh-CN"/>
        </w:rPr>
        <w:t>3</w:t>
      </w:r>
      <w:r>
        <w:rPr>
          <w:rFonts w:hint="default" w:ascii="宋体" w:hAnsi="宋体" w:eastAsia="宋体" w:cs="宋体"/>
          <w:b/>
          <w:bCs/>
          <w:color w:val="000000"/>
          <w:sz w:val="24"/>
          <w:szCs w:val="24"/>
          <w:highlight w:val="none"/>
          <w:lang w:val="en-US" w:eastAsia="zh-CN"/>
        </w:rPr>
        <w:t>分）</w:t>
      </w:r>
    </w:p>
    <w:p w14:paraId="22497241">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Chars="0" w:firstLine="480" w:firstLineChars="200"/>
        <w:jc w:val="both"/>
        <w:textAlignment w:val="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投标单位应根据项目实际开发实施计划，提供①项目实施及人员规划组织方案；②开发工作流程方案；③项目实施进度</w:t>
      </w:r>
      <w:r>
        <w:rPr>
          <w:rFonts w:hint="eastAsia" w:ascii="宋体" w:hAnsi="宋体" w:eastAsia="宋体" w:cs="宋体"/>
          <w:color w:val="000000"/>
          <w:sz w:val="24"/>
          <w:szCs w:val="24"/>
          <w:highlight w:val="none"/>
          <w:lang w:val="en-US" w:eastAsia="zh-CN"/>
        </w:rPr>
        <w:t>计划及</w:t>
      </w:r>
      <w:r>
        <w:rPr>
          <w:rFonts w:hint="default" w:ascii="宋体" w:hAnsi="宋体" w:eastAsia="宋体" w:cs="宋体"/>
          <w:color w:val="000000"/>
          <w:sz w:val="24"/>
          <w:szCs w:val="24"/>
          <w:highlight w:val="none"/>
          <w:lang w:val="en-US" w:eastAsia="zh-CN"/>
        </w:rPr>
        <w:t>阶段测试实施方案，进行综合评定。</w:t>
      </w:r>
      <w:r>
        <w:rPr>
          <w:rFonts w:hint="eastAsia" w:ascii="宋体" w:hAnsi="宋体" w:eastAsia="宋体" w:cs="宋体"/>
          <w:color w:val="000000"/>
          <w:sz w:val="24"/>
          <w:szCs w:val="24"/>
          <w:lang w:eastAsia="zh-CN"/>
        </w:rPr>
        <w:t>方案内容每有一项内容针对本项目且符合本项目实际需求的，得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分，满分</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分。每缺少一项内容，或内容非专门针对本项目，或内容不能满足本项目实际需求的，不得分。</w:t>
      </w:r>
    </w:p>
    <w:p w14:paraId="157C27E6">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Chars="20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lang w:eastAsia="zh-CN"/>
        </w:rPr>
        <w:t>系统安全方案（</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lang w:eastAsia="zh-CN"/>
        </w:rPr>
        <w:t>分）</w:t>
      </w:r>
    </w:p>
    <w:p w14:paraId="28A773F7">
      <w:pPr>
        <w:keepNext w:val="0"/>
        <w:keepLines w:val="0"/>
        <w:pageBreakBefore w:val="0"/>
        <w:widowControl/>
        <w:kinsoku/>
        <w:wordWrap/>
        <w:overflowPunct/>
        <w:topLinePunct w:val="0"/>
        <w:autoSpaceDE/>
        <w:autoSpaceDN/>
        <w:bidi w:val="0"/>
        <w:adjustRightInd/>
        <w:snapToGrid/>
        <w:spacing w:after="0" w:line="50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根据项目需求的内容，投标人结合本项目实际情况，提供针对本项目的系统安全方案，内容至少包含：</w:t>
      </w:r>
      <w:r>
        <w:rPr>
          <w:rFonts w:hint="default" w:ascii="宋体" w:hAnsi="宋体" w:eastAsia="宋体" w:cs="宋体"/>
          <w:color w:val="000000"/>
          <w:sz w:val="24"/>
          <w:szCs w:val="24"/>
          <w:highlight w:val="none"/>
          <w:lang w:val="en-US" w:eastAsia="zh-CN"/>
        </w:rPr>
        <w:t>①</w:t>
      </w:r>
      <w:r>
        <w:rPr>
          <w:rFonts w:hint="eastAsia" w:ascii="宋体" w:hAnsi="宋体" w:eastAsia="宋体" w:cs="宋体"/>
          <w:color w:val="000000"/>
          <w:sz w:val="24"/>
          <w:szCs w:val="24"/>
          <w:highlight w:val="none"/>
          <w:lang w:eastAsia="zh-CN"/>
        </w:rPr>
        <w:t>网络安全配置方案；</w:t>
      </w:r>
      <w:r>
        <w:rPr>
          <w:rFonts w:hint="default" w:ascii="宋体" w:hAnsi="宋体" w:eastAsia="宋体" w:cs="宋体"/>
          <w:color w:val="000000"/>
          <w:sz w:val="24"/>
          <w:szCs w:val="24"/>
          <w:highlight w:val="none"/>
          <w:lang w:val="en-US" w:eastAsia="zh-CN"/>
        </w:rPr>
        <w:t>②</w:t>
      </w:r>
      <w:r>
        <w:rPr>
          <w:rFonts w:hint="eastAsia" w:ascii="宋体" w:hAnsi="宋体" w:eastAsia="宋体" w:cs="宋体"/>
          <w:color w:val="000000"/>
          <w:sz w:val="24"/>
          <w:szCs w:val="24"/>
          <w:highlight w:val="none"/>
          <w:lang w:eastAsia="zh-CN"/>
        </w:rPr>
        <w:t>隐私数据安全保护方案。</w:t>
      </w:r>
    </w:p>
    <w:p w14:paraId="0E41809B">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方案内容每有一项内容针对本项目且符合本项目实际需求的，得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分，满分</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分。每缺少一项内容，或内容非专门针对本项目，或内容不能满足本项目实际需求的，不得分。</w:t>
      </w:r>
    </w:p>
    <w:p w14:paraId="0CE5B516">
      <w:pPr>
        <w:pStyle w:val="201"/>
        <w:spacing w:line="500" w:lineRule="exact"/>
        <w:ind w:firstLine="48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val="en-US" w:eastAsia="zh-CN"/>
        </w:rPr>
        <w:t>7</w:t>
      </w:r>
      <w:r>
        <w:rPr>
          <w:rFonts w:hint="eastAsia" w:asciiTheme="minorEastAsia" w:hAnsiTheme="minorEastAsia" w:eastAsiaTheme="minorEastAsia"/>
          <w:b/>
          <w:bCs/>
          <w:sz w:val="24"/>
          <w:szCs w:val="24"/>
          <w:highlight w:val="none"/>
          <w:lang w:eastAsia="zh-CN"/>
        </w:rPr>
        <w:t>、风险管理方案（</w:t>
      </w:r>
      <w:r>
        <w:rPr>
          <w:rFonts w:hint="eastAsia" w:asciiTheme="minorEastAsia" w:hAnsiTheme="minorEastAsia" w:eastAsiaTheme="minorEastAsia"/>
          <w:b/>
          <w:bCs/>
          <w:sz w:val="24"/>
          <w:szCs w:val="24"/>
          <w:highlight w:val="none"/>
          <w:lang w:val="en-US" w:eastAsia="zh-CN"/>
        </w:rPr>
        <w:t>3</w:t>
      </w:r>
      <w:r>
        <w:rPr>
          <w:rFonts w:hint="eastAsia" w:asciiTheme="minorEastAsia" w:hAnsiTheme="minorEastAsia" w:eastAsiaTheme="minorEastAsia"/>
          <w:b/>
          <w:bCs/>
          <w:sz w:val="24"/>
          <w:szCs w:val="24"/>
          <w:highlight w:val="none"/>
          <w:lang w:eastAsia="zh-CN"/>
        </w:rPr>
        <w:t>分）</w:t>
      </w:r>
    </w:p>
    <w:p w14:paraId="2431E3B4">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highlight w:val="none"/>
          <w:lang w:eastAsia="zh-CN"/>
        </w:rPr>
      </w:pPr>
      <w:r>
        <w:rPr>
          <w:rFonts w:hint="eastAsia" w:asciiTheme="minorEastAsia" w:hAnsiTheme="minorEastAsia" w:eastAsiaTheme="minorEastAsia"/>
          <w:sz w:val="24"/>
          <w:szCs w:val="24"/>
          <w:highlight w:val="none"/>
          <w:lang w:eastAsia="zh-CN"/>
        </w:rPr>
        <w:t>根据招标文件要求和投标人提供的风险管理方案进行评分，方案内包含:①风险管理计划；②风险识别；③风险分析</w:t>
      </w:r>
      <w:r>
        <w:rPr>
          <w:rFonts w:hint="eastAsia" w:asciiTheme="minorEastAsia" w:hAnsiTheme="minorEastAsia" w:eastAsiaTheme="minorEastAsia"/>
          <w:sz w:val="24"/>
          <w:szCs w:val="24"/>
          <w:highlight w:val="none"/>
          <w:lang w:val="en-US" w:eastAsia="zh-CN"/>
        </w:rPr>
        <w:t>及</w:t>
      </w:r>
      <w:r>
        <w:rPr>
          <w:rFonts w:hint="eastAsia" w:asciiTheme="minorEastAsia" w:hAnsiTheme="minorEastAsia" w:eastAsiaTheme="minorEastAsia"/>
          <w:sz w:val="24"/>
          <w:szCs w:val="24"/>
          <w:highlight w:val="none"/>
          <w:lang w:eastAsia="zh-CN"/>
        </w:rPr>
        <w:t>应对措施。</w:t>
      </w:r>
      <w:r>
        <w:rPr>
          <w:rFonts w:hint="eastAsia" w:ascii="宋体" w:hAnsi="宋体" w:eastAsia="宋体" w:cs="宋体"/>
          <w:color w:val="000000"/>
          <w:sz w:val="24"/>
          <w:szCs w:val="24"/>
          <w:highlight w:val="none"/>
          <w:lang w:eastAsia="zh-CN"/>
        </w:rPr>
        <w:t>方案内容每有一项内容针对本项目且符合本项目实际需求的，得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分，满分</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分。每缺少一项内容，或内容非专门针对本项目，或内容不能满足本项目实际需求的，不得分。</w:t>
      </w:r>
    </w:p>
    <w:p w14:paraId="7ABAE013">
      <w:pPr>
        <w:pStyle w:val="201"/>
        <w:spacing w:line="500" w:lineRule="exact"/>
        <w:ind w:firstLine="48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val="en-US" w:eastAsia="zh-CN"/>
        </w:rPr>
        <w:t>8</w:t>
      </w:r>
      <w:r>
        <w:rPr>
          <w:rFonts w:hint="eastAsia" w:asciiTheme="minorEastAsia" w:hAnsiTheme="minorEastAsia" w:eastAsiaTheme="minorEastAsia"/>
          <w:b/>
          <w:bCs/>
          <w:sz w:val="24"/>
          <w:szCs w:val="24"/>
          <w:highlight w:val="none"/>
          <w:lang w:eastAsia="zh-CN"/>
        </w:rPr>
        <w:t>、应急事件处理预案（</w:t>
      </w:r>
      <w:r>
        <w:rPr>
          <w:rFonts w:hint="eastAsia" w:asciiTheme="minorEastAsia" w:hAnsiTheme="minorEastAsia" w:eastAsiaTheme="minorEastAsia"/>
          <w:b/>
          <w:bCs/>
          <w:sz w:val="24"/>
          <w:szCs w:val="24"/>
          <w:highlight w:val="none"/>
          <w:lang w:val="en-US" w:eastAsia="zh-CN"/>
        </w:rPr>
        <w:t>2</w:t>
      </w:r>
      <w:r>
        <w:rPr>
          <w:rFonts w:hint="eastAsia" w:asciiTheme="minorEastAsia" w:hAnsiTheme="minorEastAsia" w:eastAsiaTheme="minorEastAsia"/>
          <w:b/>
          <w:bCs/>
          <w:sz w:val="24"/>
          <w:szCs w:val="24"/>
          <w:highlight w:val="none"/>
          <w:lang w:eastAsia="zh-CN"/>
        </w:rPr>
        <w:t>分）</w:t>
      </w:r>
    </w:p>
    <w:p w14:paraId="61F178D1">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Chars="0" w:firstLine="480" w:firstLineChars="200"/>
        <w:jc w:val="both"/>
        <w:textAlignment w:val="auto"/>
        <w:rPr>
          <w:rFonts w:hint="eastAsia" w:ascii="宋体" w:hAnsi="宋体" w:eastAsia="宋体" w:cs="宋体"/>
          <w:color w:val="000000"/>
          <w:sz w:val="24"/>
          <w:szCs w:val="24"/>
          <w:highlight w:val="none"/>
          <w:lang w:eastAsia="zh-CN"/>
        </w:rPr>
      </w:pPr>
      <w:r>
        <w:rPr>
          <w:rFonts w:hint="eastAsia" w:asciiTheme="minorEastAsia" w:hAnsiTheme="minorEastAsia" w:eastAsiaTheme="minorEastAsia"/>
          <w:sz w:val="24"/>
          <w:szCs w:val="24"/>
          <w:highlight w:val="none"/>
          <w:lang w:eastAsia="zh-CN"/>
        </w:rPr>
        <w:t>投标单位应基于本项目特点提供对应的应急事件处理预案方案内包含:①应急响应分级；②应急响应流程</w:t>
      </w:r>
      <w:r>
        <w:rPr>
          <w:rFonts w:hint="eastAsia" w:asciiTheme="minorEastAsia" w:hAnsiTheme="minorEastAsia" w:eastAsiaTheme="minorEastAsia"/>
          <w:sz w:val="24"/>
          <w:szCs w:val="24"/>
          <w:highlight w:val="none"/>
          <w:lang w:val="en-US" w:eastAsia="zh-CN"/>
        </w:rPr>
        <w:t>及</w:t>
      </w:r>
      <w:r>
        <w:rPr>
          <w:rFonts w:hint="eastAsia" w:asciiTheme="minorEastAsia" w:hAnsiTheme="minorEastAsia" w:eastAsiaTheme="minorEastAsia"/>
          <w:sz w:val="24"/>
          <w:szCs w:val="24"/>
          <w:highlight w:val="none"/>
          <w:lang w:eastAsia="zh-CN"/>
        </w:rPr>
        <w:t>预案。</w:t>
      </w:r>
      <w:r>
        <w:rPr>
          <w:rFonts w:hint="eastAsia" w:ascii="宋体" w:hAnsi="宋体" w:eastAsia="宋体" w:cs="宋体"/>
          <w:color w:val="000000"/>
          <w:sz w:val="24"/>
          <w:szCs w:val="24"/>
          <w:highlight w:val="none"/>
          <w:lang w:eastAsia="zh-CN"/>
        </w:rPr>
        <w:t>方案内容每有一项内容针对本项目且符合本项目实际需求的，得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分，满分</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分。每缺少一项内容，或内容非专门针对本项目，或内容不能满足本项目实际需求的，不得分。</w:t>
      </w:r>
    </w:p>
    <w:p w14:paraId="1BEDABB8">
      <w:pPr>
        <w:pStyle w:val="201"/>
        <w:keepNext w:val="0"/>
        <w:keepLines w:val="0"/>
        <w:pageBreakBefore w:val="0"/>
        <w:widowControl/>
        <w:numPr>
          <w:ilvl w:val="-1"/>
          <w:numId w:val="0"/>
        </w:numPr>
        <w:kinsoku/>
        <w:wordWrap/>
        <w:overflowPunct/>
        <w:topLinePunct w:val="0"/>
        <w:autoSpaceDE/>
        <w:autoSpaceDN/>
        <w:bidi w:val="0"/>
        <w:adjustRightInd/>
        <w:snapToGrid/>
        <w:spacing w:after="0" w:line="500" w:lineRule="exact"/>
        <w:ind w:left="440" w:leftChars="200" w:firstLine="0" w:firstLineChars="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9、质量控制与</w:t>
      </w:r>
      <w:r>
        <w:rPr>
          <w:rFonts w:hint="eastAsia" w:ascii="宋体" w:hAnsi="宋体" w:eastAsia="宋体" w:cs="宋体"/>
          <w:b/>
          <w:bCs/>
          <w:color w:val="000000"/>
          <w:sz w:val="24"/>
          <w:szCs w:val="24"/>
          <w:highlight w:val="none"/>
        </w:rPr>
        <w:t>培训方案（</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rPr>
        <w:t>分）</w:t>
      </w:r>
    </w:p>
    <w:p w14:paraId="20A955AF">
      <w:pPr>
        <w:pStyle w:val="201"/>
        <w:spacing w:line="500" w:lineRule="exact"/>
        <w:ind w:firstLine="48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为保障项目实施质量及人员操作熟练性，投标人需制定详细的质量管理控制与培训方案，至少涵盖：①质量管理控制方案、②培训方案。</w:t>
      </w:r>
      <w:r>
        <w:rPr>
          <w:rFonts w:hint="eastAsia" w:ascii="宋体" w:hAnsi="宋体" w:eastAsia="宋体" w:cs="宋体"/>
          <w:color w:val="000000"/>
          <w:sz w:val="24"/>
          <w:szCs w:val="24"/>
          <w:highlight w:val="none"/>
          <w:lang w:eastAsia="zh-CN"/>
        </w:rPr>
        <w:t>方案内容每有一项内容针对本项目且符合本项目实际需求的</w:t>
      </w:r>
      <w:r>
        <w:rPr>
          <w:rFonts w:hint="eastAsia" w:asciiTheme="minorEastAsia" w:hAnsiTheme="minorEastAsia" w:eastAsiaTheme="minorEastAsia"/>
          <w:sz w:val="24"/>
          <w:szCs w:val="24"/>
          <w:highlight w:val="none"/>
          <w:lang w:eastAsia="zh-CN"/>
        </w:rPr>
        <w:t>，得</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w:t>
      </w:r>
      <w:r>
        <w:rPr>
          <w:rFonts w:hint="eastAsia" w:ascii="宋体" w:hAnsi="宋体" w:eastAsia="宋体" w:cs="宋体"/>
          <w:color w:val="000000"/>
          <w:sz w:val="24"/>
          <w:szCs w:val="24"/>
          <w:highlight w:val="none"/>
          <w:lang w:eastAsia="zh-CN"/>
        </w:rPr>
        <w:t>满分</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分。每缺少一项内容，或内容非专门针对本项目，或内容不能满足本项目实际需求的，</w:t>
      </w:r>
      <w:r>
        <w:rPr>
          <w:rFonts w:hint="eastAsia" w:ascii="宋体" w:hAnsi="宋体" w:eastAsia="宋体" w:cs="宋体"/>
          <w:color w:val="000000"/>
          <w:sz w:val="24"/>
          <w:szCs w:val="24"/>
          <w:highlight w:val="none"/>
          <w:lang w:val="en-US" w:eastAsia="zh-CN"/>
        </w:rPr>
        <w:t>不得分</w:t>
      </w:r>
      <w:r>
        <w:rPr>
          <w:rFonts w:hint="eastAsia" w:asciiTheme="minorEastAsia" w:hAnsiTheme="minorEastAsia" w:eastAsiaTheme="minorEastAsia"/>
          <w:sz w:val="24"/>
          <w:szCs w:val="24"/>
          <w:highlight w:val="none"/>
          <w:lang w:eastAsia="zh-CN"/>
        </w:rPr>
        <w:t>。</w:t>
      </w:r>
    </w:p>
    <w:p w14:paraId="7A32F411">
      <w:pPr>
        <w:pStyle w:val="201"/>
        <w:keepNext w:val="0"/>
        <w:keepLines w:val="0"/>
        <w:pageBreakBefore w:val="0"/>
        <w:widowControl/>
        <w:numPr>
          <w:ilvl w:val="0"/>
          <w:numId w:val="0"/>
        </w:numPr>
        <w:kinsoku/>
        <w:wordWrap/>
        <w:overflowPunct/>
        <w:topLinePunct w:val="0"/>
        <w:autoSpaceDE/>
        <w:autoSpaceDN/>
        <w:bidi w:val="0"/>
        <w:adjustRightInd/>
        <w:snapToGrid/>
        <w:spacing w:after="0" w:line="500" w:lineRule="exact"/>
        <w:ind w:left="0" w:leftChars="0"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10、</w:t>
      </w:r>
      <w:r>
        <w:rPr>
          <w:rFonts w:hint="eastAsia" w:ascii="宋体" w:hAnsi="宋体" w:eastAsia="宋体" w:cs="宋体"/>
          <w:b/>
          <w:bCs/>
          <w:color w:val="000000"/>
          <w:sz w:val="24"/>
          <w:szCs w:val="24"/>
          <w:highlight w:val="none"/>
        </w:rPr>
        <w:t>售后服务方案（</w:t>
      </w:r>
      <w:r>
        <w:rPr>
          <w:rFonts w:hint="eastAsia" w:ascii="宋体" w:hAnsi="宋体" w:eastAsia="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rPr>
        <w:t>分）</w:t>
      </w:r>
    </w:p>
    <w:p w14:paraId="771EBC21">
      <w:pPr>
        <w:pStyle w:val="201"/>
        <w:spacing w:line="500" w:lineRule="exact"/>
        <w:ind w:firstLine="48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为了保证项目的售后服务质量，投标人需制定详细的售后服务方案，至少包括①售后服务人员配置及职责分工方案、②售后服务故障响应方式和时间保障方案。</w:t>
      </w:r>
      <w:r>
        <w:rPr>
          <w:rFonts w:hint="eastAsia" w:ascii="宋体" w:hAnsi="宋体" w:eastAsia="宋体" w:cs="宋体"/>
          <w:color w:val="000000"/>
          <w:sz w:val="24"/>
          <w:szCs w:val="24"/>
          <w:highlight w:val="none"/>
          <w:lang w:eastAsia="zh-CN"/>
        </w:rPr>
        <w:t>方案内容每有一项内容针对本项目且符合本项目实际需求的</w:t>
      </w:r>
      <w:r>
        <w:rPr>
          <w:rFonts w:hint="eastAsia" w:asciiTheme="minorEastAsia" w:hAnsiTheme="minorEastAsia" w:eastAsiaTheme="minorEastAsia"/>
          <w:sz w:val="24"/>
          <w:szCs w:val="24"/>
          <w:highlight w:val="none"/>
          <w:lang w:eastAsia="zh-CN"/>
        </w:rPr>
        <w:t>，得</w:t>
      </w:r>
      <w:r>
        <w:rPr>
          <w:rFonts w:hint="eastAsia" w:asciiTheme="minorEastAsia" w:hAnsiTheme="minorEastAsia" w:eastAsiaTheme="minorEastAsia"/>
          <w:sz w:val="24"/>
          <w:szCs w:val="24"/>
          <w:highlight w:val="none"/>
          <w:lang w:val="en-US" w:eastAsia="zh-CN"/>
        </w:rPr>
        <w:t>1</w:t>
      </w:r>
      <w:r>
        <w:rPr>
          <w:rFonts w:hint="eastAsia" w:asciiTheme="minorEastAsia" w:hAnsiTheme="minorEastAsia" w:eastAsiaTheme="minorEastAsia"/>
          <w:sz w:val="24"/>
          <w:szCs w:val="24"/>
          <w:highlight w:val="none"/>
          <w:lang w:eastAsia="zh-CN"/>
        </w:rPr>
        <w:t>分，</w:t>
      </w:r>
      <w:r>
        <w:rPr>
          <w:rFonts w:hint="eastAsia" w:ascii="宋体" w:hAnsi="宋体" w:eastAsia="宋体" w:cs="宋体"/>
          <w:color w:val="000000"/>
          <w:sz w:val="24"/>
          <w:szCs w:val="24"/>
          <w:highlight w:val="none"/>
          <w:lang w:eastAsia="zh-CN"/>
        </w:rPr>
        <w:t>满分</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分。每缺少一项内容，或内容非专门针对本项目，或内容不能满足本项目实际需求的，</w:t>
      </w:r>
      <w:r>
        <w:rPr>
          <w:rFonts w:hint="eastAsia" w:ascii="宋体" w:hAnsi="宋体" w:eastAsia="宋体" w:cs="宋体"/>
          <w:color w:val="000000"/>
          <w:sz w:val="24"/>
          <w:szCs w:val="24"/>
          <w:highlight w:val="none"/>
          <w:lang w:val="en-US" w:eastAsia="zh-CN"/>
        </w:rPr>
        <w:t>不得分</w:t>
      </w:r>
      <w:r>
        <w:rPr>
          <w:rFonts w:hint="eastAsia" w:asciiTheme="minorEastAsia" w:hAnsiTheme="minorEastAsia" w:eastAsiaTheme="minorEastAsia"/>
          <w:sz w:val="24"/>
          <w:szCs w:val="24"/>
          <w:highlight w:val="none"/>
          <w:lang w:eastAsia="zh-CN"/>
        </w:rPr>
        <w:t>。</w:t>
      </w:r>
    </w:p>
    <w:p w14:paraId="04A44301">
      <w:pPr>
        <w:pStyle w:val="201"/>
        <w:keepNext w:val="0"/>
        <w:keepLines w:val="0"/>
        <w:pageBreakBefore w:val="0"/>
        <w:widowControl/>
        <w:kinsoku/>
        <w:wordWrap/>
        <w:overflowPunct/>
        <w:topLinePunct w:val="0"/>
        <w:autoSpaceDE/>
        <w:autoSpaceDN/>
        <w:bidi w:val="0"/>
        <w:adjustRightInd/>
        <w:snapToGrid/>
        <w:spacing w:after="0" w:line="500" w:lineRule="exact"/>
        <w:ind w:firstLine="482" w:firstLineChars="200"/>
        <w:jc w:val="both"/>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color w:val="000000"/>
          <w:sz w:val="24"/>
          <w:szCs w:val="24"/>
          <w:highlight w:val="none"/>
        </w:rPr>
        <w:t>商务部分</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15分）</w:t>
      </w:r>
    </w:p>
    <w:p w14:paraId="13AB8030">
      <w:pPr>
        <w:pStyle w:val="201"/>
        <w:keepNext w:val="0"/>
        <w:keepLines w:val="0"/>
        <w:pageBreakBefore w:val="0"/>
        <w:widowControl/>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1、同类项目业绩（10分）</w:t>
      </w:r>
    </w:p>
    <w:p w14:paraId="5DB3F0D1">
      <w:pPr>
        <w:pStyle w:val="201"/>
        <w:keepNext w:val="0"/>
        <w:keepLines w:val="0"/>
        <w:pageBreakBefore w:val="0"/>
        <w:widowControl/>
        <w:kinsoku/>
        <w:wordWrap/>
        <w:overflowPunct/>
        <w:topLinePunct w:val="0"/>
        <w:autoSpaceDE/>
        <w:autoSpaceDN/>
        <w:bidi w:val="0"/>
        <w:adjustRightInd/>
        <w:snapToGrid/>
        <w:spacing w:after="0" w:line="50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投标人自2023年1月1日以来，</w:t>
      </w:r>
      <w:r>
        <w:rPr>
          <w:rFonts w:hint="eastAsia" w:ascii="宋体" w:hAnsi="宋体" w:eastAsia="宋体" w:cs="宋体"/>
          <w:color w:val="000000"/>
          <w:sz w:val="24"/>
          <w:szCs w:val="24"/>
          <w:highlight w:val="none"/>
          <w:lang w:val="en-US" w:eastAsia="zh-CN"/>
        </w:rPr>
        <w:t>具有医疗或</w:t>
      </w:r>
      <w:r>
        <w:rPr>
          <w:rFonts w:hint="eastAsia" w:asciiTheme="minorEastAsia" w:hAnsiTheme="minorEastAsia" w:eastAsiaTheme="minorEastAsia"/>
          <w:sz w:val="24"/>
          <w:szCs w:val="24"/>
          <w:highlight w:val="none"/>
          <w:lang w:eastAsia="zh-CN"/>
        </w:rPr>
        <w:t>与本项目类似的软件信息化项目案例</w:t>
      </w:r>
      <w:r>
        <w:rPr>
          <w:rFonts w:hint="eastAsia" w:eastAsia="宋体"/>
          <w:lang w:eastAsia="zh-CN"/>
        </w:rPr>
        <w:t>，</w:t>
      </w:r>
      <w:r>
        <w:rPr>
          <w:rFonts w:hint="eastAsia" w:ascii="宋体" w:hAnsi="宋体" w:eastAsia="宋体" w:cs="宋体"/>
          <w:color w:val="000000"/>
          <w:sz w:val="24"/>
          <w:szCs w:val="24"/>
          <w:highlight w:val="none"/>
          <w:lang w:eastAsia="zh-CN"/>
        </w:rPr>
        <w:t>每提供一项得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分，最高得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lang w:eastAsia="zh-CN"/>
        </w:rPr>
        <w:t>分。须提供业绩的合同扫描件，包含合同的签约主体、项目名称、合同金额、建设内容或配置清单等合同要素的相关内容。提供不全或未提供的不得分。</w:t>
      </w:r>
    </w:p>
    <w:p w14:paraId="07F2AE58">
      <w:pPr>
        <w:pStyle w:val="201"/>
        <w:keepNext w:val="0"/>
        <w:keepLines w:val="0"/>
        <w:pageBreakBefore w:val="0"/>
        <w:widowControl/>
        <w:kinsoku/>
        <w:wordWrap/>
        <w:overflowPunct/>
        <w:topLinePunct w:val="0"/>
        <w:autoSpaceDE/>
        <w:autoSpaceDN/>
        <w:bidi w:val="0"/>
        <w:adjustRightInd/>
        <w:snapToGrid/>
        <w:spacing w:after="0" w:line="500" w:lineRule="exact"/>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color w:val="auto"/>
          <w:sz w:val="24"/>
          <w:szCs w:val="24"/>
          <w:highlight w:val="none"/>
          <w:lang w:val="en-US" w:eastAsia="zh-CN"/>
        </w:rPr>
        <w:t>履约及现场服务承诺（5分）</w:t>
      </w:r>
    </w:p>
    <w:p w14:paraId="3A8A13DD">
      <w:pPr>
        <w:pStyle w:val="201"/>
        <w:spacing w:line="500" w:lineRule="exact"/>
        <w:ind w:firstLine="480" w:firstLineChars="200"/>
        <w:jc w:val="both"/>
        <w:rPr>
          <w:rFonts w:hint="eastAsia" w:ascii="宋体" w:hAnsi="宋体" w:eastAsia="宋体" w:cs="宋体"/>
          <w:b/>
          <w:bCs/>
          <w:sz w:val="24"/>
          <w:szCs w:val="24"/>
          <w:highlight w:val="none"/>
          <w:lang w:val="en-US" w:eastAsia="zh-CN"/>
        </w:rPr>
      </w:pPr>
      <w:r>
        <w:rPr>
          <w:rFonts w:ascii="宋体" w:hAnsi="宋体" w:eastAsia="宋体" w:cs="宋体"/>
          <w:sz w:val="24"/>
          <w:szCs w:val="24"/>
        </w:rPr>
        <w:t>投标人须在投标文件中附书面承诺函，承诺函应载明</w:t>
      </w:r>
      <w:r>
        <w:rPr>
          <w:rFonts w:hint="eastAsia" w:ascii="宋体" w:hAnsi="宋体" w:eastAsia="宋体" w:cs="宋体"/>
          <w:sz w:val="24"/>
          <w:szCs w:val="24"/>
        </w:rPr>
        <w:t>项目经理</w:t>
      </w:r>
      <w:r>
        <w:rPr>
          <w:rFonts w:ascii="宋体" w:hAnsi="宋体" w:eastAsia="宋体" w:cs="宋体"/>
          <w:sz w:val="24"/>
          <w:szCs w:val="24"/>
        </w:rPr>
        <w:t>及</w:t>
      </w:r>
      <w:r>
        <w:rPr>
          <w:rFonts w:hint="eastAsia" w:ascii="宋体" w:hAnsi="宋体" w:eastAsia="宋体" w:cs="宋体"/>
          <w:sz w:val="24"/>
          <w:szCs w:val="24"/>
        </w:rPr>
        <w:t>核心软件工程师</w:t>
      </w:r>
      <w:r>
        <w:rPr>
          <w:rFonts w:ascii="宋体" w:hAnsi="宋体" w:eastAsia="宋体" w:cs="宋体"/>
          <w:sz w:val="24"/>
          <w:szCs w:val="24"/>
        </w:rPr>
        <w:t>名单、驻场服务时段以及擅自撤场的违约责任。承诺在项目实施阶段安排</w:t>
      </w:r>
      <w:r>
        <w:rPr>
          <w:rFonts w:hint="eastAsia" w:ascii="宋体" w:hAnsi="宋体" w:eastAsia="宋体" w:cs="宋体"/>
          <w:sz w:val="24"/>
          <w:szCs w:val="24"/>
        </w:rPr>
        <w:t>项目经理及核心软件工程师</w:t>
      </w:r>
      <w:r>
        <w:rPr>
          <w:rFonts w:ascii="宋体" w:hAnsi="宋体" w:eastAsia="宋体" w:cs="宋体"/>
          <w:sz w:val="24"/>
          <w:szCs w:val="24"/>
        </w:rPr>
        <w:t>现场驻场，提供不少于6个月的现场开发、部署及调试服务，持续驻场至项目通过最终验收，且未经招标人书面同意不得擅自更换或撤回驻场人员，并明确相应违约追责条款的，本项得5分；仅承诺提供远程技术支持及按需到场服务、不承诺连续长期驻场的，本项得0.5分。未提供书面承诺函，或承诺内容未载明驻场</w:t>
      </w:r>
      <w:r>
        <w:rPr>
          <w:rFonts w:hint="eastAsia" w:ascii="宋体" w:hAnsi="宋体" w:eastAsia="宋体" w:cs="宋体"/>
          <w:sz w:val="24"/>
          <w:szCs w:val="24"/>
        </w:rPr>
        <w:t>项目经理及核心软件工程师</w:t>
      </w:r>
      <w:r>
        <w:rPr>
          <w:rFonts w:ascii="宋体" w:hAnsi="宋体" w:eastAsia="宋体" w:cs="宋体"/>
          <w:sz w:val="24"/>
          <w:szCs w:val="24"/>
        </w:rPr>
        <w:t>人员名单、驻场时段、违约责任等必备要素的，本项不得分。</w:t>
      </w:r>
    </w:p>
    <w:p w14:paraId="7138B558">
      <w:pPr>
        <w:spacing w:after="0" w:line="500" w:lineRule="exact"/>
        <w:jc w:val="both"/>
        <w:rPr>
          <w:rFonts w:ascii="宋体" w:hAnsi="宋体" w:eastAsia="宋体" w:cs="宋体"/>
          <w:color w:val="FF0000"/>
          <w:sz w:val="24"/>
          <w:szCs w:val="24"/>
          <w:highlight w:val="none"/>
          <w:lang w:eastAsia="zh-CN"/>
        </w:rPr>
      </w:pPr>
    </w:p>
    <w:p w14:paraId="217EAAA3">
      <w:pPr>
        <w:spacing w:after="0" w:line="500" w:lineRule="exact"/>
        <w:jc w:val="both"/>
        <w:rPr>
          <w:rFonts w:ascii="宋体" w:hAnsi="宋体" w:eastAsia="宋体" w:cs="宋体"/>
          <w:color w:val="FF0000"/>
          <w:sz w:val="24"/>
          <w:szCs w:val="24"/>
          <w:highlight w:val="none"/>
          <w:lang w:eastAsia="zh-CN"/>
        </w:rPr>
      </w:pPr>
    </w:p>
    <w:bookmarkEnd w:id="5"/>
    <w:bookmarkEnd w:id="6"/>
    <w:p w14:paraId="40F452FE">
      <w:pPr>
        <w:pStyle w:val="201"/>
        <w:spacing w:line="500" w:lineRule="exact"/>
        <w:rPr>
          <w:rFonts w:hint="eastAsia" w:asciiTheme="minorEastAsia" w:hAnsiTheme="minorEastAsia" w:eastAsiaTheme="minorEastAsia"/>
          <w:sz w:val="24"/>
          <w:szCs w:val="24"/>
          <w:highlight w:val="none"/>
          <w:lang w:eastAsia="zh-CN"/>
        </w:rPr>
      </w:pPr>
    </w:p>
    <w:p w14:paraId="4E4C2A8C">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18E8E133">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04715E76">
      <w:pPr>
        <w:pStyle w:val="201"/>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7F00DE4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55314120">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325AE2FC">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1BBA24E2">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5CF85927">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合同主要条款</w:t>
      </w:r>
    </w:p>
    <w:p w14:paraId="4032A462">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采购人（以下称甲方）供应商：（以下称乙方）</w:t>
      </w:r>
    </w:p>
    <w:p w14:paraId="2CA05D4C">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地址：地址：</w:t>
      </w:r>
    </w:p>
    <w:p w14:paraId="711CB1B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电话：电话：</w:t>
      </w:r>
    </w:p>
    <w:p w14:paraId="29B77A11">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微信智能体客服系统项目</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JSZC-320585-JZCG-G2026-0096</w:t>
      </w:r>
      <w:r>
        <w:rPr>
          <w:rFonts w:hint="eastAsia" w:ascii="宋体" w:hAnsi="宋体" w:eastAsia="宋体" w:cs="宋体"/>
          <w:color w:val="000000"/>
          <w:sz w:val="24"/>
          <w:highlight w:val="none"/>
          <w:lang w:eastAsia="zh-CN"/>
        </w:rPr>
        <w:t>）的招标结果，签订本合同。</w:t>
      </w:r>
    </w:p>
    <w:p w14:paraId="41BD4AEF">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第一条 服务范围</w:t>
      </w:r>
    </w:p>
    <w:p w14:paraId="57CD67AF">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甲方聘请乙方提供以下服务：</w:t>
      </w:r>
    </w:p>
    <w:p w14:paraId="7205361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（1）本合同项下的服务指：</w:t>
      </w:r>
    </w:p>
    <w:p w14:paraId="4518E2E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（2）服务内容：</w:t>
      </w:r>
    </w:p>
    <w:p w14:paraId="781CB25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（3）服务标准：</w:t>
      </w:r>
    </w:p>
    <w:p w14:paraId="5B4FDEB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（4）交付时间、地点：甲方指定。</w:t>
      </w:r>
    </w:p>
    <w:p w14:paraId="5427263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第二条 组成本合同的有关文件 </w:t>
      </w:r>
    </w:p>
    <w:p w14:paraId="5C3454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0F4BD5B8">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招标采购文件（</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JSZC-320585-JZCG-G2026-0096</w:t>
      </w:r>
      <w:r>
        <w:rPr>
          <w:rFonts w:hint="eastAsia" w:ascii="宋体" w:hAnsi="宋体" w:eastAsia="宋体" w:cs="宋体"/>
          <w:color w:val="000000"/>
          <w:sz w:val="24"/>
          <w:highlight w:val="none"/>
          <w:lang w:eastAsia="zh-CN"/>
        </w:rPr>
        <w:t>）</w:t>
      </w:r>
    </w:p>
    <w:p w14:paraId="41D4CD03">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乙方提供的投标文件和投标报价表；</w:t>
      </w:r>
    </w:p>
    <w:p w14:paraId="3664AF1B">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乙方在投标过程中所作的其他承诺、声明、书面澄清等；</w:t>
      </w:r>
    </w:p>
    <w:p w14:paraId="60DB2B63">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color w:val="000000"/>
          <w:sz w:val="24"/>
          <w:highlight w:val="none"/>
        </w:rPr>
        <w:t>中标通知书；</w:t>
      </w:r>
    </w:p>
    <w:p w14:paraId="62209BFA">
      <w:pPr>
        <w:numPr>
          <w:ilvl w:val="0"/>
          <w:numId w:val="6"/>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甲乙双方商定的其他文件等。</w:t>
      </w:r>
    </w:p>
    <w:p w14:paraId="21F541A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第三条 合同总价款 </w:t>
      </w:r>
    </w:p>
    <w:p w14:paraId="3826625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合同价格按此次成交价格执行，合同总金额为人民币___________（大写）人民币，小写：（￥：）元整。</w:t>
      </w:r>
    </w:p>
    <w:p w14:paraId="2E72767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6A2D2E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除非合同条款中另有规定，本合同执行期间合同总价款不变。</w:t>
      </w:r>
    </w:p>
    <w:p w14:paraId="39A61FD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第四条 合同款支付</w:t>
      </w:r>
    </w:p>
    <w:p w14:paraId="7042704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1、本合同项下所有款项均以人民币支付。</w:t>
      </w:r>
    </w:p>
    <w:p w14:paraId="439E020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2、本合同项下的采购资金由甲方自行支付，乙方向甲方开具发票。</w:t>
      </w:r>
    </w:p>
    <w:p w14:paraId="1307027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3、根据现行税法对乙方征收的与本合同有关的一切税费均由乙方承担。</w:t>
      </w:r>
    </w:p>
    <w:p w14:paraId="02B79E8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4、付款步骤：</w:t>
      </w:r>
    </w:p>
    <w:p w14:paraId="3EA91C71">
      <w:pPr>
        <w:pStyle w:val="18"/>
        <w:rPr>
          <w:rFonts w:ascii="宋体" w:hAnsi="宋体" w:eastAsia="宋体" w:cs="宋体"/>
          <w:highlight w:val="none"/>
          <w:lang w:eastAsia="zh-CN"/>
        </w:rPr>
      </w:pPr>
    </w:p>
    <w:p w14:paraId="42BAE290">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highlight w:val="none"/>
          <w:lang w:eastAsia="zh-CN"/>
        </w:rPr>
      </w:pPr>
      <w:r>
        <w:rPr>
          <w:rFonts w:hint="eastAsia" w:ascii="宋体" w:hAnsi="宋体" w:eastAsia="宋体" w:cs="宋体"/>
          <w:b/>
          <w:sz w:val="24"/>
          <w:highlight w:val="none"/>
          <w:lang w:eastAsia="zh-CN"/>
        </w:rPr>
        <w:t>第五条 服务质量、成果要求</w:t>
      </w:r>
    </w:p>
    <w:p w14:paraId="1205ED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1、项目完成后甲方将组织专业人员进行项目的验收工作，如存在问题，乙方应进行改进，直至验收合格为止；</w:t>
      </w:r>
    </w:p>
    <w:p w14:paraId="3CFC809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2、验收标准: 按采购文件要求、乙方的投标承诺或国家相关标准。</w:t>
      </w:r>
    </w:p>
    <w:p w14:paraId="6B35C77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第六条 甲、乙双方权利义务</w:t>
      </w:r>
    </w:p>
    <w:p w14:paraId="0883893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1、甲方应当为保证项目服务的完成，给予乙方积极支持，为乙方提供项目实施的必要条件；</w:t>
      </w:r>
    </w:p>
    <w:p w14:paraId="5BB2EC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2、甲方应当按照本合同约定按时支付合同金额。</w:t>
      </w:r>
    </w:p>
    <w:p w14:paraId="68CFF6B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3、乙方提交的服务成果未经甲方书面许可，不得向任何第三方泄露。</w:t>
      </w:r>
    </w:p>
    <w:p w14:paraId="1CAE9FA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4、乙方提供必要的技术培训，协助甲方完成其他需要中标单位配合的服务。</w:t>
      </w:r>
    </w:p>
    <w:p w14:paraId="7C97D1D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7D4F1703">
      <w:pPr>
        <w:pStyle w:val="18"/>
        <w:ind w:firstLine="480" w:firstLineChars="200"/>
        <w:rPr>
          <w:rFonts w:ascii="宋体" w:hAnsi="宋体" w:eastAsia="宋体" w:cs="宋体"/>
          <w:highlight w:val="none"/>
          <w:lang w:eastAsia="zh-CN"/>
        </w:rPr>
      </w:pPr>
      <w:r>
        <w:rPr>
          <w:rFonts w:hint="eastAsia" w:ascii="宋体" w:hAnsi="宋体" w:eastAsia="宋体" w:cs="宋体"/>
          <w:color w:val="000000"/>
          <w:sz w:val="24"/>
          <w:highlight w:val="none"/>
          <w:lang w:eastAsia="zh-CN"/>
        </w:rPr>
        <w:t>6、</w:t>
      </w:r>
      <w:r>
        <w:rPr>
          <w:rFonts w:hint="eastAsia" w:ascii="宋体" w:hAnsi="宋体" w:eastAsia="宋体" w:cs="宋体"/>
          <w:bCs/>
          <w:kern w:val="1"/>
          <w:sz w:val="21"/>
          <w:szCs w:val="21"/>
          <w:highlight w:val="none"/>
          <w:lang w:eastAsia="zh-CN"/>
        </w:rPr>
        <w:t>服务期内，乙方应承诺免费提供二次移机服务。</w:t>
      </w:r>
    </w:p>
    <w:p w14:paraId="4C9A04B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第七条 知识产权</w:t>
      </w:r>
    </w:p>
    <w:p w14:paraId="6DF3399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1、在合同履行过程中，由甲方向乙方提供的资料－－包括但不限于程序、文件、报告、说明、图表等均归甲方所有。</w:t>
      </w:r>
    </w:p>
    <w:p w14:paraId="442CD9E6">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2078B92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第八条 保密条款</w:t>
      </w:r>
    </w:p>
    <w:p w14:paraId="2E4250B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CF4BD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第九条 风险责任</w:t>
      </w:r>
    </w:p>
    <w:p w14:paraId="720F0E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58E800F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第十条 履约保证金（本项目不涉及）</w:t>
      </w:r>
    </w:p>
    <w:p w14:paraId="70A632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1、乙方应按招标文件的约定要求提供相应的履约保证金。</w:t>
      </w:r>
    </w:p>
    <w:p w14:paraId="16051AD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2、履约保证金的有效期为合同生效之日起至合同主要义务履行完毕止。</w:t>
      </w:r>
    </w:p>
    <w:p w14:paraId="7AD433E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2A25929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4、履约保证金待合同主要义务全部履行完毕后全额退回（不计息）。</w:t>
      </w:r>
    </w:p>
    <w:p w14:paraId="187CD58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第十一条 合同的变更和终止</w:t>
      </w:r>
    </w:p>
    <w:p w14:paraId="0B9A105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1、本合同一经签订，甲乙双方不得擅自变更、中止或终止合同。</w:t>
      </w:r>
    </w:p>
    <w:p w14:paraId="1183719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2C79AF3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第十二条 合同的转让</w:t>
      </w:r>
    </w:p>
    <w:p w14:paraId="2580553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1、乙方不得擅自部分或全部转让其应履行的合同义务。    </w:t>
      </w:r>
    </w:p>
    <w:p w14:paraId="79E51A7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2、乙方在履行合同过程中，不得将服务项目委托给第三方。</w:t>
      </w:r>
    </w:p>
    <w:p w14:paraId="23DA025E">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第十三条 违约责任</w:t>
      </w:r>
    </w:p>
    <w:p w14:paraId="1E0E77A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5270C68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2、甲方逾期付款的，应按照逾期付款金额的每天万分之四支付逾期付款违约金。</w:t>
      </w:r>
    </w:p>
    <w:p w14:paraId="3D126E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768C2E7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0E24B32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6D7DC2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6、其他未尽事宜，以《民法典》和《政府采购法》等有关法律法规规定为准，无相关规定的，双方协商解决。</w:t>
      </w:r>
    </w:p>
    <w:p w14:paraId="5BDC2B52">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第十四条 不可抗力</w:t>
      </w:r>
    </w:p>
    <w:p w14:paraId="6183A0B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54EFE1C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因合同一方迟延履行后发生不可抗力的，不能免除责任。</w:t>
      </w:r>
    </w:p>
    <w:p w14:paraId="30652FBD">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第十五条 索赔</w:t>
      </w:r>
    </w:p>
    <w:p w14:paraId="764112F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4646B44A">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第十六条 争议的解决</w:t>
      </w:r>
    </w:p>
    <w:p w14:paraId="67C3891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156ECE0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0D333F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3、在法院审理和仲裁期间，除有争议部分外，本合同其他部分应继续履行。</w:t>
      </w:r>
    </w:p>
    <w:p w14:paraId="154CED65">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第十七条 诚实信用 </w:t>
      </w:r>
    </w:p>
    <w:p w14:paraId="4E31E4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04F99C6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第十八条 合同生效及其他</w:t>
      </w:r>
    </w:p>
    <w:p w14:paraId="32F8518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1、本合同自经甲乙双方授权代表签订并加盖公章后，自签订之日起生效。</w:t>
      </w:r>
    </w:p>
    <w:p w14:paraId="70A61A8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2、本合同一式肆份，甲乙双方各执贰份。</w:t>
      </w:r>
    </w:p>
    <w:p w14:paraId="4E57EDA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3、本合同应按照中华人民共和国的现行法律进行解释。</w:t>
      </w:r>
    </w:p>
    <w:p w14:paraId="1C93DAF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8C84A0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甲方（采购人）：（盖章）                     乙方（供应商）：（盖章）</w:t>
      </w:r>
    </w:p>
    <w:p w14:paraId="085938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代表人：                   代表人：</w:t>
      </w:r>
    </w:p>
    <w:p w14:paraId="350017F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                    电话：</w:t>
      </w:r>
    </w:p>
    <w:p w14:paraId="0E5AF5F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开户银行：                                   开户银行：</w:t>
      </w:r>
    </w:p>
    <w:p w14:paraId="2F9F6D1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帐号：                                       帐号：</w:t>
      </w:r>
    </w:p>
    <w:p w14:paraId="2673D7E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日期： 年 月  日                             日期：    年  月   日</w:t>
      </w:r>
    </w:p>
    <w:p w14:paraId="5AABCC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3AEA384">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p>
    <w:p w14:paraId="577EA64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9B961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466A36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5313EFD7">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EFF7AB8">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06DB9E7">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08658101">
      <w:pPr>
        <w:rPr>
          <w:rFonts w:ascii="宋体" w:hAnsi="宋体" w:eastAsia="宋体" w:cs="宋体"/>
          <w:highlight w:val="none"/>
          <w:lang w:eastAsia="zh-CN"/>
        </w:rPr>
      </w:pPr>
    </w:p>
    <w:sectPr>
      <w:pgSz w:w="11906" w:h="16838"/>
      <w:pgMar w:top="1134" w:right="850" w:bottom="1134" w:left="1701" w:header="709" w:footer="709" w:gutter="0"/>
      <w:pgBorders>
        <w:top w:val="none" w:sz="0" w:space="0"/>
        <w:left w:val="none" w:sz="0" w:space="0"/>
        <w:bottom w:val="none" w:sz="0" w:space="0"/>
        <w:right w:val="none" w:sz="0" w:space="0"/>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1" w:fontKey="{669A4732-6EF5-440D-860A-9A440DEE75CF}"/>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AB8D6500-0CE6-4C21-9162-0F3A5A394206}"/>
  </w:font>
  <w:font w:name="仿宋_GB2312">
    <w:altName w:val="仿宋"/>
    <w:panose1 w:val="00000000000000000000"/>
    <w:charset w:val="86"/>
    <w:family w:val="modern"/>
    <w:pitch w:val="default"/>
    <w:sig w:usb0="00000000" w:usb1="00000000" w:usb2="00000010" w:usb3="00000000" w:csb0="00040000" w:csb1="00000000"/>
  </w:font>
  <w:font w:name="鸿蒙黑体">
    <w:altName w:val="黑体"/>
    <w:panose1 w:val="00000000000000000000"/>
    <w:charset w:val="86"/>
    <w:family w:val="auto"/>
    <w:pitch w:val="default"/>
    <w:sig w:usb0="00000000" w:usb1="00000000" w:usb2="00000016" w:usb3="00000000" w:csb0="00040001" w:csb1="00000000"/>
  </w:font>
  <w:font w:name="FT Thymes">
    <w:altName w:val="Segoe Print"/>
    <w:panose1 w:val="00000000000000000000"/>
    <w:charset w:val="00"/>
    <w:family w:val="auto"/>
    <w:pitch w:val="default"/>
    <w:sig w:usb0="00000000" w:usb1="00000000" w:usb2="00000009" w:usb3="00000000" w:csb0="00000001"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784D2CF"/>
    <w:multiLevelType w:val="singleLevel"/>
    <w:tmpl w:val="1784D2CF"/>
    <w:lvl w:ilvl="0" w:tentative="0">
      <w:start w:val="2"/>
      <w:numFmt w:val="chineseCounting"/>
      <w:suff w:val="nothing"/>
      <w:lvlText w:val="（%1）"/>
      <w:lvlJc w:val="left"/>
      <w:rPr>
        <w:rFonts w:hint="eastAsia"/>
      </w:rPr>
    </w:lvl>
  </w:abstractNum>
  <w:abstractNum w:abstractNumId="2">
    <w:nsid w:val="1D47E737"/>
    <w:multiLevelType w:val="singleLevel"/>
    <w:tmpl w:val="1D47E737"/>
    <w:lvl w:ilvl="0" w:tentative="0">
      <w:start w:val="1"/>
      <w:numFmt w:val="decimalEnclosedCircleChinese"/>
      <w:suff w:val="nothing"/>
      <w:lvlText w:val="%1　"/>
      <w:lvlJc w:val="left"/>
      <w:pPr>
        <w:ind w:left="0" w:firstLine="400"/>
      </w:pPr>
      <w:rPr>
        <w:rFonts w:hint="eastAsia"/>
      </w:r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FBA6FAC"/>
    <w:multiLevelType w:val="singleLevel"/>
    <w:tmpl w:val="4FBA6FAC"/>
    <w:lvl w:ilvl="0" w:tentative="0">
      <w:start w:val="1"/>
      <w:numFmt w:val="decimalEnclosedCircleChinese"/>
      <w:suff w:val="nothing"/>
      <w:lvlText w:val="%1　"/>
      <w:lvlJc w:val="left"/>
      <w:pPr>
        <w:ind w:left="0" w:firstLine="400"/>
      </w:pPr>
      <w:rPr>
        <w:rFonts w:hint="eastAsia"/>
      </w:rPr>
    </w:lvl>
  </w:abstractNum>
  <w:abstractNum w:abstractNumId="5">
    <w:nsid w:val="700F940D"/>
    <w:multiLevelType w:val="singleLevel"/>
    <w:tmpl w:val="700F940D"/>
    <w:lvl w:ilvl="0" w:tentative="0">
      <w:start w:val="1"/>
      <w:numFmt w:val="decimal"/>
      <w:suff w:val="nothing"/>
      <w:lvlText w:val="%1、"/>
      <w:lvlJc w:val="left"/>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hideSpellingErrors/>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277C4"/>
    <w:rsid w:val="00036C66"/>
    <w:rsid w:val="00041FC6"/>
    <w:rsid w:val="0004479D"/>
    <w:rsid w:val="0007014C"/>
    <w:rsid w:val="000729B7"/>
    <w:rsid w:val="00075F06"/>
    <w:rsid w:val="00083134"/>
    <w:rsid w:val="00083CEF"/>
    <w:rsid w:val="00091A06"/>
    <w:rsid w:val="000A59D2"/>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C3306"/>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779B7"/>
    <w:rsid w:val="004A60E4"/>
    <w:rsid w:val="004F0272"/>
    <w:rsid w:val="004F19E8"/>
    <w:rsid w:val="005105A1"/>
    <w:rsid w:val="0051084E"/>
    <w:rsid w:val="00516C43"/>
    <w:rsid w:val="00517E59"/>
    <w:rsid w:val="00543FC8"/>
    <w:rsid w:val="00547239"/>
    <w:rsid w:val="00552F0D"/>
    <w:rsid w:val="00563AE9"/>
    <w:rsid w:val="005669B5"/>
    <w:rsid w:val="005704EB"/>
    <w:rsid w:val="00573A8F"/>
    <w:rsid w:val="00586530"/>
    <w:rsid w:val="005B374D"/>
    <w:rsid w:val="005B4D1E"/>
    <w:rsid w:val="005B5AD8"/>
    <w:rsid w:val="005B655F"/>
    <w:rsid w:val="005C6EC5"/>
    <w:rsid w:val="005E5A6C"/>
    <w:rsid w:val="005F70DF"/>
    <w:rsid w:val="00611EC1"/>
    <w:rsid w:val="0061491B"/>
    <w:rsid w:val="00624508"/>
    <w:rsid w:val="0063339A"/>
    <w:rsid w:val="006431FF"/>
    <w:rsid w:val="00657435"/>
    <w:rsid w:val="00667104"/>
    <w:rsid w:val="00670957"/>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48C"/>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156C9"/>
    <w:rsid w:val="00B21B08"/>
    <w:rsid w:val="00B241AA"/>
    <w:rsid w:val="00B33CCF"/>
    <w:rsid w:val="00B37F16"/>
    <w:rsid w:val="00B475D8"/>
    <w:rsid w:val="00B61844"/>
    <w:rsid w:val="00B628B1"/>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062A3"/>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DF691C"/>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3C690E"/>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47538"/>
    <w:rsid w:val="03233E3F"/>
    <w:rsid w:val="032D1344"/>
    <w:rsid w:val="032F65C6"/>
    <w:rsid w:val="03363C91"/>
    <w:rsid w:val="0341020B"/>
    <w:rsid w:val="03506E80"/>
    <w:rsid w:val="035F0913"/>
    <w:rsid w:val="03682B63"/>
    <w:rsid w:val="037F533E"/>
    <w:rsid w:val="038C4E6B"/>
    <w:rsid w:val="0398305C"/>
    <w:rsid w:val="039D4518"/>
    <w:rsid w:val="03D80B70"/>
    <w:rsid w:val="03DD7476"/>
    <w:rsid w:val="03E2554B"/>
    <w:rsid w:val="03FF5FEC"/>
    <w:rsid w:val="04022533"/>
    <w:rsid w:val="040352F1"/>
    <w:rsid w:val="0409246F"/>
    <w:rsid w:val="042518DB"/>
    <w:rsid w:val="042625A3"/>
    <w:rsid w:val="042942EB"/>
    <w:rsid w:val="042E253E"/>
    <w:rsid w:val="04312BCD"/>
    <w:rsid w:val="04386104"/>
    <w:rsid w:val="043B4BCF"/>
    <w:rsid w:val="043D53C4"/>
    <w:rsid w:val="044F7A70"/>
    <w:rsid w:val="04885A51"/>
    <w:rsid w:val="04953B87"/>
    <w:rsid w:val="0495752E"/>
    <w:rsid w:val="049A4F9F"/>
    <w:rsid w:val="049F59C7"/>
    <w:rsid w:val="04A5420D"/>
    <w:rsid w:val="04B675AB"/>
    <w:rsid w:val="04B847F1"/>
    <w:rsid w:val="04C63673"/>
    <w:rsid w:val="04D24225"/>
    <w:rsid w:val="04DB3D54"/>
    <w:rsid w:val="04DC7356"/>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6E81C59"/>
    <w:rsid w:val="0708351A"/>
    <w:rsid w:val="07130AA2"/>
    <w:rsid w:val="0726165F"/>
    <w:rsid w:val="072A4378"/>
    <w:rsid w:val="07411695"/>
    <w:rsid w:val="07413D40"/>
    <w:rsid w:val="07485C35"/>
    <w:rsid w:val="075616D4"/>
    <w:rsid w:val="07572F4B"/>
    <w:rsid w:val="0763471D"/>
    <w:rsid w:val="07723F20"/>
    <w:rsid w:val="07850796"/>
    <w:rsid w:val="07902912"/>
    <w:rsid w:val="07B938EB"/>
    <w:rsid w:val="07BE784C"/>
    <w:rsid w:val="07D654D5"/>
    <w:rsid w:val="07DA0F85"/>
    <w:rsid w:val="07F58830"/>
    <w:rsid w:val="07FE5F67"/>
    <w:rsid w:val="08063F32"/>
    <w:rsid w:val="08070DBA"/>
    <w:rsid w:val="08080C8D"/>
    <w:rsid w:val="080A371B"/>
    <w:rsid w:val="08206DC6"/>
    <w:rsid w:val="082475F1"/>
    <w:rsid w:val="08360F6E"/>
    <w:rsid w:val="08414B1F"/>
    <w:rsid w:val="088071AD"/>
    <w:rsid w:val="088817F5"/>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4725AB"/>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8C42E9"/>
    <w:rsid w:val="0BA164E4"/>
    <w:rsid w:val="0BA34338"/>
    <w:rsid w:val="0BA91206"/>
    <w:rsid w:val="0BBE20FB"/>
    <w:rsid w:val="0BCF4FF5"/>
    <w:rsid w:val="0BD95485"/>
    <w:rsid w:val="0BE5451F"/>
    <w:rsid w:val="0BF65812"/>
    <w:rsid w:val="0BF815F9"/>
    <w:rsid w:val="0C013567"/>
    <w:rsid w:val="0C187AD8"/>
    <w:rsid w:val="0C1B5A9E"/>
    <w:rsid w:val="0C3454F2"/>
    <w:rsid w:val="0C3639BD"/>
    <w:rsid w:val="0C50326D"/>
    <w:rsid w:val="0C585ACF"/>
    <w:rsid w:val="0C704BA0"/>
    <w:rsid w:val="0C75510F"/>
    <w:rsid w:val="0C77725A"/>
    <w:rsid w:val="0C7F1F92"/>
    <w:rsid w:val="0C821A46"/>
    <w:rsid w:val="0C967A0F"/>
    <w:rsid w:val="0C99484A"/>
    <w:rsid w:val="0CB5172B"/>
    <w:rsid w:val="0CB851D1"/>
    <w:rsid w:val="0CC14427"/>
    <w:rsid w:val="0CD42055"/>
    <w:rsid w:val="0CD43E9E"/>
    <w:rsid w:val="0CE12497"/>
    <w:rsid w:val="0CF719AC"/>
    <w:rsid w:val="0D1D75F3"/>
    <w:rsid w:val="0D2C3290"/>
    <w:rsid w:val="0D47180A"/>
    <w:rsid w:val="0D481FE1"/>
    <w:rsid w:val="0D4D288D"/>
    <w:rsid w:val="0D655436"/>
    <w:rsid w:val="0D801513"/>
    <w:rsid w:val="0D8B0691"/>
    <w:rsid w:val="0D8C763F"/>
    <w:rsid w:val="0DA91FA5"/>
    <w:rsid w:val="0DBF06AB"/>
    <w:rsid w:val="0DCE43DC"/>
    <w:rsid w:val="0DD34156"/>
    <w:rsid w:val="0DDA49A4"/>
    <w:rsid w:val="0DDE1683"/>
    <w:rsid w:val="0DEF6B59"/>
    <w:rsid w:val="0DF207C8"/>
    <w:rsid w:val="0E041D4A"/>
    <w:rsid w:val="0E0C6F4D"/>
    <w:rsid w:val="0E0F135C"/>
    <w:rsid w:val="0E1636C8"/>
    <w:rsid w:val="0E16687D"/>
    <w:rsid w:val="0E320F7E"/>
    <w:rsid w:val="0E3C1B66"/>
    <w:rsid w:val="0E3E1F96"/>
    <w:rsid w:val="0E430CAE"/>
    <w:rsid w:val="0E8C7A87"/>
    <w:rsid w:val="0E974001"/>
    <w:rsid w:val="0E9C7E08"/>
    <w:rsid w:val="0E9E0861"/>
    <w:rsid w:val="0EC463B8"/>
    <w:rsid w:val="0EDA2902"/>
    <w:rsid w:val="0EDF093D"/>
    <w:rsid w:val="0EEF6789"/>
    <w:rsid w:val="0F0A5113"/>
    <w:rsid w:val="0F0C11A0"/>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0636"/>
    <w:rsid w:val="101E40A6"/>
    <w:rsid w:val="102462FF"/>
    <w:rsid w:val="103F0E1E"/>
    <w:rsid w:val="10414E9E"/>
    <w:rsid w:val="104657FA"/>
    <w:rsid w:val="1056672C"/>
    <w:rsid w:val="10615C9F"/>
    <w:rsid w:val="108E13AA"/>
    <w:rsid w:val="10A3244C"/>
    <w:rsid w:val="10A52ACF"/>
    <w:rsid w:val="10B60D4A"/>
    <w:rsid w:val="10B8469B"/>
    <w:rsid w:val="10C06C14"/>
    <w:rsid w:val="110118F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B0070"/>
    <w:rsid w:val="12872B83"/>
    <w:rsid w:val="129F0AAB"/>
    <w:rsid w:val="12B446BB"/>
    <w:rsid w:val="12BF6EC2"/>
    <w:rsid w:val="12EC63AE"/>
    <w:rsid w:val="12F232D0"/>
    <w:rsid w:val="12F26C28"/>
    <w:rsid w:val="13161EAC"/>
    <w:rsid w:val="131B5031"/>
    <w:rsid w:val="131E7C21"/>
    <w:rsid w:val="1348744A"/>
    <w:rsid w:val="13685340"/>
    <w:rsid w:val="1369446C"/>
    <w:rsid w:val="1395739F"/>
    <w:rsid w:val="13985350"/>
    <w:rsid w:val="13A36513"/>
    <w:rsid w:val="13CA09F7"/>
    <w:rsid w:val="13CA6201"/>
    <w:rsid w:val="13EE1CEA"/>
    <w:rsid w:val="14146680"/>
    <w:rsid w:val="14200360"/>
    <w:rsid w:val="14284B77"/>
    <w:rsid w:val="142E0338"/>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6A222E"/>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B6FF4"/>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D2648"/>
    <w:rsid w:val="199F5D7D"/>
    <w:rsid w:val="19A41797"/>
    <w:rsid w:val="19B03E18"/>
    <w:rsid w:val="19BA54DF"/>
    <w:rsid w:val="19E31C94"/>
    <w:rsid w:val="19E45FFF"/>
    <w:rsid w:val="19E60C62"/>
    <w:rsid w:val="19ED69C8"/>
    <w:rsid w:val="1A013E92"/>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A05D7"/>
    <w:rsid w:val="1B1F2A60"/>
    <w:rsid w:val="1B266CCF"/>
    <w:rsid w:val="1B2D3BD8"/>
    <w:rsid w:val="1B3724DE"/>
    <w:rsid w:val="1B3967A2"/>
    <w:rsid w:val="1B4B60AB"/>
    <w:rsid w:val="1B4E1A56"/>
    <w:rsid w:val="1B5740D5"/>
    <w:rsid w:val="1B600016"/>
    <w:rsid w:val="1B6228FE"/>
    <w:rsid w:val="1B6D6CE7"/>
    <w:rsid w:val="1B7309A0"/>
    <w:rsid w:val="1B835140"/>
    <w:rsid w:val="1B862808"/>
    <w:rsid w:val="1B931E27"/>
    <w:rsid w:val="1BA3021E"/>
    <w:rsid w:val="1BBA2C80"/>
    <w:rsid w:val="1BD9657D"/>
    <w:rsid w:val="1BDB6ED7"/>
    <w:rsid w:val="1BDE43F2"/>
    <w:rsid w:val="1BE151AB"/>
    <w:rsid w:val="1BEF4FC5"/>
    <w:rsid w:val="1BEF6F05"/>
    <w:rsid w:val="1C057B1D"/>
    <w:rsid w:val="1C180642"/>
    <w:rsid w:val="1C211761"/>
    <w:rsid w:val="1C24274C"/>
    <w:rsid w:val="1C3A2374"/>
    <w:rsid w:val="1C506F2C"/>
    <w:rsid w:val="1C570813"/>
    <w:rsid w:val="1C693C06"/>
    <w:rsid w:val="1CA078F9"/>
    <w:rsid w:val="1CAB6228"/>
    <w:rsid w:val="1CB570DB"/>
    <w:rsid w:val="1CC23D13"/>
    <w:rsid w:val="1CCE2310"/>
    <w:rsid w:val="1CD122BF"/>
    <w:rsid w:val="1CD35F20"/>
    <w:rsid w:val="1CEA219E"/>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41B0D"/>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0506DA"/>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21A7A"/>
    <w:rsid w:val="20491C70"/>
    <w:rsid w:val="204E5186"/>
    <w:rsid w:val="2057109A"/>
    <w:rsid w:val="206B64E3"/>
    <w:rsid w:val="207F3F62"/>
    <w:rsid w:val="207F48C4"/>
    <w:rsid w:val="20947DAF"/>
    <w:rsid w:val="209764D5"/>
    <w:rsid w:val="209B47E6"/>
    <w:rsid w:val="209E4EDF"/>
    <w:rsid w:val="20AB20EA"/>
    <w:rsid w:val="20AF45AF"/>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CD2F3E"/>
    <w:rsid w:val="21DA2D2D"/>
    <w:rsid w:val="21DC7A2C"/>
    <w:rsid w:val="21E604A4"/>
    <w:rsid w:val="21E90A15"/>
    <w:rsid w:val="222018DF"/>
    <w:rsid w:val="22285AC3"/>
    <w:rsid w:val="222C0A77"/>
    <w:rsid w:val="223E60B1"/>
    <w:rsid w:val="22431347"/>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5B27CC"/>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5F5515A"/>
    <w:rsid w:val="26057907"/>
    <w:rsid w:val="26391E74"/>
    <w:rsid w:val="2644443D"/>
    <w:rsid w:val="26574EA4"/>
    <w:rsid w:val="26671C07"/>
    <w:rsid w:val="26960C7A"/>
    <w:rsid w:val="26A83F7A"/>
    <w:rsid w:val="26A91BA1"/>
    <w:rsid w:val="26AB7124"/>
    <w:rsid w:val="26AF11EF"/>
    <w:rsid w:val="26DE174A"/>
    <w:rsid w:val="26E341BB"/>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3B5F86"/>
    <w:rsid w:val="296138D0"/>
    <w:rsid w:val="29820B83"/>
    <w:rsid w:val="29920799"/>
    <w:rsid w:val="29974552"/>
    <w:rsid w:val="299D7D8A"/>
    <w:rsid w:val="29A547A1"/>
    <w:rsid w:val="29A95E08"/>
    <w:rsid w:val="29AF6880"/>
    <w:rsid w:val="29C61EF4"/>
    <w:rsid w:val="29D33005"/>
    <w:rsid w:val="2A005E7B"/>
    <w:rsid w:val="2A085306"/>
    <w:rsid w:val="2A115A11"/>
    <w:rsid w:val="2A2E29E8"/>
    <w:rsid w:val="2A4558DD"/>
    <w:rsid w:val="2A5B2A6E"/>
    <w:rsid w:val="2A6A2869"/>
    <w:rsid w:val="2A70161A"/>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649CD"/>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4081D"/>
    <w:rsid w:val="2D753CFA"/>
    <w:rsid w:val="2D833E1B"/>
    <w:rsid w:val="2DA0726B"/>
    <w:rsid w:val="2DB229EA"/>
    <w:rsid w:val="2DB32C12"/>
    <w:rsid w:val="2DC109C9"/>
    <w:rsid w:val="2DC873F9"/>
    <w:rsid w:val="2DDE4C78"/>
    <w:rsid w:val="2DF40C52"/>
    <w:rsid w:val="2DF56325"/>
    <w:rsid w:val="2E1A1487"/>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C4573"/>
    <w:rsid w:val="2F9E7B1A"/>
    <w:rsid w:val="2FA11305"/>
    <w:rsid w:val="2FAA5090"/>
    <w:rsid w:val="2FF32805"/>
    <w:rsid w:val="3002278F"/>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013C75"/>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1F3816"/>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063D8"/>
    <w:rsid w:val="33F3440D"/>
    <w:rsid w:val="33FA021C"/>
    <w:rsid w:val="340115C5"/>
    <w:rsid w:val="340A4636"/>
    <w:rsid w:val="343165C7"/>
    <w:rsid w:val="34517138"/>
    <w:rsid w:val="34607C42"/>
    <w:rsid w:val="34682F8F"/>
    <w:rsid w:val="346B5EFB"/>
    <w:rsid w:val="347F2BF4"/>
    <w:rsid w:val="34895E96"/>
    <w:rsid w:val="348B44B6"/>
    <w:rsid w:val="3491604D"/>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51958"/>
    <w:rsid w:val="35A61A02"/>
    <w:rsid w:val="35AB2023"/>
    <w:rsid w:val="35B5088A"/>
    <w:rsid w:val="35C32630"/>
    <w:rsid w:val="35D159BB"/>
    <w:rsid w:val="35D37A1A"/>
    <w:rsid w:val="35D505D5"/>
    <w:rsid w:val="35D629F5"/>
    <w:rsid w:val="35E5729A"/>
    <w:rsid w:val="35F66AB0"/>
    <w:rsid w:val="35F70337"/>
    <w:rsid w:val="35F8578A"/>
    <w:rsid w:val="35FA386B"/>
    <w:rsid w:val="36005014"/>
    <w:rsid w:val="36116644"/>
    <w:rsid w:val="362B3C79"/>
    <w:rsid w:val="365329C9"/>
    <w:rsid w:val="366D1C32"/>
    <w:rsid w:val="3698771E"/>
    <w:rsid w:val="36BE3E5D"/>
    <w:rsid w:val="36C24BE4"/>
    <w:rsid w:val="36C5697A"/>
    <w:rsid w:val="3702081D"/>
    <w:rsid w:val="37033A44"/>
    <w:rsid w:val="371E359A"/>
    <w:rsid w:val="37225306"/>
    <w:rsid w:val="37227933"/>
    <w:rsid w:val="3725736F"/>
    <w:rsid w:val="374970B3"/>
    <w:rsid w:val="377238F0"/>
    <w:rsid w:val="37735DD8"/>
    <w:rsid w:val="37AF584B"/>
    <w:rsid w:val="37B87E84"/>
    <w:rsid w:val="37BF2ED1"/>
    <w:rsid w:val="37DA0B41"/>
    <w:rsid w:val="37DD191E"/>
    <w:rsid w:val="37E515AE"/>
    <w:rsid w:val="37F81DC8"/>
    <w:rsid w:val="380C7912"/>
    <w:rsid w:val="381846B4"/>
    <w:rsid w:val="38236F89"/>
    <w:rsid w:val="382D21BA"/>
    <w:rsid w:val="38303DCF"/>
    <w:rsid w:val="38377F09"/>
    <w:rsid w:val="38383D3E"/>
    <w:rsid w:val="38385EF5"/>
    <w:rsid w:val="385C2123"/>
    <w:rsid w:val="38637074"/>
    <w:rsid w:val="38697A82"/>
    <w:rsid w:val="387E180D"/>
    <w:rsid w:val="38B1249D"/>
    <w:rsid w:val="38B406FE"/>
    <w:rsid w:val="38B43A06"/>
    <w:rsid w:val="38BF212A"/>
    <w:rsid w:val="38DC599E"/>
    <w:rsid w:val="38F10CF9"/>
    <w:rsid w:val="38F664F4"/>
    <w:rsid w:val="38FF481D"/>
    <w:rsid w:val="39185737"/>
    <w:rsid w:val="39233807"/>
    <w:rsid w:val="39334BF1"/>
    <w:rsid w:val="393F72EF"/>
    <w:rsid w:val="39432FF0"/>
    <w:rsid w:val="394C2E8B"/>
    <w:rsid w:val="394F5B57"/>
    <w:rsid w:val="396B5856"/>
    <w:rsid w:val="396E021D"/>
    <w:rsid w:val="39756F5A"/>
    <w:rsid w:val="3994521D"/>
    <w:rsid w:val="39957901"/>
    <w:rsid w:val="39A9494A"/>
    <w:rsid w:val="39BA7180"/>
    <w:rsid w:val="39CB4426"/>
    <w:rsid w:val="39E6217A"/>
    <w:rsid w:val="39E972FE"/>
    <w:rsid w:val="39F3426D"/>
    <w:rsid w:val="39FF53B9"/>
    <w:rsid w:val="3A027683"/>
    <w:rsid w:val="3A1120C1"/>
    <w:rsid w:val="3A1A4D37"/>
    <w:rsid w:val="3A1F06C9"/>
    <w:rsid w:val="3A46610D"/>
    <w:rsid w:val="3A5C534F"/>
    <w:rsid w:val="3A86181E"/>
    <w:rsid w:val="3A8C21FC"/>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CA3066"/>
    <w:rsid w:val="3BEC425C"/>
    <w:rsid w:val="3C0A03A8"/>
    <w:rsid w:val="3C0E3C43"/>
    <w:rsid w:val="3C1F03E3"/>
    <w:rsid w:val="3C207376"/>
    <w:rsid w:val="3C26487D"/>
    <w:rsid w:val="3C2F7D87"/>
    <w:rsid w:val="3C377CDA"/>
    <w:rsid w:val="3C3B0276"/>
    <w:rsid w:val="3C485B8B"/>
    <w:rsid w:val="3C580D2F"/>
    <w:rsid w:val="3C6009E1"/>
    <w:rsid w:val="3C601127"/>
    <w:rsid w:val="3C662C8F"/>
    <w:rsid w:val="3C727FFF"/>
    <w:rsid w:val="3C7544A7"/>
    <w:rsid w:val="3C793F97"/>
    <w:rsid w:val="3C805325"/>
    <w:rsid w:val="3CB216F4"/>
    <w:rsid w:val="3CBD684B"/>
    <w:rsid w:val="3CEB058C"/>
    <w:rsid w:val="3CF3591C"/>
    <w:rsid w:val="3CF63160"/>
    <w:rsid w:val="3CFE6938"/>
    <w:rsid w:val="3D010F7C"/>
    <w:rsid w:val="3D3D7634"/>
    <w:rsid w:val="3D401C1C"/>
    <w:rsid w:val="3D473543"/>
    <w:rsid w:val="3D6F3A0F"/>
    <w:rsid w:val="3D6F7EA4"/>
    <w:rsid w:val="3D7A4060"/>
    <w:rsid w:val="3D7A4B49"/>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4B0A57"/>
    <w:rsid w:val="3F6211A5"/>
    <w:rsid w:val="3F626D3A"/>
    <w:rsid w:val="3F6D2C48"/>
    <w:rsid w:val="3F956391"/>
    <w:rsid w:val="3F9A3D5F"/>
    <w:rsid w:val="3FA9558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9F5F96"/>
    <w:rsid w:val="40A05660"/>
    <w:rsid w:val="40C03776"/>
    <w:rsid w:val="40C36BE9"/>
    <w:rsid w:val="40DC2D46"/>
    <w:rsid w:val="40EF29B0"/>
    <w:rsid w:val="40F36F47"/>
    <w:rsid w:val="41181BEA"/>
    <w:rsid w:val="41231E08"/>
    <w:rsid w:val="413B58D0"/>
    <w:rsid w:val="414C0395"/>
    <w:rsid w:val="414E5376"/>
    <w:rsid w:val="414E7502"/>
    <w:rsid w:val="41606318"/>
    <w:rsid w:val="41630D72"/>
    <w:rsid w:val="41683285"/>
    <w:rsid w:val="417C1E33"/>
    <w:rsid w:val="419F0609"/>
    <w:rsid w:val="41A67CE3"/>
    <w:rsid w:val="41A90609"/>
    <w:rsid w:val="41C55060"/>
    <w:rsid w:val="41DA68BA"/>
    <w:rsid w:val="41DC3706"/>
    <w:rsid w:val="41DF1BFB"/>
    <w:rsid w:val="41EC1C89"/>
    <w:rsid w:val="41F87F1F"/>
    <w:rsid w:val="41FA3722"/>
    <w:rsid w:val="42002DE8"/>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B6BC1"/>
    <w:rsid w:val="43CE4BD3"/>
    <w:rsid w:val="43F138B1"/>
    <w:rsid w:val="43F33102"/>
    <w:rsid w:val="440C3942"/>
    <w:rsid w:val="443459F8"/>
    <w:rsid w:val="445C0661"/>
    <w:rsid w:val="44683560"/>
    <w:rsid w:val="446B594A"/>
    <w:rsid w:val="447A08AC"/>
    <w:rsid w:val="447D65EE"/>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0E39A2"/>
    <w:rsid w:val="46100BB2"/>
    <w:rsid w:val="464D66FD"/>
    <w:rsid w:val="4668065B"/>
    <w:rsid w:val="46687D40"/>
    <w:rsid w:val="46714440"/>
    <w:rsid w:val="467153EA"/>
    <w:rsid w:val="467809AF"/>
    <w:rsid w:val="468F3F55"/>
    <w:rsid w:val="469311A1"/>
    <w:rsid w:val="46972481"/>
    <w:rsid w:val="469C0491"/>
    <w:rsid w:val="46B0631F"/>
    <w:rsid w:val="46B40B62"/>
    <w:rsid w:val="46B92938"/>
    <w:rsid w:val="46DF10ED"/>
    <w:rsid w:val="46E60531"/>
    <w:rsid w:val="46F54466"/>
    <w:rsid w:val="46F5747F"/>
    <w:rsid w:val="470D5947"/>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8E13F87"/>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89557F"/>
    <w:rsid w:val="4A9F092F"/>
    <w:rsid w:val="4AB34ACD"/>
    <w:rsid w:val="4AD40242"/>
    <w:rsid w:val="4ADA5F2B"/>
    <w:rsid w:val="4AE64A75"/>
    <w:rsid w:val="4B185C3F"/>
    <w:rsid w:val="4B2A6428"/>
    <w:rsid w:val="4B35CA88"/>
    <w:rsid w:val="4B603761"/>
    <w:rsid w:val="4B747171"/>
    <w:rsid w:val="4B767E95"/>
    <w:rsid w:val="4B7B4D7B"/>
    <w:rsid w:val="4B8450D0"/>
    <w:rsid w:val="4B845F72"/>
    <w:rsid w:val="4B871B00"/>
    <w:rsid w:val="4B964F6D"/>
    <w:rsid w:val="4B9D78B2"/>
    <w:rsid w:val="4BA00395"/>
    <w:rsid w:val="4BA16EFA"/>
    <w:rsid w:val="4BA34617"/>
    <w:rsid w:val="4BBB6E8D"/>
    <w:rsid w:val="4BC474BD"/>
    <w:rsid w:val="4BCC0FEE"/>
    <w:rsid w:val="4BCD3735"/>
    <w:rsid w:val="4BD11AEB"/>
    <w:rsid w:val="4BD35B9A"/>
    <w:rsid w:val="4BE14B27"/>
    <w:rsid w:val="4BE20065"/>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8E361A"/>
    <w:rsid w:val="4DA24324"/>
    <w:rsid w:val="4DAD3044"/>
    <w:rsid w:val="4DBB41D6"/>
    <w:rsid w:val="4DED1250"/>
    <w:rsid w:val="4DED5C61"/>
    <w:rsid w:val="4DF07B9B"/>
    <w:rsid w:val="4DF21B45"/>
    <w:rsid w:val="4DF41387"/>
    <w:rsid w:val="4E056021"/>
    <w:rsid w:val="4E083C63"/>
    <w:rsid w:val="4E1B3100"/>
    <w:rsid w:val="4E2B2C17"/>
    <w:rsid w:val="4E2D1DF5"/>
    <w:rsid w:val="4E305E8F"/>
    <w:rsid w:val="4E3E6654"/>
    <w:rsid w:val="4E44189E"/>
    <w:rsid w:val="4E5616EC"/>
    <w:rsid w:val="4E5976A9"/>
    <w:rsid w:val="4E59789B"/>
    <w:rsid w:val="4E8F351A"/>
    <w:rsid w:val="4EA002DA"/>
    <w:rsid w:val="4EA12ED9"/>
    <w:rsid w:val="4EA4544E"/>
    <w:rsid w:val="4EA81D39"/>
    <w:rsid w:val="4EB642D5"/>
    <w:rsid w:val="4EC21913"/>
    <w:rsid w:val="4EE103BD"/>
    <w:rsid w:val="4F124412"/>
    <w:rsid w:val="4F141422"/>
    <w:rsid w:val="4F1E5564"/>
    <w:rsid w:val="4F2D7873"/>
    <w:rsid w:val="4F2FBB1E"/>
    <w:rsid w:val="4F312180"/>
    <w:rsid w:val="4F32668A"/>
    <w:rsid w:val="4F443F90"/>
    <w:rsid w:val="4F53261D"/>
    <w:rsid w:val="4F6C1DA7"/>
    <w:rsid w:val="4F72007F"/>
    <w:rsid w:val="4F74161A"/>
    <w:rsid w:val="4F793519"/>
    <w:rsid w:val="4F7A15B8"/>
    <w:rsid w:val="4F7B14BC"/>
    <w:rsid w:val="4F924F20"/>
    <w:rsid w:val="4F9325A6"/>
    <w:rsid w:val="4FB2076B"/>
    <w:rsid w:val="4FE54CF8"/>
    <w:rsid w:val="4FEB2E93"/>
    <w:rsid w:val="4FEC6F37"/>
    <w:rsid w:val="50045E65"/>
    <w:rsid w:val="5013205A"/>
    <w:rsid w:val="50376A42"/>
    <w:rsid w:val="50504BEF"/>
    <w:rsid w:val="50591CBD"/>
    <w:rsid w:val="505D2EAC"/>
    <w:rsid w:val="506928E4"/>
    <w:rsid w:val="507956C4"/>
    <w:rsid w:val="507B1B23"/>
    <w:rsid w:val="5094661F"/>
    <w:rsid w:val="50987566"/>
    <w:rsid w:val="509A45D8"/>
    <w:rsid w:val="509D3DAA"/>
    <w:rsid w:val="50A24C75"/>
    <w:rsid w:val="50B40124"/>
    <w:rsid w:val="50BF6984"/>
    <w:rsid w:val="50C80BE8"/>
    <w:rsid w:val="50D74521"/>
    <w:rsid w:val="50D92DFE"/>
    <w:rsid w:val="50DB17A5"/>
    <w:rsid w:val="50E35A2B"/>
    <w:rsid w:val="50E74AF8"/>
    <w:rsid w:val="50F7525C"/>
    <w:rsid w:val="51060C86"/>
    <w:rsid w:val="510E2C37"/>
    <w:rsid w:val="511A2EB4"/>
    <w:rsid w:val="511B709E"/>
    <w:rsid w:val="51260B39"/>
    <w:rsid w:val="5144471C"/>
    <w:rsid w:val="514914C0"/>
    <w:rsid w:val="514F1ACC"/>
    <w:rsid w:val="51660DAD"/>
    <w:rsid w:val="51675070"/>
    <w:rsid w:val="51826465"/>
    <w:rsid w:val="519C3ED1"/>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E3424B"/>
    <w:rsid w:val="54F3439D"/>
    <w:rsid w:val="54FA7CA7"/>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CE76F0"/>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C33A3"/>
    <w:rsid w:val="56FD166E"/>
    <w:rsid w:val="56FD3863"/>
    <w:rsid w:val="5703501E"/>
    <w:rsid w:val="570A3D11"/>
    <w:rsid w:val="573F71E7"/>
    <w:rsid w:val="57487D48"/>
    <w:rsid w:val="57593E38"/>
    <w:rsid w:val="575B7AEE"/>
    <w:rsid w:val="5760193C"/>
    <w:rsid w:val="57625063"/>
    <w:rsid w:val="57723665"/>
    <w:rsid w:val="577E64AD"/>
    <w:rsid w:val="57812E00"/>
    <w:rsid w:val="578501C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D045FA"/>
    <w:rsid w:val="59EA4ACE"/>
    <w:rsid w:val="5A0E2BFB"/>
    <w:rsid w:val="5A142D37"/>
    <w:rsid w:val="5A144EA7"/>
    <w:rsid w:val="5A1C05C8"/>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252BB1"/>
    <w:rsid w:val="5D313C24"/>
    <w:rsid w:val="5D402CB9"/>
    <w:rsid w:val="5D48660D"/>
    <w:rsid w:val="5D6469BA"/>
    <w:rsid w:val="5D816133"/>
    <w:rsid w:val="5D96002C"/>
    <w:rsid w:val="5D9B5A4A"/>
    <w:rsid w:val="5D9E3B68"/>
    <w:rsid w:val="5DB74FEB"/>
    <w:rsid w:val="5E015742"/>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D05F6A"/>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808A3"/>
    <w:rsid w:val="605B340F"/>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717B94"/>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2717A7"/>
    <w:rsid w:val="63691809"/>
    <w:rsid w:val="637B0CEA"/>
    <w:rsid w:val="638E648F"/>
    <w:rsid w:val="63A7460D"/>
    <w:rsid w:val="63D11E16"/>
    <w:rsid w:val="63D12A9E"/>
    <w:rsid w:val="63D14A1D"/>
    <w:rsid w:val="63E654CA"/>
    <w:rsid w:val="63E928BD"/>
    <w:rsid w:val="63F012B1"/>
    <w:rsid w:val="63F8696A"/>
    <w:rsid w:val="63FA510E"/>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BA2006"/>
    <w:rsid w:val="66C1556A"/>
    <w:rsid w:val="66F308D8"/>
    <w:rsid w:val="67024DD6"/>
    <w:rsid w:val="6715113E"/>
    <w:rsid w:val="67301B85"/>
    <w:rsid w:val="673E5311"/>
    <w:rsid w:val="675D72E6"/>
    <w:rsid w:val="67673F42"/>
    <w:rsid w:val="6783612B"/>
    <w:rsid w:val="67914F14"/>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92CD3"/>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23C50"/>
    <w:rsid w:val="6A742471"/>
    <w:rsid w:val="6A7C7C71"/>
    <w:rsid w:val="6A861A5C"/>
    <w:rsid w:val="6A907726"/>
    <w:rsid w:val="6A9C494F"/>
    <w:rsid w:val="6AC94753"/>
    <w:rsid w:val="6ACE0F8A"/>
    <w:rsid w:val="6AD01D1C"/>
    <w:rsid w:val="6AD863F4"/>
    <w:rsid w:val="6ADF1F02"/>
    <w:rsid w:val="6AE01F43"/>
    <w:rsid w:val="6AE663EC"/>
    <w:rsid w:val="6AEA61BC"/>
    <w:rsid w:val="6AEB77F4"/>
    <w:rsid w:val="6AF2325E"/>
    <w:rsid w:val="6AF8446A"/>
    <w:rsid w:val="6B2F472F"/>
    <w:rsid w:val="6B4D0219"/>
    <w:rsid w:val="6B547D9C"/>
    <w:rsid w:val="6B7D3886"/>
    <w:rsid w:val="6B804E6F"/>
    <w:rsid w:val="6B884D1B"/>
    <w:rsid w:val="6B9B71D6"/>
    <w:rsid w:val="6B9F218D"/>
    <w:rsid w:val="6BA53801"/>
    <w:rsid w:val="6BCD255C"/>
    <w:rsid w:val="6BD35BB1"/>
    <w:rsid w:val="6BD861BF"/>
    <w:rsid w:val="6BE1394E"/>
    <w:rsid w:val="6C156F89"/>
    <w:rsid w:val="6C387E59"/>
    <w:rsid w:val="6C4B57CE"/>
    <w:rsid w:val="6C5B5A67"/>
    <w:rsid w:val="6C705245"/>
    <w:rsid w:val="6C7B1437"/>
    <w:rsid w:val="6C8625DB"/>
    <w:rsid w:val="6C866B30"/>
    <w:rsid w:val="6C933265"/>
    <w:rsid w:val="6C9A12DE"/>
    <w:rsid w:val="6C9C4351"/>
    <w:rsid w:val="6C9E7C0C"/>
    <w:rsid w:val="6CED3D9E"/>
    <w:rsid w:val="6D1D1F16"/>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722AC"/>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D070DB"/>
    <w:rsid w:val="6FF628E9"/>
    <w:rsid w:val="700A7FA4"/>
    <w:rsid w:val="700D1198"/>
    <w:rsid w:val="70161AAC"/>
    <w:rsid w:val="701B21DD"/>
    <w:rsid w:val="701F1FF4"/>
    <w:rsid w:val="7025469B"/>
    <w:rsid w:val="70346D04"/>
    <w:rsid w:val="70432E4B"/>
    <w:rsid w:val="705545FE"/>
    <w:rsid w:val="70586F9C"/>
    <w:rsid w:val="708159DE"/>
    <w:rsid w:val="708D23D2"/>
    <w:rsid w:val="70AA67F9"/>
    <w:rsid w:val="70BB2D6B"/>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542EF"/>
    <w:rsid w:val="74560F8D"/>
    <w:rsid w:val="74577C79"/>
    <w:rsid w:val="745B748A"/>
    <w:rsid w:val="746A5CE0"/>
    <w:rsid w:val="748C4463"/>
    <w:rsid w:val="748F4A0F"/>
    <w:rsid w:val="74A80B8B"/>
    <w:rsid w:val="74AB224A"/>
    <w:rsid w:val="74AC3AD6"/>
    <w:rsid w:val="74AD4E9D"/>
    <w:rsid w:val="74C3041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59061D"/>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B731F9"/>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BD2A0E"/>
    <w:rsid w:val="79C169DE"/>
    <w:rsid w:val="79E27FCF"/>
    <w:rsid w:val="79E727AB"/>
    <w:rsid w:val="7A000CE6"/>
    <w:rsid w:val="7A0A7936"/>
    <w:rsid w:val="7A135964"/>
    <w:rsid w:val="7A1A3230"/>
    <w:rsid w:val="7A3270EA"/>
    <w:rsid w:val="7A484C7B"/>
    <w:rsid w:val="7A5944E4"/>
    <w:rsid w:val="7A5D7C7C"/>
    <w:rsid w:val="7A664E79"/>
    <w:rsid w:val="7A6A2D6F"/>
    <w:rsid w:val="7A76196C"/>
    <w:rsid w:val="7A907EB4"/>
    <w:rsid w:val="7A925C48"/>
    <w:rsid w:val="7AAC0E92"/>
    <w:rsid w:val="7AB04670"/>
    <w:rsid w:val="7AB2517C"/>
    <w:rsid w:val="7AC64CC7"/>
    <w:rsid w:val="7AD03E18"/>
    <w:rsid w:val="7AD832B8"/>
    <w:rsid w:val="7AFE6E3A"/>
    <w:rsid w:val="7AFF4DAE"/>
    <w:rsid w:val="7B04158A"/>
    <w:rsid w:val="7B051B2F"/>
    <w:rsid w:val="7B0F352B"/>
    <w:rsid w:val="7B1A0118"/>
    <w:rsid w:val="7B220E2F"/>
    <w:rsid w:val="7B274114"/>
    <w:rsid w:val="7B340A01"/>
    <w:rsid w:val="7B36744F"/>
    <w:rsid w:val="7B427B18"/>
    <w:rsid w:val="7B4D3BCA"/>
    <w:rsid w:val="7B4F5C3D"/>
    <w:rsid w:val="7B754522"/>
    <w:rsid w:val="7B79358D"/>
    <w:rsid w:val="7B9513BF"/>
    <w:rsid w:val="7BA137EB"/>
    <w:rsid w:val="7BA778D5"/>
    <w:rsid w:val="7BAE0860"/>
    <w:rsid w:val="7BC8224F"/>
    <w:rsid w:val="7BCC4096"/>
    <w:rsid w:val="7BD8593A"/>
    <w:rsid w:val="7BFBBFC0"/>
    <w:rsid w:val="7C041B40"/>
    <w:rsid w:val="7C042B76"/>
    <w:rsid w:val="7C044E19"/>
    <w:rsid w:val="7C092D60"/>
    <w:rsid w:val="7C0A5FBE"/>
    <w:rsid w:val="7C0F7F8B"/>
    <w:rsid w:val="7C2E19A1"/>
    <w:rsid w:val="7C3D07C3"/>
    <w:rsid w:val="7C512703"/>
    <w:rsid w:val="7C5151E9"/>
    <w:rsid w:val="7C5D7BDC"/>
    <w:rsid w:val="7C5F6A31"/>
    <w:rsid w:val="7C701FB9"/>
    <w:rsid w:val="7C741461"/>
    <w:rsid w:val="7C7B1236"/>
    <w:rsid w:val="7C8617DD"/>
    <w:rsid w:val="7C924CC6"/>
    <w:rsid w:val="7C9528A4"/>
    <w:rsid w:val="7C9F70CD"/>
    <w:rsid w:val="7CC61503"/>
    <w:rsid w:val="7CE51EBE"/>
    <w:rsid w:val="7CE85FF3"/>
    <w:rsid w:val="7D003EF5"/>
    <w:rsid w:val="7D032E2D"/>
    <w:rsid w:val="7D161C1F"/>
    <w:rsid w:val="7D1F55E6"/>
    <w:rsid w:val="7D2237C4"/>
    <w:rsid w:val="7D3B060D"/>
    <w:rsid w:val="7D3B7B4D"/>
    <w:rsid w:val="7D5E4EA5"/>
    <w:rsid w:val="7D6304C0"/>
    <w:rsid w:val="7D711B45"/>
    <w:rsid w:val="7D734A9C"/>
    <w:rsid w:val="7D7B252F"/>
    <w:rsid w:val="7D8121D3"/>
    <w:rsid w:val="7D9F78FE"/>
    <w:rsid w:val="7DB41072"/>
    <w:rsid w:val="7DB44500"/>
    <w:rsid w:val="7DC0487A"/>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42A2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Char"/>
    <w:link w:val="3"/>
    <w:qFormat/>
    <w:uiPriority w:val="9"/>
    <w:rPr>
      <w:rFonts w:ascii="Arial" w:hAnsi="Arial" w:eastAsia="Arial" w:cs="Arial"/>
      <w:sz w:val="40"/>
      <w:szCs w:val="40"/>
    </w:rPr>
  </w:style>
  <w:style w:type="character" w:customStyle="1" w:styleId="56">
    <w:name w:val="标题 2 Char"/>
    <w:link w:val="4"/>
    <w:qFormat/>
    <w:uiPriority w:val="9"/>
    <w:rPr>
      <w:rFonts w:ascii="Arial" w:hAnsi="Arial" w:eastAsia="Arial" w:cs="Arial"/>
      <w:sz w:val="34"/>
    </w:rPr>
  </w:style>
  <w:style w:type="character" w:customStyle="1" w:styleId="57">
    <w:name w:val="标题 3 Char"/>
    <w:link w:val="5"/>
    <w:qFormat/>
    <w:uiPriority w:val="9"/>
    <w:rPr>
      <w:rFonts w:ascii="Arial" w:hAnsi="Arial" w:eastAsia="Arial" w:cs="Arial"/>
      <w:sz w:val="30"/>
      <w:szCs w:val="30"/>
    </w:rPr>
  </w:style>
  <w:style w:type="character" w:customStyle="1" w:styleId="58">
    <w:name w:val="标题 4 Char"/>
    <w:link w:val="6"/>
    <w:qFormat/>
    <w:uiPriority w:val="9"/>
    <w:rPr>
      <w:rFonts w:ascii="Arial" w:hAnsi="Arial" w:eastAsia="Arial" w:cs="Arial"/>
      <w:b/>
      <w:bCs/>
      <w:sz w:val="26"/>
      <w:szCs w:val="26"/>
    </w:rPr>
  </w:style>
  <w:style w:type="character" w:customStyle="1" w:styleId="59">
    <w:name w:val="标题 5 Char"/>
    <w:link w:val="7"/>
    <w:qFormat/>
    <w:uiPriority w:val="9"/>
    <w:rPr>
      <w:rFonts w:ascii="Arial" w:hAnsi="Arial" w:eastAsia="Arial" w:cs="Arial"/>
      <w:b/>
      <w:bCs/>
      <w:sz w:val="24"/>
      <w:szCs w:val="24"/>
    </w:rPr>
  </w:style>
  <w:style w:type="character" w:customStyle="1" w:styleId="60">
    <w:name w:val="标题 6 Char"/>
    <w:link w:val="8"/>
    <w:qFormat/>
    <w:uiPriority w:val="9"/>
    <w:rPr>
      <w:rFonts w:ascii="Arial" w:hAnsi="Arial" w:eastAsia="Arial" w:cs="Arial"/>
      <w:b/>
      <w:bCs/>
      <w:sz w:val="22"/>
      <w:szCs w:val="22"/>
    </w:rPr>
  </w:style>
  <w:style w:type="character" w:customStyle="1" w:styleId="61">
    <w:name w:val="标题 7 Char"/>
    <w:link w:val="9"/>
    <w:qFormat/>
    <w:uiPriority w:val="9"/>
    <w:rPr>
      <w:rFonts w:ascii="Arial" w:hAnsi="Arial" w:eastAsia="Arial" w:cs="Arial"/>
      <w:b/>
      <w:bCs/>
      <w:i/>
      <w:iCs/>
      <w:sz w:val="22"/>
      <w:szCs w:val="22"/>
    </w:rPr>
  </w:style>
  <w:style w:type="character" w:customStyle="1" w:styleId="62">
    <w:name w:val="标题 8 Char"/>
    <w:link w:val="10"/>
    <w:qFormat/>
    <w:uiPriority w:val="9"/>
    <w:rPr>
      <w:rFonts w:ascii="Arial" w:hAnsi="Arial" w:eastAsia="Arial" w:cs="Arial"/>
      <w:i/>
      <w:iCs/>
      <w:sz w:val="22"/>
      <w:szCs w:val="22"/>
    </w:rPr>
  </w:style>
  <w:style w:type="character" w:customStyle="1" w:styleId="63">
    <w:name w:val="标题 9 Char"/>
    <w:link w:val="11"/>
    <w:qFormat/>
    <w:uiPriority w:val="9"/>
    <w:rPr>
      <w:rFonts w:ascii="Arial" w:hAnsi="Arial" w:eastAsia="Arial" w:cs="Arial"/>
      <w:i/>
      <w:iCs/>
      <w:sz w:val="21"/>
      <w:szCs w:val="21"/>
    </w:rPr>
  </w:style>
  <w:style w:type="character" w:customStyle="1" w:styleId="64">
    <w:name w:val="标题 Char"/>
    <w:link w:val="41"/>
    <w:qFormat/>
    <w:uiPriority w:val="10"/>
    <w:rPr>
      <w:sz w:val="48"/>
      <w:szCs w:val="48"/>
    </w:rPr>
  </w:style>
  <w:style w:type="character" w:customStyle="1" w:styleId="65">
    <w:name w:val="副标题 Char"/>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页眉 Char"/>
    <w:link w:val="30"/>
    <w:qFormat/>
    <w:uiPriority w:val="99"/>
  </w:style>
  <w:style w:type="character" w:customStyle="1" w:styleId="71">
    <w:name w:val="Footer Char"/>
    <w:qFormat/>
    <w:uiPriority w:val="99"/>
  </w:style>
  <w:style w:type="character" w:customStyle="1" w:styleId="72">
    <w:name w:val="页脚 Char"/>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Char"/>
    <w:link w:val="34"/>
    <w:qFormat/>
    <w:uiPriority w:val="99"/>
    <w:rPr>
      <w:sz w:val="18"/>
    </w:rPr>
  </w:style>
  <w:style w:type="character" w:customStyle="1" w:styleId="199">
    <w:name w:val="尾注文本 Char"/>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Char"/>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Char"/>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Char"/>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autoRedefine/>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Char"/>
    <w:basedOn w:val="47"/>
    <w:link w:val="19"/>
    <w:qFormat/>
    <w:uiPriority w:val="99"/>
    <w:rPr>
      <w:rFonts w:ascii="Calibri" w:hAnsi="Calibri" w:eastAsiaTheme="minorHAnsi" w:cstheme="minorBidi"/>
      <w:sz w:val="22"/>
      <w:szCs w:val="22"/>
      <w:lang w:eastAsia="en-US"/>
    </w:rPr>
  </w:style>
  <w:style w:type="character" w:customStyle="1" w:styleId="229">
    <w:name w:val="批注主题 Char"/>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 w:type="paragraph" w:customStyle="1" w:styleId="242">
    <w:name w:val="Table Paragraph"/>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67</Pages>
  <Words>18013</Words>
  <Characters>19448</Characters>
  <Lines>657</Lines>
  <Paragraphs>185</Paragraphs>
  <TotalTime>199</TotalTime>
  <ScaleCrop>false</ScaleCrop>
  <LinksUpToDate>false</LinksUpToDate>
  <CharactersWithSpaces>19636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2026-08-07T01:44:00Z</dcterms:created>
  <dc:creator>周萌</dc:creator>
  <cp:lastModifiedBy>Only Q</cp:lastModifiedBy>
  <cp:lastPrinted>2025-03-01T07:12:00Z</cp:lastPrinted>
  <dcterms:modified xsi:type="dcterms:W3CDTF">2026-10-16T07:38:24Z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0273AF5C28A2469FBDD9CBD1E6906707_13</vt:lpwstr>
  </property>
  <property fmtid="{D5CDD505-2E9C-101B-9397-08002B2CF9AE}" pid="4" name="KSOTemplateDocerSaveRecord">
    <vt:lpwstr>eyJoZGlkIjoiYzBmMTFkM2YzY2FiNTQ0MmZmMjliOTA5MjdiNmI1NDUiLCJ1c2VySWQiOiI0NTU4MjY1MzAifQ==</vt:lpwstr>
  </property>
</Properties>
</file>