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t xml:space="preserve"> </w:t>
      </w:r>
      <w:r/>
      <w:r>
        <w:rPr>
          <w:rFonts w:ascii="SimSun" w:hAnsi="SimSun" w:eastAsia="SimSun" w:cs="SimSun"/>
          <w:b/>
          <w:color w:val="000000"/>
          <w:sz w:val="48"/>
        </w:rPr>
        <w:t xml:space="preserve">南京市中心医院医养中心护理辅助服务项目</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招 标 文 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项目编号：JSZC-320100-JCEC-G2026-0441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600" w:right="0" w:firstLine="0"/>
        <w:jc w:val="both"/>
        <w:spacing w:before="210" w:after="21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600" w:right="0" w:firstLine="0"/>
        <w:jc w:val="both"/>
        <w:spacing w:before="210" w:after="21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江苏省设备成套股份有限公司</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2026年10月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jc w:val="both"/>
        <w:spacing w:before="0" w:after="0"/>
        <w:tabs>
          <w:tab w:val="left" w:pos="829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9" w:tooltip="https://jszfcg.jsczt.cn/jszc/onlyoffice/7.2.1-34/web-apps/apps/documenteditor/main/index_loader.html?_dc=7.2.1-34&amp;lang=zh&amp;customer=%20&amp;logo=%20&amp;headerlogo=%2Ffavicon.ico&amp;frameEditorId=iframePage&amp;compact=true&amp;parentOrigin=https://jszfcg.jsczt.cn#_Toc11866" w:history="1">
        <w:r>
          <w:rPr>
            <w:rStyle w:val="173"/>
            <w:rFonts w:ascii="SimSun" w:hAnsi="SimSun" w:eastAsia="SimSun" w:cs="SimSun"/>
            <w:color w:val="000000"/>
            <w:sz w:val="24"/>
            <w:u w:val="single"/>
          </w:rPr>
          <w:t xml:space="preserve">第一章</w:t>
        </w:r>
        <w:r>
          <w:rPr>
            <w:rStyle w:val="173"/>
            <w:rFonts w:ascii="SimSun" w:hAnsi="SimSun" w:eastAsia="SimSun" w:cs="SimSun"/>
            <w:color w:val="000000"/>
            <w:sz w:val="24"/>
            <w:u w:val="none"/>
          </w:rPr>
          <w:t xml:space="preserve"> </w:t>
        </w:r>
        <w:r>
          <w:rPr>
            <w:rStyle w:val="173"/>
            <w:rFonts w:ascii="SimSun" w:hAnsi="SimSun" w:eastAsia="SimSun" w:cs="SimSun"/>
            <w:color w:val="000000"/>
            <w:sz w:val="24"/>
            <w:u w:val="single"/>
          </w:rPr>
          <w:t xml:space="preserve">招标公告</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0" w:tooltip="https://jszfcg.jsczt.cn/jszc/onlyoffice/7.2.1-34/web-apps/apps/documenteditor/main/index_loader.html?_dc=7.2.1-34&amp;lang=zh&amp;customer=%20&amp;logo=%20&amp;headerlogo=%2Ffavicon.ico&amp;frameEditorId=iframePage&amp;compact=true&amp;parentOrigin=https://jszfcg.jsczt.cn#_Toc7593" w:history="1">
        <w:r>
          <w:rPr>
            <w:rStyle w:val="173"/>
            <w:rFonts w:ascii="SimSun" w:hAnsi="SimSun" w:eastAsia="SimSun" w:cs="SimSun"/>
            <w:color w:val="000000"/>
            <w:sz w:val="24"/>
            <w:u w:val="single"/>
          </w:rPr>
          <w:t xml:space="preserve">第二章</w:t>
        </w:r>
        <w:r>
          <w:rPr>
            <w:rStyle w:val="173"/>
            <w:rFonts w:ascii="SimSun" w:hAnsi="SimSun" w:eastAsia="SimSun" w:cs="SimSun"/>
            <w:color w:val="000000"/>
            <w:sz w:val="24"/>
            <w:u w:val="none"/>
          </w:rPr>
          <w:t xml:space="preserve"> </w:t>
        </w:r>
        <w:r>
          <w:rPr>
            <w:rStyle w:val="173"/>
            <w:rFonts w:ascii="SimSun" w:hAnsi="SimSun" w:eastAsia="SimSun" w:cs="SimSun"/>
            <w:color w:val="000000"/>
            <w:sz w:val="24"/>
            <w:u w:val="single"/>
          </w:rPr>
          <w:t xml:space="preserve">投标人须知</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1" w:tooltip="https://jszfcg.jsczt.cn/jszc/onlyoffice/7.2.1-34/web-apps/apps/documenteditor/main/index_loader.html?_dc=7.2.1-34&amp;lang=zh&amp;customer=%20&amp;logo=%20&amp;headerlogo=%2Ffavicon.ico&amp;frameEditorId=iframePage&amp;compact=true&amp;parentOrigin=https://jszfcg.jsczt.cn#_Toc11112" w:history="1">
        <w:r>
          <w:rPr>
            <w:rStyle w:val="173"/>
            <w:rFonts w:ascii="SimSun" w:hAnsi="SimSun" w:eastAsia="SimSun" w:cs="SimSun"/>
            <w:color w:val="000000"/>
            <w:sz w:val="24"/>
            <w:u w:val="single"/>
          </w:rPr>
          <w:t xml:space="preserve">第三章</w:t>
        </w:r>
        <w:r>
          <w:rPr>
            <w:rStyle w:val="173"/>
            <w:rFonts w:ascii="SimSun" w:hAnsi="SimSun" w:eastAsia="SimSun" w:cs="SimSun"/>
            <w:color w:val="000000"/>
            <w:sz w:val="24"/>
            <w:u w:val="none"/>
          </w:rPr>
          <w:t xml:space="preserve"> </w:t>
        </w:r>
        <w:r>
          <w:rPr>
            <w:rStyle w:val="173"/>
            <w:rFonts w:ascii="SimSun" w:hAnsi="SimSun" w:eastAsia="SimSun" w:cs="SimSun"/>
            <w:color w:val="000000"/>
            <w:sz w:val="24"/>
            <w:u w:val="single"/>
          </w:rPr>
          <w:t xml:space="preserve">评标标准</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2" w:tooltip="https://jszfcg.jsczt.cn/jszc/onlyoffice/7.2.1-34/web-apps/apps/documenteditor/main/index_loader.html?_dc=7.2.1-34&amp;lang=zh&amp;customer=%20&amp;logo=%20&amp;headerlogo=%2Ffavicon.ico&amp;frameEditorId=iframePage&amp;compact=true&amp;parentOrigin=https://jszfcg.jsczt.cn#_Toc23380" w:history="1">
        <w:r>
          <w:rPr>
            <w:rStyle w:val="173"/>
            <w:rFonts w:ascii="SimSun" w:hAnsi="SimSun" w:eastAsia="SimSun" w:cs="SimSun"/>
            <w:color w:val="000000"/>
            <w:sz w:val="24"/>
            <w:u w:val="single"/>
          </w:rPr>
          <w:t xml:space="preserve">第四章</w:t>
        </w:r>
        <w:r>
          <w:rPr>
            <w:rStyle w:val="173"/>
            <w:rFonts w:ascii="SimSun" w:hAnsi="SimSun" w:eastAsia="SimSun" w:cs="SimSun"/>
            <w:color w:val="000000"/>
            <w:sz w:val="24"/>
            <w:u w:val="none"/>
          </w:rPr>
          <w:t xml:space="preserve"> </w:t>
        </w:r>
        <w:r>
          <w:rPr>
            <w:rStyle w:val="173"/>
            <w:rFonts w:ascii="SimSun" w:hAnsi="SimSun" w:eastAsia="SimSun" w:cs="SimSun"/>
            <w:color w:val="000000"/>
            <w:sz w:val="24"/>
            <w:u w:val="single"/>
          </w:rPr>
          <w:t xml:space="preserve">采购需求</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3" w:tooltip="https://jszfcg.jsczt.cn/jszc/onlyoffice/7.2.1-34/web-apps/apps/documenteditor/main/index_loader.html?_dc=7.2.1-34&amp;lang=zh&amp;customer=%20&amp;logo=%20&amp;headerlogo=%2Ffavicon.ico&amp;frameEditorId=iframePage&amp;compact=true&amp;parentOrigin=https://jszfcg.jsczt.cn#_Toc15239" w:history="1">
        <w:r>
          <w:rPr>
            <w:rStyle w:val="173"/>
            <w:rFonts w:ascii="SimSun" w:hAnsi="SimSun" w:eastAsia="SimSun" w:cs="SimSun"/>
            <w:color w:val="000000"/>
            <w:sz w:val="24"/>
            <w:u w:val="single"/>
          </w:rPr>
          <w:t xml:space="preserve">第五章</w:t>
        </w:r>
        <w:r>
          <w:rPr>
            <w:rStyle w:val="173"/>
            <w:rFonts w:ascii="SimSun" w:hAnsi="SimSun" w:eastAsia="SimSun" w:cs="SimSun"/>
            <w:color w:val="000000"/>
            <w:sz w:val="24"/>
            <w:u w:val="none"/>
          </w:rPr>
          <w:t xml:space="preserve"> </w:t>
        </w:r>
        <w:r>
          <w:rPr>
            <w:rStyle w:val="173"/>
            <w:rFonts w:ascii="SimSun" w:hAnsi="SimSun" w:eastAsia="SimSun" w:cs="SimSun"/>
            <w:color w:val="000000"/>
            <w:sz w:val="24"/>
            <w:u w:val="single"/>
          </w:rPr>
          <w:t xml:space="preserve">合同主要条款及格式</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4" w:tooltip="https://jszfcg.jsczt.cn/jszc/onlyoffice/7.2.1-34/web-apps/apps/documenteditor/main/index_loader.html?_dc=7.2.1-34&amp;lang=zh&amp;customer=%20&amp;logo=%20&amp;headerlogo=%2Ffavicon.ico&amp;frameEditorId=iframePage&amp;compact=true&amp;parentOrigin=https://jszfcg.jsczt.cn#_Toc6328" w:history="1">
        <w:r>
          <w:rPr>
            <w:rStyle w:val="173"/>
            <w:rFonts w:ascii="SimSun" w:hAnsi="SimSun" w:eastAsia="SimSun" w:cs="SimSun"/>
            <w:color w:val="000000"/>
            <w:sz w:val="24"/>
            <w:u w:val="single"/>
          </w:rPr>
          <w:t xml:space="preserve">第六章</w:t>
        </w:r>
        <w:r>
          <w:rPr>
            <w:rStyle w:val="173"/>
            <w:rFonts w:ascii="SimSun" w:hAnsi="SimSun" w:eastAsia="SimSun" w:cs="SimSun"/>
            <w:color w:val="000000"/>
            <w:sz w:val="24"/>
            <w:u w:val="none"/>
          </w:rPr>
          <w:t xml:space="preserve"> </w:t>
        </w:r>
        <w:r>
          <w:rPr>
            <w:rStyle w:val="173"/>
            <w:rFonts w:ascii="SimSun" w:hAnsi="SimSun" w:eastAsia="SimSun" w:cs="SimSun"/>
            <w:color w:val="000000"/>
            <w:sz w:val="24"/>
            <w:u w:val="single"/>
          </w:rPr>
          <w:t xml:space="preserve">投标文件格式及附件</w:t>
          <w:tab/>
        </w:r>
      </w:hyperlink>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32"/>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1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  </w:t>
      </w:r>
      <w:r>
        <w:rPr>
          <w:rFonts w:ascii="SimSun" w:hAnsi="SimSun" w:eastAsia="SimSun" w:cs="SimSun"/>
          <w:b/>
          <w:color w:val="000000"/>
          <w:sz w:val="32"/>
        </w:rPr>
        <w:t xml:space="preserve">招标公告</w:t>
      </w:r>
      <w:r/>
    </w:p>
    <w:p>
      <w:pPr>
        <w:ind w:left="0" w:right="0" w:firstLine="369"/>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项目概况</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南京市中心医院医养中心护理辅助服务项目</w:t>
      </w:r>
      <w:r>
        <w:rPr>
          <w:rFonts w:ascii="SimSun" w:hAnsi="SimSun" w:eastAsia="SimSun" w:cs="SimSun"/>
          <w:color w:val="000000"/>
          <w:spacing w:val="8"/>
          <w:sz w:val="21"/>
        </w:rPr>
        <w:t xml:space="preserve">的潜在投标人应在</w:t>
      </w:r>
      <w:r>
        <w:rPr>
          <w:rFonts w:ascii="SimSun" w:hAnsi="SimSun" w:eastAsia="SimSun" w:cs="SimSun"/>
          <w:color w:val="000000"/>
          <w:sz w:val="21"/>
          <w:u w:val="single"/>
        </w:rPr>
        <w:t xml:space="preserve">江苏政府采购网</w:t>
      </w:r>
      <w:r>
        <w:rPr>
          <w:rFonts w:ascii="SimSun" w:hAnsi="SimSun" w:eastAsia="SimSun" w:cs="SimSun"/>
          <w:color w:val="000000"/>
          <w:spacing w:val="8"/>
          <w:sz w:val="21"/>
        </w:rPr>
        <w:t xml:space="preserve">获取招标文件，并于2026年11月23日09点30分（北京时间）前递交投标文件。</w:t>
      </w:r>
      <w:r/>
    </w:p>
    <w:p>
      <w:pPr>
        <w:ind w:left="0" w:right="0" w:firstLine="369"/>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 </w:t>
      </w:r>
      <w:r>
        <w:rPr>
          <w:rFonts w:ascii="SimSun" w:hAnsi="SimSun" w:eastAsia="SimSun" w:cs="SimSun"/>
          <w:b/>
          <w:color w:val="000000"/>
          <w:spacing w:val="8"/>
          <w:sz w:val="24"/>
        </w:rPr>
        <w:t xml:space="preserve">一、项目基本情况</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1.1项目编号：JSZC-320100-JCEC-G2026-0441  </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1.2项目名称：南京市中心医院医养中心护理辅助服务项目</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1.3预算金额：750万元/三年，250万元/年</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1.4最高限价：750万元/三年，250万元/年 </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1.5采购需求：南京市中心医院医养中心采购护理辅助服务，需养老护理员不少于25人，持证上岗，24小时轮班，包括不限于生活照料、饮食照护、健康观察及活动防护等服务。技术参数详见磋商文件。</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1.6合同履行期限：合同签订之日起三年。每年服务期满，采购人有权根据考核情况决定继续履行合同或终止合同。</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1.8本项目标的所属行业：其他未列明行业。</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1.9本项目（非专门）面向中小企业（或监狱企业或残疾人福利性单位）采购。</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1.10本项目（否）接受联合体投标。</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二、申请人的资格要求</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2.1满足《中华人民共和国政府采购法》第二十二条规定：</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（1）符合《中华人民共和国政府采购法》第二十二条规定，提供《南京市政府采购供应商信用记录表暨信用承诺书》。不适用信用承诺的，应按政府采购信用承诺要求提供证明材料。</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2.2落实政府采购政策需满足的资格要求：无。</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2.3</w:t>
      </w:r>
      <w:r>
        <w:rPr>
          <w:rFonts w:ascii="SimSun" w:hAnsi="SimSun" w:eastAsia="SimSun" w:cs="SimSun"/>
          <w:b/>
          <w:color w:val="000000"/>
          <w:sz w:val="21"/>
        </w:rPr>
        <w:t xml:space="preserve">采购人根据采购项目的特殊要求规定的特定条件，并提供符合特殊要求的证明材料或者情况说明：无。</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2.4拒绝下述供应商参加本次招标活动：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（1）单位负责人为同一人或者存在直接控股、管理关系的不同供应商，不得参加同一合同项下的政府采购活动。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（2）为采购项目提供整体设计、规范编制或者项目管理、监理、检测等服务的供应商，不得参加本项目的采购活动。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（3）供应商被“信用中国”网站（www.creditchina.gov.cn）、“中国政府采购网”(www.ccgp.gov.cn)列入失信被执行人、重大税收违法案件当事人名单、政府采购严重违法失信行为记录名单。</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三、获取招标文件</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3.1时间：</w:t>
      </w:r>
      <w:r>
        <w:rPr>
          <w:rFonts w:ascii="SimSun" w:hAnsi="SimSun" w:eastAsia="SimSun" w:cs="SimSun"/>
          <w:color w:val="000000"/>
          <w:sz w:val="21"/>
        </w:rPr>
        <w:t xml:space="preserve">自招标文件公告发布之日起5个工作日</w:t>
      </w:r>
      <w:r>
        <w:rPr>
          <w:rFonts w:ascii="SimSun" w:hAnsi="SimSun" w:eastAsia="SimSun" w:cs="SimSun"/>
          <w:color w:val="000000"/>
          <w:spacing w:val="8"/>
          <w:sz w:val="21"/>
        </w:rPr>
        <w:t xml:space="preserve">。</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3.2地点：江苏政府采购网</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3.3方式：本项目采用网上注册登记方式免费获取</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四、提交投标文件截止时间、开标时间和地点</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4.1 2026年11月23日09点30分（北京时间）</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4.2 提交投标文件地点：江苏省政府采购管理交易系统（苏采云）（以下简称“苏采云”）（网址：</w:t>
      </w:r>
      <w:hyperlink r:id="rId15" w:tooltip="http://jszfcg.jsczt.cn/%EF%BC%89" w:history="1">
        <w:r>
          <w:rPr>
            <w:rStyle w:val="173"/>
            <w:rFonts w:ascii="SimSun" w:hAnsi="SimSun" w:eastAsia="SimSun" w:cs="SimSun"/>
            <w:color w:val="000000"/>
            <w:spacing w:val="8"/>
            <w:sz w:val="21"/>
            <w:u w:val="single"/>
          </w:rPr>
          <w:t xml:space="preserve">http://jszfcg.jsczt.cn/）</w:t>
        </w:r>
      </w:hyperlink>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4.3开标地点：“苏采云”开标大厅</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五、公告期限</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自本公告发布之日起5个工作日。</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六、其他补充事宜</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6.1本项目在南京公共采购信息网、江苏政府采购网、中国政府采购网网站发布公告。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6.2投标人通过“苏采云”（网址：</w:t>
      </w:r>
      <w:hyperlink r:id="rId16" w:tooltip="http://jszfcg.jsczt.cn/%EF%BC%89%E5%8F%82%E4%B8%8E%E6%94%BF%E5%BA%9C%E9%87%87%E8%B4%AD%E9%A1%B9%E7%9B%AE%EF%BC%8C%E9%9C%80%E8%A6%81%E5%8A%9E%E7%90%86%E6%B1%9F%E8%8B%8F%E7%9C%81%E6%94%BF%E5%BA%9C%E9%87%87%E8%B4%AD%E6%95%B0%E5%AD%97%E8%AF%81%E4%B9%A6%E5%8F%8A%E7%94%B5%E5%AD%90%E7%AD%BE%E7%AB%A0%E7%9A%84%EF%BC%8C%E8%AF%A6%E8%A7%81%E8%8B%8F%E9%87%87%E4%BA%91%E5%AE%98%E7%BD%91%E9%A6%96%E9%A1%B5" w:history="1">
        <w:r>
          <w:rPr>
            <w:rStyle w:val="173"/>
            <w:rFonts w:ascii="SimSun" w:hAnsi="SimSun" w:eastAsia="SimSun" w:cs="SimSun"/>
            <w:color w:val="000000"/>
            <w:sz w:val="21"/>
            <w:u w:val="single"/>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hyperlink>
      <w:r/>
      <w:r/>
    </w:p>
    <w:p>
      <w:pPr>
        <w:ind w:left="0" w:right="0" w:firstLine="363"/>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操作手册下载地址：</w:t>
      </w:r>
      <w:hyperlink r:id="rId17" w:tooltip="http://www.ccgp-jiangsu.gov.cn/jiangsu/zlxz/ee/ee3a4bc5a3454aa2b0d9312230633ce9.html" w:history="1">
        <w:r>
          <w:rPr>
            <w:rStyle w:val="173"/>
            <w:rFonts w:ascii="SimSun" w:hAnsi="SimSun" w:eastAsia="SimSun" w:cs="SimSun"/>
            <w:color w:val="000000"/>
            <w:sz w:val="21"/>
            <w:u w:val="single"/>
          </w:rPr>
          <w:t xml:space="preserve">http://www.ccgp-jiangsu.gov.cn/jiangsu/zlxz/ee/ee3a4bc5a3454aa2b0d9312230633ce9.html</w:t>
        </w:r>
      </w:hyperlink>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首次登录“苏采云”系统的新用户，登录网址后，点击“用户注册”--“新CA办理指南”--获取CA后绑定、登录系统--采购项目参与--下载采购文件（文件后缀名为“.kedt”）。</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“苏采云”南京地区客服热线025-83633744、025-83633743。</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有关本次招标的事项若存在变动或修改，请及时关注“江苏政府采购网”（www.ccgp-jiangsu.gov.cn）更正公告。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 勘察现场：无</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w:t>
      </w:r>
      <w:r>
        <w:rPr>
          <w:rFonts w:ascii="SimSun" w:hAnsi="SimSun" w:eastAsia="SimSun" w:cs="SimSun"/>
          <w:b/>
          <w:color w:val="000000"/>
          <w:sz w:val="21"/>
        </w:rPr>
        <w:t xml:space="preserve">投标文件的解密</w:t>
      </w:r>
      <w:r>
        <w:rPr>
          <w:rFonts w:ascii="SimSun" w:hAnsi="SimSun" w:eastAsia="SimSun" w:cs="SimSun"/>
          <w:color w:val="000000"/>
          <w:sz w:val="21"/>
        </w:rPr>
        <w:t xml:space="preserve">：开标当天各投标人及时登录不见面开标大厅，投标文件递交截止时间后，采购人将在系统内公布投标人名单，然后通过开标会议区发出投标文件解密的指令，投标人在开标室按规定时间自行实施远程解密，</w:t>
      </w:r>
      <w:r>
        <w:rPr>
          <w:rFonts w:ascii="SimSun" w:hAnsi="SimSun" w:eastAsia="SimSun" w:cs="SimSun"/>
          <w:b/>
          <w:color w:val="000000"/>
          <w:sz w:val="21"/>
        </w:rPr>
        <w:t xml:space="preserve">投标人解密限定在开标后30分钟之内完成</w:t>
      </w:r>
      <w:r>
        <w:rPr>
          <w:rFonts w:ascii="SimSun" w:hAnsi="SimSun" w:eastAsia="SimSun" w:cs="SimSun"/>
          <w:color w:val="000000"/>
          <w:sz w:val="21"/>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6.5供应商诚信档案管理</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在政府采购活动中推行信用承诺制的通知》宁财购通〔2021〕5号规定，参加南京地区政府采购活动的供应商，应以书面形式向采购人或政府采购代理机构作出信用承诺。详见第六章附件十三《南京市政府采购供应商信用记录表暨信用承诺书》，由法定代表人签字并盖单位公章，随投标文件一并递交。未按要求提供《南京市政府采购供应商信用记录表暨信用承诺书》则该供应商投标文件按无效投标处理。</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在政府采购资格审查环节，供应商只需提供书面《南京市政府采购供应商信用记录表暨信用承诺书》，即可替代以下证明材料：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符合国家相关规定的财务状况报告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依法缴纳税收的证明材料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依法缴纳社会保障资金的证明材料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具备履行政府采购合同所必需的设备和专业技术能力的证明材料；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参加政府采购活动前三年内在经营活动中没有重大违法记录的证明材料；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未被列入失信被执行人、重大税收违法失信主体名单、政府采购严重违法失信行为记录名单的证明材料。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宁财购通[2021]5号文规定，属于该文件列明的不适用信用承诺情形的供应商在资格审查环节仍需提供其满足中华人民共和国政府采购法》第二十二条规定”的证明材料，具体规定见招标文件。供应商在资格审查环节使用信用承诺替代相关证明材料参加南京市政府采购活动，在中标后，应将上述由信用承诺书替代的证明材料提交采购人或采购代理机构核验。经核验无误后，由采购人或采购代理机构发出中标通知书。</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供应商涉及以下情形的，不适用信用承诺：</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供应商被列入严重失信主体名单；</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被相关监管部门做出行政处罚且尚在处罚有效期内；</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被其他法律、行政法规规定的不适用信用承诺的情形。</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供应商对信用承诺内容的真实性、合法性、有效性负责。如作出虚假信用承诺，视同为“提供虚假材料谋取中标、成交”的违法行为。</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七、对本次招标提出询问，请按以下方式联系</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7.1采购人信息</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 称：南京市中心医院</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地址：南京市成贤街116号</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联系方式：双老师 025-68781892</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7.2采购代理机构信息</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 称： 江苏省设备成套股份有限公司</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　址：南京市鼓楼区清江南路18号鼓楼创新广场D栋1004室</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联系方式：钮驰，徐云飞13770552830，13951080552</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电子邮箱：114778553@qq.com</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7.3项目联系方式</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项目联系人：钮驰，徐云飞</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　话：13770552830，13951080552 </w:t>
      </w:r>
      <w:r/>
    </w:p>
    <w:p>
      <w:pPr>
        <w:ind w:left="0" w:right="0" w:firstLine="452"/>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452"/>
        <w:jc w:val="right"/>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采购代理机构：江苏省设备成套股份有限公司</w:t>
      </w:r>
      <w:r/>
    </w:p>
    <w:p>
      <w:pPr>
        <w:ind w:left="0" w:right="0" w:firstLine="452"/>
        <w:jc w:val="right"/>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2026年10月28日</w:t>
      </w:r>
      <w:r/>
    </w:p>
    <w:p>
      <w:pPr>
        <w:ind w:left="0" w:right="0" w:firstLine="45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1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 </w:t>
      </w:r>
      <w:r>
        <w:rPr>
          <w:rFonts w:ascii="SimSun" w:hAnsi="SimSun" w:eastAsia="SimSun" w:cs="SimSun"/>
          <w:b/>
          <w:color w:val="000000"/>
          <w:sz w:val="32"/>
          <w:u w:val="none"/>
        </w:rPr>
        <w:t xml:space="preserve">投标人须知</w:t>
      </w:r>
      <w:r/>
    </w:p>
    <w:p>
      <w:pPr>
        <w:ind w:left="0" w:right="0" w:firstLine="42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 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1、适用法律</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2、定义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2.1“采购人”是指依法进行政府采购的国家机关、事业单位、团体组织。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2.2“投标人（供应商）”是指参加投标竞争，并符合招标文件规定资格条件的法人、其他组织或者自然人。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2.3“采购代理机构”是指集中采购机构和集中采购机构以外的采购代理机构，集中采购机构以外的采购代理机构，是从事采购代理业务的社会中介机构。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2.4“货物和服务”指本招标文件中所述产品及相关服务。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2.5“用户或使用单位”是指使用货物，接受服务的单位。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3、政策功能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3.6进口产品政策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（1）除招标公告载明接受进口产品参加外，不允许进口产品参加。进口产品认定依照《财政部关于政府采购进口产品管理有关问题的通知》（财办库〔2008〕248号）的规定。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（2）允许进口产品参加的，满足需求的国内产品可以参加。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（3）允许进口产品参加的，优先采购向我国企业转让技术、与我国企业签订消化吸收再创新方案的投标人的进口产品。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3.7未按要求提供相关材料的，不享受相关政策。</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二、招标文件构成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4、招标文件组成</w:t>
      </w:r>
      <w:r/>
    </w:p>
    <w:p>
      <w:pPr>
        <w:ind w:left="0" w:right="0" w:firstLine="363"/>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4.1招标文件包括以下主要内容：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（1）招标公告；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（2）投标人须知；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（3）评标标准；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（4）采购需求；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（5）合同主要条款及格式；</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（6）投标文件格式及附件。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如标书制作工具中格式和内容与“南京公共采购信息网/江苏政府采购网/中国政府采购网”发布的招标文件不一致的，以上述网站发布的招标文件为准。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招标的最小单位是标段。招标货物数量及技术要求中未分标段的，投标人对要求提供的货物和服务不得部分投标；招标货物数量及技术要求中已经分标段的，可以以标段为单位投标。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采购代理机构如果要求投标人按照招标文件规定提交备选投标方案的，投标人可以提交备选方案；否则，备选方案将被拒绝。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4.4招标文件中要求的产品品牌或型号，是采购人根据项目所要实现的功能推荐的品牌或型号，仅供投标人参考，并不是限制条件。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5、招标文件的澄清或者修改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投标人应在提交投标文件截止时间前，关注原公告媒体有关本项目的更正公告，根据更正公告内容自行决定是否需要重新制作和提交投标文件，并承担由此产生的相应责任。</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三、投标文件的编制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6、投标文件的语言、计量单位、货币和编制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6.2投标人所使用的计量单位应为国家法定计量单位。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6.3投标人应用人民币报价。投标产品如果是进口产品的，应提供人民币与</w:t>
      </w:r>
      <w:r>
        <w:rPr>
          <w:rFonts w:ascii="SimSun" w:hAnsi="SimSun" w:eastAsia="SimSun" w:cs="SimSun"/>
          <w:b/>
          <w:color w:val="000000"/>
          <w:sz w:val="21"/>
        </w:rPr>
        <w:t xml:space="preserve">外币之间的汇率。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6.4投标文件应按照招标文件的规定编写并制作目录。</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6.5投标人应在投标文件中写清相应的项目编号、项目名称、投标人全称、地址、电话、传真等。</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6.6投标人根据招标文件载明的标的采购项目实际情况，拟在中标后将中标项目的非主体、非关键性工作交由他人完成的，应当在投标文件中载明。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7、联合体投标（如有）</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两个以上的自然人、法人或者其他组织可以组成一个联合体，以一个投标人的身份共同参加政府采购。</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联合体中有同类资质的投标人按照联合体分工承担相同工作的，按照资质等级较低的投标人确定资质等级。</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联合体各方之间应当签订联合体协议，明确约定联合体各方承担的工作和相应的责任，并将联合体协议连同投标文件一同提交。</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以联合体形式参加政府采购活动的，联合体各方不得再单独参加或者与其他投标人另外组成联合体参加同一合同项下的政府采购活动。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8、投标文件的组成</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投标人应当根据招标文件要求编制投标文件，投标文件应对招标文件提出的要求和条件作出实质性响应，并在《商务条款偏离表》和《采购需求偏离表》等处逐条标明满足与否。</w:t>
      </w:r>
      <w:r>
        <w:rPr>
          <w:rFonts w:ascii="SimSun" w:hAnsi="SimSun" w:eastAsia="SimSun" w:cs="SimSun"/>
          <w:b/>
          <w:color w:val="000000"/>
          <w:sz w:val="21"/>
        </w:rPr>
        <w:t xml:space="preserve">对带星号（“*”）的技术条款必须在投标文件中提供技术支持资料（如白皮书、彩页、手册、检测报告等），未提供技术支持资料的，视为未对招标文件实质性要求作出响应，评审时不予认可。</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投标文件由商务、技术、价格以及其他部分内容组成。投标文件目录及有关格式按招标文件“第六章 投标文件格式及附件”的要求编制。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9、投标文件的商务内容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商务部分内容是证明投标人有资格参加投标和中标后有能力履行合同的文件，这些文件应能满足招标的要求，包括但不限于下列文件（</w:t>
      </w:r>
      <w:r>
        <w:rPr>
          <w:rFonts w:ascii="SimSun" w:hAnsi="SimSun" w:eastAsia="SimSun" w:cs="SimSun"/>
          <w:b/>
          <w:color w:val="000000"/>
          <w:sz w:val="21"/>
        </w:rPr>
        <w:t xml:space="preserve">（1）-（6）所述材料不得有缺失或提供不全或不满足招标文件的实质性要求</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（1）投标函（投标申请及声明）（</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（2）法人授权书（格式见第六章）；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（3）投标人资格资信证明文件：</w:t>
      </w:r>
      <w:r/>
    </w:p>
    <w:p>
      <w:pPr>
        <w:numPr>
          <w:ilvl w:val="1"/>
          <w:numId w:val="1"/>
        </w:numPr>
        <w:spacing w:before="240" w:after="24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2.1《中华人民共和国政府采购法》规定的资格条件证明文件；</w:t>
      </w:r>
      <w:r/>
    </w:p>
    <w:p>
      <w:pPr>
        <w:numPr>
          <w:ilvl w:val="1"/>
          <w:numId w:val="1"/>
        </w:numPr>
        <w:spacing w:before="240" w:after="24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2.2</w:t>
      </w:r>
      <w:r>
        <w:rPr>
          <w:rFonts w:ascii="SimSun" w:hAnsi="SimSun" w:eastAsia="SimSun" w:cs="SimSun"/>
          <w:color w:val="000000"/>
          <w:spacing w:val="8"/>
          <w:sz w:val="21"/>
        </w:rPr>
        <w:t xml:space="preserve">落实政府采购政策需满足的资格要求；</w:t>
      </w:r>
      <w:r/>
    </w:p>
    <w:p>
      <w:pPr>
        <w:numPr>
          <w:ilvl w:val="1"/>
          <w:numId w:val="1"/>
        </w:numPr>
        <w:spacing w:before="240" w:after="24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2.3 采购人根据采购项目的特殊要求规定的特定条件证明文件。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（4）开标一览表及附表（</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（5）投标人缴纳投标保证金凭证（不需要）；</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（6）《南京市政府采购供应商信用记录表暨信用承诺书》</w:t>
      </w:r>
      <w:r>
        <w:rPr>
          <w:rFonts w:ascii="SimSun" w:hAnsi="SimSun" w:eastAsia="SimSun" w:cs="SimSun"/>
          <w:b/>
          <w:color w:val="000000"/>
          <w:sz w:val="21"/>
        </w:rPr>
        <w:t xml:space="preserve">（如招标公告中要求提供）；</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（7）《商务条款偏离表》；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（8）第三章评标标准中对应的所需证明材料（如有自行添加）；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（9）要求采购人提供的配合（如有自拟并自行添加）；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（10）其它（投标人认为有必要提供的声明和文件，如有，自行拟定并添加）。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10、投标文件的技术内容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内容是证明投标人提供的货物和服务是合格的、并符合招标文件要求的证明文件，以及对货物和服务的详细说明，这些文件可以是文字资料、图纸、数据或其他证明文件等。提供的货物和服务如与招标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（1）技术说明或服务方案；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（2）《采购需求偏离表》；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（4）投标人拟投入本项目的设备、人员情况一览表；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（5）投标人认为需要提供的其他技术资料。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11、投标文件的价格内容</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11.1价格部分内容是对采购标的价格构成的说明，招标文件如无特别说明，每一项货物及服务仅接受一个价格。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11.2报价应包含本次招标标的有关的所有费用，以及技术资料、支付给员工的工资和国家强制缴纳的各种社会保障资金，以及投标人认为需要的其他费用等</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11.3投标人的任何错漏、优惠、竞争性报价不得作为减轻责任、减少服务、增加收费、降低质量的理由。</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SimSun" w:hAnsi="SimSun" w:eastAsia="SimSun" w:cs="SimSun"/>
          <w:b/>
          <w:color w:val="000000"/>
          <w:sz w:val="21"/>
        </w:rPr>
        <w:t xml:space="preserve">无效投标处理</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 投标人应在《开标一览表》《分项报价表》等标明投标货物和服务的单价、总价以及分项报价等。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11.6对于采用货币报价的项目，开标一览表中的投标总报价应与投标报价明细表中的投标总报价一致，如不一致不作为无效投标处理，评标时以开标一览表中价格为准。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11.7本项目预算为：详见第一章</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12、投标文件的其他部分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其他部分由投标人根据编制投标文件需要提供的其他相关文件组成。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13、投标保证金：/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自开标之日起</w:t>
      </w:r>
      <w:r>
        <w:rPr>
          <w:rFonts w:ascii="SimSun" w:hAnsi="SimSun" w:eastAsia="SimSun" w:cs="SimSun"/>
          <w:b/>
          <w:color w:val="000000"/>
          <w:sz w:val="21"/>
        </w:rPr>
        <w:t xml:space="preserve">90</w:t>
      </w:r>
      <w:r>
        <w:rPr>
          <w:rFonts w:ascii="SimSun" w:hAnsi="SimSun" w:eastAsia="SimSun" w:cs="SimSun"/>
          <w:color w:val="000000"/>
          <w:sz w:val="21"/>
        </w:rPr>
        <w:t xml:space="preserve">天内投标有效</w:t>
      </w:r>
      <w:r>
        <w:rPr>
          <w:rFonts w:ascii="SimSun" w:hAnsi="SimSun" w:eastAsia="SimSun" w:cs="SimSun"/>
          <w:b/>
          <w:color w:val="000000"/>
          <w:sz w:val="21"/>
        </w:rPr>
        <w:t xml:space="preserve">，投标有效期从提交投标文件的截止之日起算。投标文件中承诺的投标有效期应当不少于招标文件中载明的投标有效期。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特殊情况下，在原投标有效期截止之前，招标代理机构可要求投标人同意延长投标有效期，这种要求与答复均应以书面形式提交。接受延长投标有效期的投标人将不会要求和允许修正其投标。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15、投标文件签署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投标文件应按照招标文件要求加盖电子公章，否则视为无效投标。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16、投标费用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投标人应承担所有与准备和参加投标有关的费用，无论招标结果如何，采购代理机构和采购人在任何情况下均无义务和责任承担这些费用。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招标代理服务费：本次招标，中标人按《江苏省政府采购代理服务收费指导意见》（苏政采协〔2024〕20 号）收费基准费率计算，在领取成交通知书前向招标代理机构支付招标服务费。本项费用无需在《报价一览表》中单列。</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四、投标文件的递交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17、投标文件的密封和递交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投标人应当按照《操作手册》规定，在招标公告规定的投标截止时间前制作并上传电子投标文件。招标代理机构拒绝接收提交投标文件截止时间后上传的任何电子投标文件。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投标人应当按照《操作手册》规定，在“苏采云”系统规定的时间内对响应文件进行解密</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 中标人在中标后递交2份投标文件，必须保持和苏采云上传的投标文件一致，按照A4幅面打印或复印并进行装订，如有资料超过A4幅面折叠成A4幅面；投标文件装订采用胶装的形式。</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18、有下列情形的投标文件将被拒收：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投标人应当按照《操作手册》规定，在“苏采云”系统规定的时间内对投标文件进行解密。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18.2投标人应充分考虑网络环境、网络带宽等因素可能对投标产生的影响，如因投标人自身原因造成的电子投标文件解密不成功的，做无效投标处理。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19、投标文件的修改和撤回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投标截止时间之后，投标文件不得撤回。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20、诚实信用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20.1投标人应当遵循公平竞争的原则，不得恶意串通，不得妨碍其他投标人的竞争行为，不得损害采购人或者其他投标人的合法权益。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20.2在评标过程中发现投标人有上述情形的，评标委员会应当认定其投标无效，并书面报告本级财政部门。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五、开标、评标与定标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 投标人在开标过程中涉及到的投标文件解密、开标结果确认等工作，应按照《操作手册》规定执行。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21.3投标人不足3家的，不得开标。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 投标人如果对开标过程和开标结果有疑义，应当根据《操作手册》规定提出，“苏采云”系统中《开标记录表》公布后5分钟内未提出的，视同认可开标结果。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21.5公开招标数额标准以上的采购项目，投标截止后投标人不足3家或者通过资格审查或符合性审查的投标人不足3家的，除采购任务取消情形外，按照以下方式处理：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（1）招标文件存在不合理条款或者招标程序不符合规定的，采购人、采购代理机构改正后依法重新招标；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（2）招标文件没有不合理条款、招标程序符合规定，需要采用其他采购方式采购的，采购人依法报财政部门批准，经批准后，可变更为其他采购方式采购。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22、评标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 评标委员会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22.1.1</w:t>
      </w:r>
      <w:r>
        <w:rPr>
          <w:rFonts w:ascii="SimSun" w:hAnsi="SimSun" w:eastAsia="SimSun" w:cs="SimSun"/>
          <w:color w:val="000000"/>
          <w:sz w:val="21"/>
        </w:rPr>
        <w:t xml:space="preserve">评标委员会负责具体评标事务，并独立履行下列职责：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（一）审查、评价投标文件是否符合招标文件的商务、技术等实质性要求；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（二）要求投标人对投标文件有关事项作出澄清或者说明；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（三）对投标文件进行比较和评价；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（四）确定中标候选人名单，以及根据采购人委托直接确定中标人；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（五）向采购人、采购代理机构或者有关部门报告评标中发现的违法行为。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22.1.2 </w:t>
      </w:r>
      <w:r>
        <w:rPr>
          <w:rFonts w:ascii="SimSun" w:hAnsi="SimSun" w:eastAsia="SimSun" w:cs="SimSun"/>
          <w:color w:val="000000"/>
          <w:sz w:val="21"/>
        </w:rPr>
        <w:t xml:space="preserve">评标委员会由采购人代表和有关技术、经济等方面的专家组成，独立开展评审工作。</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  评标程序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22.2.1 投标文件的资格性检查。</w:t>
      </w:r>
      <w:r>
        <w:rPr>
          <w:rFonts w:ascii="SimSun" w:hAnsi="SimSun" w:eastAsia="SimSun" w:cs="SimSun"/>
          <w:color w:val="000000"/>
          <w:sz w:val="21"/>
        </w:rPr>
        <w:t xml:space="preserve">公开招标采购项目开标结束后，采购人或者采购代理机构应当依法对投标人的资格进行审查。合格投标人不足3家的，不得评标。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（1）投标人在“苏采云”系统规定的时间内未成功解密电子投标文件的；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（2）投标人未按照招标文件要求上传电子投标文件的；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（3）同一投标人提交两个（含两个）以上不同的投标报价的；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（4）投标文件未按照招标文件要求加盖电子公章的；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（5）不具备招标文件中规定的资格要求的；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（6）报价超过招标文件中规定的预算金额或者最高限价的；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（7）投标文件含有采购人不能接受的附加条件的；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（8）投标文件内容不全或不符合招标文件中规定的其他实质性要求的；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（9）现行法律、法规、规章和招标文件规定的其他无效情形。</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22.2.2.2未通过资格审查或符合性审查的投标人，代理机构将通过“苏采云”系统告知其具体原因，评标结束后不再接受有关询问。</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22.2.2.3有下列情形之一的予以废标：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（1）符合专业条件的投标人或者对招标文件作实质性响应的投标人不足三家的；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（3）投标人的报价均超过了采购预算，采购人不能支付的；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（4）因苏采云系统故障造成开标不成功的；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（5）因重大变故，采购任务取消的。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（6）投标人以明显低于其他通过符合性审查投标人的报价，有可能影响产品质量或者不能诚信履约的，且不能证明其报价合理性的。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w:t>
      </w:r>
      <w:r>
        <w:rPr>
          <w:rFonts w:ascii="SimSun" w:hAnsi="SimSun" w:eastAsia="SimSun" w:cs="SimSun"/>
          <w:b/>
          <w:color w:val="000000"/>
          <w:sz w:val="21"/>
        </w:rPr>
        <w:t xml:space="preserve">澄清有关问题</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22.2.3.1 评标期间，评委会对投标文件中含义不明确、同类问题表述不一致或者有明显文字和计算错误的内容，有权要求投标人作出必要的澄清、说明或者补正。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投标人的澄清、说明或者补正不得超出投标文件的范围或者改变投标文件的实质性内容。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评委会并非对每个投标人都做澄清要求。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22.2.3.3 接到评委会澄清、说明和补正要求的，投标人如未按规定作出澄清、说明和补正，其风险由投标人自行承担。投标文件报价出现前后不一致的，除招标文件另有规定外，按照下列规定修正：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（1）投标文件中开标一览表（报价表）内容与投标文件中相应内容不一致的，以开标一览表（报价表）为准；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（2）大写金额和小写金额不一致的，以大写金额为准；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（3）单价金额小数点或者百分比有明显错位的，以开标一览表的总价为准，并修改单价；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（4）总价金额与按单价汇总金额不一致的，以单价金额计算结果为准。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22.2.3.4评标委员会认为投标人的报价明显低于其他通过符合性审查投标人的报价，有可能影响产品质量或者不能诚信履约的，将要求其在评标现场合理的时间内提供书面说明，必要时提交相关证明材料；</w:t>
      </w:r>
      <w:r>
        <w:rPr>
          <w:rFonts w:ascii="SimSun" w:hAnsi="SimSun" w:eastAsia="SimSun" w:cs="SimSun"/>
          <w:b/>
          <w:color w:val="000000"/>
          <w:sz w:val="21"/>
        </w:rPr>
        <w:t xml:space="preserve">投标人不能证明其报价合理性的，评标委员会将其作为无效投标处理。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22.2.3.5投标人在开、评标全过程中应保持通讯畅通，及时登录苏采云系统查阅、答复相关信息，并安排专人与代理机构及评委会联系。</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22.2.4比较与评价。评标委员会应当按照招标文件中规定的评标方法和标准，对符合性审查合格的投标文件进行商务和技术评估，综合比较与评价。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22.2.5相同品牌产品的投标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非单一产品采购项目，确定核心产品的方法在招标文件技术需求中载明。多家投标人提供的核心产品品牌相同的，按前两款规定处理。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 评标方法和标准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22.3.1评标方法分为最低评标价法和综合评分法。本次招标的评标方法和标准，详见本招标文件第三章。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22.3.2最低评标价法，是指投标文件满足招标文件全部实质性要求，且投标报价最低的投标人为中标候选人的评标方法。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采用最低评标价法评标时，除了算术修正和落实政府采购政策需进行的价格扣除外，不对投标人的投标价格进行任何调整。</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22.3.3综合评分法，是指投标文件满足招标文件全部实质性要求，且按照评审因素的量化指标评审得分最高的投标人为中标候选人的评标方法。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评审因素，包括价格、技术、商务等。</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评标时，评标委员会各成员应当独立对每个投标人的投标文件进行评价，并汇总每个投标人的得分。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价格分采用低价优先法计算，即满足招标文件要求且投标价格最低的投标报价为评标基准价，其价格分为满分。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评标总得分＝F1×A1＋F2×A2＋……＋Fn×An</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F1、F2……Fn分别为各项评审因素的得分；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A1、A2、……An 分别为各项评审因素所占的权重(A1＋A2＋……＋An＝1)。</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因落实政府采购政策进行价格调整的，以调整后的价格计算评标基准价和投标报价。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22.4评标委员会启动异常低价投标审查的情形和具体要求</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22.4.1参照政府采购货物和服务招标投标管理办法（财政部令第87号）、《关于推动解决政府采购异常低价问题的通知》（财库〔2026〕2号）：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1、评标过程中出现下列情形之一的，评标委员会应当启动异常低价投标审查程序：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（1）投标报价低于全部通过符合性审查投标人投标报价平均值50%的，即投标报价&lt;全部通过符合性审查投标人投标报价平均值×50%；</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（2）投标报价低于通过符合性审查的次低报价投标人投标报价50%的，即投标报价&lt;通过符合性审查的次低报价投标人投标报价×50%；</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（3）投标报价低于本项目最高限价45%的，即投标报价&lt;本项目最高限价×45%；</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（4）评标委员会基于专业判断，认为投标人报价过低，有可能影响产品质量或者不能诚信履约的其他情形；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标委员会启动异常低价投标审查后，属于以上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以上第（3）项情形的，供应商已随投标文件一并提交相关书面说明及必要的证明材料的，在评标现场可不再重复提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异常低价投标审查的启动原因、审查意见和审查结果应当在评标报告中记录，并随投标人提供的相关书面说明及证明材料，以及评标委员会有关互联网浏览、查询历史一并归档。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23.4 中标通知书对采购人和中标人具有同等法律效力。中标通知书发出后，采购人不得违法改变中标结果，中标人无正当理由不得放弃中标。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 所有投标文件不论中标与否，均不退回。</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24.1评标委员会根据全体评标成员签字的原始评标记录和评标结果编写评标报告。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25、评标过程的保密性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 采购人和采购代理机构将采取必要措施，保证评标在严格保密的情况下进行。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 任何单位和个人不得非法干预、影响评标办法的确定，以及评标过程和结果。</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 凡是与审查、澄清、评价和比较投标的有关资料等，均不向投标人及与评标无关的其他人员透露。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 采购人与中标人应当自中标通知书发出之日起30日内，按照招标文件和中标人投标文件的规定，签订书面合同。所签订的合同不得对招标文件确定的事项和中标人投标文件作实质性修改。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26.2 </w:t>
      </w:r>
      <w:r>
        <w:rPr>
          <w:rFonts w:ascii="SimSun" w:hAnsi="SimSun" w:eastAsia="SimSun" w:cs="SimSun"/>
          <w:color w:val="000000"/>
          <w:sz w:val="21"/>
        </w:rPr>
        <w:t xml:space="preserve">除继续履行将损害国家利益和社会公众利益的，政府采购合同的双方当事人不得擅自变更、中止或者终止合同。</w:t>
      </w:r>
      <w:r>
        <w:rPr>
          <w:rFonts w:ascii="SimSun" w:hAnsi="SimSun" w:eastAsia="SimSun" w:cs="SimSun"/>
          <w:b/>
          <w:color w:val="000000"/>
          <w:sz w:val="21"/>
        </w:rPr>
        <w:t xml:space="preserve">放弃或拒绝签订合同的，中标人不得参加对该项目重新开展的采购活动，中标人应向采购人支付采购人为招标所发生的相关费用，由财政部门列入不良行为记录名单，在一至三年内禁止参加政府采购活动，并予以通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26.3采购人不得向中标人提出任何不合理的要求作为签订合同的条件。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26.4中标人拒绝与采购人签订合同的，采购人可以按照评审报告推荐的中标或者成交候选人名单排序，确定下一候选人为中标或者成交供应商，也可以重新开展政府采购活动。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26.6 采购人与中标人应当根据合同的约定依法履行合同义务。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七、质疑和投诉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27.1供应商对招标活动事项有疑问的，可以向采购代理机构提出询问，采购代理机构将依法作出答复，但答复的内容不涉及商业秘密</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27.2提出质疑的供应商应当是参与所质疑项目采购活动的供应商。潜在供应商已依法获取其可质疑的采购文件的，可以对该文件提出质疑。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以联合体形式参加政府采购活动的，其质疑应当由组成联合体的所有供应商共同提出。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27.3供应商认为采购文件、采购过程和中标结果使自己的合法权益受到损害的，可以在知道或者应知其权益受到损害之日起七个工作日内，将质疑文件原件送达采购人或采购代理机构。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供应商必须在法定质疑期内一次性提出针对同一采购程序环节的质疑。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27.4 供应商提出质疑应当提交质疑函和必要的证明材料。质疑函应当包括下列内容：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（一）供应商的姓名或者名称、地址、邮编、联系人及联系电话；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（二）质疑项目的名称、编号；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（三）具体、明确的质疑事项和与质疑事项相关的请求（具体条款）；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（四）事实依据（具体条款）；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（五）必要的法律依据（具体条款）；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（六）提出质疑的日期。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质疑函应当使用中文。相关当事人提供外文书证或者外国语视听资料的，应当附有中文译本，由翻译机构盖章或者翻译人员签名。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27.5质疑函应当现场提交至采购代理机构联系人处，提交时应出示有效身份证明。未按上述要求提交质疑函的，质疑不予受理。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27.7采购代理机构在收到投标人的书面质疑后将及时组织调查核实，在</w:t>
      </w:r>
      <w:r>
        <w:rPr>
          <w:rFonts w:ascii="SimSun" w:hAnsi="SimSun" w:eastAsia="SimSun" w:cs="SimSun"/>
          <w:b/>
          <w:color w:val="000000"/>
          <w:sz w:val="21"/>
        </w:rPr>
        <w:t xml:space="preserve">七个工作日内</w:t>
      </w:r>
      <w:r>
        <w:rPr>
          <w:rFonts w:ascii="SimSun" w:hAnsi="SimSun" w:eastAsia="SimSun" w:cs="SimSun"/>
          <w:color w:val="000000"/>
          <w:sz w:val="21"/>
        </w:rPr>
        <w:t xml:space="preserve">作出答复，并以书面或在网站公告形式通知质疑投标人和其他有关投标人，答复的内容不涉及商业秘密。</w:t>
      </w:r>
      <w:r/>
    </w:p>
    <w:p>
      <w:pPr>
        <w:ind w:left="0" w:right="0" w:firstLine="420"/>
        <w:jc w:val="both"/>
        <w:spacing w:before="0" w:after="0" w:line="41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28.1质疑供应商对采购代理机构的答复不满意或者采购代理机构未在规定的时间内作出答复的，可以在答复期满后十五个工作日内向同级政府采购监督管理部门投诉。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28.2供应商投诉应当有明确的请求和必要的证明材料。供应商投诉的事项不得超出已质疑事项的范围。</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28.3投诉人对政府采购监督管理部门的投诉处理决定不服或者政府采购监督管理部门逾期未作处理的，可以依法申请行政复议或者向人民法院提起行政诉讼。</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 投诉人有下列行为之一的，属于严重失信行为，由财政部门列入不良行为记录名单，禁止其一至三年内参加政府采购活动。</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（1）投诉人在全国范围12个月内三次以上投诉查无实据的；</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（2）采用捏造事实、提供虚假材料或者以非法手段取得证明材料等方式进行虚假、恶意投诉。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证据来源的合法性存在明显疑问，投诉人无法证明其取得方式合法的，视为以非法手段取得证明材料。</w:t>
      </w:r>
      <w:r/>
    </w:p>
    <w:p>
      <w:pPr>
        <w:numPr>
          <w:ilvl w:val="0"/>
          <w:numId w:val="2"/>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其它</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29.1本项目根据江苏省财政厅关于加强政府绿色采购有关事项的通知（苏财购〔2023〕65号）规定，执行绿色采购需求标准。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1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Sun" w:hAnsi="SimSun" w:eastAsia="SimSun" w:cs="SimSun"/>
          <w:b/>
          <w:color w:val="000000"/>
          <w:sz w:val="32"/>
          <w:u w:val="none"/>
        </w:rPr>
        <w:t xml:space="preserve">第三章评标标准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10"/>
        <w:gridCol w:w="1409"/>
        <w:gridCol w:w="5656"/>
        <w:gridCol w:w="680"/>
      </w:tblGrid>
      <w:tr>
        <w:trPr>
          <w:trHeight w:val="2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评审项目</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6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r>
      <w:tr>
        <w:trPr>
          <w:trHeight w:val="9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（20分）</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采用低价优先法计算，即满足采购文件要求且投标价格低的投标报价为评标基准价，其价格分为满分。其他供应商的价格分按照下列公式计算（小数点保留两位）：投标报价得分=(评标基准价／投标报价)×20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r>
      <w:tr>
        <w:trPr>
          <w:trHeight w:val="9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采购需求响应</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完全满足第四章项目采购需求要求的得满分，每负偏离一项扣2分，扣完为止。*号条款有一条不满足按无效投标处理。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注：明确要求提供证明材料的，须按要求在响应文件中提供证明文件等相关材料，且均需在技术响应或商务响应偏差表详尽真实的提供偏差情况及证明材料页码，否则视为负偏离。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rHeight w:val="17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vMerge w:val="restart"/>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服务方案（50分）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5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（1）服务设想周到全面，服务起点高，定位明确，针对性强，在服务于本项目重点、难点等方面，有不同于其他供应商的新颖思路的得10分。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（2）服务设想涵盖了所有的招标项目，定位明确，有一定针对性的得7分。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（3）服务设想比较全面，但缺乏针对性的得4分。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（4）未提供服务设想的不得分。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rHeight w:val="2739"/>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岗位设置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5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（1）岗位设置合理，有明确的部门职责，工作流程完整、科学、可行，各类规章制度健全规范，针对护理辅助服务所做的规划客观、明确的得10分。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（2）岗位设置齐全，有部门职责，工作流程完整，各类规章制度健全，有针对护理辅助服务所做的规划的得7分。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（3）岗位设置基本合理，工作流程较完整，各类规章制度较健全，针对护理辅助服务所做规划基本科学、可行的得4分。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（4）未提供岗位设置及相关规划的不得分。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rHeight w:val="1849"/>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陪护服务质量控制标准及保证措施情况</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5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（1）陪护服务质量控制标准完全满足采购人需求，保证措施情况合理可行得10分；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（2）陪护服务质量控制标准满足采购人需求，保证措施情况较合理可行得7分；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（3）陪护服务质量控制标准基本满足采购人需求，保证措施情况合理性可行性一般得4分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rHeight w:val="21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突发事件处理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5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（1）突发事件应急处理预案完备健全，对本项目针对性强，具有实际可操作性的得10分。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（2）突发事件应急处理预案比较完备、健全，对本项目针对性较强，具有可操作性的得7分。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（3）突发事件应急处理预案基本完备，但对本项目针对性一般，可操作性一般的得4分。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（4）没有突发事件应急处理预案，或不具有实际可操作性的不得分。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rHeight w:val="14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企业稳定护理员的措施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5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（1）企业有明确稳定护理员的措施，且措施确实可行得5分；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（2）企业有较明确稳定护理员的措施，且措施较可行得3分；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（3）企业没有确稳定护理员的措施，不得分。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14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培训计划</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5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（1）培训计划合理，针对性强，有明确的部门职责，工作流程完整、科学、可行，各类规章制度健全规范，针对本项目所做培训规划客观、明确得5分。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（2）培训计划较合理，针对性较强，有明确的部门职责，工作流程较为完整、科学、可行，各类规章制度较健全规范，针对本项目所做培训规划较客观、明确，得3分。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（3）培训计划欠合理，针对性不强，无相关部门职责，工作流程欠完整、科学、可行，各类规章制度欠健全规范，针对本项目所做培训规划欠客观、明确，不得分。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vMerge w:val="restart"/>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履约能力（20分）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供应商具有2023年1月1日（含）以来承担过医疗机构生活护理服务项目业绩的，有一份合同得3分，累计不超过9分。（提供合同复印件，时间以合同签订时间为准。）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r>
      <w:tr>
        <w:trPr>
          <w:trHeight w:val="136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能提供医疗护理、康复、养老、社工及管理类专业相关证书，每提供一个得1.5分，最多得6分。[提供：①证书复印件；②2026年3月1日以来任意一个月供应商为其缴纳社保的证明材料（须明确缴费月份、个人姓名、缴费单位，且加盖社保中心章或社保中心参保缴费证明电子专用章），并加盖供应商公章。以上材料缺一项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771"/>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项目经理具备医疗护理机构相关的工作经验，每提供一年工作经验得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分，最多得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分。（提供的合同需反映个人姓名、服务相关信息。上述证明材料提供复印件加盖投标人公章）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62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1.所有认证、证明和业绩均以有效清晰的证明文件的复印件为依据。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2.小微企业价格扣除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3.监狱和戒毒企业的价格扣除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本项目对监狱和戒毒企业，给予10%的价格扣除，用扣除后的价格参与评审。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监狱企业需提供由省级以上监狱管理局、戒毒管理局（含新疆生产建设兵团）出具的属于监狱企业的证明文件。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监狱企业标准请参照《关于政府采购支持监狱企业发展有关问题的通知》（财库〔2014〕68号）。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4.残疾人福利性单位的价格扣除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本项目对残疾人福利性单位，给予10%的价格扣除，用扣除后的价格参与评审。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残疾人福利性单位需提供《残疾人福利性单位声明函》。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残疾人福利性单位标准请参照《关于促进残疾人就业政府采购政策的通知》（财库〔2017〕141号）。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监狱企业、残疾人福利性单位属于小型、微型企业的，不重复享受政策。</w:t>
        <w:br w:type="page" w:clear="all"/>
      </w:r>
      <w:r/>
    </w:p>
    <w:p>
      <w:pPr>
        <w:pStyle w:val="1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采购需求</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一、项目概况</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本项目为南京市中心医院医养中心养老护理辅助服务，服务场所建筑面积</w:t>
      </w:r>
      <w:r>
        <w:rPr>
          <w:rFonts w:ascii="Times New Roman" w:hAnsi="Times New Roman" w:eastAsia="Times New Roman" w:cs="Times New Roman"/>
          <w:color w:val="000000"/>
          <w:sz w:val="21"/>
        </w:rPr>
        <w:t xml:space="preserve"> 5400</w:t>
      </w:r>
      <w:r>
        <w:rPr>
          <w:rFonts w:ascii="SimSun" w:hAnsi="SimSun" w:eastAsia="SimSun" w:cs="SimSun"/>
          <w:color w:val="000000"/>
          <w:sz w:val="21"/>
        </w:rPr>
        <w:t xml:space="preserve">㎡，养老床位合计 </w:t>
      </w:r>
      <w:r>
        <w:rPr>
          <w:rFonts w:ascii="Times New Roman" w:hAnsi="Times New Roman" w:eastAsia="Times New Roman" w:cs="Times New Roman"/>
          <w:color w:val="000000"/>
          <w:sz w:val="21"/>
        </w:rPr>
        <w:t xml:space="preserve">100 </w:t>
      </w:r>
      <w:r>
        <w:rPr>
          <w:rFonts w:ascii="SimSun" w:hAnsi="SimSun" w:eastAsia="SimSun" w:cs="SimSun"/>
          <w:color w:val="000000"/>
          <w:sz w:val="21"/>
        </w:rPr>
        <w:t xml:space="preserve">张，服务覆盖居住区、康复区、公共活动区等区域，服务对象为医养中心内入住的自理、半失能、失能老年人员。本项目依托医院医疗资源，紧密配合医养中心 </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医疗、护理、康复、养老</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四位一体运营模式，落实院内绿色转诊配套工作，护理辅助人员需服从医院医护条线管理，严格执行院感管理规范，保障入住老年人生活照料安全，规避照护风险。</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服务期限：</w:t>
      </w:r>
      <w:r>
        <w:rPr>
          <w:rFonts w:ascii="SimSun" w:hAnsi="SimSun" w:eastAsia="SimSun" w:cs="SimSun"/>
          <w:color w:val="000000"/>
          <w:spacing w:val="8"/>
          <w:sz w:val="21"/>
        </w:rPr>
        <w:t xml:space="preserve">合同签订之日起三年。每年服务期满，采购人有权根据考核情况决定继续履行合同或终止合同。</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二、人员配置及资质要求</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（一）岗位配置：养老护理员不少于</w:t>
      </w:r>
      <w:r>
        <w:rPr>
          <w:rFonts w:ascii="Times New Roman" w:hAnsi="Times New Roman" w:eastAsia="Times New Roman" w:cs="Times New Roman"/>
          <w:color w:val="000000"/>
          <w:sz w:val="21"/>
        </w:rPr>
        <w:t xml:space="preserve"> 25 </w:t>
      </w:r>
      <w:r>
        <w:rPr>
          <w:rFonts w:ascii="SimSun" w:hAnsi="SimSun" w:eastAsia="SimSun" w:cs="SimSun"/>
          <w:color w:val="000000"/>
          <w:sz w:val="21"/>
        </w:rPr>
        <w:t xml:space="preserve">人，该配置为最低人员标准，投标方不得缩减，人员配置不达标作无效投标处理。</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（二）持证要求：所有在岗护理员须持有养老护理员培训合格证书或职业技能等级证书，同时持有有效健康证；所有在岗人员必须购买工伤保险及人身意外伤害保险。</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（三）用工管理：全部护理员由中标服务单位建立完整劳动关系，所有劳动纠纷、工伤事故均由中标单位全权承担；甲方不与护理人员建立任何劳动关系。</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（四）人员轮换与替补：实行</w:t>
      </w:r>
      <w:r>
        <w:rPr>
          <w:rFonts w:ascii="Times New Roman" w:hAnsi="Times New Roman" w:eastAsia="Times New Roman" w:cs="Times New Roman"/>
          <w:color w:val="000000"/>
          <w:sz w:val="21"/>
        </w:rPr>
        <w:t xml:space="preserve"> 24 </w:t>
      </w:r>
      <w:r>
        <w:rPr>
          <w:rFonts w:ascii="SimSun" w:hAnsi="SimSun" w:eastAsia="SimSun" w:cs="SimSun"/>
          <w:color w:val="000000"/>
          <w:sz w:val="21"/>
        </w:rPr>
        <w:t xml:space="preserve">小时轮班值守模式；建立完善人员替补机制，岗位人员请假、离职等情况，</w:t>
      </w:r>
      <w:r>
        <w:rPr>
          <w:rFonts w:ascii="Times New Roman" w:hAnsi="Times New Roman" w:eastAsia="Times New Roman" w:cs="Times New Roman"/>
          <w:color w:val="000000"/>
          <w:sz w:val="21"/>
        </w:rPr>
        <w:t xml:space="preserve">3 </w:t>
      </w:r>
      <w:r>
        <w:rPr>
          <w:rFonts w:ascii="SimSun" w:hAnsi="SimSun" w:eastAsia="SimSun" w:cs="SimSun"/>
          <w:color w:val="000000"/>
          <w:sz w:val="21"/>
        </w:rPr>
        <w:t xml:space="preserve">日内完成人员补齐，严禁出现岗位空岗现象；新入职护理员上岗前必须完成老年照护、防噎食、基础急救专项培训，考核合格方可上岗。</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（五）驻场管理：中标单位须配置全职驻场项目经理</w:t>
      </w:r>
      <w:r>
        <w:rPr>
          <w:rFonts w:ascii="Times New Roman" w:hAnsi="Times New Roman" w:eastAsia="Times New Roman" w:cs="Times New Roman"/>
          <w:color w:val="000000"/>
          <w:sz w:val="21"/>
        </w:rPr>
        <w:t xml:space="preserve"> 1 </w:t>
      </w:r>
      <w:r>
        <w:rPr>
          <w:rFonts w:ascii="SimSun" w:hAnsi="SimSun" w:eastAsia="SimSun" w:cs="SimSun"/>
          <w:color w:val="000000"/>
          <w:sz w:val="21"/>
        </w:rPr>
        <w:t xml:space="preserve">名，统筹全部护理团队日常管理，对接医养中心开展工作。</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三、核心服务内容与服务标准</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护理员在医护人员专业指导下开展老年人生活照料辅助工作，不得独立开展任何诊疗类操作，具体服务如下：</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（一）个人生活照料服务</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协助老年人完成洗漱、穿衣、洗浴、如厕等日常起居；对卧床老人按规范定时翻身，做好体位护理，预防压疮发生；及时整理居室床单元，做好老人衣物清洗、分类收纳，维护居住环境整洁舒适。</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（二）饮食照护服务</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按照医养中心膳食管理要求开展饮食辅助照护，对半流质、糊状饮食的失能、半失能老人协助喂食，全过程重点防范呛咳、误吸风险，保障老人进食安全。</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（三）健康观察与转诊配合</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密切观察入住老人精神状态、食欲、睡眠及身体异常体征，一旦发现身体不适、病情变化，第一时间向医护人员上报，配合落实医院绿色转诊通道相关工作。</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（四）活动陪伴与风险防护</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陪同老年人开展室内休闲活动、辅助康复训练，做好全程看护，重点防范老人跌倒、走失等安全事件发生。</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四、管理、培训及纪律要求</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（一）护理人员统一着装、佩戴工牌上岗；定期参加养老照护安全、服务礼仪、院感防控、应急处置等培训。</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（二）接受医院护理部、医养中心的日常监督检查及月度质量考核，严格执行分级照护工作规范。</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（三）配合医养中心开展老年健康讲座、文娱主题活动以及各类应急演练。</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（四）服务禁令：严禁护理人员向老人及家属推销各类产品，严禁私自收取家属馈赠、费用；严禁出现冷落、言语冲突、虐待老人等行为，一经发现按合同条款严肃处置。</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五、考核与安全责任</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（一）实行月度质量考核制度，依据考核得分进行服务费扣减；连续两个月考核不合格，采购方有权单方面解除服务合同。</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（二）因护理人员履职不到位，造成老人跌倒、压疮、烫伤等人身伤害，全部赔偿及法律责任均由中标服务单位承担。</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（三）合同到期或提前终止，中标单位需有序完成人员撤离、照护台账资料移交，不得干扰医养中心正常照护秩序。</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六、应急处置要求</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熟练掌握老人跌倒、噎食、突发疾病、人员走失等突发事件处置流程，发生突发状况第一时间处置、上报医护管理人员。</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七、其他要求</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（一）成交供应商应严格遵守国家法律法规及医院各项管理制度。</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（二）成交供应商应配合采购人完成相关数据统计、资料归档及上报工作。</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（三）本采购需求未尽事宜，以合同约定为准。</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合同主要条款</w:t>
      </w:r>
      <w:r/>
    </w:p>
    <w:p>
      <w:pPr>
        <w:ind w:left="0" w:right="0" w:firstLine="0"/>
        <w:jc w:val="center"/>
        <w:spacing w:before="340" w:after="330" w:line="13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医养中心护理员服务合同</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甲方：南京市中心医院</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p>
    <w:p>
      <w:pPr>
        <w:ind w:left="420" w:right="0" w:firstLine="0"/>
        <w:spacing w:before="5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1.定义：</w:t>
      </w:r>
      <w:r/>
    </w:p>
    <w:p>
      <w:pPr>
        <w:ind w:left="420" w:right="0" w:firstLine="0"/>
        <w:jc w:val="both"/>
        <w:spacing w:before="156" w:after="50" w:line="85" w:lineRule="atLeast"/>
        <w:tabs>
          <w:tab w:val="left" w:pos="315" w:leader="none"/>
          <w:tab w:val="left" w:pos="8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1.1“甲方”是指南京市中心医院；</w:t>
      </w:r>
      <w:r/>
    </w:p>
    <w:p>
      <w:pPr>
        <w:ind w:left="420" w:right="0" w:firstLine="0"/>
        <w:jc w:val="both"/>
        <w:spacing w:before="156" w:after="50" w:line="85" w:lineRule="atLeast"/>
        <w:tabs>
          <w:tab w:val="left" w:pos="-567" w:leader="none"/>
          <w:tab w:val="left" w:pos="31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1.2“乙方”是指</w:t>
      </w:r>
      <w:r>
        <w:rPr>
          <w:rFonts w:ascii="Times New Roman" w:hAnsi="Times New Roman" w:eastAsia="Times New Roman" w:cs="Times New Roman"/>
          <w:color w:val="000000"/>
          <w:sz w:val="21"/>
          <w:u w:val="single"/>
        </w:rPr>
        <w:t xml:space="preserve">                                                          </w:t>
      </w:r>
      <w:r/>
    </w:p>
    <w:p>
      <w:pPr>
        <w:ind w:left="420" w:right="0" w:firstLine="0"/>
        <w:jc w:val="both"/>
        <w:spacing w:before="156" w:after="50" w:line="85" w:lineRule="atLeast"/>
        <w:tabs>
          <w:tab w:val="left" w:pos="142" w:leader="none"/>
          <w:tab w:val="left" w:pos="31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1.3“合同”是指合同条款及所有的合同附件包括投标文件和中标信函等相关的文件；</w:t>
      </w:r>
      <w:r/>
    </w:p>
    <w:p>
      <w:pPr>
        <w:ind w:left="420" w:right="0" w:firstLine="0"/>
        <w:spacing w:before="5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2.合同期限：</w:t>
      </w:r>
      <w:r/>
    </w:p>
    <w:p>
      <w:pPr>
        <w:ind w:left="42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合同期限自</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日至</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42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合同签订之日起三年，每年服务期满，甲方有权根据考核情况决定继续履行合同或终止合同。（考核表详见附件）</w:t>
      </w:r>
      <w:r/>
    </w:p>
    <w:p>
      <w:pPr>
        <w:ind w:left="420" w:right="0" w:firstLine="0"/>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3．服务地点：</w:t>
      </w:r>
      <w:r>
        <w:rPr>
          <w:rFonts w:ascii="SimSun" w:hAnsi="SimSun" w:eastAsia="SimSun" w:cs="SimSun"/>
          <w:color w:val="000000"/>
          <w:sz w:val="21"/>
        </w:rPr>
        <w:t xml:space="preserve">南京市中心医院解放路养老护理院（南京市秦淮区解放路73 -2号）。</w:t>
      </w:r>
      <w:r/>
    </w:p>
    <w:p>
      <w:pPr>
        <w:ind w:left="420" w:right="0" w:firstLine="0"/>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4．服务费：</w:t>
      </w:r>
      <w:r/>
    </w:p>
    <w:p>
      <w:pPr>
        <w:ind w:left="420" w:right="0" w:firstLine="0"/>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支付方式：服务费按月度支付，双方签订协议后甲方每月20号前支付乙方上月的服务费。</w:t>
      </w:r>
      <w:r/>
    </w:p>
    <w:p>
      <w:pPr>
        <w:ind w:left="420" w:right="0" w:firstLine="0"/>
        <w:jc w:val="both"/>
        <w:spacing w:before="156" w:after="156"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420" w:right="0" w:firstLine="0"/>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5.甲方权利与义务</w:t>
      </w:r>
      <w:r/>
    </w:p>
    <w:p>
      <w:pPr>
        <w:ind w:left="420" w:right="0" w:firstLine="0"/>
        <w:jc w:val="both"/>
        <w:spacing w:before="156" w:after="50" w:line="85" w:lineRule="atLeast"/>
        <w:tabs>
          <w:tab w:val="left" w:pos="315" w:leader="none"/>
          <w:tab w:val="left" w:pos="8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5.1必须按照合同的规定合法规范用工，安排乙方人员在甲方的具体工作岗位，监督、检查、考核乙方人员完成工作的情况；</w:t>
      </w:r>
      <w:r/>
    </w:p>
    <w:p>
      <w:pPr>
        <w:ind w:left="420" w:right="0" w:firstLine="0"/>
        <w:jc w:val="both"/>
        <w:spacing w:before="156" w:after="50" w:line="85" w:lineRule="atLeast"/>
        <w:tabs>
          <w:tab w:val="left" w:pos="315" w:leader="none"/>
          <w:tab w:val="left" w:pos="8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对乙方人员是否适合要求有最终决定权，甲方要求乙方对违反服务承诺的事项和不称职的人员限期整改和撤换，乙方无法完成整改和撤换的，甲方有权单方解除本合同，甲方要求乙方对违反服务承诺的事项和不称职的人员限期整改和撤换，乙方无法完成整改和撤换的，甲方有权单方解除本合同；</w:t>
      </w:r>
      <w:r/>
    </w:p>
    <w:p>
      <w:pPr>
        <w:ind w:left="420" w:right="0" w:firstLine="0"/>
        <w:jc w:val="both"/>
        <w:spacing w:before="156" w:after="50" w:line="85" w:lineRule="atLeast"/>
        <w:tabs>
          <w:tab w:val="left" w:pos="315" w:leader="none"/>
          <w:tab w:val="left" w:pos="8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乙方人员有以下情形之一的，甲方可立即通知并退回乙方：</w:t>
      </w:r>
      <w:r/>
    </w:p>
    <w:p>
      <w:pPr>
        <w:ind w:left="420" w:right="0" w:firstLine="0"/>
        <w:jc w:val="both"/>
        <w:spacing w:before="156" w:after="50" w:line="85" w:lineRule="atLeast"/>
        <w:tabs>
          <w:tab w:val="left" w:pos="315" w:leader="none"/>
          <w:tab w:val="left" w:pos="8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5.2.1在使用期间内不符合甲方工作要求的；</w:t>
      </w:r>
      <w:r/>
    </w:p>
    <w:p>
      <w:pPr>
        <w:ind w:left="420" w:right="0" w:firstLine="0"/>
        <w:jc w:val="both"/>
        <w:spacing w:before="156" w:after="50" w:line="85" w:lineRule="atLeast"/>
        <w:tabs>
          <w:tab w:val="left" w:pos="315" w:leader="none"/>
          <w:tab w:val="left" w:pos="8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5.2.2严重违反甲方劳动纪律、规章制度的；</w:t>
      </w:r>
      <w:r/>
    </w:p>
    <w:p>
      <w:pPr>
        <w:ind w:left="420" w:right="0" w:firstLine="0"/>
        <w:jc w:val="both"/>
        <w:spacing w:before="156" w:after="50" w:line="85" w:lineRule="atLeast"/>
        <w:tabs>
          <w:tab w:val="left" w:pos="315" w:leader="none"/>
          <w:tab w:val="left" w:pos="8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5.2.3严重工作失职，营私舞弊，给甲方造成重大经济损失的；</w:t>
      </w:r>
      <w:r/>
    </w:p>
    <w:p>
      <w:pPr>
        <w:ind w:left="420" w:right="0" w:firstLine="0"/>
        <w:jc w:val="both"/>
        <w:spacing w:before="156" w:after="50" w:line="85" w:lineRule="atLeast"/>
        <w:tabs>
          <w:tab w:val="left" w:pos="315" w:leader="none"/>
          <w:tab w:val="left" w:pos="8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5.2.4被依法追究刑事责任的；</w:t>
      </w:r>
      <w:r/>
    </w:p>
    <w:p>
      <w:pPr>
        <w:ind w:left="420" w:right="0" w:firstLine="0"/>
        <w:jc w:val="both"/>
        <w:spacing w:before="156" w:after="50" w:line="85" w:lineRule="atLeast"/>
        <w:tabs>
          <w:tab w:val="left" w:pos="315" w:leader="none"/>
          <w:tab w:val="left" w:pos="8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5.2.5 其他明显不适宜继续在甲方岗位履职的情形。</w:t>
      </w:r>
      <w:r/>
    </w:p>
    <w:p>
      <w:pPr>
        <w:ind w:left="420" w:right="0" w:firstLine="0"/>
        <w:jc w:val="both"/>
        <w:spacing w:before="156" w:after="50" w:line="85" w:lineRule="atLeast"/>
        <w:tabs>
          <w:tab w:val="left" w:pos="315" w:leader="none"/>
          <w:tab w:val="left" w:pos="8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5.3甲方要求乙方人员进入我院前需身体健康，并根据甲方的要求提供健康证明，体检不合格的人员退回乙方，乙方自行安排。</w:t>
      </w:r>
      <w:r/>
    </w:p>
    <w:p>
      <w:pPr>
        <w:ind w:left="420" w:right="0" w:firstLine="0"/>
        <w:jc w:val="both"/>
        <w:spacing w:before="156" w:after="50" w:line="85" w:lineRule="atLeast"/>
        <w:tabs>
          <w:tab w:val="left" w:pos="315" w:leader="none"/>
          <w:tab w:val="left" w:pos="8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5.4甲方确因生产经营变化需增加乙方人员时，应提前10个工作日书面通知乙方，经甲、乙双方商定费用后，由乙方负责安排人员上岗。乙方不得按照自己对现场的判断增减人员。</w:t>
      </w:r>
      <w:r/>
    </w:p>
    <w:p>
      <w:pPr>
        <w:ind w:left="420" w:right="0" w:firstLine="0"/>
        <w:jc w:val="both"/>
        <w:spacing w:before="156" w:after="50" w:line="85" w:lineRule="atLeast"/>
        <w:tabs>
          <w:tab w:val="left" w:pos="315" w:leader="none"/>
          <w:tab w:val="left" w:pos="8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5.5甲方每月根据乙方提供的考勤及甲方对乙方约定的考核标准进行的的考核结果支付乙方费用。</w:t>
      </w:r>
      <w:r/>
    </w:p>
    <w:p>
      <w:pPr>
        <w:ind w:left="420" w:right="0" w:firstLine="0"/>
        <w:jc w:val="both"/>
        <w:spacing w:before="156" w:after="50" w:line="85" w:lineRule="atLeast"/>
        <w:tabs>
          <w:tab w:val="left" w:pos="315" w:leader="none"/>
          <w:tab w:val="left" w:pos="8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5.6对乙方不履行合同的，甲方有权追究其违约责任；</w:t>
      </w:r>
      <w:r/>
    </w:p>
    <w:p>
      <w:pPr>
        <w:ind w:left="420" w:right="0" w:firstLine="0"/>
        <w:jc w:val="both"/>
        <w:spacing w:before="156" w:after="50" w:line="85" w:lineRule="atLeast"/>
        <w:tabs>
          <w:tab w:val="left" w:pos="315" w:leader="none"/>
          <w:tab w:val="left" w:pos="8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5.7对乙方人员的职业道德规范、工作任务、技能培训、应达到的工作要求、应注意的安全事项、应遵守的各项纪律等履行告知、教育、管理督促的义务。</w:t>
      </w:r>
      <w:r/>
    </w:p>
    <w:p>
      <w:pPr>
        <w:ind w:left="420" w:right="0" w:firstLine="0"/>
        <w:jc w:val="both"/>
        <w:spacing w:before="156" w:after="50" w:line="85" w:lineRule="atLeast"/>
        <w:tabs>
          <w:tab w:val="left" w:pos="315" w:leader="none"/>
          <w:tab w:val="left" w:pos="8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5.8甲方根据实际情况为乙方提供必要的办公用房。</w:t>
      </w:r>
      <w:r/>
    </w:p>
    <w:p>
      <w:pPr>
        <w:ind w:left="420" w:right="0" w:firstLine="0"/>
        <w:jc w:val="both"/>
        <w:spacing w:before="156" w:after="50" w:line="85" w:lineRule="atLeast"/>
        <w:tabs>
          <w:tab w:val="left" w:pos="315" w:leader="none"/>
          <w:tab w:val="left" w:pos="8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5.9若乙方人员提供服务行为造成甲方及第三方（包括但不限于患者及其亲属、甲方工作人员等）人身或财务损失的，甲方因此依法承担赔偿责任的，有权全额向乙方追偿。</w:t>
      </w:r>
      <w:r/>
    </w:p>
    <w:p>
      <w:pPr>
        <w:ind w:left="420" w:right="0" w:firstLine="0"/>
        <w:jc w:val="both"/>
        <w:spacing w:before="156" w:after="50" w:line="85" w:lineRule="atLeast"/>
        <w:tabs>
          <w:tab w:val="left" w:pos="315" w:leader="none"/>
          <w:tab w:val="left" w:pos="8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如发现有虐待老人或者有员工之间有现场大吵大闹现象则是无条件辞退，无商量条件。</w:t>
      </w:r>
      <w:r/>
    </w:p>
    <w:p>
      <w:pPr>
        <w:ind w:left="420" w:right="0" w:firstLine="0"/>
        <w:jc w:val="both"/>
        <w:spacing w:before="156" w:after="50" w:line="85" w:lineRule="atLeast"/>
        <w:tabs>
          <w:tab w:val="left" w:pos="315" w:leader="none"/>
          <w:tab w:val="left" w:pos="8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5.10上岗护理员基本条件必须</w:t>
      </w:r>
      <w:r>
        <w:rPr>
          <w:rFonts w:ascii="SimSun" w:hAnsi="SimSun" w:eastAsia="SimSun" w:cs="SimSun"/>
          <w:color w:val="000000"/>
          <w:sz w:val="21"/>
          <w:u w:val="single"/>
        </w:rPr>
        <w:t xml:space="preserve">           </w:t>
      </w:r>
      <w:r>
        <w:rPr>
          <w:rFonts w:ascii="SimSun" w:hAnsi="SimSun" w:eastAsia="SimSun" w:cs="SimSun"/>
          <w:color w:val="000000"/>
          <w:sz w:val="21"/>
        </w:rPr>
        <w:t xml:space="preserve">（文化程度要明确）。</w:t>
      </w:r>
      <w:r/>
    </w:p>
    <w:p>
      <w:pPr>
        <w:ind w:left="420" w:right="0" w:firstLine="0"/>
        <w:jc w:val="both"/>
        <w:spacing w:before="156" w:after="50" w:line="85" w:lineRule="atLeast"/>
        <w:tabs>
          <w:tab w:val="left" w:pos="315" w:leader="none"/>
          <w:tab w:val="left" w:pos="8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5.11日常参训人员需要最终考核，如考核不合格，则进行末位淘汰制。</w:t>
      </w:r>
      <w:r/>
    </w:p>
    <w:p>
      <w:pPr>
        <w:ind w:left="420" w:right="0" w:firstLine="0"/>
        <w:jc w:val="both"/>
        <w:spacing w:before="156" w:after="50" w:line="85" w:lineRule="atLeast"/>
        <w:tabs>
          <w:tab w:val="left" w:pos="315" w:leader="none"/>
          <w:tab w:val="left" w:pos="8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5.12乙方提供的人员配置仅供甲方参考，实际用人分配及年龄层级以甲方实际需求为准，并按照现场实际用工人员人数及年龄层级支付乙方费用。</w:t>
      </w:r>
      <w:r/>
    </w:p>
    <w:p>
      <w:pPr>
        <w:ind w:left="420" w:right="0" w:firstLine="0"/>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6.乙方的责任和义务</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6.1乙方员工派遣到甲方工作（乙方派遣人员与甲方不存在劳动或劳务关系</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，其中乙方负责乙方员工的人事劳资管理、现场质控、临床沟通、行政后勤管理、员工关怀、团队活动、员工心态辅导、入职培训、行为奖惩、加班费、劳动合同终止等。</w:t>
      </w:r>
      <w:r/>
    </w:p>
    <w:p>
      <w:pPr>
        <w:ind w:left="420" w:right="0" w:firstLine="0"/>
        <w:jc w:val="both"/>
        <w:spacing w:before="156" w:after="50" w:line="85" w:lineRule="atLeast"/>
        <w:tabs>
          <w:tab w:val="left" w:pos="315" w:leader="none"/>
          <w:tab w:val="left" w:pos="8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6.2甲方须指定专人与现场负责人员对接。乙方工作人员服从该专人的调度和合理的要求并对其负责。 </w:t>
      </w:r>
      <w:r/>
    </w:p>
    <w:p>
      <w:pPr>
        <w:ind w:left="420" w:right="0" w:firstLine="0"/>
        <w:jc w:val="both"/>
        <w:spacing w:before="156" w:after="50" w:line="85" w:lineRule="atLeast"/>
        <w:tabs>
          <w:tab w:val="left" w:pos="315" w:leader="none"/>
          <w:tab w:val="left" w:pos="8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6.3乙方派遣员工必须严格遵守各类服务人员责任，若乙方及护理员与患方导致纠纷，由乙方负责处理，与甲方无关。</w:t>
      </w:r>
      <w:r/>
    </w:p>
    <w:p>
      <w:pPr>
        <w:ind w:left="420" w:right="0" w:firstLine="0"/>
        <w:jc w:val="both"/>
        <w:spacing w:before="156" w:after="50" w:line="85" w:lineRule="atLeast"/>
        <w:tabs>
          <w:tab w:val="left" w:pos="315" w:leader="none"/>
          <w:tab w:val="left" w:pos="8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6.4严格执行甲、乙双方各项安全管理制度。</w:t>
      </w:r>
      <w:r/>
    </w:p>
    <w:p>
      <w:pPr>
        <w:ind w:left="420" w:right="0" w:firstLine="0"/>
        <w:jc w:val="both"/>
        <w:spacing w:before="156" w:after="50" w:line="85" w:lineRule="atLeast"/>
        <w:tabs>
          <w:tab w:val="left" w:pos="315" w:leader="none"/>
          <w:tab w:val="left" w:pos="8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6.5乙方入场工作人员应爱惜甲方的相关设备以及公共设施，注意节水节电。保持甲方的办公环境以及公共卫生。对于不属于合同约定的服务范围、设备或者器械不能擅自接触。</w:t>
      </w:r>
      <w:r/>
    </w:p>
    <w:p>
      <w:pPr>
        <w:ind w:left="420" w:right="0" w:firstLine="0"/>
        <w:jc w:val="both"/>
        <w:spacing w:before="156" w:after="50" w:line="85" w:lineRule="atLeast"/>
        <w:tabs>
          <w:tab w:val="left" w:pos="315" w:leader="none"/>
          <w:tab w:val="left" w:pos="8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6.6双方应每月进行一次情况通报。如双方需协商之事情，应以书面的形式通告对方已备案接触。</w:t>
      </w:r>
      <w:r/>
    </w:p>
    <w:p>
      <w:pPr>
        <w:ind w:left="420" w:right="0" w:firstLine="0"/>
        <w:jc w:val="both"/>
        <w:spacing w:before="156" w:after="50" w:line="85" w:lineRule="atLeast"/>
        <w:tabs>
          <w:tab w:val="left" w:pos="315" w:leader="none"/>
          <w:tab w:val="left" w:pos="8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6.7乙方在为甲方服务期间，如确因乙方人员工作期间失职或不作为所造成的损失由乙方承担。</w:t>
      </w:r>
      <w:r/>
    </w:p>
    <w:p>
      <w:pPr>
        <w:ind w:left="420" w:right="0" w:firstLine="0"/>
        <w:jc w:val="both"/>
        <w:spacing w:before="156" w:after="50" w:line="85" w:lineRule="atLeast"/>
        <w:tabs>
          <w:tab w:val="left" w:pos="315" w:leader="none"/>
          <w:tab w:val="left" w:pos="8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6.8乙方服务人员不得翻看，拷贝，带走甲方文字、电脑等一切资料记录，所有因资料及物品财产丢失产生的直接或间接损失，乙方负责承担赔偿及法律责任。</w:t>
      </w:r>
      <w:r/>
    </w:p>
    <w:p>
      <w:pPr>
        <w:ind w:left="420" w:right="0" w:firstLine="0"/>
        <w:jc w:val="both"/>
        <w:spacing w:before="156" w:after="50" w:line="85" w:lineRule="atLeast"/>
        <w:tabs>
          <w:tab w:val="left" w:pos="315" w:leader="none"/>
          <w:tab w:val="left" w:pos="8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6.9乙方应使用年龄适当，工作责任心强，服务态度好的服务人员，乙方应按照合同规定的服务范围合理调配员工，如有遇乙方安排人员因任何原因不能到场工作的，乙方应及时调配人员，以保证甲方的服务工作顺利开展。</w:t>
      </w:r>
      <w:r/>
    </w:p>
    <w:p>
      <w:pPr>
        <w:ind w:left="420" w:right="0" w:firstLine="0"/>
        <w:jc w:val="both"/>
        <w:spacing w:before="156" w:after="50" w:line="85" w:lineRule="atLeast"/>
        <w:tabs>
          <w:tab w:val="left" w:pos="315" w:leader="none"/>
          <w:tab w:val="left" w:pos="8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6.10乙方服务人员不符合工作要求被甲方退回而产生的费用由乙方自行解决。</w:t>
      </w:r>
      <w:r/>
    </w:p>
    <w:p>
      <w:pPr>
        <w:ind w:left="420" w:right="0" w:firstLine="0"/>
        <w:jc w:val="both"/>
        <w:spacing w:before="156" w:after="50" w:line="85" w:lineRule="atLeast"/>
        <w:tabs>
          <w:tab w:val="left" w:pos="315" w:leader="none"/>
          <w:tab w:val="left" w:pos="8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6.11乙方及护理员与患方因履行陪护协议导致的纠纷，由乙方负责处理，与甲方无关。因护工服务方面的问题，病人出现意外，或因此引起的纠纷、投诉，由乙方负责处理，由此引起的经济赔偿（包括但不限于甲方支出的诉讼费、律师费、差旅费等支出），由乙方承担。护工在院内出现问题或引起纠纷、投诉由乙方负责解决。</w:t>
      </w:r>
      <w:r/>
    </w:p>
    <w:p>
      <w:pPr>
        <w:ind w:left="420" w:right="0" w:firstLine="0"/>
        <w:jc w:val="both"/>
        <w:spacing w:before="156" w:after="50" w:line="85" w:lineRule="atLeast"/>
        <w:tabs>
          <w:tab w:val="left" w:pos="315" w:leader="none"/>
          <w:tab w:val="left" w:pos="8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6.12按国家规定为护理员提供各种保障。同时购买意外险，发生意外伤害以及人身损害等由乙方承担相应赔㑽及法律责任，与甲方无关。</w:t>
      </w:r>
      <w:r/>
    </w:p>
    <w:p>
      <w:pPr>
        <w:ind w:left="420" w:right="0" w:firstLine="0"/>
        <w:jc w:val="both"/>
        <w:spacing w:before="156" w:after="50" w:line="85" w:lineRule="atLeast"/>
        <w:tabs>
          <w:tab w:val="left" w:pos="315" w:leader="none"/>
          <w:tab w:val="left" w:pos="8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6.13乙方服务人员应持有《医疗护理员上岗证》、《健康证》、《身份证》。仪表端庄、统一着装、持证上岗，佩带统一胸牌。不得对老人态度恶劣、影响老人休息、治疗、影响中心人员工作。负责老人的生活护理工作，保持房间内的整洁。在工作场所，着装整洁，各类物品摆放整齐有序。遵守中心的各项规章制度，负责照顾好分管老人的生活和各项工作。团结互助，不搬弄是非，不使用老人物品，不吃、不拿老人食物。</w:t>
      </w:r>
      <w:r/>
    </w:p>
    <w:p>
      <w:pPr>
        <w:ind w:left="420" w:right="0" w:firstLine="0"/>
        <w:jc w:val="both"/>
        <w:spacing w:before="156" w:after="50" w:line="85" w:lineRule="atLeast"/>
        <w:tabs>
          <w:tab w:val="left" w:pos="315" w:leader="none"/>
          <w:tab w:val="left" w:pos="8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6.14因乙方及护工服务方面的问题，病人出现意外、投诉或因此引起的纠纷等，全部由乙方负责处理，并承担全部责任，包括但不限于由此引发的经济赔偿等，护工在院内出现问题或引起纠纷由乙方负责解决。</w:t>
      </w:r>
      <w:r/>
    </w:p>
    <w:p>
      <w:pPr>
        <w:ind w:left="420" w:right="0" w:firstLine="0"/>
        <w:jc w:val="both"/>
        <w:spacing w:before="156" w:after="50" w:line="85" w:lineRule="atLeast"/>
        <w:tabs>
          <w:tab w:val="left" w:pos="315" w:leader="none"/>
          <w:tab w:val="left" w:pos="8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6.15乙方必须对所用的人员加强管理，并进行培训，考核合格并经甲方认可后方可上岗。</w:t>
      </w:r>
      <w:r/>
    </w:p>
    <w:p>
      <w:pPr>
        <w:ind w:left="420" w:right="0" w:firstLine="0"/>
        <w:jc w:val="both"/>
        <w:spacing w:before="156" w:after="50" w:line="85" w:lineRule="atLeast"/>
        <w:tabs>
          <w:tab w:val="left" w:pos="315" w:leader="none"/>
          <w:tab w:val="left" w:pos="8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6.16乙方须爱惜甲方的财产物资, 节约水电，损坏须赔偿。</w:t>
      </w:r>
      <w:r/>
    </w:p>
    <w:p>
      <w:pPr>
        <w:ind w:left="420" w:right="0" w:firstLine="0"/>
        <w:jc w:val="both"/>
        <w:spacing w:before="156" w:after="50" w:line="85" w:lineRule="atLeast"/>
        <w:tabs>
          <w:tab w:val="left" w:pos="315" w:leader="none"/>
          <w:tab w:val="left" w:pos="8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6.17乙方未按本合同约定提供服务的，如经</w:t>
      </w:r>
      <w:r>
        <w:rPr>
          <w:rFonts w:ascii="SimSun" w:hAnsi="SimSun" w:eastAsia="SimSun" w:cs="SimSun"/>
          <w:color w:val="000000"/>
          <w:sz w:val="21"/>
          <w:u w:val="single"/>
        </w:rPr>
        <w:t xml:space="preserve">       </w:t>
      </w:r>
      <w:r>
        <w:rPr>
          <w:rFonts w:ascii="SimSun" w:hAnsi="SimSun" w:eastAsia="SimSun" w:cs="SimSun"/>
          <w:color w:val="000000"/>
          <w:sz w:val="21"/>
        </w:rPr>
        <w:t xml:space="preserve">次整改仍不能达到合同约定的服务质量标准的，甲方有权解除合同，乙方应退回全部合同价款。</w:t>
      </w:r>
      <w:r/>
    </w:p>
    <w:p>
      <w:pPr>
        <w:ind w:left="420" w:right="0" w:firstLine="0"/>
        <w:jc w:val="both"/>
        <w:spacing w:before="156" w:after="50" w:line="85" w:lineRule="atLeast"/>
        <w:tabs>
          <w:tab w:val="left" w:pos="315" w:leader="none"/>
          <w:tab w:val="left" w:pos="8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6.18乙方应建立健全符合国家、地方及医院要求的养老护理院管理制度；建立各岗位人员名册及管理、培训、考核制度。以上制度、名册需及时报院方备案，并严格执落实。</w:t>
      </w:r>
      <w:r/>
    </w:p>
    <w:p>
      <w:pPr>
        <w:ind w:left="420" w:right="0" w:firstLine="0"/>
        <w:jc w:val="both"/>
        <w:spacing w:before="156" w:after="50" w:line="85" w:lineRule="atLeast"/>
        <w:tabs>
          <w:tab w:val="left" w:pos="315" w:leader="none"/>
          <w:tab w:val="left" w:pos="8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6.19发生合同事项变更和人员变动、调整等事项时，乙方须事先以书面形式报经甲方同意，未经甲方同意的变更、变动、调整导致的一切后果均由乙方自行承担，产生的费用甲方一律不予支付。</w:t>
      </w:r>
      <w:r/>
    </w:p>
    <w:p>
      <w:pPr>
        <w:ind w:left="420" w:right="0" w:firstLine="0"/>
        <w:jc w:val="both"/>
        <w:spacing w:before="156" w:after="50" w:line="85" w:lineRule="atLeast"/>
        <w:tabs>
          <w:tab w:val="left" w:pos="315" w:leader="none"/>
          <w:tab w:val="left" w:pos="8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6.20乙方须建立完整护理员管理纸质及电子台账，台账包含人员名单、身份证、资质证书、劳动合同、社保缴纳、体检记录、培训记录、岗位排班、离岗更换记录等资料，做到一人一档。台账实时更新，随时接受甲方、审计部门查阅、复印。</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420" w:right="0" w:firstLine="0"/>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7.保证金</w:t>
      </w:r>
      <w:r/>
    </w:p>
    <w:p>
      <w:pPr>
        <w:ind w:left="420" w:right="0" w:firstLine="0"/>
        <w:jc w:val="both"/>
        <w:spacing w:before="156" w:after="50" w:line="85" w:lineRule="atLeast"/>
        <w:tabs>
          <w:tab w:val="left" w:pos="315" w:leader="none"/>
          <w:tab w:val="left" w:pos="8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必须于签署本合同时支付人民币叁万元作为保证金，以确保其工作，该保证金可以现金或银行担保书形式交予保存；并于合同终止时，以无利息方式归还乙方。甲方有权以该保证金按合约有关条款扣除相关款项，乙方必须于扣款后的七天内补回保证金差额，否则甲方有权即时终止合同。</w:t>
      </w:r>
      <w:r/>
    </w:p>
    <w:p>
      <w:pPr>
        <w:ind w:left="420" w:right="0" w:firstLine="0"/>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8.违约责任</w:t>
      </w:r>
      <w:r/>
    </w:p>
    <w:p>
      <w:pPr>
        <w:ind w:left="420" w:right="0" w:firstLine="0"/>
        <w:jc w:val="both"/>
        <w:spacing w:before="156" w:after="50" w:line="85" w:lineRule="atLeast"/>
        <w:tabs>
          <w:tab w:val="left" w:pos="315" w:leader="none"/>
          <w:tab w:val="left" w:pos="8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甲方应按照合同约定的时间和方式相应的款项。如甲方没有按照合同约定按时支付相关费用，乙方将在一周之内书面告知甲方付款。如甲方延迟付款的时间达10日，乙方有权退场直至甲方付清款项，退场所产生的后果全部由甲方承担，并且此期间视为乙方提供了正常的服务。如甲方延迟付款累计达30天，乙方有权单方解除合同并有权要求甲方继续履行付款义务，并按延迟时间追究甲方100元/天的违约责任</w:t>
      </w:r>
      <w:r/>
    </w:p>
    <w:p>
      <w:pPr>
        <w:ind w:left="420" w:right="0" w:firstLine="0"/>
        <w:jc w:val="both"/>
        <w:spacing w:before="156" w:after="50" w:line="85" w:lineRule="atLeast"/>
        <w:tabs>
          <w:tab w:val="left" w:pos="315" w:leader="none"/>
          <w:tab w:val="left" w:pos="8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如因甲方原因（除了延迟付款）导致乙方不能正常履行服务时，累计时间到10天时，乙方有权退场直至甲方排除其原因后，乙方可正常履行服务时，乙方重新入场，并且此期间视为乙方提供了正常的服务。乙方有权要求甲方继续履行付款义务。如因不可抗力原因，包括但不限于自然灾害、政府行为等导使乙方不能正常履行服务时，甲方无需支付乙方服务人员退场期间的费用。</w:t>
      </w:r>
      <w:r/>
    </w:p>
    <w:p>
      <w:pPr>
        <w:ind w:left="420" w:right="0" w:firstLine="0"/>
        <w:jc w:val="both"/>
        <w:spacing w:before="156" w:after="50" w:line="85" w:lineRule="atLeast"/>
        <w:tabs>
          <w:tab w:val="left" w:pos="315" w:leader="none"/>
          <w:tab w:val="left" w:pos="8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  双方均不得单方面解除合约，如未经双方书面确认，任何一方单方面解除合约的，守约方有权要求违约方赔偿相应的损失。合约一年期后，甲方有优先权利确认是否续约，并会以书面告知函形式给予乙方确认。</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  乙方在提供服务过程中，没有按照本合同约定完成甲方委托的事项或所提供的服务不符合本合同约定的，或导致本合同根本目的不能实现的，甲方有权解除合同保证金不予退回，并有权要求乙方承担由此造成的损害赔偿责任。</w:t>
      </w:r>
      <w:r/>
    </w:p>
    <w:p>
      <w:pPr>
        <w:ind w:left="420" w:right="0" w:firstLine="0"/>
        <w:jc w:val="both"/>
        <w:spacing w:before="156" w:after="50" w:line="85" w:lineRule="atLeast"/>
        <w:tabs>
          <w:tab w:val="left" w:pos="315" w:leader="none"/>
          <w:tab w:val="left" w:pos="8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8.5  本合同终止后，乙方应按照甲方要求，于本合同终止之日起7日内交还甲方提供的物品以及文件资料的原件及复印件，或予以处理。</w:t>
      </w:r>
      <w:r/>
    </w:p>
    <w:p>
      <w:pPr>
        <w:ind w:left="0" w:right="0" w:firstLine="47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9.组成本合同的有关文件</w:t>
      </w:r>
      <w:r/>
    </w:p>
    <w:p>
      <w:pPr>
        <w:ind w:left="0" w:right="0" w:firstLine="41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下列关于南京市政府采购</w:t>
      </w:r>
      <w:r>
        <w:rPr>
          <w:rFonts w:ascii="SimSun" w:hAnsi="SimSun" w:eastAsia="SimSun" w:cs="SimSun"/>
          <w:color w:val="000000"/>
          <w:sz w:val="21"/>
          <w:u w:val="single"/>
        </w:rPr>
        <w:t xml:space="preserve">          </w:t>
      </w:r>
      <w:r>
        <w:rPr>
          <w:rFonts w:ascii="SimSun" w:hAnsi="SimSun" w:eastAsia="SimSun" w:cs="SimSun"/>
          <w:color w:val="000000"/>
          <w:sz w:val="21"/>
        </w:rPr>
        <w:t xml:space="preserve">号的招标（采购）文件、投标（响应）文件，以及与本次采购活动相关的文件及有关附件是本合同不可分割的组成部分，与本合同具有同等法律效力，这些文件包括但不限于：</w:t>
      </w:r>
      <w:r/>
    </w:p>
    <w:p>
      <w:pPr>
        <w:numPr>
          <w:ilvl w:val="0"/>
          <w:numId w:val="3"/>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招标（采购）文件；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（2）服务一览表；</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（3）交付一览表；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（4）技术规格响应表；</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（5）投标（响应）文件和报价表；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（6）服务承诺；</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（7）中标（成交）通知书；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（8）甲乙双方商定的其它文件。</w:t>
      </w:r>
      <w:r/>
    </w:p>
    <w:p>
      <w:pPr>
        <w:ind w:left="420" w:right="0" w:firstLine="0"/>
        <w:jc w:val="both"/>
        <w:spacing w:before="156" w:after="156"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420" w:right="0" w:firstLine="0"/>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10.合同的变更、解除、终止和其他</w:t>
      </w:r>
      <w:r/>
    </w:p>
    <w:p>
      <w:pPr>
        <w:ind w:left="420" w:right="0" w:firstLine="0"/>
        <w:jc w:val="both"/>
        <w:spacing w:before="156" w:after="50" w:line="85" w:lineRule="atLeast"/>
        <w:tabs>
          <w:tab w:val="left" w:pos="315" w:leader="none"/>
          <w:tab w:val="left" w:pos="8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10.1甲乙双方应共同遵守本合同的各项条款。未尽事宜，由双方协商解决。经双方协商一致对本合同进行修改、补充达成的补充协议与本合同具有同等法律效力。</w:t>
      </w:r>
      <w:r/>
    </w:p>
    <w:p>
      <w:pPr>
        <w:ind w:left="420" w:right="0" w:firstLine="0"/>
        <w:jc w:val="both"/>
        <w:spacing w:before="156" w:after="50" w:line="85" w:lineRule="atLeast"/>
        <w:tabs>
          <w:tab w:val="left" w:pos="315" w:leader="none"/>
          <w:tab w:val="left" w:pos="8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本合同期满即终止。甲乙任何一方如拟变更本合同内容或提前终止本合同的，都应提前一个月书面通知对方，并协商解决。合同终止后，甲方仍继续使用乙方人员的，合同期顺延，甲乙双方应当及时补办合同手续。</w:t>
      </w:r>
      <w:r/>
    </w:p>
    <w:p>
      <w:pPr>
        <w:ind w:left="420" w:right="0" w:firstLine="0"/>
        <w:jc w:val="both"/>
        <w:spacing w:before="156" w:after="50" w:line="85" w:lineRule="atLeast"/>
        <w:tabs>
          <w:tab w:val="left" w:pos="315" w:leader="none"/>
          <w:tab w:val="left" w:pos="8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10.3甲乙双方任一方违约，违约方应向对方承担违约责任，并承担相应的经济赔偿。</w:t>
      </w:r>
      <w:r/>
    </w:p>
    <w:p>
      <w:pPr>
        <w:ind w:left="420" w:right="0" w:firstLine="0"/>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11.合同履行过程中发现的争议，双方协商解决；如协商不成提交甲方所在地法院解决。</w:t>
      </w:r>
      <w:r/>
    </w:p>
    <w:p>
      <w:pPr>
        <w:ind w:left="420" w:right="0" w:firstLine="0"/>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12.本合同正本一式</w:t>
      </w:r>
      <w:r>
        <w:rPr>
          <w:rFonts w:ascii="SimSun" w:hAnsi="SimSun" w:eastAsia="SimSun" w:cs="SimSun"/>
          <w:b/>
          <w:color w:val="000000"/>
          <w:sz w:val="24"/>
          <w:u w:val="single"/>
        </w:rPr>
        <w:t xml:space="preserve">   </w:t>
      </w:r>
      <w:r>
        <w:rPr>
          <w:rFonts w:ascii="SimSun" w:hAnsi="SimSun" w:eastAsia="SimSun" w:cs="SimSun"/>
          <w:b/>
          <w:color w:val="000000"/>
          <w:sz w:val="24"/>
        </w:rPr>
        <w:t xml:space="preserve">份，甲执肆份，乙执</w:t>
      </w:r>
      <w:r>
        <w:rPr>
          <w:rFonts w:ascii="SimSun" w:hAnsi="SimSun" w:eastAsia="SimSun" w:cs="SimSun"/>
          <w:b/>
          <w:color w:val="000000"/>
          <w:sz w:val="24"/>
          <w:u w:val="single"/>
        </w:rPr>
        <w:t xml:space="preserve">   </w:t>
      </w:r>
      <w:r>
        <w:rPr>
          <w:rFonts w:ascii="SimSun" w:hAnsi="SimSun" w:eastAsia="SimSun" w:cs="SimSun"/>
          <w:b/>
          <w:color w:val="000000"/>
          <w:sz w:val="24"/>
        </w:rPr>
        <w:t xml:space="preserve">份，具有同等法律效力，签字后生效。</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甲方：（盖章）乙方：（盖章）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法定（授权）代表人         法定（授权）代表人</w:t>
      </w:r>
      <w:r/>
    </w:p>
    <w:p>
      <w:pPr>
        <w:ind w:left="42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         年月日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附件：医养中心护理员护理质量考核表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8"/>
        <w:gridCol w:w="335"/>
        <w:gridCol w:w="1746"/>
        <w:gridCol w:w="4034"/>
        <w:gridCol w:w="335"/>
        <w:gridCol w:w="1135"/>
        <w:gridCol w:w="7703"/>
        <w:gridCol w:w="2126"/>
      </w:tblGrid>
      <w:tr>
        <w:trPr>
          <w:trHeight w:val="463"/>
        </w:trPr>
        <w:tc>
          <w:tcPr>
            <w:gridSpan w:val="8"/>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医养中心护理员护理质量考核表</w:t>
            </w:r>
            <w:r/>
          </w:p>
        </w:tc>
      </w:tr>
      <w:tr>
        <w:trPr>
          <w:trHeight w:val="223"/>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楼层：</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0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护理员：</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得分：</w:t>
            </w:r>
            <w:r/>
          </w:p>
        </w:tc>
      </w:tr>
      <w:tr>
        <w:trPr>
          <w:trHeight w:val="5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类别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考核指标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扣分说明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扣分情况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扣分原因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13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安全（16分）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食品检查（3分）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1.长者房间、活动厅冰箱食品无过期、变质、三无食品;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2.家属外带食品有登记,标识清楚;                 </w:t>
              <w:br/>
              <w:t xml:space="preserve"> 3.需冷藏冷冻食品放入冰箱内，冰箱拿出食品合理摆放;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一项不符合扣1分，扣完为止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51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药品检查（6分）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1.长者房间无有效期、过期、变质、潮解、污染药品;</w:t>
              <w:br/>
              <w:t xml:space="preserve"> 2.当天口服药无漏服;</w:t>
              <w:br/>
              <w:t xml:space="preserve"> 3.不擅自加、减药或者停药;</w:t>
              <w:br/>
              <w:t xml:space="preserve"> 4.特殊情况有登记或记录，立即汇报;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一项不符合扣1分，扣完为止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71"/>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自带电器检查</w:t>
              <w:br/>
              <w:t xml:space="preserve">（2分）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1.长者房间无违规危险、大功率电器;                  </w:t>
              <w:br/>
              <w:t xml:space="preserve"> 2.特殊情况登记报备;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一项不符合扣1分，扣完为止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71"/>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火种/利器管理检查（2分）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1.长者房间无明火、焚香、利器;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一项不符合扣1分，扣完为止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87"/>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窗户、消防门、指示</w:t>
              <w:br/>
              <w:t xml:space="preserve">灯、房间门检查（3分）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1.窗户限位器无故障或缺失;</w:t>
              <w:br/>
              <w:t xml:space="preserve"> 2.消防门开关、各类安全指示灯无故障，房间门性能完好;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一项不符合扣1分，扣完为止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清洁</w:t>
              <w:br/>
              <w:t xml:space="preserve">卫生</w:t>
              <w:br/>
              <w:t xml:space="preserve">（36分）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冰箱卫生检查(房间、活动厅)（2分）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1.长者房间冰箱、活动厅食品冰箱定期清理除霜，标识清楚;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一项不符合扣1分，扣完为止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51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内务检查（18分）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1.长者房间个人物品有标记,定期消毒,有记录;                       </w:t>
              <w:br/>
              <w:t xml:space="preserve">2.物品放置无杂乱，衣柜衣物摆放整齐、无异味;                           </w:t>
              <w:br/>
              <w:t xml:space="preserve">3.房间无异味，床单元整齐，被服按需更换;  </w:t>
              <w:br/>
              <w:t xml:space="preserve">4.床底、柜面、墙面、电视、门窗无灰尘无污迹;</w:t>
              <w:br/>
              <w:t xml:space="preserve">5.卫生间无异味，助浴椅性能完好;洗脸台面整齐清洁，马桶无灰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一项不符合扣1分，扣完为止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73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仪容仪表检查</w:t>
              <w:b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1.颜面整洁；无长胡须；眼部分泌物及时清洗；</w:t>
              <w:br/>
              <w:t xml:space="preserve">2.头发、耳部整洁干净，无异味；</w:t>
              <w:br/>
              <w:t xml:space="preserve">3.无长指甲；</w:t>
              <w:br/>
              <w:t xml:space="preserve">4.口腔清洁无食物残渣及异味，义齿的老人饭后协助清洗；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一项不符合扣1分，扣完为止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30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污洗间检查（6分）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1.毛巾分类使用；</w:t>
              <w:br/>
              <w:t xml:space="preserve">2.抹布、拖把等使用前、后要清洗干净，无异味，按标识摆放；</w:t>
              <w:br/>
              <w:t xml:space="preserve">3.卫生洁具使用完毕后，固定位置存放有序；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一项不符合扣1分，扣完为止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1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二便</w:t>
              <w:b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大、小便检查</w:t>
              <w:b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1.关注长者每日大、小便情况，包括颜色、量、性状等，以及引流袋位置摆放情况，有异常及时上报；</w:t>
              <w:br/>
              <w:t xml:space="preserve">2.长者三日以上不大便要及时上报；</w:t>
              <w:br/>
              <w:t xml:space="preserve">3.正确使用开塞露、尿袋及尿不湿；</w:t>
              <w:br/>
              <w:t xml:space="preserve">4.做好失禁照护，保存会阴部清洁无异味；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一项不符合扣1分，扣完为止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9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体位（10分）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体位及转运检查（10分）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1.长者进食、水时保持正确体位、速度；</w:t>
              <w:br/>
              <w:t xml:space="preserve">2.转运方法正确（从床与轮椅之间的转移）；</w:t>
              <w:br/>
              <w:t xml:space="preserve">3.掌握轮椅的正确使用方法及正确转运方法；</w:t>
              <w:br/>
              <w:t xml:space="preserve">4.卧床老人体位摆放舒适，按时翻身、扣背，做好记录；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一项不符合扣1分，扣完为止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设备（8分）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呼叫器检查（4分）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1.房间、卫生间呼叫器无故障，护理员及时响应;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一项不符合扣1分，扣完为止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扶手/助行器/轮椅检查</w:t>
              <w:br/>
              <w:t xml:space="preserve">（4分）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1.房间、走廊、卫生间等扶手检查无松动、损坏;</w:t>
              <w:br/>
              <w:t xml:space="preserve"> 2.轮椅刹车、助行器、拐杖等辅具安全无损坏;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一项不符合扣1分，扣完为止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标识标牌检查</w:t>
              <w:br/>
              <w:t xml:space="preserve">（2分）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3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1.房间牌、床头牌、冷热水、提示类标牌无缺失;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一项不符合扣1分，扣</w:t>
              <w:br/>
              <w:t xml:space="preserve">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71"/>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表单检查（4分）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1.翻身记录单、交班本、消毒清洁类及使用约束带签署沟通表单;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一项不符合扣1分，扣完为止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951"/>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护理员个人检查（13分）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1.仪容仪表</w:t>
              <w:br/>
              <w:t xml:space="preserve">2.上班时间不玩手机</w:t>
              <w:br/>
              <w:t xml:space="preserve">3.与老人及家属沟通亲切，耐心，能有效回应需求和意见</w:t>
              <w:br/>
              <w:t xml:space="preserve">4.面对老人情绪问题或不配合的情况，处理方式恰当、冷静</w:t>
              <w:br/>
              <w:t xml:space="preserve">5.无投诉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一项不符合扣1分，扣完为止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71"/>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活动厅检查（3分）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3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1.桌椅摆放整齐、每天开窗通风、微波炉、水池清洁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一项不符合扣1分，扣</w:t>
              <w:br/>
              <w:t xml:space="preserve">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46"/>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检查人签名：</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 投标文件格式及附件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投标人：（加盖电子公章）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  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目录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（注：供应商根据本章附件顺序编制投标文件并制作目录（须生成页码））</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附件一、投标申请及声明格式</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投标申请及声明</w:t>
      </w:r>
      <w:r/>
    </w:p>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致：江苏省设备成套股份有限公司</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 </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（项目编号）投标邀请，正式授权下述签字人</w:t>
      </w:r>
      <w:r>
        <w:rPr>
          <w:rFonts w:ascii="SimSun" w:hAnsi="SimSun" w:eastAsia="SimSun" w:cs="SimSun"/>
          <w:color w:val="000000"/>
          <w:sz w:val="21"/>
          <w:u w:val="single"/>
        </w:rPr>
        <w:t xml:space="preserve">           </w:t>
      </w:r>
      <w:r>
        <w:rPr>
          <w:rFonts w:ascii="SimSun" w:hAnsi="SimSun" w:eastAsia="SimSun" w:cs="SimSun"/>
          <w:color w:val="000000"/>
          <w:sz w:val="21"/>
        </w:rPr>
        <w:t xml:space="preserve">(姓名和职务)代表投标人</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（投标人名称），提交投标文件。</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1、我们的资格条件完全符合政府采购法和本次招标要求，我们同意并向贵方提供了与投标有关的所有证据和资料。</w:t>
      </w:r>
      <w:r/>
    </w:p>
    <w:p>
      <w:pPr>
        <w:ind w:left="1470" w:right="0" w:hanging="105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2、按招标要求，我们的投标总报价详见开标一览表。</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3、本项目服务时间为：</w:t>
      </w:r>
      <w:r>
        <w:rPr>
          <w:rFonts w:ascii="SimSun" w:hAnsi="SimSun" w:eastAsia="SimSun" w:cs="SimSun"/>
          <w:color w:val="000000"/>
          <w:sz w:val="21"/>
          <w:u w:val="single"/>
        </w:rPr>
        <w:t xml:space="preserve">  满足招标文件要求</w:t>
      </w:r>
      <w:r>
        <w:rPr>
          <w:rFonts w:ascii="SimSun" w:hAnsi="SimSun" w:eastAsia="SimSun" w:cs="SimSun"/>
          <w:color w:val="000000"/>
          <w:sz w:val="21"/>
        </w:rPr>
        <w:t xml:space="preserve">。</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4、我们已详细阅读全部招标文件及其有效补充文件，我们放弃对招标文件任何误解的权利，提交投标文件后，不对招标文件本身提出质疑。</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5、我们同意从规定的开标日期起遵循本投标文件，并在规定的投标有效期期满之前均具有约束力。</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6、一旦我方中标，我方将根据招标文件的规定及我方投标承诺严格履行合同。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8、与本投标有关的正式联系方式为：</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w:t>
      </w:r>
      <w:r>
        <w:rPr>
          <w:rFonts w:ascii="SimSun" w:hAnsi="SimSun" w:eastAsia="SimSun" w:cs="SimSun"/>
          <w:color w:val="000000"/>
          <w:sz w:val="21"/>
          <w:u w:val="single"/>
        </w:rPr>
        <w:t xml:space="preserve">                 </w:t>
      </w:r>
      <w:r>
        <w:rPr>
          <w:rFonts w:ascii="SimSun" w:hAnsi="SimSun" w:eastAsia="SimSun" w:cs="SimSun"/>
          <w:color w:val="000000"/>
          <w:sz w:val="21"/>
        </w:rPr>
        <w:t xml:space="preserve">（加盖电子公章）</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附件二、法定代表人授权书格式</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法人授权书</w:t>
      </w:r>
      <w:r/>
    </w:p>
    <w:p>
      <w:pPr>
        <w:ind w:left="0" w:right="0" w:firstLine="480"/>
        <w:spacing w:before="240" w:after="240" w:line="41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（被授权人姓名）作为我方参加编号为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本授权书自______年____月____日起生效，特此声明。</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84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被授权人的身份证的复印件: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开标一览表</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项目名称：项目编号：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71"/>
        <w:gridCol w:w="1367"/>
        <w:gridCol w:w="5833"/>
      </w:tblGrid>
      <w:tr>
        <w:trPr>
          <w:trHeight w:val="11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line="437"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437"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33" w:type="dxa"/>
            <w:vAlign w:val="center"/>
            <w:textDirection w:val="lrTb"/>
            <w:noWrap w:val="false"/>
          </w:tcPr>
          <w:p>
            <w:pPr>
              <w:ind w:left="0" w:right="0" w:firstLine="0"/>
              <w:jc w:val="both"/>
              <w:spacing w:before="0" w:after="0" w:line="437"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小写：人民币            元</w:t>
            </w:r>
            <w:r>
              <w:rPr>
                <w:rFonts w:ascii="Arial" w:hAnsi="Arial" w:eastAsia="Arial" w:cs="Arial"/>
                <w:color w:val="ff0000"/>
                <w:sz w:val="21"/>
              </w:rPr>
              <w:t xml:space="preserve"> </w:t>
            </w:r>
            <w:r>
              <w:rPr>
                <w:rFonts w:ascii="Arial" w:hAnsi="Arial" w:eastAsia="Arial" w:cs="Arial"/>
                <w:color w:val="000000"/>
                <w:sz w:val="21"/>
              </w:rPr>
              <w:t xml:space="preserve">                 </w:t>
            </w:r>
            <w:r/>
          </w:p>
          <w:p>
            <w:pPr>
              <w:ind w:left="0" w:right="0" w:firstLine="472"/>
              <w:jc w:val="both"/>
              <w:spacing w:before="0" w:after="0" w:line="437"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437"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大写：人民币</w:t>
            </w:r>
            <w:r>
              <w:rPr>
                <w:rFonts w:ascii="Arial" w:hAnsi="Arial" w:eastAsia="Arial" w:cs="Arial"/>
                <w:color w:val="000000"/>
                <w:sz w:val="21"/>
              </w:rPr>
              <w:t xml:space="preserve">                     </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line="437"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服务时间</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0" w:type="dxa"/>
            <w:vAlign w:val="center"/>
            <w:textDirection w:val="lrTb"/>
            <w:noWrap w:val="false"/>
          </w:tcPr>
          <w:p>
            <w:pPr>
              <w:ind w:left="0" w:right="0" w:firstLine="472"/>
              <w:jc w:val="both"/>
              <w:spacing w:before="0" w:after="0" w:line="437" w:lineRule="atLeast"/>
              <w:shd w:val="clear" w:color="ffffff" w:fill="ffffff"/>
              <w:tabs>
                <w:tab w:val="left" w:pos="362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满足磋商文件要求。</w:t>
            </w:r>
            <w:r/>
          </w:p>
        </w:tc>
      </w:tr>
      <w:tr>
        <w:trPr>
          <w:trHeight w:val="12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磋商标的是否全部由小微企业（含视同小微企业）提供</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0" w:type="dxa"/>
            <w:vAlign w:val="center"/>
            <w:textDirection w:val="lrTb"/>
            <w:noWrap w:val="false"/>
          </w:tcPr>
          <w:p>
            <w:pPr>
              <w:ind w:left="0" w:right="0" w:firstLine="47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（填写</w:t>
            </w:r>
            <w:r>
              <w:rPr>
                <w:rFonts w:ascii="Arial" w:hAnsi="Arial" w:eastAsia="Arial" w:cs="Arial"/>
                <w:color w:val="000000"/>
                <w:sz w:val="21"/>
              </w:rPr>
              <w:t xml:space="preserve">“</w:t>
            </w:r>
            <w:r>
              <w:rPr>
                <w:rFonts w:ascii="SimSun" w:hAnsi="SimSun" w:eastAsia="SimSun" w:cs="SimSun"/>
                <w:color w:val="000000"/>
                <w:sz w:val="21"/>
              </w:rPr>
              <w:t xml:space="preserve">是</w:t>
            </w:r>
            <w:r>
              <w:rPr>
                <w:rFonts w:ascii="Arial" w:hAnsi="Arial" w:eastAsia="Arial" w:cs="Arial"/>
                <w:color w:val="000000"/>
                <w:sz w:val="21"/>
              </w:rPr>
              <w:t xml:space="preserve">”</w:t>
            </w:r>
            <w:r>
              <w:rPr>
                <w:rFonts w:ascii="SimSun" w:hAnsi="SimSun" w:eastAsia="SimSun" w:cs="SimSun"/>
                <w:color w:val="000000"/>
                <w:sz w:val="21"/>
              </w:rPr>
              <w:t xml:space="preserve">或</w:t>
            </w:r>
            <w:r>
              <w:rPr>
                <w:rFonts w:ascii="Arial" w:hAnsi="Arial" w:eastAsia="Arial" w:cs="Arial"/>
                <w:color w:val="000000"/>
                <w:sz w:val="21"/>
              </w:rPr>
              <w:t xml:space="preserve">“</w:t>
            </w:r>
            <w:r>
              <w:rPr>
                <w:rFonts w:ascii="SimSun" w:hAnsi="SimSun" w:eastAsia="SimSun" w:cs="SimSun"/>
                <w:color w:val="000000"/>
                <w:sz w:val="21"/>
              </w:rPr>
              <w:t xml:space="preserve">否）</w:t>
            </w:r>
            <w:r/>
          </w:p>
        </w:tc>
      </w:tr>
      <w:tr>
        <w:trPr>
          <w:trHeight w:val="12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line="437"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0" w:type="dxa"/>
            <w:vAlign w:val="center"/>
            <w:textDirection w:val="lrTb"/>
            <w:noWrap w:val="false"/>
          </w:tcPr>
          <w:p>
            <w:pPr>
              <w:ind w:left="0" w:right="0" w:firstLine="472"/>
              <w:jc w:val="center"/>
              <w:spacing w:before="0" w:after="0" w:line="437"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按三年服务期报价</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numPr>
          <w:ilvl w:val="0"/>
          <w:numId w:val="4"/>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本项目仅接受一个价格，不得填报有选择性报价方案。如有优惠条款须注明，但不得影响报价，影响项目履约交付。</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投标标的是否全部由小微企业提供”栏内填写“是”或“否”。如填写“是”，投标人应按招标文件要求提供《中小企业声明函》、《残疾人福利性单位声明函》、《属于监狱企业的证明文件》。如未按要求提供、填写，不享受价格扣除。</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附表——分项报价表格式</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50"/>
        <w:gridCol w:w="3482"/>
        <w:gridCol w:w="3426"/>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投标报价（元/月）</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8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人力成本（表一）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        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8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管理费用（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8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利润（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8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税金（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8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其它费用（如果有的话，请自行列表详细说明）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8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 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投标总价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(一年服务期)</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投标总价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(三年服务期)</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1.此报价包含所需的全部费用，采购人不再另行支付任何费用。</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附件四、采购需求偏离表格式</w:t>
      </w:r>
      <w:r/>
    </w:p>
    <w:p>
      <w:pPr>
        <w:ind w:left="435"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84"/>
        <w:spacing w:before="0" w:after="0" w:line="85" w:lineRule="atLeast"/>
        <w:tabs>
          <w:tab w:val="left" w:pos="539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tab/>
        <w:t xml:space="preserve">项目编号：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1"/>
        <w:gridCol w:w="1641"/>
        <w:gridCol w:w="1887"/>
        <w:gridCol w:w="2941"/>
        <w:gridCol w:w="1220"/>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8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9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说明：投标文件采购需求部分内容响应存在正偏离或负偏离的，请在本表中逐条列出。未列出的，视为响应招标文件要求。如果行数不够，请自行增加。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附件五、商务条款偏离表格式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
        <w:spacing w:before="0" w:after="0" w:line="85" w:lineRule="atLeast"/>
        <w:tabs>
          <w:tab w:val="left" w:pos="536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tab/>
        <w:t xml:space="preserve">项目编号：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2"/>
        <w:gridCol w:w="1644"/>
        <w:gridCol w:w="2433"/>
        <w:gridCol w:w="2937"/>
        <w:gridCol w:w="1178"/>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9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说明：投标文件商务部分内容响应存在正偏离或负偏离的，请在本表中逐条列出。未列出的，视为响应招标文件要求。如果行数不够，请自行增加。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附件六、技术说明与服务方案</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技术方案及服务承诺应根据采购人对项目的要求、评标标准的要求及项目本身的特点编写，内容应包括但不限于以下内容：</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附件七、拟参与本项目服务人员一览表</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拟参与本项目服务人员一览表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1"/>
        <w:gridCol w:w="651"/>
        <w:gridCol w:w="503"/>
        <w:gridCol w:w="532"/>
        <w:gridCol w:w="802"/>
        <w:gridCol w:w="673"/>
        <w:gridCol w:w="730"/>
        <w:gridCol w:w="713"/>
        <w:gridCol w:w="642"/>
        <w:gridCol w:w="622"/>
        <w:gridCol w:w="62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执业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相关工作年限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附件八、 投标人类似业绩情况表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投标人类似业绩情况表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7"/>
        <w:gridCol w:w="1232"/>
        <w:gridCol w:w="1154"/>
        <w:gridCol w:w="802"/>
        <w:gridCol w:w="834"/>
        <w:gridCol w:w="1200"/>
        <w:gridCol w:w="910"/>
        <w:gridCol w:w="91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获奖</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签约及服务</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联系人及电话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4" w:type="dxa"/>
            <w:vAlign w:val="top"/>
            <w:textDirection w:val="lrTb"/>
            <w:noWrap w:val="false"/>
          </w:tcPr>
          <w:p>
            <w:pPr>
              <w:ind w:left="0" w:right="0" w:firstLine="1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附件九：企业声明函格式</w:t>
      </w:r>
      <w:r/>
    </w:p>
    <w:p>
      <w:pPr>
        <w:ind w:left="0" w:right="0" w:firstLine="0"/>
        <w:jc w:val="center"/>
        <w:spacing w:before="312"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中小企业声明函（工程、服务）</w:t>
      </w:r>
      <w:r/>
    </w:p>
    <w:p>
      <w:pPr>
        <w:ind w:left="0" w:right="0" w:firstLine="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46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）；承建（承接）企业为（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ab/>
      </w:r>
      <w:r>
        <w:rPr>
          <w:rFonts w:ascii="SimSun" w:hAnsi="SimSun" w:eastAsia="SimSun" w:cs="SimSun"/>
          <w:color w:val="000000"/>
          <w:sz w:val="21"/>
        </w:rPr>
        <w:t xml:space="preserve">人，营业收入为</w:t>
      </w:r>
      <w:r>
        <w:rPr>
          <w:rFonts w:ascii="SimSun" w:hAnsi="SimSun" w:eastAsia="SimSun" w:cs="SimSun"/>
          <w:color w:val="000000"/>
          <w:sz w:val="21"/>
          <w:u w:val="single"/>
        </w:rPr>
        <w:tab/>
      </w:r>
      <w:r>
        <w:rPr>
          <w:rFonts w:ascii="SimSun" w:hAnsi="SimSun" w:eastAsia="SimSun" w:cs="SimSun"/>
          <w:color w:val="000000"/>
          <w:sz w:val="21"/>
        </w:rPr>
        <w:t xml:space="preserve">万元，资产总额为</w:t>
      </w:r>
      <w:r>
        <w:rPr>
          <w:rFonts w:ascii="SimSun" w:hAnsi="SimSun" w:eastAsia="SimSun" w:cs="SimSun"/>
          <w:color w:val="000000"/>
          <w:sz w:val="21"/>
          <w:u w:val="single"/>
        </w:rPr>
        <w:tab/>
      </w:r>
      <w:r>
        <w:rPr>
          <w:rFonts w:ascii="SimSun" w:hAnsi="SimSun" w:eastAsia="SimSun" w:cs="SimSun"/>
          <w:color w:val="000000"/>
          <w:sz w:val="21"/>
        </w:rPr>
        <w:t xml:space="preserve">万元</w:t>
      </w:r>
      <w:r>
        <w:rPr>
          <w:rFonts w:ascii="SimSun" w:hAnsi="SimSun" w:eastAsia="SimSun" w:cs="SimSun"/>
          <w:color w:val="000000"/>
          <w:sz w:val="21"/>
          <w:vertAlign w:val="superscript"/>
        </w:rPr>
        <w:t xml:space="preserve">1</w:t>
      </w:r>
      <w:r>
        <w:rPr>
          <w:rFonts w:ascii="SimSun" w:hAnsi="SimSun" w:eastAsia="SimSun" w:cs="SimSun"/>
          <w:color w:val="000000"/>
          <w:sz w:val="21"/>
        </w:rPr>
        <w:t xml:space="preserve">，属于（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）；承建（承接）企业为（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ab/>
      </w:r>
      <w:r>
        <w:rPr>
          <w:rFonts w:ascii="SimSun" w:hAnsi="SimSun" w:eastAsia="SimSun" w:cs="SimSun"/>
          <w:color w:val="000000"/>
          <w:sz w:val="21"/>
        </w:rPr>
        <w:t xml:space="preserve">人，营业收入为</w:t>
      </w:r>
      <w:r>
        <w:rPr>
          <w:rFonts w:ascii="SimSun" w:hAnsi="SimSun" w:eastAsia="SimSun" w:cs="SimSun"/>
          <w:color w:val="000000"/>
          <w:sz w:val="21"/>
          <w:u w:val="single"/>
        </w:rPr>
        <w:tab/>
      </w:r>
      <w:r>
        <w:rPr>
          <w:rFonts w:ascii="SimSun" w:hAnsi="SimSun" w:eastAsia="SimSun" w:cs="SimSun"/>
          <w:color w:val="000000"/>
          <w:sz w:val="21"/>
        </w:rPr>
        <w:t xml:space="preserve">万元，资产总额为</w:t>
      </w:r>
      <w:r>
        <w:rPr>
          <w:rFonts w:ascii="SimSun" w:hAnsi="SimSun" w:eastAsia="SimSun" w:cs="SimSun"/>
          <w:color w:val="000000"/>
          <w:sz w:val="21"/>
          <w:u w:val="single"/>
        </w:rPr>
        <w:tab/>
      </w:r>
      <w:r>
        <w:rPr>
          <w:rFonts w:ascii="SimSun" w:hAnsi="SimSun" w:eastAsia="SimSun" w:cs="SimSun"/>
          <w:color w:val="000000"/>
          <w:sz w:val="21"/>
        </w:rPr>
        <w:t xml:space="preserve">万元，属于（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企业名称（加盖电子公章）：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单位名称（加盖电子公章）：</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节能产品认证证书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环境标志产品认证证书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进口产品转让技术、消化吸收再创新方案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（对于允许进口产品参加的项目）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附件十、无重大违法记录声明格式</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江苏省设备成套股份有限公司：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3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我单位（供应商名称）郑重声明：</w:t>
      </w:r>
      <w:r/>
    </w:p>
    <w:p>
      <w:pPr>
        <w:ind w:left="0" w:right="0" w:firstLine="30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我单位参加政府采购活动前3年内在经营活动中（</w:t>
      </w:r>
      <w:r>
        <w:rPr>
          <w:rFonts w:ascii="SimSun" w:hAnsi="SimSun" w:eastAsia="SimSun" w:cs="SimSun"/>
          <w:b/>
          <w:i/>
          <w:color w:val="000000"/>
          <w:sz w:val="21"/>
          <w:u w:val="single"/>
        </w:rPr>
        <w:t xml:space="preserve">在下划线上如实填写：有或没有</w:t>
      </w:r>
      <w:r>
        <w:rPr>
          <w:rFonts w:ascii="SimSun" w:hAnsi="SimSun" w:eastAsia="SimSun" w:cs="SimSun"/>
          <w:color w:val="000000"/>
          <w:sz w:val="21"/>
        </w:rPr>
        <w:t xml:space="preserve">）</w:t>
      </w:r>
      <w:r>
        <w:rPr>
          <w:rFonts w:ascii="SimSun" w:hAnsi="SimSun" w:eastAsia="SimSun" w:cs="SimSun"/>
          <w:b/>
          <w:color w:val="000000"/>
          <w:sz w:val="21"/>
        </w:rPr>
        <w:t xml:space="preserve">重大违法记录，且不是失信被执行人、重大税收违法案件当事人名单、政府采购严重违法失信行为记录名单的供应商。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10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声明人：（加盖电子公章）</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w:t>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附件十一、 资格资信证明文件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附件十二、 联合体协议及联合体授权委托书（如允许联合体）</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附件十三、《南京市政府采购供应商信用记录表暨信用承诺书》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南京市政府采购供应商信用承诺书</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XXXX年XX月XX日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41"/>
        <w:gridCol w:w="2063"/>
        <w:gridCol w:w="1660"/>
        <w:gridCol w:w="2994"/>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ind w:left="-420" w:right="0" w:firstLine="0"/>
              <w:jc w:val="center"/>
              <w:spacing w:before="0" w:after="0"/>
              <w:tabs>
                <w:tab w:val="left" w:pos="25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单位名称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94" w:type="dxa"/>
            <w:vAlign w:val="center"/>
            <w:textDirection w:val="lrTb"/>
            <w:noWrap w:val="false"/>
          </w:tcPr>
          <w:p>
            <w:pPr>
              <w:ind w:left="0" w:right="-678" w:firstLine="0"/>
              <w:jc w:val="center"/>
              <w:spacing w:before="0" w:after="0"/>
              <w:tabs>
                <w:tab w:val="left" w:pos="2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信用承诺</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7"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w:t>
            </w:r>
            <w:r>
              <w:rPr>
                <w:rFonts w:ascii="SimSun" w:hAnsi="SimSun" w:eastAsia="SimSun" w:cs="SimSun"/>
                <w:color w:val="000000"/>
                <w:sz w:val="21"/>
              </w:rPr>
              <w:t xml:space="preserve">假或其他违法违规行为，愿承担一切法律责任，接受各级政府采购监管部门和有权机关的审查和处罚。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供应商名称（盖章）：</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XXXX</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XX</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XX</w:t>
            </w:r>
            <w:r>
              <w:rPr>
                <w:rFonts w:ascii="SimSun" w:hAnsi="SimSun" w:eastAsia="SimSun" w:cs="SimSun"/>
                <w:color w:val="000000"/>
                <w:sz w:val="21"/>
              </w:rPr>
              <w:t xml:space="preserve">日</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附件十四、其他</w:t>
      </w:r>
      <w:r/>
    </w:p>
    <w:p>
      <w:r/>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Calibri">
    <w:panose1 w:val="020F05020202040302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1">
    <w:multiLevelType w:val="hybridMultilevel"/>
    <w:lvl w:ilvl="0">
      <w:start w:val="29"/>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
    <w:next w:val="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
    <w:next w:val="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
    <w:next w:val="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
    <w:next w:val="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
    <w:next w:val="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
    <w:next w:val="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
    <w:next w:val="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
    <w:next w:val="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
    <w:next w:val="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
    <w:next w:val="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
    <w:next w:val="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
    <w:next w:val="9"/>
    <w:link w:val="38"/>
    <w:uiPriority w:val="29"/>
    <w:qFormat/>
    <w:pPr>
      <w:ind w:left="720" w:right="720"/>
    </w:pPr>
    <w:rPr>
      <w:i/>
    </w:rPr>
  </w:style>
  <w:style w:type="character" w:styleId="38">
    <w:name w:val="Quote Char"/>
    <w:link w:val="37"/>
    <w:uiPriority w:val="29"/>
    <w:rPr>
      <w:i/>
    </w:rPr>
  </w:style>
  <w:style w:type="paragraph" w:styleId="39">
    <w:name w:val="Intense Quote"/>
    <w:basedOn w:val="9"/>
    <w:next w:val="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
    <w:next w:val="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
    <w:next w:val="9"/>
    <w:uiPriority w:val="39"/>
    <w:unhideWhenUsed/>
    <w:pPr>
      <w:ind w:left="0" w:right="0" w:firstLine="0"/>
      <w:spacing w:after="57"/>
    </w:pPr>
  </w:style>
  <w:style w:type="paragraph" w:styleId="181">
    <w:name w:val="toc 2"/>
    <w:basedOn w:val="9"/>
    <w:next w:val="9"/>
    <w:uiPriority w:val="39"/>
    <w:unhideWhenUsed/>
    <w:pPr>
      <w:ind w:left="283" w:right="0" w:firstLine="0"/>
      <w:spacing w:after="57"/>
    </w:pPr>
  </w:style>
  <w:style w:type="paragraph" w:styleId="182">
    <w:name w:val="toc 3"/>
    <w:basedOn w:val="9"/>
    <w:next w:val="9"/>
    <w:uiPriority w:val="39"/>
    <w:unhideWhenUsed/>
    <w:pPr>
      <w:ind w:left="567" w:right="0" w:firstLine="0"/>
      <w:spacing w:after="57"/>
    </w:pPr>
  </w:style>
  <w:style w:type="paragraph" w:styleId="183">
    <w:name w:val="toc 4"/>
    <w:basedOn w:val="9"/>
    <w:next w:val="9"/>
    <w:uiPriority w:val="39"/>
    <w:unhideWhenUsed/>
    <w:pPr>
      <w:ind w:left="850" w:right="0" w:firstLine="0"/>
      <w:spacing w:after="57"/>
    </w:pPr>
  </w:style>
  <w:style w:type="paragraph" w:styleId="184">
    <w:name w:val="toc 5"/>
    <w:basedOn w:val="9"/>
    <w:next w:val="9"/>
    <w:uiPriority w:val="39"/>
    <w:unhideWhenUsed/>
    <w:pPr>
      <w:ind w:left="1134" w:right="0" w:firstLine="0"/>
      <w:spacing w:after="57"/>
    </w:pPr>
  </w:style>
  <w:style w:type="paragraph" w:styleId="185">
    <w:name w:val="toc 6"/>
    <w:basedOn w:val="9"/>
    <w:next w:val="9"/>
    <w:uiPriority w:val="39"/>
    <w:unhideWhenUsed/>
    <w:pPr>
      <w:ind w:left="1417" w:right="0" w:firstLine="0"/>
      <w:spacing w:after="57"/>
    </w:pPr>
  </w:style>
  <w:style w:type="paragraph" w:styleId="186">
    <w:name w:val="toc 7"/>
    <w:basedOn w:val="9"/>
    <w:next w:val="9"/>
    <w:uiPriority w:val="39"/>
    <w:unhideWhenUsed/>
    <w:pPr>
      <w:ind w:left="1701" w:right="0" w:firstLine="0"/>
      <w:spacing w:after="57"/>
    </w:pPr>
  </w:style>
  <w:style w:type="paragraph" w:styleId="187">
    <w:name w:val="toc 8"/>
    <w:basedOn w:val="9"/>
    <w:next w:val="9"/>
    <w:uiPriority w:val="39"/>
    <w:unhideWhenUsed/>
    <w:pPr>
      <w:ind w:left="1984" w:right="0" w:firstLine="0"/>
      <w:spacing w:after="57"/>
    </w:pPr>
  </w:style>
  <w:style w:type="paragraph" w:styleId="188">
    <w:name w:val="toc 9"/>
    <w:basedOn w:val="9"/>
    <w:next w:val="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
    <w:next w:val="9"/>
    <w:uiPriority w:val="99"/>
    <w:unhideWhenUsed/>
    <w:pPr>
      <w:spacing w:after="0" w:afterAutospacing="0"/>
    </w:pPr>
  </w:style>
  <w:style w:type="character" w:styleId="601" w:default="1">
    <w:name w:val="Default Paragraph Font"/>
    <w:uiPriority w:val="1"/>
    <w:semiHidden/>
    <w:unhideWhenUsed/>
  </w:style>
  <w:style w:type="numbering" w:styleId="602" w:default="1">
    <w:name w:val="No List"/>
    <w:uiPriority w:val="99"/>
    <w:semiHidden/>
    <w:unhideWhenUsed/>
  </w:style>
  <w:style w:type="paragraph" w:styleId="603" w:default="1">
    <w:name w:val="Normal"/>
    <w:qFormat/>
  </w:style>
  <w:style w:type="table" w:styleId="6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1866" TargetMode="External"/><Relationship Id="rId1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7593" TargetMode="External"/><Relationship Id="rId1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1112" TargetMode="External"/><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3380"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5239"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6328" TargetMode="External"/><Relationship Id="rId15" Type="http://schemas.openxmlformats.org/officeDocument/2006/relationships/hyperlink" Target="http://jszfcg.jsczt.cn/%EF%BC%89" TargetMode="External"/><Relationship Id="rId16" Type="http://schemas.openxmlformats.org/officeDocument/2006/relationships/hyperlink" Target="http://jszfcg.jsczt.cn/%EF%BC%89%E5%8F%82%E4%B8%8E%E6%94%BF%E5%BA%9C%E9%87%87%E8%B4%AD%E9%A1%B9%E7%9B%AE%EF%BC%8C%E9%9C%80%E8%A6%81%E5%8A%9E%E7%90%86%E6%B1%9F%E8%8B%8F%E7%9C%81%E6%94%BF%E5%BA%9C%E9%87%87%E8%B4%AD%E6%95%B0%E5%AD%97%E8%AF%81%E4%B9%A6%E5%8F%8A%E7%94%B5%E5%AD%90%E7%AD%BE%E7%AB%A0%E7%9A%84%EF%BC%8C%E8%AF%A6%E8%A7%81%E8%8B%8F%E9%87%87%E4%BA%91%E5%AE%98%E7%BD%91%E9%A6%96%E9%A1%B5" TargetMode="External"/><Relationship Id="rId17"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钮驰</cp:lastModifiedBy>
  <cp:revision>1</cp:revision>
  <dcterms:created xsi:type="dcterms:W3CDTF">2026-10-28T07:08:17Z</dcterms:created>
  <dcterms:modified xsi:type="dcterms:W3CDTF">2026-10-28T07:16:40Z</dcterms:modified>
</cp:coreProperties>
</file>