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bookmarkStart w:id="346" w:name="_GoBack"/>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right="0" w:firstLine="0"/>
        <w:jc w:val="center"/>
        <w:spacing w:before="100" w:after="100" w:line="360" w:lineRule="auto"/>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南京市儿童医院消化内窥镜系统</w:t>
      </w:r>
      <w:r/>
    </w:p>
    <w:p>
      <w:pPr>
        <w:ind w:left="0" w:right="0" w:firstLine="0"/>
        <w:jc w:val="center"/>
        <w:spacing w:before="100" w:after="100" w:line="360" w:lineRule="auto"/>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采购项目</w:t>
      </w:r>
      <w:r/>
    </w:p>
    <w:p>
      <w:pPr>
        <w:ind w:left="-2" w:right="-1459" w:hanging="416"/>
        <w:jc w:val="center"/>
        <w:spacing w:before="100" w:after="100" w:line="360" w:lineRule="auto"/>
        <w:tabs>
          <w:tab w:val="left" w:pos="168" w:leader="none"/>
          <w:tab w:val="center" w:pos="4422" w:leader="none"/>
        </w:tabs>
        <w:rPr>
          <w:rFonts w:ascii="宋体" w:hAnsi="宋体" w:cs="宋体"/>
          <w:b/>
          <w:color w:val="000000" w:themeColor="text1"/>
          <w:sz w:val="56"/>
          <w:szCs w:val="56"/>
          <w:highlight w:val="none"/>
          <w14:textFill>
            <w14:solidFill>
              <w14:schemeClr w14:val="tx1"/>
            </w14:solidFill>
          </w14:textFill>
        </w:rPr>
      </w:pPr>
      <w:r>
        <w:rPr>
          <w:rFonts w:ascii="宋体" w:hAnsi="宋体" w:cs="宋体"/>
          <w:b/>
          <w:color w:val="000000" w:themeColor="text1"/>
          <w:sz w:val="56"/>
          <w:szCs w:val="56"/>
          <w:highlight w:val="none"/>
          <w14:textFill>
            <w14:solidFill>
              <w14:schemeClr w14:val="tx1"/>
            </w14:solidFill>
          </w14:textFill>
        </w:rPr>
      </w:r>
      <w:r/>
    </w:p>
    <w:p>
      <w:pPr>
        <w:pStyle w:val="739"/>
        <w:ind w:left="0" w:firstLine="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360" w:lineRule="auto"/>
        <w:rPr>
          <w:rFonts w:ascii="宋体" w:hAnsi="宋体" w:cs="宋体"/>
          <w:b/>
          <w:color w:val="000000" w:themeColor="text1"/>
          <w:sz w:val="96"/>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r>
      <w:r/>
    </w:p>
    <w:p>
      <w:pPr>
        <w:ind w:right="640"/>
        <w:jc w:val="center"/>
        <w:spacing w:line="360" w:lineRule="auto"/>
        <w:rPr>
          <w:rFonts w:hint="default" w:ascii="宋体" w:hAnsi="宋体" w:cs="宋体"/>
          <w:color w:val="000000" w:themeColor="text1"/>
          <w:sz w:val="32"/>
          <w:highlight w:val="none"/>
          <w:lang w:val="en-US"/>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JSZC-320100-JITC-G2026-0355</w:t>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采购人：南京市儿童医院</w:t>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九</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360"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967"/>
        <w:ind w:firstLine="426"/>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供应商须知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r/>
    </w:p>
    <w:p>
      <w:pPr>
        <w:pStyle w:val="757"/>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57"/>
        <w:ind w:firstLine="3213"/>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南京市儿童医院消化内窥镜系统采购项目</w:t>
      </w:r>
      <w:r>
        <w:rPr>
          <w:rFonts w:hint="eastAsia" w:ascii="宋体" w:hAnsi="宋体" w:cs="宋体"/>
          <w:bCs/>
          <w:color w:val="000000" w:themeColor="text1"/>
          <w:szCs w:val="21"/>
          <w:highlight w:val="none"/>
          <w14:textFill>
            <w14:solidFill>
              <w14:schemeClr w14:val="tx1"/>
            </w14:solidFill>
          </w14:textFill>
        </w:rPr>
        <w:t xml:space="preserve">的潜在供应商应在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21</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JSZC-320100-JITC-G2026-0355</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南京市儿童医院消化内窥镜系统采购项目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万元人民币。</w:t>
      </w:r>
      <w:r/>
    </w:p>
    <w:p>
      <w:pPr>
        <w:ind w:firstLine="42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★1.4最高限价：</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210</w:t>
      </w:r>
      <w:r>
        <w:rPr>
          <w:rFonts w:hint="eastAsia" w:ascii="宋体" w:hAnsi="宋体" w:eastAsia="宋体" w:cs="宋体"/>
          <w:b/>
          <w:bCs w:val="0"/>
          <w:color w:val="000000" w:themeColor="text1"/>
          <w:szCs w:val="21"/>
          <w:highlight w:val="none"/>
          <w14:textFill>
            <w14:solidFill>
              <w14:schemeClr w14:val="tx1"/>
            </w14:solidFill>
          </w14:textFill>
        </w:rPr>
        <w:t xml:space="preserve">万元人民币。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1.5采购需求：采购一套消化内镜系统。具体要求详见招标文件第四章《采购需求》。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w:t>
      </w:r>
      <w:r>
        <w:rPr>
          <w:rFonts w:hint="eastAsia" w:ascii="宋体" w:hAnsi="宋体" w:cs="宋体"/>
          <w:b/>
          <w:color w:val="000000" w:themeColor="text1"/>
          <w:szCs w:val="21"/>
          <w:highlight w:val="none"/>
          <w:lang w:val="en-US" w:eastAsia="zh-CN"/>
          <w14:textFill>
            <w14:solidFill>
              <w14:schemeClr w14:val="tx1"/>
            </w14:solidFill>
          </w14:textFill>
        </w:rPr>
        <w:t xml:space="preserve">供货</w:t>
      </w:r>
      <w:r>
        <w:rPr>
          <w:rFonts w:hint="eastAsia" w:ascii="宋体" w:hAnsi="宋体" w:cs="宋体"/>
          <w:b/>
          <w:color w:val="000000" w:themeColor="text1"/>
          <w:szCs w:val="21"/>
          <w:highlight w:val="none"/>
          <w14:textFill>
            <w14:solidFill>
              <w14:schemeClr w14:val="tx1"/>
            </w14:solidFill>
          </w14:textFill>
        </w:rPr>
        <w:t xml:space="preserve">时间：合同签订后2个月内。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 w:name="_Toc93909067"/>
      <w:r/>
      <w:bookmarkStart w:id="14" w:name="_Toc80264699"/>
      <w:r/>
      <w:bookmarkStart w:id="15" w:name="_Toc96347853"/>
      <w:r/>
      <w:bookmarkStart w:id="16" w:name="_Toc80792690"/>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w:t>
      </w:r>
      <w:r>
        <w:rPr>
          <w:rFonts w:hint="eastAsia" w:ascii="宋体" w:hAnsi="宋体" w:cs="宋体"/>
          <w:bCs/>
          <w:color w:val="000000" w:themeColor="text1"/>
          <w:szCs w:val="21"/>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21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bookmarkEnd w:id="17"/>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1、根据《关于在政府采购活动中推行信用承诺制的通知》（宁财购通〔2021〕5 号）的规定，适用信用承诺的供应商，对于2.1.2至2.1.6款证明材料可使用《南京市政府采购供应商信用记录表暨信用承诺书》替代。（格式详见 第六章、投标文件格式 （6-1-3）南京市政府采购供应商信用承诺书）供应商在成交后，应按采购文件要求，将上述由信用承诺书替代的证明材料提交采购人或采购代理机构核验。经核验无误后，由采购人或采购代理机构发出成交通知书。</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其中不适用信用承诺的情形：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1）供应商被列入严重失信主体名单；</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2）被相关监督部门作出行政处罚且尚处在处罚有效期内；</w:t>
      </w:r>
      <w:r/>
    </w:p>
    <w:p>
      <w:pPr>
        <w:numPr>
          <w:ilvl w:val="0"/>
          <w:numId w:val="0"/>
        </w:numPr>
        <w:ind w:left="0"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失信主体、政府采购严重违法失信行为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21</w:t>
      </w:r>
      <w:r>
        <w:rPr>
          <w:rFonts w:hint="eastAsia" w:ascii="宋体" w:hAnsi="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bCs/>
          <w:color w:val="000000" w:themeColor="text1"/>
          <w:szCs w:val="21"/>
          <w:highlight w:val="none"/>
          <w14:textFill>
            <w14:solidFill>
              <w14:schemeClr w14:val="tx1"/>
            </w14:solidFill>
          </w14:textFill>
        </w:rPr>
        <w:instrText xml:space="preserve"> HYPERLINK "http://jszfcg.jsczt.cn/）" </w:instrTex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separate"/>
      </w:r>
      <w:r>
        <w:rPr>
          <w:rStyle w:val="765"/>
          <w:rFonts w:hint="eastAsia" w:ascii="Microsoft New Tai Lue" w:hAnsi="Microsoft New Tai Lue" w:cs="Microsoft New Tai Lue"/>
          <w:bCs/>
          <w:color w:val="000000" w:themeColor="text1"/>
          <w:szCs w:val="21"/>
          <w:highlight w:val="none"/>
          <w14:textFill>
            <w14:solidFill>
              <w14:schemeClr w14:val="tx1"/>
            </w14:solidFill>
          </w14:textFill>
        </w:rPr>
        <w:t xml:space="preserve">http://jszfcg.jsczt.cn/）</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end"/>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97867fe7-5d61-4f1b-9909-88ba0846745a}"/>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7" w:name="_Toc80792694"/>
      <w:r/>
      <w:bookmarkStart w:id="28" w:name="_Toc80264702"/>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格式详见 第六章、投标文件格式 （6-1-3）南京市政府采购供应商信用承诺书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p>
    <w:p>
      <w:pPr>
        <w:numPr>
          <w:ilvl w:val="0"/>
          <w:numId w:val="1"/>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称：南京市儿童医院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址：南京市建邺区江东南路8号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联系人：李老师、许老师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联系方式：025-52862966、025-52862957</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rPr>
          <w:rFonts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供应商须知</w:t>
      </w:r>
      <w:bookmarkEnd w:id="6"/>
      <w:r/>
      <w:bookmarkEnd w:id="32"/>
      <w:r/>
      <w:r/>
    </w:p>
    <w:p>
      <w:pPr>
        <w:ind w:left="0" w:firstLine="0"/>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供应商须知前附表</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本表是对《供应商须知》正文的具体补充和修改，如有矛盾，以本《前附表》为准。</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2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采购人</w:t>
            </w:r>
            <w:r/>
          </w:p>
        </w:tc>
        <w:tc>
          <w:tcPr>
            <w:tcW w:w="4982"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称：南京市儿童医院</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w:t>
            </w:r>
            <w:r>
              <w:rPr>
                <w:rFonts w:hint="eastAsia" w:ascii="宋体" w:hAnsi="宋体" w:cs="宋体"/>
                <w:color w:val="000000" w:themeColor="text1"/>
                <w:szCs w:val="21"/>
                <w:highlight w:val="none"/>
                <w14:textFill>
                  <w14:solidFill>
                    <w14:schemeClr w14:val="tx1"/>
                  </w14:solidFill>
                </w14:textFill>
              </w:rPr>
              <w:t xml:space="preserve">南京市建邺区江东南路8号</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联系人：李老师、许老师</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联系方式：025-52862966、025-52862957</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34"/>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989"/>
              <w:jc w:val="left"/>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00"/>
              <w:contextualSpacing/>
              <w:ind w:firstLine="0"/>
              <w:jc w:val="left"/>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投标报价</w:t>
            </w:r>
            <w:r>
              <w:rPr>
                <w:rFonts w:hint="eastAsia"/>
                <w:b/>
                <w:color w:val="000000" w:themeColor="text1"/>
                <w:highlight w:val="none"/>
                <w14:textFill>
                  <w14:solidFill>
                    <w14:schemeClr w14:val="tx1"/>
                  </w14:solidFill>
                </w14:textFill>
              </w:rPr>
              <w:t xml:space="preserve">要求：详见招标文件第四章</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采购需求</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989"/>
              <w:spacing w:line="360" w:lineRule="auto"/>
              <w:rPr>
                <w:rFonts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989"/>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eastAsia="宋体" w:cs="宋体"/>
                <w:bCs/>
                <w:color w:val="000000" w:themeColor="text1"/>
                <w:sz w:val="21"/>
                <w:highlight w:val="none"/>
                <w:lang w:val="en-US" w:eastAsia="zh-CN"/>
                <w14:textFill>
                  <w14:solidFill>
                    <w14:schemeClr w14:val="tx1"/>
                  </w14:solidFill>
                </w14:textFill>
              </w:rPr>
              <w:t xml:space="preserve">■货物类，本项目为单一产品采购。</w:t>
            </w:r>
            <w:r/>
          </w:p>
        </w:tc>
      </w:tr>
      <w:tr>
        <w:trPr>
          <w:jc w:val="center"/>
          <w:trHeight w:val="92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989"/>
              <w:jc w:val="center"/>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按评审报告推荐的中标候选人排序，顺延下一位候选供应商签订采购合同，以此类推（该递补无需剩余合格供应商满足三家）；采购人也可以重新开展采购活动。</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387"/>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spacing w:line="360" w:lineRule="auto"/>
              <w:rPr>
                <w:rFonts w:hint="eastAsia" w:hAnsi="宋体" w:eastAsia="宋体" w:cs="宋体"/>
                <w:bCs/>
                <w:color w:val="000000" w:themeColor="text1"/>
                <w:sz w:val="21"/>
                <w:highlight w:val="none"/>
                <w:lang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不收取。</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2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向采购代理机构缴纳采购代理服务费。采购代理机构在收到中标服务费后向中标人开具等额的中标服务费发票。我司开具的服务费发票为数电发票，中标供应商请在中标公告后及时与对应项目负责人联系</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提供</w:t>
            </w:r>
            <w:r>
              <w:rPr>
                <w:rFonts w:hint="eastAsia" w:hAnsi="宋体" w:cs="宋体"/>
                <w:bCs/>
                <w:color w:val="000000" w:themeColor="text1"/>
                <w:highlight w:val="none"/>
                <w14:textFill>
                  <w14:solidFill>
                    <w14:schemeClr w14:val="tx1"/>
                  </w14:solidFill>
                </w14:textFill>
              </w:rPr>
              <w:t xml:space="preserve">接收</w:t>
            </w:r>
            <w:r>
              <w:rPr>
                <w:rFonts w:hint="eastAsia" w:hAnsi="宋体" w:cs="宋体"/>
                <w:bCs/>
                <w:color w:val="000000" w:themeColor="text1"/>
                <w:highlight w:val="none"/>
                <w:lang w:val="en-US" w:eastAsia="zh-CN"/>
                <w14:textFill>
                  <w14:solidFill>
                    <w14:schemeClr w14:val="tx1"/>
                  </w14:solidFill>
                </w14:textFill>
              </w:rPr>
              <w:t xml:space="preserve">发票</w:t>
            </w:r>
            <w:r>
              <w:rPr>
                <w:rFonts w:hint="eastAsia" w:hAnsi="宋体" w:cs="宋体"/>
                <w:bCs/>
                <w:color w:val="000000" w:themeColor="text1"/>
                <w:highlight w:val="none"/>
                <w14:textFill>
                  <w14:solidFill>
                    <w14:schemeClr w14:val="tx1"/>
                  </w14:solidFill>
                </w14:textFill>
              </w:rPr>
              <w:t xml:space="preserve">邮箱。</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pStyle w:val="739"/>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3.招标服务费收费标准：本项目成交服务费包含在中标人投标总报价中，采购人不另行支付该笔费用。中标人向采购代理机构支付中标服务费，服务费标准按下表中货物类型标准的40%计取（如计算出的收费金额低于3000元人民币，则按3000元人民币收取）。</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0"/>
              <w:gridCol w:w="990"/>
              <w:gridCol w:w="996"/>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5000"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739"/>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p>
            <w:pPr>
              <w:pStyle w:val="739"/>
              <w:spacing w:line="360" w:lineRule="auto"/>
              <w:rPr>
                <w:rFonts w:hint="eastAsia"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6.缴纳代理服务费联系人：谢工</w:t>
            </w:r>
            <w:r/>
          </w:p>
          <w:p>
            <w:pPr>
              <w:pStyle w:val="739"/>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联系电话：17851978017</w:t>
            </w:r>
            <w:r/>
          </w:p>
        </w:tc>
      </w:tr>
      <w:tr>
        <w:trPr>
          <w:jc w:val="center"/>
          <w:trHeight w:val="600"/>
        </w:trPr>
        <w:tc>
          <w:tcPr>
            <w:tcW w:w="675"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39"/>
              <w:spacing w:line="360" w:lineRule="auto"/>
              <w:rPr>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val="en-US" w:eastAsia="zh-CN"/>
                <w14:textFill>
                  <w14:solidFill>
                    <w14:schemeClr w14:val="tx1"/>
                  </w14:solidFill>
                </w14:textFill>
              </w:rPr>
              <w:t xml:space="preserve">工业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numPr>
                <w:ilvl w:val="0"/>
                <w:numId w:val="0"/>
              </w:numPr>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不少于30分钟</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9"/>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9"/>
        <w:ind w:firstLine="1633"/>
        <w:spacing w:line="360" w:lineRule="auto"/>
        <w:rPr>
          <w:rFonts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highlight w:val="none"/>
          <w14:textFill>
            <w14:solidFill>
              <w14:schemeClr w14:val="tx1"/>
            </w14:solidFill>
          </w14:textFill>
        </w:rPr>
      </w:r>
      <w:r/>
    </w:p>
    <w:p>
      <w:pPr>
        <w:pStyle w:val="757"/>
        <w:ind w:firstLine="569"/>
        <w:rPr>
          <w:rFonts w:ascii="宋体" w:hAnsi="宋体" w:cs="宋体"/>
          <w:color w:val="000000" w:themeColor="text1"/>
          <w:highlight w:val="none"/>
          <w14:textFill>
            <w14:solidFill>
              <w14:schemeClr w14:val="tx1"/>
            </w14:solidFill>
          </w14:textFill>
        </w:rPr>
      </w:pPr>
      <w:r/>
      <w:bookmarkStart w:id="33" w:name="_Toc107246213"/>
      <w:r/>
      <w:bookmarkStart w:id="34" w:name="_Toc100905199"/>
      <w:r/>
      <w:bookmarkStart w:id="35" w:name="_Toc104560837"/>
      <w:r/>
      <w:bookmarkStart w:id="36" w:name="_Toc103848526"/>
      <w:r>
        <w:rPr>
          <w:rFonts w:hint="eastAsia" w:ascii="宋体" w:hAnsi="宋体" w:cs="宋体"/>
          <w:color w:val="000000" w:themeColor="text1"/>
          <w:highlight w:val="none"/>
          <w14:textFill>
            <w14:solidFill>
              <w14:schemeClr w14:val="tx1"/>
            </w14:solidFill>
          </w14:textFill>
        </w:rPr>
        <w:t xml:space="preserve">供应商须知</w:t>
      </w:r>
      <w:bookmarkEnd w:id="33"/>
      <w:r/>
      <w:bookmarkEnd w:id="34"/>
      <w:r/>
      <w:bookmarkEnd w:id="35"/>
      <w:r/>
      <w:bookmarkEnd w:id="3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cs="宋体"/>
          <w:color w:val="000000" w:themeColor="text1"/>
          <w:highlight w:val="none"/>
          <w14:textFill>
            <w14:solidFill>
              <w14:schemeClr w14:val="tx1"/>
            </w14:solidFill>
          </w14:textFill>
        </w:rPr>
        <w:t xml:space="preserve">一．</w:t>
      </w:r>
      <w:bookmarkEnd w:id="37"/>
      <w:r>
        <w:rPr>
          <w:rFonts w:hint="eastAsia" w:ascii="宋体" w:hAnsi="宋体" w:cs="宋体"/>
          <w:color w:val="000000" w:themeColor="text1"/>
          <w:highlight w:val="none"/>
          <w14:textFill>
            <w14:solidFill>
              <w14:schemeClr w14:val="tx1"/>
            </w14:solidFill>
          </w14:textFill>
        </w:rPr>
        <w:t xml:space="preserve">总则</w:t>
      </w:r>
      <w:bookmarkEnd w:id="38"/>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9" w:name="_Toc100905201"/>
      <w:r/>
      <w:bookmarkStart w:id="40" w:name="_Toc104560839"/>
      <w:r/>
      <w:bookmarkStart w:id="41" w:name="_Toc103848528"/>
      <w:r/>
      <w:bookmarkStart w:id="42" w:name="_Toc96347862"/>
      <w:r/>
      <w:bookmarkStart w:id="43" w:name="_Toc107246215"/>
      <w:r>
        <w:rPr>
          <w:rFonts w:hint="eastAsia" w:ascii="宋体" w:hAnsi="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4" w:name="_Toc96347863"/>
      <w:r/>
      <w:bookmarkStart w:id="45" w:name="_Toc100905202"/>
      <w:r/>
      <w:bookmarkStart w:id="46" w:name="_Toc103848529"/>
      <w:r/>
      <w:bookmarkStart w:id="47" w:name="_Toc107246216"/>
      <w:r/>
      <w:bookmarkStart w:id="48" w:name="_Toc104560840"/>
      <w:r>
        <w:rPr>
          <w:rFonts w:hint="eastAsia" w:ascii="宋体" w:hAnsi="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9" w:name="_Toc104560841"/>
      <w:r/>
      <w:bookmarkStart w:id="50" w:name="_Toc103848530"/>
      <w:r/>
      <w:bookmarkStart w:id="51" w:name="_Toc96347864"/>
      <w:r/>
      <w:bookmarkStart w:id="52" w:name="_Toc100905203"/>
      <w:r/>
      <w:bookmarkStart w:id="53" w:name="_Toc107246217"/>
      <w:r>
        <w:rPr>
          <w:rFonts w:hint="eastAsia" w:ascii="宋体" w:hAnsi="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54"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5" w:name="_Toc103848531"/>
      <w:r/>
      <w:bookmarkStart w:id="56" w:name="_Toc107246218"/>
      <w:r/>
      <w:bookmarkStart w:id="57" w:name="_Toc104560842"/>
      <w:r>
        <w:rPr>
          <w:rFonts w:hint="eastAsia" w:ascii="宋体" w:hAnsi="宋体" w:cs="宋体"/>
          <w:color w:val="000000" w:themeColor="text1"/>
          <w:highlight w:val="none"/>
          <w14:textFill>
            <w14:solidFill>
              <w14:schemeClr w14:val="tx1"/>
            </w14:solidFill>
          </w14:textFill>
        </w:rPr>
        <w:t xml:space="preserve">4.</w:t>
      </w:r>
      <w:bookmarkEnd w:id="55"/>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8" w:name="_Toc96347865"/>
      <w:r/>
      <w:bookmarkStart w:id="59" w:name="_Toc100905205"/>
      <w:r/>
      <w:bookmarkStart w:id="60" w:name="_Toc103848532"/>
      <w:r/>
      <w:bookmarkStart w:id="61" w:name="_Toc104560843"/>
      <w:r/>
      <w:bookmarkStart w:id="62" w:name="_Toc107246219"/>
      <w:r>
        <w:rPr>
          <w:rFonts w:hint="eastAsia" w:ascii="宋体" w:hAnsi="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cs="宋体"/>
          <w:color w:val="000000" w:themeColor="text1"/>
          <w:szCs w:val="21"/>
          <w:highlight w:val="none"/>
          <w14:textFill>
            <w14:solidFill>
              <w14:schemeClr w14:val="tx1"/>
            </w14:solidFill>
          </w14:textFill>
        </w:rPr>
        <w:t xml:space="preserve">参加投标活动的供应商应自行承担所有与参加投标有关的费用，无论投标过程中的做法和结果如何，采购人在任何情况下均无义务和责任承担这些费用。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64" w:name="_Toc107246220"/>
      <w:r/>
      <w:bookmarkStart w:id="65" w:name="_Toc96347866"/>
      <w:r/>
      <w:bookmarkStart w:id="66" w:name="_Toc100905206"/>
      <w:r/>
      <w:bookmarkStart w:id="67" w:name="_Toc103848533"/>
      <w:r/>
      <w:bookmarkStart w:id="68" w:name="_Toc104560844"/>
      <w:r>
        <w:rPr>
          <w:rFonts w:hint="eastAsia" w:ascii="宋体" w:hAnsi="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1" w:name="_Toc104560845"/>
      <w:r/>
      <w:bookmarkStart w:id="72" w:name="_Toc103848534"/>
      <w:r/>
      <w:bookmarkStart w:id="73"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4" w:name="_Toc103848535"/>
      <w:r/>
      <w:bookmarkStart w:id="75" w:name="_Toc96347868"/>
      <w:r/>
      <w:bookmarkStart w:id="76" w:name="_Toc100905208"/>
      <w:r/>
      <w:bookmarkStart w:id="77" w:name="_Toc104560846"/>
      <w:r/>
      <w:bookmarkStart w:id="78" w:name="_Toc107246222"/>
      <w:r>
        <w:rPr>
          <w:rFonts w:hint="eastAsia" w:ascii="宋体" w:hAnsi="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9" w:name="_Toc102117275"/>
      <w:r/>
      <w:bookmarkStart w:id="80" w:name="_Toc107246223"/>
      <w:r>
        <w:rPr>
          <w:rFonts w:hint="eastAsia" w:ascii="宋体" w:hAnsi="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1" w:name="_Toc103848536"/>
      <w:r/>
      <w:bookmarkStart w:id="82" w:name="_Toc107246224"/>
      <w:r/>
      <w:bookmarkStart w:id="83" w:name="_Toc104560847"/>
      <w:r/>
      <w:bookmarkStart w:id="84" w:name="_Toc100905210"/>
      <w:r/>
      <w:bookmarkStart w:id="85"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6" w:name="_Toc100905213"/>
      <w:r/>
      <w:bookmarkStart w:id="87" w:name="_Toc104560848"/>
      <w:r/>
      <w:bookmarkStart w:id="88" w:name="_Toc103848537"/>
      <w:r/>
      <w:bookmarkStart w:id="89" w:name="_Toc107246225"/>
      <w:r/>
      <w:bookmarkStart w:id="90" w:name="_Toc100905211"/>
      <w:r>
        <w:rPr>
          <w:rFonts w:hint="eastAsia" w:ascii="宋体" w:hAnsi="宋体" w:cs="宋体"/>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1" w:name="_Toc107246226"/>
      <w:r/>
      <w:bookmarkStart w:id="92" w:name="_Toc104560849"/>
      <w:r>
        <w:rPr>
          <w:rFonts w:hint="eastAsia" w:ascii="宋体" w:hAnsi="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3" w:name="_Toc104560850"/>
      <w:r/>
      <w:bookmarkStart w:id="94" w:name="_Toc103848538"/>
      <w:r/>
      <w:bookmarkStart w:id="95" w:name="_Toc107246227"/>
      <w:r/>
      <w:bookmarkStart w:id="96"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7" w:name="_Toc107246228"/>
      <w:r/>
      <w:bookmarkStart w:id="98"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9" w:name="_Toc104560852"/>
      <w:r/>
      <w:bookmarkStart w:id="100"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1" w:name="_Toc107246230"/>
      <w:r>
        <w:rPr>
          <w:rFonts w:hint="eastAsia" w:ascii="宋体" w:hAnsi="宋体" w:cs="宋体"/>
          <w:color w:val="000000" w:themeColor="text1"/>
          <w:highlight w:val="none"/>
          <w14:textFill>
            <w14:solidFill>
              <w14:schemeClr w14:val="tx1"/>
            </w14:solidFill>
          </w14:textFill>
        </w:rPr>
        <w:t xml:space="preserve">二．招标文件</w:t>
      </w:r>
      <w:bookmarkEnd w:id="63"/>
      <w:r/>
      <w:bookmarkEnd w:id="10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2" w:name="_Toc104560854"/>
      <w:r/>
      <w:bookmarkStart w:id="103" w:name="_Toc96347871"/>
      <w:r/>
      <w:bookmarkStart w:id="104" w:name="_Toc107246231"/>
      <w:r/>
      <w:bookmarkStart w:id="105" w:name="_Toc100905217"/>
      <w:r/>
      <w:bookmarkStart w:id="106" w:name="_Toc103848540"/>
      <w:r>
        <w:rPr>
          <w:rFonts w:hint="eastAsia" w:ascii="宋体" w:hAnsi="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989"/>
        <w:ind w:firstLine="420"/>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第二章：供应商须知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8" w:name="_Toc107246232"/>
      <w:r/>
      <w:bookmarkStart w:id="109" w:name="_Toc103848541"/>
      <w:r/>
      <w:bookmarkStart w:id="110" w:name="_Toc104560855"/>
      <w:r/>
      <w:bookmarkStart w:id="111" w:name="_Toc100905218"/>
      <w:r/>
      <w:bookmarkStart w:id="112"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13"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4" w:name="_Toc91836558"/>
      <w:r/>
      <w:bookmarkStart w:id="115" w:name="_Toc104560856"/>
      <w:r/>
      <w:bookmarkStart w:id="116" w:name="_Toc107246233"/>
      <w:r/>
      <w:bookmarkStart w:id="117" w:name="_Toc80264708"/>
      <w:r>
        <w:rPr>
          <w:rFonts w:hint="eastAsia" w:ascii="宋体" w:hAnsi="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8" w:name="_Toc107246234"/>
      <w:r/>
      <w:bookmarkStart w:id="119" w:name="_Toc103848543"/>
      <w:r/>
      <w:bookmarkStart w:id="120" w:name="_Toc104560857"/>
      <w:r/>
      <w:bookmarkStart w:id="121" w:name="_Toc100905221"/>
      <w:r/>
      <w:bookmarkStart w:id="122"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如为南京市政府采购项目，则供应商应按照公告要求提供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（13）供应商参加远程异地开标仪式须知（如需），格式见附件。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18.4.1投标文件的其他部分由供应商根据编制投标文件需要提供的其他相关文件组成。</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3" w:name="_Toc104560858"/>
      <w:r/>
      <w:bookmarkStart w:id="124"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供应商必须保证投标文件所提供的全部资料真实可靠。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5" w:name="_Toc107246236"/>
      <w:r>
        <w:rPr>
          <w:rFonts w:hint="eastAsia" w:ascii="宋体" w:hAnsi="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20.4供应商要按开标一览表、分项报价表的内容填写投标报价及其它事项。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bookmarkEnd w:id="121"/>
      <w:r/>
      <w:bookmarkEnd w:id="122"/>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26" w:name="_Toc107246237"/>
      <w:r/>
      <w:bookmarkStart w:id="127" w:name="_Toc103848545"/>
      <w:r/>
      <w:bookmarkStart w:id="128" w:name="_Toc104560859"/>
      <w:r/>
      <w:bookmarkStart w:id="129" w:name="_Toc100905224"/>
      <w:r/>
      <w:bookmarkStart w:id="130" w:name="_Toc103848544"/>
      <w:r/>
      <w:bookmarkStart w:id="131" w:name="_Toc100905223"/>
      <w:r/>
      <w:bookmarkStart w:id="132" w:name="_Toc96347878"/>
      <w:r>
        <w:rPr>
          <w:rFonts w:hint="eastAsia" w:ascii="宋体" w:hAnsi="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33" w:name="_Toc107246238"/>
      <w:r/>
      <w:bookmarkStart w:id="134" w:name="_Toc104560860"/>
      <w:r>
        <w:rPr>
          <w:rFonts w:hint="eastAsia" w:ascii="宋体" w:hAnsi="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5" w:name="_Toc96347879"/>
      <w:r/>
      <w:bookmarkStart w:id="136" w:name="_Toc420657357"/>
      <w:r/>
      <w:bookmarkStart w:id="137" w:name="_Toc68159552"/>
      <w:r/>
      <w:bookmarkStart w:id="138" w:name="_Toc466452044"/>
      <w:r/>
      <w:bookmarkStart w:id="139" w:name="_Toc519241651"/>
      <w:r/>
      <w:bookmarkStart w:id="140" w:name="_Toc42048786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规定交纳投标保证金的，供应商应以支票、汇票、本票或金融机构、担保机构出具的保函等非现金形式，在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★供应商未按规定缴纳投标保证金的或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22.5中标的供应商的投标保证金，将在政府采购合同签订后5个工作日内退还中标人。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bookmarkStart w:id="141" w:name="_Toc103848546"/>
      <w:r/>
      <w:bookmarkStart w:id="142" w:name="_Toc104560861"/>
      <w:r/>
      <w:bookmarkStart w:id="143" w:name="_Toc96347880"/>
      <w:r/>
      <w:bookmarkStart w:id="144" w:name="_Toc100905225"/>
      <w:r>
        <w:rPr>
          <w:rFonts w:hint="eastAsia" w:ascii="宋体" w:hAnsi="宋体" w:cs="宋体"/>
          <w:color w:val="000000" w:themeColor="text1"/>
          <w:szCs w:val="21"/>
          <w:highlight w:val="none"/>
          <w14:textFill>
            <w14:solidFill>
              <w14:schemeClr w14:val="tx1"/>
            </w14:solidFill>
          </w14:textFill>
        </w:rPr>
        <w:t xml:space="preserve">（1）供应商在招标文件规定的投标有效期内撤销其投标文件；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（2）供应商在投标文件中提供虚假材料的；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（3）供应商在本次采购活动中存在恶意串通行为的；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45"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6"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6"/>
      <w:r/>
      <w:r/>
    </w:p>
    <w:p>
      <w:pPr>
        <w:pStyle w:val="717"/>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7" w:name="_Toc104560863"/>
      <w:r/>
      <w:bookmarkStart w:id="148" w:name="_Toc100905226"/>
      <w:r/>
      <w:bookmarkStart w:id="149" w:name="_Toc96347881"/>
      <w:r/>
      <w:bookmarkStart w:id="150" w:name="_Toc103848548"/>
      <w:r/>
      <w:bookmarkStart w:id="151" w:name="_Toc107246241"/>
      <w:r>
        <w:rPr>
          <w:rFonts w:hint="eastAsia" w:ascii="宋体" w:hAnsi="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2" w:name="_Toc11464"/>
      <w:r/>
      <w:bookmarkStart w:id="153" w:name="_Toc40202948"/>
      <w:r/>
      <w:bookmarkStart w:id="154" w:name="_Toc469850063"/>
      <w:r/>
      <w:bookmarkStart w:id="155" w:name="_Toc50528805"/>
      <w:r/>
      <w:bookmarkStart w:id="156" w:name="_Toc103848549"/>
      <w:r/>
      <w:bookmarkStart w:id="157" w:name="_Toc96347882"/>
      <w:r/>
      <w:bookmarkStart w:id="158" w:name="_Toc38931614"/>
      <w:r/>
      <w:bookmarkStart w:id="159" w:name="_Toc19963"/>
      <w:r/>
      <w:bookmarkStart w:id="160" w:name="_Toc46960670"/>
      <w:r/>
      <w:bookmarkStart w:id="161" w:name="_Toc91399404"/>
      <w:r/>
      <w:bookmarkStart w:id="162" w:name="_Toc97561941"/>
      <w:r/>
      <w:bookmarkStart w:id="163" w:name="_Toc4536"/>
      <w:r/>
      <w:bookmarkStart w:id="164" w:name="_Toc11952"/>
      <w:r/>
      <w:bookmarkStart w:id="165" w:name="_Toc89586904"/>
      <w:r/>
      <w:bookmarkStart w:id="166" w:name="_Toc38933357"/>
      <w:r/>
      <w:bookmarkStart w:id="167" w:name="_Toc48151397"/>
      <w:r/>
      <w:bookmarkStart w:id="168" w:name="_Toc100905227"/>
      <w:r/>
      <w:bookmarkStart w:id="169" w:name="_Toc46939510"/>
      <w:r/>
      <w:bookmarkStart w:id="170" w:name="_Toc46219699"/>
      <w:r/>
      <w:bookmarkStart w:id="171" w:name="_Toc5042"/>
      <w:r/>
      <w:bookmarkStart w:id="172" w:name="_Toc51928343"/>
      <w:r/>
      <w:bookmarkStart w:id="173" w:name="_Toc38931800"/>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4" w:name="_Toc104560864"/>
      <w:r/>
      <w:bookmarkStart w:id="175" w:name="_Toc107246242"/>
      <w:r>
        <w:rPr>
          <w:rFonts w:hint="eastAsia" w:ascii="宋体" w:hAnsi="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25.1供应商</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自身原因造成的电子投标文件解密不成功的，做无效投标处理。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7" w:name="_Toc103848550"/>
      <w:r/>
      <w:bookmarkStart w:id="178" w:name="_Toc104560865"/>
      <w:r/>
      <w:bookmarkStart w:id="179" w:name="_Toc100905228"/>
      <w:r/>
      <w:bookmarkStart w:id="180" w:name="_Toc107246243"/>
      <w:r>
        <w:rPr>
          <w:rFonts w:hint="eastAsia" w:ascii="宋体" w:hAnsi="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在投标截止时间至采购文件中规定的投标有效期满之间的这段时间内，供应商不得撤回其投标。</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2" w:name="_Toc103848551"/>
      <w:r/>
      <w:bookmarkStart w:id="183" w:name="_Toc104560866"/>
      <w:r/>
      <w:bookmarkStart w:id="184" w:name="_Toc107246244"/>
      <w:r>
        <w:rPr>
          <w:rFonts w:hint="eastAsia" w:ascii="宋体" w:hAnsi="宋体" w:cs="宋体"/>
          <w:color w:val="000000" w:themeColor="text1"/>
          <w:highlight w:val="none"/>
          <w14:textFill>
            <w14:solidFill>
              <w14:schemeClr w14:val="tx1"/>
            </w14:solidFill>
          </w14:textFill>
        </w:rPr>
        <w:t xml:space="preserve">27.诚实信用</w:t>
      </w:r>
      <w:bookmarkEnd w:id="182"/>
      <w:r/>
      <w:bookmarkEnd w:id="183"/>
      <w:r/>
      <w:bookmarkEnd w:id="184"/>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27.2在评标过程中发现供应商有上述情形的，评标委员会应当认定其投标无效，并书面报告本级财政部门。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5"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5"/>
      <w:r/>
      <w:bookmarkStart w:id="186" w:name="_Toc9634788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7" w:name="_Toc104560868"/>
      <w:r/>
      <w:bookmarkStart w:id="188" w:name="_Toc103848553"/>
      <w:r/>
      <w:bookmarkStart w:id="189" w:name="_Toc100905230"/>
      <w:r/>
      <w:bookmarkStart w:id="190" w:name="_Toc107246246"/>
      <w:r>
        <w:rPr>
          <w:rFonts w:hint="eastAsia" w:ascii="宋体" w:hAnsi="宋体" w:cs="宋体"/>
          <w:color w:val="000000" w:themeColor="text1"/>
          <w:highlight w:val="none"/>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28.3供应商不足3家的，不得开标。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28.6供应商未参加开标的，视同认可开标结果。</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1"/>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3" w:name="_Toc103848554"/>
      <w:r/>
      <w:bookmarkStart w:id="194"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供应商不具备招标文件规定的供应商资格条件的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29.3已经进行资格预审的，可以不再对供应商资格进行审查，资格预审合格的供应商在评标阶段资格发生变化的，应当通知采购方。</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5" w:name="_Toc107246248"/>
      <w:r>
        <w:rPr>
          <w:rFonts w:hint="eastAsia" w:ascii="宋体" w:hAnsi="宋体" w:cs="宋体"/>
          <w:color w:val="000000" w:themeColor="text1"/>
          <w:highlight w:val="none"/>
          <w14:textFill>
            <w14:solidFill>
              <w14:schemeClr w14:val="tx1"/>
            </w14:solidFill>
          </w14:textFill>
        </w:rPr>
        <w:t xml:space="preserve">30.评标</w:t>
      </w:r>
      <w:bookmarkEnd w:id="193"/>
      <w:r/>
      <w:bookmarkEnd w:id="194"/>
      <w:r/>
      <w:bookmarkEnd w:id="19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6" w:name="_Toc103848555"/>
      <w:r/>
      <w:bookmarkStart w:id="197" w:name="_Toc104560870"/>
      <w:r/>
      <w:bookmarkStart w:id="198"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9" w:name="_Toc104560871"/>
      <w:r/>
      <w:bookmarkStart w:id="200" w:name="_Toc103848556"/>
      <w:r/>
      <w:bookmarkStart w:id="201" w:name="_Toc107246250"/>
      <w:r>
        <w:rPr>
          <w:rFonts w:hint="eastAsia" w:ascii="宋体" w:hAnsi="宋体" w:cs="宋体"/>
          <w:color w:val="000000" w:themeColor="text1"/>
          <w:highlight w:val="none"/>
          <w14:textFill>
            <w14:solidFill>
              <w14:schemeClr w14:val="tx1"/>
            </w14:solidFill>
          </w14:textFill>
        </w:rPr>
        <w:t xml:space="preserve">30.2</w:t>
      </w:r>
      <w:bookmarkEnd w:id="199"/>
      <w:r/>
      <w:bookmarkEnd w:id="200"/>
      <w:r>
        <w:rPr>
          <w:rFonts w:hint="eastAsia" w:ascii="宋体" w:hAnsi="宋体" w:cs="宋体"/>
          <w:color w:val="000000" w:themeColor="text1"/>
          <w:highlight w:val="none"/>
          <w14:textFill>
            <w14:solidFill>
              <w14:schemeClr w14:val="tx1"/>
            </w14:solidFill>
          </w14:textFill>
        </w:rPr>
        <w:t xml:space="preserve">符合性审查</w:t>
      </w:r>
      <w:bookmarkEnd w:id="20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02" w:name="_Toc107246251"/>
      <w:r/>
      <w:bookmarkStart w:id="203" w:name="_Toc104560872"/>
      <w:r/>
      <w:bookmarkStart w:id="204" w:name="_Toc103848557"/>
      <w:r>
        <w:rPr>
          <w:rFonts w:hint="eastAsia" w:ascii="宋体" w:hAnsi="宋体" w:cs="宋体"/>
          <w:bCs/>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（3）同一供应商提交两个（含两个）以上不同的投标报价的；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30.3.3评标委员会不接受供应商主动提出的澄清、说明。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5" w:name="_Toc107246252"/>
      <w:r>
        <w:rPr>
          <w:rFonts w:hint="eastAsia" w:ascii="宋体" w:hAnsi="宋体" w:cs="宋体"/>
          <w:color w:val="000000" w:themeColor="text1"/>
          <w:highlight w:val="none"/>
          <w14:textFill>
            <w14:solidFill>
              <w14:schemeClr w14:val="tx1"/>
            </w14:solidFill>
          </w14:textFill>
        </w:rPr>
        <w:t xml:space="preserve">30.4</w:t>
      </w:r>
      <w:bookmarkEnd w:id="205"/>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同时出现两种以上不一致的，按照前款规定的顺序修正。修正后的报价按照上述规定经供应商确认后产生约束力，供应商不确认的，其投标无效。</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6" w:name="_Toc104560873"/>
      <w:r/>
      <w:bookmarkStart w:id="207" w:name="_Toc107246253"/>
      <w:r/>
      <w:bookmarkStart w:id="208" w:name="_Toc103848558"/>
      <w:r>
        <w:rPr>
          <w:rFonts w:hint="eastAsia" w:ascii="宋体" w:hAnsi="宋体" w:cs="宋体"/>
          <w:color w:val="000000" w:themeColor="text1"/>
          <w:highlight w:val="none"/>
          <w14:textFill>
            <w14:solidFill>
              <w14:schemeClr w14:val="tx1"/>
            </w14:solidFill>
          </w14:textFill>
        </w:rPr>
        <w:t xml:space="preserve">30.5同品牌多家供应商处理原则</w:t>
      </w:r>
      <w:bookmarkEnd w:id="206"/>
      <w:r/>
      <w:bookmarkEnd w:id="207"/>
      <w:r/>
      <w:bookmarkEnd w:id="20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。多家供应商提供的核心产品品牌相同的，按前两款规定处理。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9" w:name="_Toc107246254"/>
      <w:r/>
      <w:bookmarkStart w:id="210" w:name="_Toc103848559"/>
      <w:r/>
      <w:bookmarkStart w:id="211" w:name="_Toc104560874"/>
      <w:r>
        <w:rPr>
          <w:rFonts w:hint="eastAsia" w:ascii="宋体" w:hAnsi="宋体" w:cs="宋体"/>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2"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17"/>
        <w:ind w:left="0" w:right="210" w:firstLine="373"/>
        <w:spacing w:line="360" w:lineRule="auto"/>
        <w:tabs>
          <w:tab w:val="left" w:pos="5882" w:leader="none"/>
        </w:tabs>
        <w:rPr>
          <w:rFonts w:ascii="宋体" w:hAnsi="宋体" w:cs="宋体"/>
          <w:color w:val="000000" w:themeColor="text1"/>
          <w:highlight w:val="none"/>
          <w14:textFill>
            <w14:solidFill>
              <w14:schemeClr w14:val="tx1"/>
            </w14:solidFill>
          </w14:textFill>
        </w:rPr>
      </w:pPr>
      <w:r/>
      <w:bookmarkStart w:id="213" w:name="_Toc107246256"/>
      <w:r/>
      <w:bookmarkStart w:id="214" w:name="_Toc104560876"/>
      <w:r/>
      <w:bookmarkStart w:id="215"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6" w:name="_Toc107246257"/>
      <w:r>
        <w:rPr>
          <w:rFonts w:hint="eastAsia" w:ascii="宋体" w:hAnsi="宋体" w:cs="宋体"/>
          <w:color w:val="000000" w:themeColor="text1"/>
          <w:highlight w:val="none"/>
          <w14:textFill>
            <w14:solidFill>
              <w14:schemeClr w14:val="tx1"/>
            </w14:solidFill>
          </w14:textFill>
        </w:rPr>
        <w:t xml:space="preserve">六．确定中标</w:t>
      </w:r>
      <w:bookmarkEnd w:id="2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hint="eastAsia" w:ascii="宋体" w:hAnsi="宋体" w:cs="宋体"/>
          <w:color w:val="000000" w:themeColor="text1"/>
          <w:highlight w:val="none"/>
          <w14:textFill>
            <w14:solidFill>
              <w14:schemeClr w14:val="tx1"/>
            </w14:solidFill>
          </w14:textFill>
        </w:rPr>
        <w:t xml:space="preserve">31.确定中标</w:t>
      </w:r>
      <w:bookmarkEnd w:id="217"/>
      <w:r/>
      <w:bookmarkEnd w:id="218"/>
      <w:r>
        <w:rPr>
          <w:rFonts w:hint="eastAsia" w:ascii="宋体" w:hAnsi="宋体" w:cs="宋体"/>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0" w:name="_Toc103848564"/>
      <w:r/>
      <w:bookmarkStart w:id="221" w:name="_Toc104560879"/>
      <w:r/>
      <w:bookmarkStart w:id="222"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在</w:t>
      </w:r>
      <w:r>
        <w:rPr>
          <w:rFonts w:ascii="Microsoft New Tai Lue" w:hAnsi="Microsoft New Tai Lue" w:cs="Microsoft New Tai Lue"/>
          <w:color w:val="000000" w:themeColor="text1"/>
          <w:szCs w:val="21"/>
          <w:highlight w:val="none"/>
          <w14:textFill>
            <w14:solidFill>
              <w14:schemeClr w14:val="tx1"/>
            </w14:solidFill>
          </w14:textFill>
        </w:rPr>
        <w:t xml:space="preserve">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3" w:name="_Toc104560875"/>
      <w:r/>
      <w:bookmarkStart w:id="224"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25" w:name="_Toc107246260"/>
      <w:r>
        <w:rPr>
          <w:rFonts w:hint="eastAsia" w:ascii="宋体" w:hAnsi="宋体" w:cs="宋体"/>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226" w:name="_Toc104560880"/>
      <w:r/>
      <w:bookmarkStart w:id="227" w:name="_Toc107246261"/>
      <w:r/>
      <w:bookmarkStart w:id="228" w:name="_Toc103848565"/>
      <w:r/>
      <w:bookmarkStart w:id="229" w:name="_Toc513029237"/>
      <w:r/>
      <w:bookmarkStart w:id="230" w:name="_Toc20823309"/>
      <w:r/>
      <w:bookmarkStart w:id="231" w:name="_Toc16938553"/>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pStyle w:val="717"/>
        <w:ind w:left="0" w:right="210" w:firstLine="373"/>
        <w:spacing w:line="360" w:lineRule="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33.2废标后，采购人将废标理由通知所有投标人。</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2" w:name="_Toc107246262"/>
      <w:r/>
      <w:bookmarkStart w:id="233" w:name="_Toc103848567"/>
      <w:r/>
      <w:bookmarkStart w:id="234"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hAnsi="宋体" w:cs="宋体"/>
          <w:bCs/>
          <w:color w:val="000000" w:themeColor="text1"/>
          <w:sz w:val="21"/>
          <w:highlight w:val="none"/>
          <w14:textFill>
            <w14:solidFill>
              <w14:schemeClr w14:val="tx1"/>
            </w14:solidFill>
          </w14:textFill>
        </w:rPr>
        <w:t xml:space="preserve">后的5个工作日内</w:t>
      </w:r>
      <w:r>
        <w:rPr>
          <w:rFonts w:hint="eastAsia" w:ascii="宋体" w:hAnsi="宋体" w:cs="宋体"/>
          <w:color w:val="000000" w:themeColor="text1"/>
          <w:szCs w:val="21"/>
          <w:highlight w:val="none"/>
          <w14:textFill>
            <w14:solidFill>
              <w14:schemeClr w14:val="tx1"/>
            </w14:solidFill>
          </w14:textFill>
        </w:rPr>
        <w:t xml:space="preserve">，向采购人提交履约保证金。签订合同后，</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供应商不得将</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产品或服务进行转包。未经采购人同意，</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供应商也不得采用分包的形式履行合同，否则采购人有权终止合同，</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供应商的履约保证金将不予退还。转包或分包造成采购人损失的，</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供应商应承担相应赔偿责任。。</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w:t>
      </w:r>
      <w:r>
        <w:rPr>
          <w:rFonts w:hint="eastAsia" w:ascii="宋体" w:hAnsi="宋体" w:cs="宋体"/>
          <w:color w:val="000000" w:themeColor="text1"/>
          <w:szCs w:val="21"/>
          <w:highlight w:val="none"/>
          <w:lang w:val="en-US" w:eastAsia="zh-CN"/>
          <w14:textFill>
            <w14:solidFill>
              <w14:schemeClr w14:val="tx1"/>
            </w14:solidFill>
          </w14:textFill>
        </w:rPr>
        <w:t xml:space="preserve">合同</w:t>
      </w:r>
      <w:r>
        <w:rPr>
          <w:rFonts w:hint="eastAsia" w:ascii="宋体" w:hAnsi="宋体" w:cs="宋体"/>
          <w:color w:val="000000" w:themeColor="text1"/>
          <w:szCs w:val="21"/>
          <w:highlight w:val="none"/>
          <w14:textFill>
            <w14:solidFill>
              <w14:schemeClr w14:val="tx1"/>
            </w14:solidFill>
          </w14:textFill>
        </w:rPr>
        <w:t xml:space="preserve">协议不生效。</w:t>
      </w:r>
      <w:bookmarkEnd w:id="229"/>
      <w:r/>
      <w:bookmarkEnd w:id="230"/>
      <w:r/>
      <w:bookmarkEnd w:id="23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35" w:name="_Toc107246263"/>
      <w:r>
        <w:rPr>
          <w:rFonts w:hint="eastAsia" w:ascii="宋体" w:hAnsi="宋体" w:cs="宋体"/>
          <w:color w:val="000000" w:themeColor="text1"/>
          <w:highlight w:val="none"/>
          <w14:textFill>
            <w14:solidFill>
              <w14:schemeClr w14:val="tx1"/>
            </w14:solidFill>
          </w14:textFill>
        </w:rPr>
        <w:t xml:space="preserve">七．</w:t>
      </w:r>
      <w:bookmarkStart w:id="236" w:name="_Toc103848569"/>
      <w:r>
        <w:rPr>
          <w:rFonts w:hint="eastAsia" w:ascii="宋体" w:hAnsi="宋体" w:cs="宋体"/>
          <w:color w:val="000000" w:themeColor="text1"/>
          <w:highlight w:val="none"/>
          <w14:textFill>
            <w14:solidFill>
              <w14:schemeClr w14:val="tx1"/>
            </w14:solidFill>
          </w14:textFill>
        </w:rPr>
        <w:t xml:space="preserve">询问与质疑</w:t>
      </w:r>
      <w:bookmarkEnd w:id="235"/>
      <w:r/>
      <w:bookmarkEnd w:id="236"/>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7" w:name="_Toc107246264"/>
      <w:r/>
      <w:bookmarkStart w:id="238" w:name="_Toc104560883"/>
      <w:r/>
      <w:bookmarkStart w:id="239"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0" w:name="_Toc102117306"/>
      <w:r/>
      <w:bookmarkStart w:id="241" w:name="_Toc104560884"/>
      <w:r/>
      <w:bookmarkStart w:id="242"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43" w:name="_Toc107246266"/>
      <w:r>
        <w:rPr>
          <w:rFonts w:hint="eastAsia" w:ascii="宋体" w:hAnsi="宋体" w:cs="宋体"/>
          <w:color w:val="000000" w:themeColor="text1"/>
          <w:highlight w:val="none"/>
          <w14:textFill>
            <w14:solidFill>
              <w14:schemeClr w14:val="tx1"/>
            </w14:solidFill>
          </w14:textFill>
        </w:rPr>
        <w:t xml:space="preserve">八．其他</w:t>
      </w:r>
      <w:bookmarkEnd w:id="243"/>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4" w:name="_Toc103848572"/>
      <w:r/>
      <w:bookmarkStart w:id="245" w:name="_Toc104560886"/>
      <w:r/>
      <w:bookmarkStart w:id="246"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7" w:name="_Toc103848573"/>
      <w:r/>
      <w:bookmarkStart w:id="248" w:name="_Toc107246268"/>
      <w:r/>
      <w:bookmarkStart w:id="249" w:name="_Toc104560887"/>
      <w:r>
        <w:rPr>
          <w:rFonts w:hint="eastAsia" w:ascii="宋体" w:hAnsi="宋体" w:cs="宋体"/>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供应商须知前附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50" w:name="_Toc107246269"/>
      <w:r/>
      <w:bookmarkStart w:id="251" w:name="_Toc104560888"/>
      <w:r/>
      <w:bookmarkStart w:id="252"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1"/>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3" w:name="_Toc91836563"/>
      <w:r>
        <w:rPr>
          <w:rFonts w:hint="eastAsia" w:ascii="宋体" w:hAnsi="宋体" w:cs="宋体"/>
          <w:color w:val="000000" w:themeColor="text1"/>
          <w:highlight w:val="none"/>
          <w14:textFill>
            <w14:solidFill>
              <w14:schemeClr w14:val="tx1"/>
            </w14:solidFill>
          </w14:textFill>
        </w:rPr>
        <w:br w:type="page" w:clear="all"/>
      </w:r>
      <w:bookmarkStart w:id="254"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3"/>
      <w:r>
        <w:rPr>
          <w:rFonts w:hint="eastAsia" w:ascii="宋体" w:hAnsi="宋体" w:cs="宋体"/>
          <w:color w:val="000000" w:themeColor="text1"/>
          <w:highlight w:val="none"/>
          <w14:textFill>
            <w14:solidFill>
              <w14:schemeClr w14:val="tx1"/>
            </w14:solidFill>
          </w14:textFill>
        </w:rPr>
        <w:t xml:space="preserve">及格式</w:t>
      </w:r>
      <w:bookmarkEnd w:id="254"/>
      <w:r>
        <w:rPr>
          <w:rFonts w:hint="eastAsia"/>
          <w:color w:val="000000" w:themeColor="text1"/>
          <w:highlight w:val="none"/>
          <w14:textFill>
            <w14:solidFill>
              <w14:schemeClr w14:val="tx1"/>
            </w14:solidFill>
          </w14:textFill>
        </w:rPr>
        <w:t xml:space="preserve">（参考）</w:t>
      </w:r>
      <w:r/>
    </w:p>
    <w:p>
      <w:pPr>
        <w:jc w:val="center"/>
        <w:spacing w:after="120" w:line="300" w:lineRule="exact"/>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南京市儿童医院医疗设备购销合同</w:t>
      </w:r>
      <w:r/>
    </w:p>
    <w:p>
      <w:pPr>
        <w:jc w:val="center"/>
        <w:spacing w:line="3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甲方：南京市儿童医院</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                                           联系人：          电话：</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根据《中华人民共和国政府采购法》、《中华人民共和国民法典》及</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（项目编号：</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）的《采购文件》及乙方的《响应文件》及</w:t>
      </w:r>
      <w:r>
        <w:rPr>
          <w:rFonts w:hint="eastAsia" w:ascii="宋体" w:hAnsi="宋体"/>
          <w:color w:val="000000" w:themeColor="text1"/>
          <w:szCs w:val="21"/>
          <w:highlight w:val="none"/>
          <w:lang w:val="en-US" w:eastAsia="zh-CN"/>
          <w14:textFill>
            <w14:solidFill>
              <w14:schemeClr w14:val="tx1"/>
            </w14:solidFill>
          </w14:textFill>
        </w:rPr>
        <w:t xml:space="preserve">中标</w:t>
      </w:r>
      <w:r>
        <w:rPr>
          <w:rFonts w:hint="eastAsia" w:ascii="宋体" w:hAnsi="宋体"/>
          <w:color w:val="000000" w:themeColor="text1"/>
          <w:szCs w:val="21"/>
          <w:highlight w:val="none"/>
          <w14:textFill>
            <w14:solidFill>
              <w14:schemeClr w14:val="tx1"/>
            </w14:solidFill>
          </w14:textFill>
        </w:rPr>
        <w:t xml:space="preserve">通知书，甲乙双方就医疗设备购销事宜</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签订本合同：</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名称及金额：</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1233"/>
        <w:gridCol w:w="1311"/>
        <w:gridCol w:w="949"/>
        <w:gridCol w:w="1487"/>
        <w:gridCol w:w="595"/>
        <w:gridCol w:w="979"/>
        <w:gridCol w:w="982"/>
      </w:tblGrid>
      <w:tr>
        <w:trPr>
          <w:trHeight w:val="437"/>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w:t>
            </w:r>
            <w:r/>
          </w:p>
        </w:tc>
        <w:tc>
          <w:tcPr>
            <w:tcW w:w="698" w:type="pct"/>
            <w:vAlign w:val="center"/>
            <w:textDirection w:val="lrTb"/>
            <w:noWrap w:val="false"/>
          </w:tcPr>
          <w:p>
            <w:pPr>
              <w:jc w:val="cente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注册证产品名称</w:t>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注册（备案）证号</w:t>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842"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生产厂商</w:t>
            </w:r>
            <w:r/>
          </w:p>
        </w:tc>
        <w:tc>
          <w:tcPr>
            <w:tcW w:w="337"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55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w:t>
            </w:r>
            <w:r/>
          </w:p>
        </w:tc>
        <w:tc>
          <w:tcPr>
            <w:tcW w:w="55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总金额（元）</w:t>
            </w:r>
            <w:r/>
          </w:p>
        </w:tc>
      </w:tr>
      <w:tr>
        <w:trPr>
          <w:trHeight w:val="369"/>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314"/>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500"/>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合同总额</w:t>
            </w:r>
            <w:r/>
          </w:p>
        </w:tc>
        <w:tc>
          <w:tcPr>
            <w:gridSpan w:val="7"/>
            <w:tcW w:w="42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人民币</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小写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p>
        </w:tc>
      </w:tr>
    </w:tbl>
    <w:p>
      <w:pPr>
        <w:ind w:left="540"/>
        <w:spacing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注：医疗器械的产品名称、型号应与注册证中的注册名相同；属于法定商检的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需进行商检；乙方保证成交价格不高于市场成交价，若高于市场成交价</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乙方应承担超出部分。属于计量器具的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需提交计量检定证书或进口型式批准证书，乙方提供的产品应保证计量合格，乙方应承担初次计量检测费用。</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设备的详细配置、随机的必备品、配件、工具及其</w:t>
      </w:r>
      <w:r>
        <w:rPr>
          <w:rFonts w:hint="eastAsia" w:ascii="宋体" w:hAnsi="宋体"/>
          <w:color w:val="000000" w:themeColor="text1"/>
          <w:szCs w:val="21"/>
          <w:highlight w:val="none"/>
          <w:lang w:eastAsia="zh-Hans"/>
          <w14:textFill>
            <w14:solidFill>
              <w14:schemeClr w14:val="tx1"/>
            </w14:solidFill>
          </w14:textFill>
        </w:rPr>
        <w:t xml:space="preserve">他</w:t>
      </w:r>
      <w:r>
        <w:rPr>
          <w:rFonts w:hint="eastAsia" w:ascii="宋体" w:hAnsi="宋体"/>
          <w:color w:val="000000" w:themeColor="text1"/>
          <w:szCs w:val="21"/>
          <w:highlight w:val="none"/>
          <w14:textFill>
            <w14:solidFill>
              <w14:schemeClr w14:val="tx1"/>
            </w14:solidFill>
          </w14:textFill>
        </w:rPr>
        <w:t xml:space="preserve">物品的数量和供应方法见附件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合同签订前</w:t>
      </w:r>
      <w:r>
        <w:rPr>
          <w:rFonts w:hint="eastAsia" w:ascii="宋体" w:hAnsi="宋体"/>
          <w:color w:val="000000" w:themeColor="text1"/>
          <w:szCs w:val="21"/>
          <w:highlight w:val="none"/>
          <w14:textFill>
            <w14:solidFill>
              <w14:schemeClr w14:val="tx1"/>
            </w14:solidFill>
          </w14:textFill>
        </w:rPr>
        <w:t xml:space="preserve">需医院使用科室负责人签字确认</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设备的交付期：自双方合同签订后的</w:t>
      </w:r>
      <w:r>
        <w:rPr>
          <w:rFonts w:hint="default" w:ascii="宋体" w:hAnsi="宋体"/>
          <w:color w:val="000000" w:themeColor="text1"/>
          <w:szCs w:val="21"/>
          <w:highlight w:val="none"/>
          <w:u w:val="single"/>
          <w:lang w:val="en-US"/>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工作</w:t>
      </w:r>
      <w:r>
        <w:rPr>
          <w:rFonts w:hint="default" w:ascii="宋体" w:hAnsi="宋体"/>
          <w:color w:val="000000" w:themeColor="text1"/>
          <w:szCs w:val="21"/>
          <w:highlight w:val="none"/>
          <w:lang w:val="en-US" w:eastAsia="zh-CN"/>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内向甲方交付上述设备（如甲方因特殊情况需延长交货应按甲方具体要求）。</w:t>
      </w:r>
      <w:r>
        <w:rPr>
          <w:rFonts w:hint="eastAsia" w:ascii="宋体" w:hAnsi="宋体"/>
          <w:color w:val="000000" w:themeColor="text1"/>
          <w:szCs w:val="21"/>
          <w:highlight w:val="none"/>
          <w:u w:val="none"/>
          <w:lang w:val="en-US" w:eastAsia="zh-CN"/>
          <w14:textFill>
            <w14:solidFill>
              <w14:schemeClr w14:val="tx1"/>
            </w14:solidFill>
          </w14:textFill>
        </w:rPr>
        <w:t xml:space="preserve">如果乙方没有按照合同规定时间交货，每逾期一日，乙方应按逾期交付货物价款总值的0.5‰‌计算，向甲方支付逾期交货违约金，但该违约金总额不超过合同总金额的20%。乙方延期交货30日以上的，则视为乙方不能交货，甲方有权解除本合同，并有权要求乙方承担合同总价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交货方式：乙方确保设备安全无损地运抵甲方指定现场，设备的运费、保险费，安装费等全部由乙方承担。</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安装验收：甲乙双方在符合国家相关技术标准的基础上，根据</w:t>
      </w:r>
      <w:r>
        <w:rPr>
          <w:rFonts w:hint="eastAsia" w:ascii="宋体" w:hAnsi="宋体"/>
          <w:color w:val="000000" w:themeColor="text1"/>
          <w:szCs w:val="21"/>
          <w:highlight w:val="none"/>
          <w:lang w:eastAsia="zh-Hans"/>
          <w14:textFill>
            <w14:solidFill>
              <w14:schemeClr w14:val="tx1"/>
            </w14:solidFill>
          </w14:textFill>
        </w:rPr>
        <w:t xml:space="preserve">约定</w:t>
      </w:r>
      <w:r>
        <w:rPr>
          <w:rFonts w:hint="eastAsia" w:ascii="宋体" w:hAnsi="宋体"/>
          <w:color w:val="000000" w:themeColor="text1"/>
          <w:szCs w:val="21"/>
          <w:highlight w:val="none"/>
          <w14:textFill>
            <w14:solidFill>
              <w14:schemeClr w14:val="tx1"/>
            </w14:solidFill>
          </w14:textFill>
        </w:rPr>
        <w:t xml:space="preserve">的技术标准进行技术验收，验收合格后，双方在甲方《验收合格单》上签字确认。甲方签字并不视为乙方无产品质量问题，乙方仍应对产品质量缺陷或瑕疵负有责任。</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质量标准：根据国家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出厂有关标准</w:t>
      </w:r>
      <w:r>
        <w:rPr>
          <w:rFonts w:hint="eastAsia" w:ascii="宋体" w:hAnsi="宋体"/>
          <w:color w:val="000000" w:themeColor="text1"/>
          <w:szCs w:val="21"/>
          <w:highlight w:val="none"/>
          <w:lang w:eastAsia="zh-Hans"/>
          <w14:textFill>
            <w14:solidFill>
              <w14:schemeClr w14:val="tx1"/>
            </w14:solidFill>
          </w14:textFill>
        </w:rPr>
        <w:t xml:space="preserve">及约定标准</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如有约定</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。乙方保证向甲方提供已取得医疗器械注册证的全新原包装合格产品。若乙方所提供的产品因产品资质或质量出现问题，造成罚款或医疗事故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损害</w:t>
      </w:r>
      <w:r>
        <w:rPr>
          <w:rFonts w:hint="eastAsia" w:ascii="宋体" w:hAnsi="宋体"/>
          <w:color w:val="000000" w:themeColor="text1"/>
          <w:szCs w:val="21"/>
          <w:highlight w:val="none"/>
          <w14:textFill>
            <w14:solidFill>
              <w14:schemeClr w14:val="tx1"/>
            </w14:solidFill>
          </w14:textFill>
        </w:rPr>
        <w:t xml:space="preserve">赔偿等责任的，由乙方承担全部责任（甲方使用不当除外）</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甲方有权要求解除本合同，并有权要求乙方支付合同价款20%的违约金。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操作培训：乙方应派专业技术人员在项目现场对甲方使用人员进行培训或指导，确保甲方使用人员熟练使用设备，在使用一段时间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具体由甲方决定</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可根据甲方的要求另行安排培训计划。</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因乙方未培训或者未指导到位造成甲方人员在使用过程中造成的全部损失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由乙方承担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甲方有权要求乙方承担合同价款20%的违约金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付款方式</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选择打</w:t>
      </w:r>
      <w:r>
        <w:rPr>
          <w:rFonts w:ascii="宋体" w:hAnsi="宋体" w:cs="Arial"/>
          <w:color w:val="000000" w:themeColor="text1"/>
          <w:szCs w:val="21"/>
          <w:highlight w:val="none"/>
          <w:lang w:eastAsia="zh-Hans"/>
          <w14:textFill>
            <w14:solidFill>
              <w14:schemeClr w14:val="tx1"/>
            </w14:solidFill>
          </w14:textFill>
        </w:rPr>
        <w:t xml:space="preserve">√，</w:t>
      </w:r>
      <w:r>
        <w:rPr>
          <w:rFonts w:hint="eastAsia" w:ascii="宋体" w:hAnsi="宋体" w:cs="Arial"/>
          <w:color w:val="000000" w:themeColor="text1"/>
          <w:szCs w:val="21"/>
          <w:highlight w:val="none"/>
          <w:lang w:eastAsia="zh-Hans"/>
          <w14:textFill>
            <w14:solidFill>
              <w14:schemeClr w14:val="tx1"/>
            </w14:solidFill>
          </w14:textFill>
        </w:rPr>
        <w:t xml:space="preserve">其他打</w:t>
      </w:r>
      <w:r>
        <w:rPr>
          <w:rFonts w:ascii="宋体" w:hAnsi="宋体" w:cs="Arial"/>
          <w:color w:val="000000" w:themeColor="text1"/>
          <w:szCs w:val="21"/>
          <w:highlight w:val="none"/>
          <w:lang w:eastAsia="zh-Hans"/>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630"/>
        <w:spacing w:line="300" w:lineRule="exact"/>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设备到货安装验收，正常运行</w:t>
      </w:r>
      <w:r>
        <w:rPr>
          <w:rFonts w:hint="eastAsia" w:ascii="宋体" w:hAnsi="宋体"/>
          <w:color w:val="000000" w:themeColor="text1"/>
          <w:szCs w:val="21"/>
          <w:highlight w:val="none"/>
          <w:lang w:val="en-US" w:eastAsia="zh-CN"/>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天且收到乙方正式发票后3</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天内首付合同总价90%，正常运行一年后付清10%。</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索赔条款：</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不符合本合同约定，</w:t>
      </w:r>
      <w:r>
        <w:rPr>
          <w:rFonts w:hint="eastAsia" w:ascii="宋体" w:hAnsi="宋体"/>
          <w:color w:val="000000" w:themeColor="text1"/>
          <w:szCs w:val="21"/>
          <w:highlight w:val="none"/>
          <w:lang w:eastAsia="zh-Hans"/>
          <w14:textFill>
            <w14:solidFill>
              <w14:schemeClr w14:val="tx1"/>
            </w14:solidFill>
          </w14:textFill>
        </w:rPr>
        <w:t xml:space="preserve">乙方同意</w:t>
      </w:r>
      <w:r>
        <w:rPr>
          <w:rFonts w:hint="eastAsia" w:ascii="宋体" w:hAnsi="宋体"/>
          <w:color w:val="000000" w:themeColor="text1"/>
          <w:szCs w:val="21"/>
          <w:highlight w:val="none"/>
          <w14:textFill>
            <w14:solidFill>
              <w14:schemeClr w14:val="tx1"/>
            </w14:solidFill>
          </w14:textFill>
        </w:rPr>
        <w:t xml:space="preserve">甲方有权</w:t>
      </w:r>
      <w:r>
        <w:rPr>
          <w:rFonts w:hint="eastAsia" w:ascii="宋体" w:hAnsi="宋体"/>
          <w:color w:val="000000" w:themeColor="text1"/>
          <w:szCs w:val="21"/>
          <w:highlight w:val="none"/>
          <w:lang w:eastAsia="zh-Hans"/>
          <w14:textFill>
            <w14:solidFill>
              <w14:schemeClr w14:val="tx1"/>
            </w14:solidFill>
          </w14:textFill>
        </w:rPr>
        <w:t xml:space="preserve">单方</w:t>
      </w:r>
      <w:r>
        <w:rPr>
          <w:rFonts w:hint="eastAsia" w:ascii="宋体" w:hAnsi="宋体"/>
          <w:color w:val="000000" w:themeColor="text1"/>
          <w:szCs w:val="21"/>
          <w:highlight w:val="none"/>
          <w14:textFill>
            <w14:solidFill>
              <w14:schemeClr w14:val="tx1"/>
            </w14:solidFill>
          </w14:textFill>
        </w:rPr>
        <w:t xml:space="preserve">选择下列方式之一</w:t>
      </w:r>
      <w:r>
        <w:rPr>
          <w:rFonts w:hint="eastAsia" w:ascii="宋体" w:hAnsi="宋体"/>
          <w:color w:val="000000" w:themeColor="text1"/>
          <w:szCs w:val="21"/>
          <w:highlight w:val="none"/>
          <w:lang w:eastAsia="zh-Hans"/>
          <w14:textFill>
            <w14:solidFill>
              <w14:schemeClr w14:val="tx1"/>
            </w14:solidFill>
          </w14:textFill>
        </w:rPr>
        <w:t xml:space="preserve">处理</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（1）退货</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货款全额</w:t>
      </w:r>
      <w:r>
        <w:rPr>
          <w:rFonts w:hint="eastAsia" w:ascii="宋体" w:hAnsi="宋体"/>
          <w:color w:val="000000" w:themeColor="text1"/>
          <w:szCs w:val="21"/>
          <w:highlight w:val="none"/>
          <w:lang w:eastAsia="zh-Hans"/>
          <w14:textFill>
            <w14:solidFill>
              <w14:schemeClr w14:val="tx1"/>
            </w14:solidFill>
          </w14:textFill>
        </w:rPr>
        <w:t xml:space="preserve">退</w:t>
      </w:r>
      <w:r>
        <w:rPr>
          <w:rFonts w:hint="eastAsia" w:ascii="宋体" w:hAnsi="宋体"/>
          <w:color w:val="000000" w:themeColor="text1"/>
          <w:szCs w:val="21"/>
          <w:highlight w:val="none"/>
          <w14:textFill>
            <w14:solidFill>
              <w14:schemeClr w14:val="tx1"/>
            </w14:solidFill>
          </w14:textFill>
        </w:rPr>
        <w:t xml:space="preserve">还，</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承担合同价款20%的违约金，违约金不足以弥补损失的，</w:t>
      </w:r>
      <w:r>
        <w:rPr>
          <w:rFonts w:hint="eastAsia" w:ascii="宋体" w:hAnsi="宋体"/>
          <w:color w:val="000000" w:themeColor="text1"/>
          <w:szCs w:val="21"/>
          <w:highlight w:val="none"/>
          <w:lang w:eastAsia="zh-Hans"/>
          <w14:textFill>
            <w14:solidFill>
              <w14:schemeClr w14:val="tx1"/>
            </w14:solidFill>
          </w14:textFill>
        </w:rPr>
        <w:t xml:space="preserve">另行赔偿</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Hans"/>
          <w14:textFill>
            <w14:solidFill>
              <w14:schemeClr w14:val="tx1"/>
            </w14:solidFill>
          </w14:textFill>
        </w:rPr>
        <w:t xml:space="preserve">折价</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按照</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的疵劣程度、损坏的范围和甲方所遭受的损失，</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将</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折损的价值向甲方退还货款，并</w:t>
      </w:r>
      <w:r>
        <w:rPr>
          <w:rFonts w:hint="eastAsia" w:ascii="宋体" w:hAnsi="宋体"/>
          <w:color w:val="000000" w:themeColor="text1"/>
          <w:szCs w:val="21"/>
          <w:highlight w:val="none"/>
          <w:lang w:eastAsia="zh-Hans"/>
          <w14:textFill>
            <w14:solidFill>
              <w14:schemeClr w14:val="tx1"/>
            </w14:solidFill>
          </w14:textFill>
        </w:rPr>
        <w:t xml:space="preserve">赔偿</w:t>
      </w:r>
      <w:r>
        <w:rPr>
          <w:rFonts w:hint="eastAsia" w:ascii="宋体" w:hAnsi="宋体"/>
          <w:color w:val="000000" w:themeColor="text1"/>
          <w:szCs w:val="21"/>
          <w:highlight w:val="none"/>
          <w14:textFill>
            <w14:solidFill>
              <w14:schemeClr w14:val="tx1"/>
            </w14:solidFill>
          </w14:textFill>
        </w:rPr>
        <w:t xml:space="preserve">甲方损失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损失难以确定的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eastAsia="zh-Hans"/>
          <w14:textFill>
            <w14:solidFill>
              <w14:schemeClr w14:val="tx1"/>
            </w14:solidFill>
          </w14:textFill>
        </w:rPr>
        <w:t xml:space="preserve">计算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（3）换</w:t>
      </w:r>
      <w:r>
        <w:rPr>
          <w:rFonts w:hint="eastAsia" w:ascii="宋体" w:hAnsi="宋体"/>
          <w:color w:val="000000" w:themeColor="text1"/>
          <w:szCs w:val="21"/>
          <w:highlight w:val="none"/>
          <w:lang w:eastAsia="zh-Hans"/>
          <w14:textFill>
            <w14:solidFill>
              <w14:schemeClr w14:val="tx1"/>
            </w14:solidFill>
          </w14:textFill>
        </w:rPr>
        <w:t xml:space="preserve">货</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调换有瑕疵的</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，换货必须全新并符合本合同规定的规格、质量和性能，乙方负责因此产生的一切费用和损失。</w:t>
      </w:r>
      <w:r/>
    </w:p>
    <w:p>
      <w:pPr>
        <w:ind w:left="540"/>
        <w:spacing w:line="3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本合同中的违约责任</w:t>
      </w:r>
      <w:r>
        <w:rPr>
          <w:rFonts w:hint="eastAsia" w:ascii="宋体" w:hAnsi="宋体"/>
          <w:color w:val="000000" w:themeColor="text1"/>
          <w:szCs w:val="21"/>
          <w:highlight w:val="none"/>
          <w14:textFill>
            <w14:solidFill>
              <w14:schemeClr w14:val="tx1"/>
            </w14:solidFill>
          </w14:textFill>
        </w:rPr>
        <w:t xml:space="preserve">包括但不限于运费、鉴定费、差旅费、律师费等</w:t>
      </w:r>
      <w:r>
        <w:rPr>
          <w:rFonts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权利瑕疵：乙方保证</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不存在侵犯任何第三方包括知识产权在内的任何合法权益</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因乙方侵权行为导致甲方损失</w:t>
      </w:r>
      <w:r>
        <w:rPr>
          <w:rFonts w:hint="eastAsia" w:ascii="宋体" w:hAnsi="宋体"/>
          <w:color w:val="000000" w:themeColor="text1"/>
          <w:szCs w:val="21"/>
          <w:highlight w:val="none"/>
          <w:lang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，由乙方承担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乙方并应按照设备价款的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lang w:eastAsia="zh-Hans"/>
          <w14:textFill>
            <w14:solidFill>
              <w14:schemeClr w14:val="tx1"/>
            </w14:solidFill>
          </w14:textFill>
        </w:rPr>
        <w:t xml:space="preserve">承担违约金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合同售后条款：该设备（含所有部分）自验收报告确认签字日起</w:t>
      </w:r>
      <w:r>
        <w:rPr>
          <w:rFonts w:hint="eastAsia" w:ascii="宋体" w:hAnsi="宋体"/>
          <w:color w:val="000000" w:themeColor="text1"/>
          <w:szCs w:val="21"/>
          <w:highlight w:val="none"/>
          <w:lang w:val="en-US" w:eastAsia="zh-CN"/>
          <w14:textFill>
            <w14:solidFill>
              <w14:schemeClr w14:val="tx1"/>
            </w14:solidFill>
          </w14:textFill>
        </w:rPr>
        <w:t xml:space="preserve">原厂</w:t>
      </w:r>
      <w:r>
        <w:rPr>
          <w:rFonts w:hint="eastAsia" w:ascii="宋体" w:hAnsi="宋体"/>
          <w:color w:val="000000" w:themeColor="text1"/>
          <w:szCs w:val="21"/>
          <w:highlight w:val="none"/>
          <w14:textFill>
            <w14:solidFill>
              <w14:schemeClr w14:val="tx1"/>
            </w14:solidFill>
          </w14:textFill>
        </w:rPr>
        <w:t xml:space="preserve">免费保修</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质保期满后，乙方负责终身维修，免人工费，只收配件费用。所有随设备配置物品享受同等保修权利。保修</w:t>
      </w:r>
      <w:r>
        <w:rPr>
          <w:rFonts w:hint="eastAsia" w:ascii="宋体" w:hAnsi="宋体"/>
          <w:color w:val="000000" w:themeColor="text1"/>
          <w:szCs w:val="21"/>
          <w:highlight w:val="none"/>
          <w:lang w:eastAsia="zh-Hans"/>
          <w14:textFill>
            <w14:solidFill>
              <w14:schemeClr w14:val="tx1"/>
            </w14:solidFill>
          </w14:textFill>
        </w:rPr>
        <w:t xml:space="preserve">响应时间为收到甲方通知后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小时内到场处理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小时内恢复正常</w:t>
      </w:r>
      <w:r>
        <w:rPr>
          <w:rFonts w:hint="eastAsia" w:ascii="宋体" w:hAnsi="宋体"/>
          <w:color w:val="000000" w:themeColor="text1"/>
          <w:szCs w:val="21"/>
          <w:highlight w:val="none"/>
          <w14:textFill>
            <w14:solidFill>
              <w14:schemeClr w14:val="tx1"/>
            </w14:solidFill>
          </w14:textFill>
        </w:rPr>
        <w:t xml:space="preserve">使用</w:t>
      </w:r>
      <w:r>
        <w:rPr>
          <w:rFonts w:hint="eastAsia" w:ascii="宋体" w:hAnsi="宋体"/>
          <w:color w:val="000000" w:themeColor="text1"/>
          <w:szCs w:val="21"/>
          <w:highlight w:val="none"/>
          <w:lang w:eastAsia="zh-Hans"/>
          <w14:textFill>
            <w14:solidFill>
              <w14:schemeClr w14:val="tx1"/>
            </w14:solidFill>
          </w14:textFill>
        </w:rPr>
        <w:t xml:space="preserve">状态</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因配件无货等客观困难不能按时恢复正常使用状态的，经与甲方协商可以适当延期，但最迟不得超过</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若达到</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天仍不能恢复的，乙方须提供备用设备。</w:t>
      </w:r>
      <w:r>
        <w:rPr>
          <w:rFonts w:hint="eastAsia" w:ascii="宋体" w:hAnsi="宋体"/>
          <w:color w:val="000000" w:themeColor="text1"/>
          <w:szCs w:val="21"/>
          <w:highlight w:val="none"/>
          <w:lang w:eastAsia="zh-Hans"/>
          <w14:textFill>
            <w14:solidFill>
              <w14:schemeClr w14:val="tx1"/>
            </w14:solidFill>
          </w14:textFill>
        </w:rPr>
        <w:t xml:space="preserve">未在约定时间内到场处理的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w:t>
      </w:r>
      <w:r>
        <w:rPr>
          <w:rFonts w:ascii="宋体" w:hAnsi="宋体"/>
          <w:color w:val="000000" w:themeColor="text1"/>
          <w:szCs w:val="21"/>
          <w:highlight w:val="none"/>
          <w:lang w:eastAsia="zh-Hans"/>
          <w14:textFill>
            <w14:solidFill>
              <w14:schemeClr w14:val="tx1"/>
            </w14:solidFill>
          </w14:textFill>
        </w:rPr>
        <w:t xml:space="preserve">1000</w:t>
      </w:r>
      <w:r>
        <w:rPr>
          <w:rFonts w:hint="eastAsia" w:ascii="宋体" w:hAnsi="宋体"/>
          <w:color w:val="000000" w:themeColor="text1"/>
          <w:szCs w:val="21"/>
          <w:highlight w:val="none"/>
          <w:lang w:eastAsia="zh-Hans"/>
          <w14:textFill>
            <w14:solidFill>
              <w14:schemeClr w14:val="tx1"/>
            </w14:solidFill>
          </w14:textFill>
        </w:rPr>
        <w:t xml:space="preserve">元的迟延违约金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未按照</w:t>
      </w:r>
      <w:r>
        <w:rPr>
          <w:rFonts w:hint="eastAsia" w:ascii="宋体" w:hAnsi="宋体"/>
          <w:color w:val="000000" w:themeColor="text1"/>
          <w:szCs w:val="21"/>
          <w:highlight w:val="none"/>
          <w14:textFill>
            <w14:solidFill>
              <w14:schemeClr w14:val="tx1"/>
            </w14:solidFill>
          </w14:textFill>
        </w:rPr>
        <w:t xml:space="preserve">约定</w:t>
      </w:r>
      <w:r>
        <w:rPr>
          <w:rFonts w:hint="eastAsia" w:ascii="宋体" w:hAnsi="宋体"/>
          <w:color w:val="000000" w:themeColor="text1"/>
          <w:szCs w:val="21"/>
          <w:highlight w:val="none"/>
          <w:lang w:eastAsia="zh-Hans"/>
          <w14:textFill>
            <w14:solidFill>
              <w14:schemeClr w14:val="tx1"/>
            </w14:solidFill>
          </w14:textFill>
        </w:rPr>
        <w:t xml:space="preserve">提供备用机的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承担该设备价款</w:t>
      </w:r>
      <w:r>
        <w:rPr>
          <w:rFonts w:ascii="宋体" w:hAnsi="宋体"/>
          <w:color w:val="000000" w:themeColor="text1"/>
          <w:szCs w:val="21"/>
          <w:highlight w:val="none"/>
          <w:lang w:eastAsia="zh-Hans"/>
          <w14:textFill>
            <w14:solidFill>
              <w14:schemeClr w14:val="tx1"/>
            </w14:solidFill>
          </w14:textFill>
        </w:rPr>
        <w:t xml:space="preserve">5%</w:t>
      </w:r>
      <w:r>
        <w:rPr>
          <w:rFonts w:hint="eastAsia" w:ascii="宋体" w:hAnsi="宋体"/>
          <w:color w:val="000000" w:themeColor="text1"/>
          <w:szCs w:val="21"/>
          <w:highlight w:val="none"/>
          <w:lang w:eastAsia="zh-Hans"/>
          <w14:textFill>
            <w14:solidFill>
              <w14:schemeClr w14:val="tx1"/>
            </w14:solidFill>
          </w14:textFill>
        </w:rPr>
        <w:t xml:space="preserve">的违约金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lang w:eastAsia="zh-Hans"/>
          <w14:textFill>
            <w14:solidFill>
              <w14:schemeClr w14:val="tx1"/>
            </w14:solidFill>
          </w14:textFill>
        </w:rPr>
        <w:t xml:space="preserve">并</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14:textFill>
            <w14:solidFill>
              <w14:schemeClr w14:val="tx1"/>
            </w14:solidFill>
          </w14:textFill>
        </w:rPr>
        <w:t xml:space="preserve">承担甲方因此产生的全部损失</w:t>
      </w:r>
      <w:r>
        <w:rPr>
          <w:rFonts w:ascii="宋体" w:hAnsi="宋体"/>
          <w:color w:val="000000" w:themeColor="text1"/>
          <w:szCs w:val="21"/>
          <w:highlight w:val="none"/>
          <w:lang w:eastAsia="zh-Hans"/>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违约责任：自本合同履约之日起，双方应严格履约:</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若任何一方违反本合同规定，应赔偿由此给其他方造成的损失。</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因乙方的违约行为给甲方造成损失的（包括所有直接和间接损失），如果违约金不足以补偿该损失部分的，甲方有权继续要求乙方另行赔偿甲方所有实际损失，并保留申诉的权利。</w:t>
      </w:r>
      <w:r/>
    </w:p>
    <w:p>
      <w:pPr>
        <w:numPr>
          <w:ilvl w:val="0"/>
          <w:numId w:val="3"/>
        </w:numPr>
        <w:ind w:left="540" w:hanging="540"/>
        <w:spacing w:line="300" w:lineRule="exact"/>
        <w:tabs>
          <w:tab w:val="left" w:pos="540" w:leader="none"/>
          <w:tab w:val="clear" w:pos="1320" w:leader="none"/>
        </w:tabs>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廉政约定</w:t>
      </w:r>
      <w:r>
        <w:rPr>
          <w:rFonts w:ascii="宋体" w:hAnsi="宋体"/>
          <w:color w:val="000000" w:themeColor="text1"/>
          <w:szCs w:val="21"/>
          <w:highlight w:val="none"/>
          <w:lang w:eastAsia="zh-Hans"/>
          <w14:textFill>
            <w14:solidFill>
              <w14:schemeClr w14:val="tx1"/>
            </w14:solidFill>
          </w14:textFill>
        </w:rPr>
        <w:t xml:space="preserve">：</w:t>
      </w:r>
      <w:r>
        <w:rPr>
          <w:rFonts w:ascii="宋体" w:hAnsi="宋体" w:cs="楷体_GB2312"/>
          <w:color w:val="000000" w:themeColor="text1"/>
          <w:szCs w:val="21"/>
          <w:highlight w:val="none"/>
          <w:lang w:val="zh-TW"/>
          <w14:textFill>
            <w14:solidFill>
              <w14:schemeClr w14:val="tx1"/>
            </w14:solidFill>
          </w14:textFill>
        </w:rPr>
        <w:t xml:space="preserve">乙方应加强对销售代表的管理，销</w:t>
      </w:r>
      <w:r>
        <w:rPr>
          <w:rFonts w:hint="eastAsia" w:ascii="宋体" w:hAnsi="宋体"/>
          <w:color w:val="000000" w:themeColor="text1"/>
          <w:szCs w:val="21"/>
          <w:highlight w:val="none"/>
          <w:lang w:val="zh-TW"/>
          <w14:textFill>
            <w14:solidFill>
              <w14:schemeClr w14:val="tx1"/>
            </w14:solidFill>
          </w14:textFill>
        </w:rPr>
        <w:t xml:space="preserve">售代表</w:t>
      </w:r>
      <w:r>
        <w:rPr>
          <w:rFonts w:hint="eastAsia" w:ascii="宋体" w:hAnsi="宋体"/>
          <w:color w:val="000000" w:themeColor="text1"/>
          <w:szCs w:val="21"/>
          <w:highlight w:val="none"/>
          <w:lang w:eastAsia="zh-Hans"/>
          <w14:textFill>
            <w14:solidFill>
              <w14:schemeClr w14:val="tx1"/>
            </w14:solidFill>
          </w14:textFill>
        </w:rPr>
        <w:t xml:space="preserve">发生</w:t>
      </w:r>
      <w:r>
        <w:rPr>
          <w:rFonts w:hint="eastAsia" w:ascii="宋体" w:hAnsi="宋体"/>
          <w:color w:val="000000" w:themeColor="text1"/>
          <w:szCs w:val="21"/>
          <w:highlight w:val="none"/>
          <w:lang w:val="zh-TW"/>
          <w14:textFill>
            <w14:solidFill>
              <w14:schemeClr w14:val="tx1"/>
            </w14:solidFill>
          </w14:textFill>
        </w:rPr>
        <w:t xml:space="preserve">不</w:t>
      </w:r>
      <w:r>
        <w:rPr>
          <w:rFonts w:ascii="宋体" w:hAnsi="宋体" w:cs="楷体_GB2312"/>
          <w:color w:val="000000" w:themeColor="text1"/>
          <w:szCs w:val="21"/>
          <w:highlight w:val="none"/>
          <w:lang w:val="zh-TW"/>
          <w14:textFill>
            <w14:solidFill>
              <w14:schemeClr w14:val="tx1"/>
            </w14:solidFill>
          </w14:textFill>
        </w:rPr>
        <w:t xml:space="preserve">良行为的，甲方有权</w:t>
      </w:r>
      <w:r>
        <w:rPr>
          <w:rFonts w:hint="eastAsia" w:ascii="宋体" w:hAnsi="宋体" w:cs="楷体_GB2312"/>
          <w:color w:val="000000" w:themeColor="text1"/>
          <w:szCs w:val="21"/>
          <w:highlight w:val="none"/>
          <w:lang w:eastAsia="zh-Hans"/>
          <w14:textFill>
            <w14:solidFill>
              <w14:schemeClr w14:val="tx1"/>
            </w14:solidFill>
          </w14:textFill>
        </w:rPr>
        <w:t xml:space="preserve">解除</w:t>
      </w:r>
      <w:r>
        <w:rPr>
          <w:rFonts w:ascii="宋体" w:hAnsi="宋体" w:cs="楷体_GB2312"/>
          <w:color w:val="000000" w:themeColor="text1"/>
          <w:szCs w:val="21"/>
          <w:highlight w:val="none"/>
          <w:lang w:val="zh-TW"/>
          <w14:textFill>
            <w14:solidFill>
              <w14:schemeClr w14:val="tx1"/>
            </w14:solidFill>
          </w14:textFill>
        </w:rPr>
        <w:t xml:space="preserve">合同</w:t>
      </w:r>
      <w:r>
        <w:rPr>
          <w:rFonts w:hint="eastAsia" w:ascii="宋体" w:hAnsi="宋体" w:cs="楷体_GB2312"/>
          <w:color w:val="000000" w:themeColor="text1"/>
          <w:szCs w:val="21"/>
          <w:highlight w:val="none"/>
          <w:lang w:val="zh-TW"/>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争议解决方式</w:t>
      </w:r>
      <w:r>
        <w:rPr>
          <w:rFonts w:ascii="宋体" w:hAnsi="宋体" w:cs="楷体_GB2312"/>
          <w:color w:val="000000" w:themeColor="text1"/>
          <w:szCs w:val="21"/>
          <w:highlight w:val="none"/>
          <w:lang w:val="zh-TW"/>
          <w14:textFill>
            <w14:solidFill>
              <w14:schemeClr w14:val="tx1"/>
            </w14:solidFill>
          </w14:textFill>
        </w:rPr>
        <w:t xml:space="preserve">：</w:t>
      </w:r>
      <w:r>
        <w:rPr>
          <w:rFonts w:ascii="宋体" w:hAnsi="宋体" w:cs="楷体_GB2312"/>
          <w:color w:val="000000" w:themeColor="text1"/>
          <w:szCs w:val="21"/>
          <w:highlight w:val="none"/>
          <w:lang w:val="zh-TW" w:eastAsia="zh-Hans"/>
          <w14:textFill>
            <w14:solidFill>
              <w14:schemeClr w14:val="tx1"/>
            </w14:solidFill>
          </w14:textFill>
        </w:rPr>
        <w:t xml:space="preserve">因签订、履行</w:t>
      </w:r>
      <w:r>
        <w:rPr>
          <w:rFonts w:ascii="宋体" w:hAnsi="宋体" w:cs="楷体_GB2312"/>
          <w:color w:val="000000" w:themeColor="text1"/>
          <w:szCs w:val="21"/>
          <w:highlight w:val="none"/>
          <w:lang w:val="zh-TW"/>
          <w14:textFill>
            <w14:solidFill>
              <w14:schemeClr w14:val="tx1"/>
            </w14:solidFill>
          </w14:textFill>
        </w:rPr>
        <w:t xml:space="preserve">本合同</w:t>
      </w:r>
      <w:r>
        <w:rPr>
          <w:rFonts w:ascii="宋体" w:hAnsi="宋体" w:cs="楷体_GB2312"/>
          <w:color w:val="000000" w:themeColor="text1"/>
          <w:szCs w:val="21"/>
          <w:highlight w:val="none"/>
          <w:lang w:val="zh-TW" w:eastAsia="zh-Hans"/>
          <w14:textFill>
            <w14:solidFill>
              <w14:schemeClr w14:val="tx1"/>
            </w14:solidFill>
          </w14:textFill>
        </w:rPr>
        <w:t xml:space="preserve">发生</w:t>
      </w:r>
      <w:r>
        <w:rPr>
          <w:rFonts w:ascii="宋体" w:hAnsi="宋体" w:cs="楷体_GB2312"/>
          <w:color w:val="000000" w:themeColor="text1"/>
          <w:szCs w:val="21"/>
          <w:highlight w:val="none"/>
          <w:lang w:val="zh-TW"/>
          <w14:textFill>
            <w14:solidFill>
              <w14:schemeClr w14:val="tx1"/>
            </w14:solidFill>
          </w14:textFill>
        </w:rPr>
        <w:t xml:space="preserve">争议</w:t>
      </w:r>
      <w:r>
        <w:rPr>
          <w:rFonts w:ascii="宋体" w:hAnsi="宋体" w:cs="楷体_GB2312"/>
          <w:color w:val="000000" w:themeColor="text1"/>
          <w:szCs w:val="21"/>
          <w:highlight w:val="none"/>
          <w:lang w:val="zh-TW"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，协商解决；协商不成的，</w:t>
      </w:r>
      <w:r>
        <w:rPr>
          <w:rFonts w:hint="eastAsia" w:ascii="宋体" w:hAnsi="宋体"/>
          <w:color w:val="000000" w:themeColor="text1"/>
          <w:szCs w:val="21"/>
          <w:highlight w:val="none"/>
          <w:lang w:val="en-US" w:eastAsia="zh-CN"/>
          <w14:textFill>
            <w14:solidFill>
              <w14:schemeClr w14:val="tx1"/>
            </w14:solidFill>
          </w14:textFill>
        </w:rPr>
        <w:t xml:space="preserve">任意一方均有权</w:t>
      </w:r>
      <w:r>
        <w:rPr>
          <w:rFonts w:hint="eastAsia" w:ascii="宋体" w:hAnsi="宋体"/>
          <w:color w:val="000000" w:themeColor="text1"/>
          <w:szCs w:val="21"/>
          <w:highlight w:val="none"/>
          <w14:textFill>
            <w14:solidFill>
              <w14:schemeClr w14:val="tx1"/>
            </w14:solidFill>
          </w14:textFill>
        </w:rPr>
        <w:t xml:space="preserve">向甲方所在地法院起诉</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因此争议产生的律师费、诉讼费等均由败诉方承担</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乙方提供的报价文件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技术响应表</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承诺书与本合同具有相同的法律效力。</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未尽事宜，甲、乙双方以书面形式签订补充协议，补充协议可作为本合同的组成部分。</w:t>
      </w:r>
      <w:r/>
    </w:p>
    <w:p>
      <w:pPr>
        <w:numPr>
          <w:ilvl w:val="0"/>
          <w:numId w:val="3"/>
        </w:numPr>
        <w:ind w:left="539" w:hanging="539"/>
        <w:keepLines w:val="0"/>
        <w:keepNext w:val="0"/>
        <w:pageBreakBefore w:val="0"/>
        <w:spacing w:line="300" w:lineRule="exact"/>
        <w:widowControl w:val="off"/>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其他约定事项</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手写无效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本合同自甲、乙双方签字盖章之日起生效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本合同</w:t>
      </w:r>
      <w:r>
        <w:rPr>
          <w:rFonts w:hint="eastAsia" w:ascii="宋体" w:hAnsi="宋体"/>
          <w:color w:val="000000" w:themeColor="text1"/>
          <w:szCs w:val="21"/>
          <w:highlight w:val="none"/>
          <w14:textFill>
            <w14:solidFill>
              <w14:schemeClr w14:val="tx1"/>
            </w14:solidFill>
          </w14:textFill>
        </w:rPr>
        <w:t xml:space="preserve">以中文书写，</w:t>
      </w:r>
      <w:r>
        <w:rPr>
          <w:rFonts w:hint="eastAsia" w:ascii="宋体" w:hAnsi="宋体"/>
          <w:color w:val="000000" w:themeColor="text1"/>
          <w:szCs w:val="21"/>
          <w:highlight w:val="none"/>
          <w:lang w:eastAsia="zh-Hans"/>
          <w14:textFill>
            <w14:solidFill>
              <w14:schemeClr w14:val="tx1"/>
            </w14:solidFill>
          </w14:textFill>
        </w:rPr>
        <w:t xml:space="preserve">壹</w:t>
      </w:r>
      <w:r>
        <w:rPr>
          <w:rFonts w:hint="eastAsia" w:ascii="宋体" w:hAnsi="宋体"/>
          <w:color w:val="000000" w:themeColor="text1"/>
          <w:szCs w:val="21"/>
          <w:highlight w:val="none"/>
          <w14:textFill>
            <w14:solidFill>
              <w14:schemeClr w14:val="tx1"/>
            </w14:solidFill>
          </w14:textFill>
        </w:rPr>
        <w:t xml:space="preserve">式伍份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甲方持肆份，乙方持壹份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具有相同的法律效力。</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u w:val="single"/>
          <w14:textFill>
            <w14:solidFill>
              <w14:schemeClr w14:val="tx1"/>
            </w14:solidFill>
          </w14:textFill>
        </w:rPr>
        <w:t xml:space="preserve">南京市儿童医院</w:t>
      </w:r>
      <w:r>
        <w:rPr>
          <w:rFonts w:hint="eastAsia" w:ascii="宋体" w:hAnsi="宋体"/>
          <w:color w:val="000000" w:themeColor="text1"/>
          <w:szCs w:val="21"/>
          <w:highlight w:val="none"/>
          <w14:textFill>
            <w14:solidFill>
              <w14:schemeClr w14:val="tx1"/>
            </w14:solidFill>
          </w14:textFill>
        </w:rPr>
        <w:t xml:space="preserve">（盖章）            乙方：</w:t>
      </w:r>
      <w:r>
        <w:rPr>
          <w:rFonts w:hint="eastAsia" w:ascii="宋体" w:hAnsi="宋体"/>
          <w:color w:val="000000" w:themeColor="text1"/>
          <w:szCs w:val="21"/>
          <w:highlight w:val="none"/>
          <w:u w:val="single"/>
          <w14:textFill>
            <w14:solidFill>
              <w14:schemeClr w14:val="tx1"/>
            </w14:solidFill>
          </w14:textFill>
        </w:rPr>
        <w:t xml:space="preserve"> XXXXXX                </w:t>
      </w:r>
      <w:r>
        <w:rPr>
          <w:rFonts w:hint="eastAsia" w:ascii="宋体" w:hAnsi="宋体"/>
          <w:color w:val="000000" w:themeColor="text1"/>
          <w:szCs w:val="21"/>
          <w:highlight w:val="none"/>
          <w14:textFill>
            <w14:solidFill>
              <w14:schemeClr w14:val="tx1"/>
            </w14:solidFill>
          </w14:textFill>
        </w:rPr>
        <w:t xml:space="preserve">（盖章）</w:t>
      </w:r>
      <w:r/>
    </w:p>
    <w:p>
      <w:pPr>
        <w:ind w:left="540"/>
        <w:jc w:val="left"/>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hint="eastAsia" w:ascii="宋体" w:hAnsi="宋体"/>
          <w:color w:val="000000" w:themeColor="text1"/>
          <w:szCs w:val="21"/>
          <w:highlight w:val="none"/>
          <w:u w:val="single"/>
          <w14:textFill>
            <w14:solidFill>
              <w14:schemeClr w14:val="tx1"/>
            </w14:solidFill>
          </w14:textFill>
        </w:rPr>
        <w:t xml:space="preserve">南京市广州路72号、江东南路8号</w:t>
      </w:r>
      <w:r>
        <w:rPr>
          <w:rFonts w:hint="eastAsia" w:ascii="宋体" w:hAnsi="宋体"/>
          <w:color w:val="000000" w:themeColor="text1"/>
          <w:szCs w:val="21"/>
          <w:highlight w:val="none"/>
          <w14:textFill>
            <w14:solidFill>
              <w14:schemeClr w14:val="tx1"/>
            </w14:solidFill>
          </w14:textFill>
        </w:rPr>
        <w:t xml:space="preserve">   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rFonts w:hint="eastAsia" w:ascii="宋体" w:hAnsi="宋体"/>
          <w:color w:val="000000" w:themeColor="text1"/>
          <w:szCs w:val="21"/>
          <w:highlight w:val="none"/>
          <w:u w:val="single"/>
          <w14:textFill>
            <w14:solidFill>
              <w14:schemeClr w14:val="tx1"/>
            </w14:solidFill>
          </w14:textFill>
        </w:rPr>
        <w:t xml:space="preserve">025-83117500 </w:t>
      </w:r>
      <w:r>
        <w:rPr>
          <w:rFonts w:hint="eastAsia" w:ascii="宋体" w:hAnsi="宋体"/>
          <w:color w:val="000000" w:themeColor="text1"/>
          <w:szCs w:val="21"/>
          <w:highlight w:val="none"/>
          <w14:textFill>
            <w14:solidFill>
              <w14:schemeClr w14:val="tx1"/>
            </w14:solidFill>
          </w14:textFill>
        </w:rPr>
        <w:t xml:space="preserve">                 公司联系方式：</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u w:val="single"/>
          <w14:textFill>
            <w14:solidFill>
              <w14:schemeClr w14:val="tx1"/>
            </w14:solidFill>
          </w14:textFill>
        </w:rPr>
        <w:t xml:space="preserve">025-83304239</w:t>
      </w:r>
      <w:r>
        <w:rPr>
          <w:rFonts w:hint="eastAsia" w:ascii="宋体" w:hAnsi="宋体"/>
          <w:color w:val="000000" w:themeColor="text1"/>
          <w:szCs w:val="21"/>
          <w:highlight w:val="none"/>
          <w14:textFill>
            <w14:solidFill>
              <w14:schemeClr w14:val="tx1"/>
            </w14:solidFill>
          </w14:textFill>
        </w:rPr>
        <w:t xml:space="preserve">                      传真：</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甲方法定代表人                          乙方法定代表人</w:t>
      </w:r>
      <w:r/>
    </w:p>
    <w:p>
      <w:pPr>
        <w:ind w:firstLine="63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或授权代表：                           或授权代表：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开户银行：</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账号: </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附件：</w:t>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r>
      <w:r/>
    </w:p>
    <w:p>
      <w:pPr>
        <w:jc w:val="center"/>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配 置 清 单</w:t>
      </w:r>
      <w:r/>
    </w:p>
    <w:p>
      <w:pPr>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br w:type="page" w:clear="all"/>
      </w:r>
      <w:r/>
    </w:p>
    <w:p>
      <w:pPr>
        <w:jc w:val="center"/>
        <w:spacing w:after="156" w:line="3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jc w:val="center"/>
        <w:spacing w:after="156" w:line="48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医疗卫生机构廉洁购销合同</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甲方（医疗卫生机构）： 南京市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儿童</w:t>
      </w:r>
      <w:r>
        <w:rPr>
          <w:rFonts w:hint="eastAsia" w:ascii="宋体" w:hAnsi="宋体" w:eastAsia="宋体" w:cs="宋体"/>
          <w:color w:val="000000" w:themeColor="text1"/>
          <w:sz w:val="21"/>
          <w:szCs w:val="21"/>
          <w:highlight w:val="none"/>
          <w14:textFill>
            <w14:solidFill>
              <w14:schemeClr w14:val="tx1"/>
            </w14:solidFill>
          </w14:textFill>
        </w:rPr>
        <w:t xml:space="preserve">医院</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乙方（企业及其代理人）：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为进一步加强医疗卫生行风建设，规范医疗卫生机构购销行为，有效防范商业贿赂行为，营造公平交易、诚实守信的购销环境，经甲、乙双方协商，同意签订本合同，并共同遵守：</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一、甲乙双方按照《中华人民共和国民法典》及购销合同约定发生购销行为。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二、甲方应当严格执行购销合同项目的验收、入库制度，对产品及发票进行查验，不得违反有关规定合同外采购、违价采购</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从非规定渠道采购。</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三、甲方严禁接受乙方以任何名义、形式给予的回扣，不得将接受捐赠资助与采购挂钩。甲方工作人员不得参加乙方安排</w:t>
      </w:r>
      <w:r>
        <w:rPr>
          <w:rFonts w:hint="eastAsia" w:ascii="宋体" w:hAnsi="宋体" w:cs="宋体"/>
          <w:color w:val="000000" w:themeColor="text1"/>
          <w:sz w:val="21"/>
          <w:szCs w:val="21"/>
          <w:highlight w:val="none"/>
          <w:lang w:eastAsia="zh-CN"/>
          <w14:textFill>
            <w14:solidFill>
              <w14:schemeClr w14:val="tx1"/>
            </w14:solidFill>
          </w14:textFill>
        </w:rPr>
        <w:t xml:space="preserve">、组织或者支付费用的宴请或旅游、健身、</w:t>
      </w:r>
      <w:r>
        <w:rPr>
          <w:rFonts w:hint="eastAsia" w:ascii="宋体" w:hAnsi="宋体" w:eastAsia="宋体" w:cs="宋体"/>
          <w:color w:val="000000" w:themeColor="text1"/>
          <w:sz w:val="21"/>
          <w:szCs w:val="21"/>
          <w:highlight w:val="none"/>
          <w14:textFill>
            <w14:solidFill>
              <w14:schemeClr w14:val="tx1"/>
            </w14:solidFill>
          </w14:textFill>
        </w:rPr>
        <w:t xml:space="preserve">娱乐</w:t>
      </w:r>
      <w:r>
        <w:rPr>
          <w:rFonts w:hint="eastAsia" w:ascii="宋体" w:hAnsi="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活动</w:t>
      </w:r>
      <w:r>
        <w:rPr>
          <w:rFonts w:hint="eastAsia" w:ascii="宋体" w:hAnsi="宋体" w:cs="宋体"/>
          <w:color w:val="000000" w:themeColor="text1"/>
          <w:sz w:val="21"/>
          <w:szCs w:val="21"/>
          <w:highlight w:val="none"/>
          <w:lang w:eastAsia="zh-CN"/>
          <w14:textFill>
            <w14:solidFill>
              <w14:schemeClr w14:val="tx1"/>
            </w14:solidFill>
          </w14:textFill>
        </w:rPr>
        <w:t xml:space="preserve">安排</w:t>
      </w:r>
      <w:r>
        <w:rPr>
          <w:rFonts w:hint="eastAsia" w:ascii="宋体" w:hAnsi="宋体" w:eastAsia="宋体" w:cs="宋体"/>
          <w:color w:val="000000" w:themeColor="text1"/>
          <w:sz w:val="21"/>
          <w:szCs w:val="21"/>
          <w:highlight w:val="none"/>
          <w14:textFill>
            <w14:solidFill>
              <w14:schemeClr w14:val="tx1"/>
            </w14:solidFill>
          </w14:textFill>
        </w:rPr>
        <w:t xml:space="preserve">，不得以任何形式向乙方索要现金、有价证券、支付凭证和</w:t>
      </w:r>
      <w:r>
        <w:rPr>
          <w:rFonts w:hint="eastAsia" w:ascii="宋体" w:hAnsi="宋体" w:cs="宋体"/>
          <w:color w:val="000000" w:themeColor="text1"/>
          <w:sz w:val="21"/>
          <w:szCs w:val="21"/>
          <w:highlight w:val="none"/>
          <w:lang w:eastAsia="zh-CN"/>
          <w14:textFill>
            <w14:solidFill>
              <w14:schemeClr w14:val="tx1"/>
            </w14:solidFill>
          </w14:textFill>
        </w:rPr>
        <w:t xml:space="preserve">贵重</w:t>
      </w:r>
      <w:r>
        <w:rPr>
          <w:rFonts w:hint="eastAsia" w:ascii="宋体" w:hAnsi="宋体" w:eastAsia="宋体" w:cs="宋体"/>
          <w:color w:val="000000" w:themeColor="text1"/>
          <w:sz w:val="21"/>
          <w:szCs w:val="21"/>
          <w:highlight w:val="none"/>
          <w14:textFill>
            <w14:solidFill>
              <w14:schemeClr w14:val="tx1"/>
            </w14:solidFill>
          </w14:textFill>
        </w:rPr>
        <w:t xml:space="preserve">礼品等。被迫接受乙方给予的钱物，应予退还，无法退还的，有责任如实向有关纪检监察机关或医院纪律监督部门反映情况。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四、乙方不得以回扣、宴请等方式影响甲方</w:t>
      </w:r>
      <w:r>
        <w:rPr>
          <w:rFonts w:hint="eastAsia" w:ascii="宋体" w:hAnsi="宋体" w:cs="宋体"/>
          <w:color w:val="000000" w:themeColor="text1"/>
          <w:sz w:val="21"/>
          <w:szCs w:val="21"/>
          <w:highlight w:val="none"/>
          <w:lang w:eastAsia="zh-CN"/>
          <w14:textFill>
            <w14:solidFill>
              <w14:schemeClr w14:val="tx1"/>
            </w14:solidFill>
          </w14:textFill>
        </w:rPr>
        <w:t xml:space="preserve">及甲方</w:t>
      </w:r>
      <w:r>
        <w:rPr>
          <w:rFonts w:hint="eastAsia" w:ascii="宋体" w:hAnsi="宋体" w:eastAsia="宋体" w:cs="宋体"/>
          <w:color w:val="000000" w:themeColor="text1"/>
          <w:sz w:val="21"/>
          <w:szCs w:val="21"/>
          <w:highlight w:val="none"/>
          <w14:textFill>
            <w14:solidFill>
              <w14:schemeClr w14:val="tx1"/>
            </w14:solidFill>
          </w14:textFill>
        </w:rPr>
        <w:t xml:space="preserve">工作人员采购</w:t>
      </w:r>
      <w:r>
        <w:rPr>
          <w:rFonts w:hint="eastAsia" w:ascii="宋体" w:hAnsi="宋体" w:cs="宋体"/>
          <w:color w:val="000000" w:themeColor="text1"/>
          <w:sz w:val="21"/>
          <w:szCs w:val="21"/>
          <w:highlight w:val="none"/>
          <w:lang w:eastAsia="zh-CN"/>
          <w14:textFill>
            <w14:solidFill>
              <w14:schemeClr w14:val="tx1"/>
            </w14:solidFill>
          </w14:textFill>
        </w:rPr>
        <w:t xml:space="preserve">货物、服务</w:t>
      </w:r>
      <w:r>
        <w:rPr>
          <w:rFonts w:hint="eastAsia" w:ascii="宋体" w:hAnsi="宋体" w:eastAsia="宋体" w:cs="宋体"/>
          <w:color w:val="000000" w:themeColor="text1"/>
          <w:sz w:val="21"/>
          <w:szCs w:val="21"/>
          <w:highlight w:val="none"/>
          <w14:textFill>
            <w14:solidFill>
              <w14:schemeClr w14:val="tx1"/>
            </w14:solidFill>
          </w14:textFill>
        </w:rPr>
        <w:t xml:space="preserve">的选择权，不得在学术</w:t>
      </w:r>
      <w:r>
        <w:rPr>
          <w:rFonts w:hint="eastAsia" w:ascii="宋体" w:hAnsi="宋体" w:cs="宋体"/>
          <w:color w:val="000000" w:themeColor="text1"/>
          <w:sz w:val="21"/>
          <w:szCs w:val="21"/>
          <w:highlight w:val="none"/>
          <w:lang w:eastAsia="zh-CN"/>
          <w14:textFill>
            <w14:solidFill>
              <w14:schemeClr w14:val="tx1"/>
            </w14:solidFill>
          </w14:textFill>
        </w:rPr>
        <w:t xml:space="preserve">和公务</w:t>
      </w:r>
      <w:r>
        <w:rPr>
          <w:rFonts w:hint="eastAsia" w:ascii="宋体" w:hAnsi="宋体" w:eastAsia="宋体" w:cs="宋体"/>
          <w:color w:val="000000" w:themeColor="text1"/>
          <w:sz w:val="21"/>
          <w:szCs w:val="21"/>
          <w:highlight w:val="none"/>
          <w14:textFill>
            <w14:solidFill>
              <w14:schemeClr w14:val="tx1"/>
            </w14:solidFill>
          </w14:textFill>
        </w:rPr>
        <w:t xml:space="preserve">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五、乙方指定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身份证号：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手机号：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作为销售代表洽谈业务。销售代表</w:t>
      </w:r>
      <w:r>
        <w:rPr>
          <w:rFonts w:hint="eastAsia" w:ascii="宋体" w:hAnsi="宋体" w:cs="宋体"/>
          <w:color w:val="000000" w:themeColor="text1"/>
          <w:sz w:val="21"/>
          <w:szCs w:val="21"/>
          <w:highlight w:val="none"/>
          <w:lang w:eastAsia="zh-CN"/>
          <w14:textFill>
            <w14:solidFill>
              <w14:schemeClr w14:val="tx1"/>
            </w14:solidFill>
          </w14:textFill>
        </w:rPr>
        <w:t xml:space="preserve">发生变更的，应一个月内书面通知甲方。</w:t>
      </w:r>
      <w:r>
        <w:rPr>
          <w:rFonts w:hint="eastAsia" w:ascii="宋体" w:hAnsi="宋体" w:eastAsia="宋体" w:cs="宋体"/>
          <w:color w:val="000000" w:themeColor="text1"/>
          <w:sz w:val="21"/>
          <w:szCs w:val="21"/>
          <w:highlight w:val="none"/>
          <w14:textFill>
            <w14:solidFill>
              <w14:schemeClr w14:val="tx1"/>
            </w14:solidFill>
          </w14:textFill>
        </w:rPr>
        <w:t xml:space="preserve">销售代表必须在工作时间到甲方指定地点联系商谈，不得借故到甲方相关领导、部门负责人及相关工作人员家中访谈</w:t>
      </w:r>
      <w:r>
        <w:rPr>
          <w:rFonts w:hint="eastAsia" w:ascii="宋体" w:hAnsi="宋体" w:cs="宋体"/>
          <w:color w:val="000000" w:themeColor="text1"/>
          <w:sz w:val="21"/>
          <w:szCs w:val="21"/>
          <w:highlight w:val="none"/>
          <w:lang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14:textFill>
            <w14:solidFill>
              <w14:schemeClr w14:val="tx1"/>
            </w14:solidFill>
          </w14:textFill>
        </w:rPr>
        <w:t xml:space="preserve">提供任何好处费。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六、乙方如违反本合同，一经发现，甲方有权终止购销合同</w:t>
      </w:r>
      <w:r>
        <w:rPr>
          <w:rFonts w:hint="eastAsia" w:ascii="宋体" w:hAnsi="宋体" w:cs="宋体"/>
          <w:color w:val="000000" w:themeColor="text1"/>
          <w:sz w:val="21"/>
          <w:szCs w:val="21"/>
          <w:highlight w:val="none"/>
          <w:lang w:eastAsia="zh-CN"/>
          <w14:textFill>
            <w14:solidFill>
              <w14:schemeClr w14:val="tx1"/>
            </w14:solidFill>
          </w14:textFill>
        </w:rPr>
        <w:t xml:space="preserve">，并参照</w:t>
      </w:r>
      <w:r>
        <w:rPr>
          <w:rFonts w:hint="eastAsia" w:ascii="宋体" w:hAnsi="宋体" w:eastAsia="宋体" w:cs="宋体"/>
          <w:color w:val="000000" w:themeColor="text1"/>
          <w:sz w:val="21"/>
          <w:szCs w:val="21"/>
          <w:highlight w:val="none"/>
          <w14:textFill>
            <w14:solidFill>
              <w14:schemeClr w14:val="tx1"/>
            </w14:solidFill>
          </w14:textFill>
        </w:rPr>
        <w:t xml:space="preserve">《国家卫生计生委关于建立医药购销领域商业贿赂不良记录的规定》（国卫法制发〔2013〕50号）相关规定</w:t>
      </w:r>
      <w:r>
        <w:rPr>
          <w:rFonts w:hint="eastAsia" w:ascii="宋体" w:hAnsi="宋体" w:cs="宋体"/>
          <w:color w:val="000000" w:themeColor="text1"/>
          <w:sz w:val="21"/>
          <w:szCs w:val="21"/>
          <w:highlight w:val="none"/>
          <w:lang w:eastAsia="zh-CN"/>
          <w14:textFill>
            <w14:solidFill>
              <w14:schemeClr w14:val="tx1"/>
            </w14:solidFill>
          </w14:textFill>
        </w:rPr>
        <w:t xml:space="preserve">予以惩戒</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七、本合同作为采购</w:t>
      </w:r>
      <w:r>
        <w:rPr>
          <w:rFonts w:hint="eastAsia" w:ascii="宋体" w:hAnsi="宋体" w:cs="宋体"/>
          <w:color w:val="000000" w:themeColor="text1"/>
          <w:sz w:val="21"/>
          <w:szCs w:val="21"/>
          <w:highlight w:val="none"/>
          <w:lang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（项目编号：）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购销合同的重要组成部分。</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八、本合同</w:t>
      </w:r>
      <w:r>
        <w:rPr>
          <w:rFonts w:hint="eastAsia" w:ascii="宋体" w:hAnsi="宋体" w:cs="宋体"/>
          <w:color w:val="000000" w:themeColor="text1"/>
          <w:sz w:val="21"/>
          <w:szCs w:val="21"/>
          <w:highlight w:val="none"/>
          <w:lang w:eastAsia="zh-CN"/>
          <w14:textFill>
            <w14:solidFill>
              <w14:schemeClr w14:val="tx1"/>
            </w14:solidFill>
          </w14:textFill>
        </w:rPr>
        <w:t xml:space="preserve">自</w:t>
      </w:r>
      <w:r>
        <w:rPr>
          <w:rFonts w:hint="eastAsia" w:ascii="宋体" w:hAnsi="宋体" w:eastAsia="宋体" w:cs="宋体"/>
          <w:color w:val="000000" w:themeColor="text1"/>
          <w:sz w:val="21"/>
          <w:szCs w:val="21"/>
          <w:highlight w:val="none"/>
          <w14:textFill>
            <w14:solidFill>
              <w14:schemeClr w14:val="tx1"/>
            </w14:solidFill>
          </w14:textFill>
        </w:rPr>
        <w:t xml:space="preserve">签订之日起生效</w:t>
      </w:r>
      <w:r>
        <w:rPr>
          <w:rFonts w:hint="eastAsia" w:ascii="宋体" w:hAnsi="宋体" w:cs="宋体"/>
          <w:color w:val="000000" w:themeColor="text1"/>
          <w:sz w:val="21"/>
          <w:szCs w:val="21"/>
          <w:highlight w:val="none"/>
          <w:lang w:eastAsia="zh-CN"/>
          <w14:textFill>
            <w14:solidFill>
              <w14:schemeClr w14:val="tx1"/>
            </w14:solidFill>
          </w14:textFill>
        </w:rPr>
        <w:t xml:space="preserve">；本合同</w:t>
      </w:r>
      <w:r>
        <w:rPr>
          <w:rFonts w:hint="eastAsia" w:ascii="宋体" w:hAnsi="宋体" w:eastAsia="宋体" w:cs="宋体"/>
          <w:color w:val="000000" w:themeColor="text1"/>
          <w:sz w:val="21"/>
          <w:szCs w:val="21"/>
          <w:highlight w:val="none"/>
          <w14:textFill>
            <w14:solidFill>
              <w14:schemeClr w14:val="tx1"/>
            </w14:solidFill>
          </w14:textFill>
        </w:rPr>
        <w:t xml:space="preserve">一式三份，甲方两份（甲方</w:t>
      </w:r>
      <w:r>
        <w:rPr>
          <w:rFonts w:hint="eastAsia" w:ascii="宋体" w:hAnsi="宋体" w:cs="宋体"/>
          <w:color w:val="000000" w:themeColor="text1"/>
          <w:sz w:val="21"/>
          <w:szCs w:val="21"/>
          <w:highlight w:val="none"/>
          <w:lang w:eastAsia="zh-CN"/>
          <w14:textFill>
            <w14:solidFill>
              <w14:schemeClr w14:val="tx1"/>
            </w14:solidFill>
          </w14:textFill>
        </w:rPr>
        <w:t xml:space="preserve">纪律监督部门</w:t>
      </w:r>
      <w:r>
        <w:rPr>
          <w:rFonts w:hint="eastAsia" w:ascii="宋体" w:hAnsi="宋体" w:eastAsia="宋体" w:cs="宋体"/>
          <w:color w:val="000000" w:themeColor="text1"/>
          <w:sz w:val="21"/>
          <w:szCs w:val="21"/>
          <w:highlight w:val="none"/>
          <w14:textFill>
            <w14:solidFill>
              <w14:schemeClr w14:val="tx1"/>
            </w14:solidFill>
          </w14:textFill>
        </w:rPr>
        <w:t xml:space="preserve">执一份）、乙方一份，</w:t>
      </w:r>
      <w:r>
        <w:rPr>
          <w:rFonts w:hint="eastAsia" w:ascii="宋体" w:hAnsi="宋体" w:cs="宋体"/>
          <w:color w:val="000000" w:themeColor="text1"/>
          <w:sz w:val="21"/>
          <w:szCs w:val="21"/>
          <w:highlight w:val="none"/>
          <w:lang w:eastAsia="zh-CN"/>
          <w14:textFill>
            <w14:solidFill>
              <w14:schemeClr w14:val="tx1"/>
            </w14:solidFill>
          </w14:textFill>
        </w:rPr>
        <w:t xml:space="preserve">具有同等法律效力</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甲方（盖章）：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乙方（盖章）：</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                       法定代表人（负责人）：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经办人签名：                                 经办人签名：</w:t>
      </w:r>
      <w:r/>
    </w:p>
    <w:p>
      <w:pPr>
        <w:ind w:firstLine="735"/>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5" w:name="_Toc91836564"/>
      <w:r/>
      <w:bookmarkStart w:id="256" w:name="_Toc107246271"/>
      <w:r/>
      <w:bookmarkStart w:id="257" w:name="_Toc107246272"/>
      <w:r>
        <w:rPr>
          <w:rFonts w:hint="eastAsia" w:ascii="宋体" w:hAnsi="宋体" w:cs="宋体"/>
          <w:color w:val="000000" w:themeColor="text1"/>
          <w:highlight w:val="none"/>
          <w14:textFill>
            <w14:solidFill>
              <w14:schemeClr w14:val="tx1"/>
            </w14:solidFill>
          </w14:textFill>
        </w:rPr>
        <w:t xml:space="preserve">采购需求</w:t>
      </w:r>
      <w:bookmarkEnd w:id="255"/>
      <w:r/>
      <w:bookmarkEnd w:id="256"/>
      <w:r/>
      <w:r/>
    </w:p>
    <w:p>
      <w:pPr>
        <w:pStyle w:val="1026"/>
        <w:numPr>
          <w:ilvl w:val="0"/>
          <w:numId w:val="0"/>
        </w:numPr>
        <w:ind w:firstLine="420"/>
        <w:keepLines w:val="0"/>
        <w:keepNext w:val="0"/>
        <w:pageBreakBefore w:val="0"/>
        <w:spacing w:line="36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一、★系统总体要求</w:t>
      </w:r>
      <w:r/>
    </w:p>
    <w:p>
      <w:pPr>
        <w:pStyle w:val="1026"/>
        <w:numPr>
          <w:ilvl w:val="0"/>
          <w:numId w:val="0"/>
        </w:numPr>
        <w:ind w:left="422" w:firstLine="42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本次采购消化内镜系统一套，包含电子图像处理器、医用内窥镜冷光源、电子上消化道内窥镜、电子下消化道内窥镜、气囊辅助小肠镜等核心组件，用于消化道疾病的常规检查、早期病变筛查及微创诊疗。系统各组件应适配同一品牌，确保兼容性与图像一致性；所有内镜均需具备良好的弯曲操控性和临床操作性，满足患儿使用需求。</w:t>
      </w:r>
      <w:r/>
    </w:p>
    <w:p>
      <w:pPr>
        <w:pStyle w:val="1026"/>
        <w:numPr>
          <w:ilvl w:val="0"/>
          <w:numId w:val="0"/>
        </w:numPr>
        <w:ind w:firstLine="42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二、技术参数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电子图像处理器</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支持数字高清图像信号输出，分辨率≥1920×1080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 色彩调节功能：亮度、色调、色度均可调；对比度可调，调节档位不少于3档。</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 图像放大功能：兼容内镜均可实现电子放大。</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 冻结模式：具备实时冻结功能，至少具备场冻结和帧冻结两种模式。</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 具备多种特殊光成像模式，可用于消化道早期病变的观察。</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医用内窥镜冷光源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使用LED冷光源，使用寿命≥9000小时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 电子上消化道内窥镜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视野方向：直视，视野角≥140°。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观察范围：2～100mm。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 先端部直径≤11mm。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弯曲角度：向上≥180°，向下≥90°，向左≥90°，向右≥90°。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钳道直径≥2.5mm。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工作长度≥1100mm。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电子下消化道内窥镜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 视野方向：直视，视野角≥120°。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 观察范围：2～100mm。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▲4.3 先端部直径≤12mm。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▲4.4 弯曲角度：向上≥180°，向下≥180°，向左≥150°，向右≥150°。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 钳道直径≥3.5mm。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4.6 工作长度≥1200mm。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4.7 具备软硬度可调功能。</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 气囊辅助小肠镜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5.1 视野方向：直视，视野角≥140°。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5.2 观察范围：2～100mm。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▲5.3 先端部直径≤10mm。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▲5.4 弯曲角度：向上≥180°，向下≥180°，向左≥150°，向右≥150°。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▲5.5 钳道直径≥3mm。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5.6 工作长度≥1800mm。</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▲5.7 配备双气囊控制装置。</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、★商务条款</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1.付款方式：</w:t>
      </w:r>
      <w:r>
        <w:rPr>
          <w:rFonts w:hint="eastAsia" w:ascii="宋体" w:hAnsi="宋体"/>
          <w:b/>
          <w:bCs/>
          <w:color w:val="000000" w:themeColor="text1"/>
          <w:szCs w:val="21"/>
          <w:highlight w:val="none"/>
          <w14:textFill>
            <w14:solidFill>
              <w14:schemeClr w14:val="tx1"/>
            </w14:solidFill>
          </w14:textFill>
        </w:rPr>
        <w:t xml:space="preserve">设备到货安装验收，正常运行</w:t>
      </w:r>
      <w:r>
        <w:rPr>
          <w:rFonts w:hint="eastAsia" w:ascii="宋体" w:hAnsi="宋体"/>
          <w:b/>
          <w:bCs/>
          <w:color w:val="000000" w:themeColor="text1"/>
          <w:szCs w:val="21"/>
          <w:highlight w:val="none"/>
          <w:lang w:val="en-US" w:eastAsia="zh-CN"/>
          <w14:textFill>
            <w14:solidFill>
              <w14:schemeClr w14:val="tx1"/>
            </w14:solidFill>
          </w14:textFill>
        </w:rPr>
        <w:t xml:space="preserve">14</w:t>
      </w:r>
      <w:r>
        <w:rPr>
          <w:rFonts w:hint="eastAsia" w:ascii="宋体" w:hAnsi="宋体"/>
          <w:b/>
          <w:bCs/>
          <w:color w:val="000000" w:themeColor="text1"/>
          <w:szCs w:val="21"/>
          <w:highlight w:val="none"/>
          <w14:textFill>
            <w14:solidFill>
              <w14:schemeClr w14:val="tx1"/>
            </w14:solidFill>
          </w14:textFill>
        </w:rPr>
        <w:t xml:space="preserve">天且收到乙方正式发票后3</w:t>
      </w:r>
      <w:r>
        <w:rPr>
          <w:rFonts w:ascii="宋体" w:hAnsi="宋体"/>
          <w:b/>
          <w:bCs/>
          <w:color w:val="000000" w:themeColor="text1"/>
          <w:szCs w:val="21"/>
          <w:highlight w:val="none"/>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天内首付合同总价90%，正常运行一年后付清10%。</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2.交货期：合同签订后2个月内（如采购人因特殊情况需延长交货，供应商应按采购人具体要求交货），交货至采购人指定地点。</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3.质保期：至少提供</w:t>
      </w:r>
      <w:r>
        <w:rPr>
          <w:rFonts w:hint="eastAsia" w:ascii="宋体" w:hAnsi="宋体" w:cs="宋体"/>
          <w:b/>
          <w:bCs/>
          <w:color w:val="000000" w:themeColor="text1"/>
          <w:highlight w:val="none"/>
          <w:lang w:val="en-US" w:eastAsia="zh-CN"/>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年原厂整机质保（含内窥镜），质保期内若发生维修，所更换的配件必须为原厂的全新配件。</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4.供应商所供产品的生产日期应在近1年内（须提供承诺函）。</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5.其他：验收标准、培训等详见合同条款。</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w:t>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确定中标候选人。评标委员会将按下列评分办法和标准进行评分，总分值为100分。</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139"/>
        <w:gridCol w:w="6264"/>
        <w:gridCol w:w="836"/>
      </w:tblGrid>
      <w:tr>
        <w:trPr>
          <w:trHeight w:val="782"/>
          <w:tblHeader/>
        </w:trPr>
        <w:tc>
          <w:tcPr>
            <w:tcW w:w="335"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644"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3546"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473"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trHeight w:val="1411"/>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价格</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满足</w:t>
            </w:r>
            <w:r>
              <w:rPr>
                <w:rFonts w:hint="eastAsia" w:ascii="宋体" w:hAnsi="宋体" w:cs="宋体"/>
                <w:bCs/>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要求且价格最低的报价为评标基准价，其价格分为满分。其他供应商的价格分统一按照下列公式计算：</w:t>
            </w:r>
            <w:r/>
          </w:p>
          <w:p>
            <w:pPr>
              <w:jc w:val="left"/>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报价得分=(评标基准价／供应商报价)×价格分值，小数点保留2位</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30分</w:t>
            </w:r>
            <w:r/>
          </w:p>
        </w:tc>
      </w:tr>
      <w:tr>
        <w:trPr>
          <w:trHeight w:val="278"/>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w:t>
            </w:r>
            <w:r/>
          </w:p>
        </w:tc>
        <w:tc>
          <w:tcPr>
            <w:tcW w:w="64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产品业绩</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提供近三年（202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年1月1日</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以来，以合同签约时间为准）与本次拟供货产品</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类似</w:t>
            </w:r>
            <w:r>
              <w:rPr>
                <w:rFonts w:hint="eastAsia" w:ascii="宋体" w:hAnsi="宋体" w:eastAsia="宋体" w:cs="宋体"/>
                <w:bCs/>
                <w:color w:val="000000" w:themeColor="text1"/>
                <w:sz w:val="21"/>
                <w:szCs w:val="21"/>
                <w:highlight w:val="none"/>
                <w14:textFill>
                  <w14:solidFill>
                    <w14:schemeClr w14:val="tx1"/>
                  </w14:solidFill>
                </w14:textFill>
              </w:rPr>
              <w:t xml:space="preserve">产品销售业绩证明，每份合同得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1"/>
                <w:szCs w:val="21"/>
                <w:highlight w:val="none"/>
                <w14:textFill>
                  <w14:solidFill>
                    <w14:schemeClr w14:val="tx1"/>
                  </w14:solidFill>
                </w14:textFill>
              </w:rPr>
              <w:t xml:space="preserve">提供合同复印件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合同须反映上述签约时间、品牌等内容）</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1953"/>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技术要求响应</w:t>
            </w:r>
            <w:r/>
          </w:p>
        </w:tc>
        <w:tc>
          <w:tcPr>
            <w:tcW w:w="3546" w:type="pct"/>
            <w:vAlign w:val="center"/>
            <w:textDirection w:val="lrTb"/>
            <w:noWrap w:val="false"/>
          </w:tcPr>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完全响应</w:t>
            </w:r>
            <w:r>
              <w:rPr>
                <w:rFonts w:hint="eastAsia" w:ascii="宋体" w:hAnsi="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项目技术要求</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其中：★指标为实质性要求，有一项负偏离的，视为无效投标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标注“▲”的内容为重要技术条款，有一项负偏离的，每项扣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共计10项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；其他非重要技术条款负偏离的，每项扣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共计16项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应当对第四章项目技术需求内容进行逐条响应，</w:t>
            </w:r>
            <w:r>
              <w:rPr>
                <w:rFonts w:hint="eastAsia" w:ascii="宋体" w:hAnsi="宋体" w:eastAsia="宋体" w:cs="宋体"/>
                <w:b w:val="0"/>
                <w:bCs/>
                <w:color w:val="000000" w:themeColor="text1"/>
                <w:sz w:val="21"/>
                <w:szCs w:val="21"/>
                <w:highlight w:val="none"/>
                <w14:textFill>
                  <w14:solidFill>
                    <w14:schemeClr w14:val="tx1"/>
                  </w14:solidFill>
                </w14:textFill>
              </w:rPr>
              <w:t xml:space="preserve">缺项漏项视为负偏离。</w:t>
            </w:r>
            <w:r/>
          </w:p>
          <w:p>
            <w:pPr>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w:t>
            </w:r>
            <w:r/>
          </w:p>
          <w:p>
            <w:pPr>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采购文件中需提供★、▲技术指标的技术证明材料，且明确标明证明材料所在精确页码，证明材料包括但不限于公开发行的产品彩页或产品说明书等，未按要求提供的，视为负偏离。</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454"/>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所投产品品牌质量评价、产品配置与功能先进性</w:t>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产品质量评价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质量评价进行综合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，技术先进、配置齐全</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得8分；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）技术先进性及配置较高，得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）技术先进性及配置一般，得4分；</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8分</w:t>
            </w:r>
            <w:r/>
          </w:p>
        </w:tc>
      </w:tr>
      <w:tr>
        <w:trPr>
          <w:trHeight w:val="474"/>
        </w:trPr>
        <w:tc>
          <w:tcPr>
            <w:tcW w:w="335"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产品稳定性评价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稳定性情况进行综合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，功能先进性、稳定性强得8分；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（2）功能先进性、稳定性较好，得6分；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（3）功能先进性、稳定性一般，得4分；</w:t>
            </w:r>
            <w:r/>
          </w:p>
          <w:p>
            <w:pPr>
              <w:numPr>
                <w:ilvl w:val="0"/>
                <w:numId w:val="0"/>
              </w:numPr>
              <w:ind w:left="0" w:firstLine="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8分</w:t>
            </w:r>
            <w:r/>
          </w:p>
        </w:tc>
      </w:tr>
      <w:tr>
        <w:trPr>
          <w:trHeight w:val="1130"/>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服务方案</w:t>
            </w:r>
            <w:r/>
          </w:p>
        </w:tc>
        <w:tc>
          <w:tcPr>
            <w:tcW w:w="3546" w:type="pct"/>
            <w:vAlign w:val="top"/>
            <w:textDirection w:val="lrTb"/>
            <w:noWrap w:val="false"/>
          </w:tcPr>
          <w:p>
            <w:pPr>
              <w:pStyle w:val="1027"/>
              <w:numPr>
                <w:ilvl w:val="0"/>
                <w:numId w:val="5"/>
              </w:numPr>
              <w:ind w:firstLine="39"/>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人员培训方案</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（1）根据供应商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提供人员操作培训、维修保养培训、以及相关科研教育等进阶培训、学习会议方案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进行综合打分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培训计划实用，方式多样，安排合理得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培训计划较实用，方式较多样，安排较合理得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培训计划简单，形式单一，得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8分</w:t>
            </w:r>
            <w:r/>
          </w:p>
        </w:tc>
      </w:tr>
      <w:tr>
        <w:trPr>
          <w:trHeight w:val="1032"/>
        </w:trPr>
        <w:tc>
          <w:tcPr>
            <w:tcW w:w="335" w:type="pct"/>
            <w:vAlign w:val="center"/>
            <w:vMerge w:val="continue"/>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2、设备到货、安装、调试方案</w:t>
            </w:r>
            <w:r/>
          </w:p>
          <w:p>
            <w:pPr>
              <w:pStyle w:val="1027"/>
              <w:ind w:firstLine="29"/>
              <w:spacing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eastAsia="宋体" w:cs="宋体"/>
                <w:color w:val="000000" w:themeColor="text1"/>
                <w:spacing w:val="3"/>
                <w:sz w:val="21"/>
                <w:szCs w:val="21"/>
                <w:highlight w:val="none"/>
                <w:lang w:val="en-US" w:eastAsia="zh-CN"/>
                <w14:textFill>
                  <w14:solidFill>
                    <w14:schemeClr w14:val="tx1"/>
                  </w14:solidFill>
                </w14:textFill>
              </w:rPr>
              <w:t xml:space="preserve">1</w:t>
            </w: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供应商针对本项目提供的运输、卸货及配发调试总进度详细</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且合理、可行</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性高，得</w:t>
            </w: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2</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期工作计划及组织措施，较为合理的，得</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3</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粗略，</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得</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eastAsia="宋体" w:cs="宋体"/>
                <w:color w:val="000000" w:themeColor="text1"/>
                <w:spacing w:val="2"/>
                <w:sz w:val="21"/>
                <w:szCs w:val="21"/>
                <w:highlight w:val="none"/>
                <w:lang w:val="en-US" w:eastAsia="zh-CN"/>
                <w14:textFill>
                  <w14:solidFill>
                    <w14:schemeClr w14:val="tx1"/>
                  </w14:solidFill>
                </w14:textFill>
              </w:rPr>
              <w:t xml:space="preserve">4</w:t>
            </w: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未提供的</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14:textFill>
                  <w14:solidFill>
                    <w14:schemeClr w14:val="tx1"/>
                  </w14:solidFill>
                </w14:textFill>
              </w:rPr>
            </w:pPr>
            <w:r>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position w:val="-10"/>
                <w:sz w:val="21"/>
                <w:szCs w:val="21"/>
                <w:highlight w:val="none"/>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numPr>
                <w:ilvl w:val="0"/>
                <w:numId w:val="0"/>
              </w:numPr>
              <w:ind w:left="0" w:firstLine="0"/>
              <w:spacing w:line="360"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售后服务实施响应</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根据对维修设备的响应和应急故障修复方案等综合评分。维修响应速度快，维修方案全面可行性强，应急故障修复方案完善得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维修响应较快，维修方案较全面，可行性较强，应急故障修复方案较完善得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维修响应一般，维修方案简单，应急故障修复方案一般得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4、调试和应急维护方案</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（1）方案内容全面合理、针对性和可操作性强，调试流程安排清晰，应急维护措施完善、应对突发故障的处置方案可行的，得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8</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（2）方案内容较全面合理，针对性和可操作性较强，调试流程安排较清晰，应急维护措施较完善、可行性较强的，得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（3）方案内容一般，针对性及可操作性一般，调试及应急维护安排笼统的，得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（4）未提供方案的，不得分。</w:t>
            </w:r>
            <w:r/>
          </w:p>
        </w:tc>
        <w:tc>
          <w:tcPr>
            <w:tcW w:w="473" w:type="pct"/>
            <w:vAlign w:val="center"/>
            <w:textDirection w:val="lrTb"/>
            <w:noWrap w:val="false"/>
          </w:tcPr>
          <w:p>
            <w:pPr>
              <w:jc w:val="center"/>
              <w:spacing w:line="360" w:lineRule="auto"/>
              <w:widowControl/>
              <w:rPr>
                <w:rFonts w:hint="default"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8分</w:t>
            </w:r>
            <w:r/>
          </w:p>
        </w:tc>
      </w:tr>
      <w:tr>
        <w:trPr>
          <w:trHeight w:val="448"/>
        </w:trPr>
        <w:tc>
          <w:tcPr>
            <w:gridSpan w:val="2"/>
            <w:tcW w:w="980"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合计</w:t>
            </w:r>
            <w:r/>
          </w:p>
        </w:tc>
        <w:tc>
          <w:tcPr>
            <w:gridSpan w:val="2"/>
            <w:tcW w:w="4019" w:type="pct"/>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100分</w:t>
            </w:r>
            <w:r/>
          </w:p>
        </w:tc>
      </w:tr>
    </w:tbl>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bookmarkStart w:id="258"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spacing w:line="360" w:lineRule="auto"/>
        <w:widowControl/>
        <w:rPr>
          <w:rFonts w:ascii="宋体" w:hAnsi="宋体" w:cs="宋体"/>
          <w:b/>
          <w:bCs/>
          <w:color w:val="000000" w:themeColor="text1"/>
          <w:sz w:val="32"/>
          <w:szCs w:val="32"/>
          <w:highlight w:val="none"/>
          <w14:textFill>
            <w14:solidFill>
              <w14:schemeClr w14:val="tx1"/>
            </w14:solidFill>
          </w14:textFill>
        </w:rPr>
      </w:pPr>
      <w:r/>
      <w:bookmarkStart w:id="259" w:name="_Toc107246273"/>
      <w:r>
        <w:rPr>
          <w:rFonts w:ascii="宋体" w:hAnsi="宋体" w:cs="宋体"/>
          <w:color w:val="000000" w:themeColor="text1"/>
          <w:highlight w:val="none"/>
          <w14:textFill>
            <w14:solidFill>
              <w14:schemeClr w14:val="tx1"/>
            </w14:solidFill>
          </w14:textFill>
        </w:rPr>
        <w:br w:type="page" w:clear="all"/>
      </w:r>
      <w:r/>
    </w:p>
    <w:p>
      <w:pPr>
        <w:pStyle w:val="757"/>
        <w:ind w:firstLine="56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58"/>
      <w:r>
        <w:rPr>
          <w:rFonts w:hint="eastAsia" w:ascii="宋体" w:hAnsi="宋体" w:cs="宋体"/>
          <w:color w:val="000000" w:themeColor="text1"/>
          <w:highlight w:val="none"/>
          <w14:textFill>
            <w14:solidFill>
              <w14:schemeClr w14:val="tx1"/>
            </w14:solidFill>
          </w14:textFill>
        </w:rPr>
        <w:t xml:space="preserve">投标文件格式</w:t>
      </w:r>
      <w:bookmarkEnd w:id="259"/>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991"/>
        <w:ind w:firstLine="0"/>
        <w:spacing w:line="360" w:lineRule="auto"/>
        <w:shd w:val="clear" w:color="auto" w:fill="ffffff"/>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ascii="宋体" w:hAnsi="宋体" w:cs="宋体"/>
          <w:color w:val="000000" w:themeColor="text1"/>
          <w:sz w:val="24"/>
          <w:highlight w:val="none"/>
          <w14:textFill>
            <w14:solidFill>
              <w14:schemeClr w14:val="tx1"/>
            </w14:solidFill>
          </w14:textFill>
        </w:rPr>
      </w:pPr>
      <w:r/>
      <w:bookmarkStart w:id="260"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39"/>
        <w:ind w:firstLine="995"/>
        <w:jc w:val="center"/>
        <w:spacing w:line="360" w:lineRule="auto"/>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pStyle w:val="739"/>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南京市儿童医院消化内窥镜系统采购项目</w:t>
      </w:r>
      <w:r/>
    </w:p>
    <w:p>
      <w:pPr>
        <w:pStyle w:val="739"/>
        <w:ind w:firstLine="0"/>
        <w:jc w:val="both"/>
        <w:spacing w:line="360" w:lineRule="auto"/>
        <w:rPr>
          <w:rFonts w:hAnsi="宋体" w:cs="宋体"/>
          <w:b/>
          <w:color w:val="000000" w:themeColor="text1"/>
          <w:sz w:val="84"/>
          <w:szCs w:val="84"/>
          <w:highlight w:val="none"/>
          <w14:textFill>
            <w14:solidFill>
              <w14:schemeClr w14:val="tx1"/>
            </w14:solidFill>
          </w14:textFill>
        </w:rPr>
      </w:pPr>
      <w:r/>
      <w:bookmarkStart w:id="261" w:name="_Toc100905255"/>
      <w:r/>
      <w:r/>
    </w:p>
    <w:p>
      <w:pPr>
        <w:pStyle w:val="739"/>
        <w:ind w:firstLine="42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1"/>
      <w:r/>
      <w:r/>
    </w:p>
    <w:p>
      <w:pPr>
        <w:ind w:right="640" w:firstLine="78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9"/>
        <w:ind w:firstLine="496"/>
        <w:spacing w:line="360" w:lineRule="auto"/>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JSZC-320100-JITC-G2026-0355</w:t>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39"/>
        <w:ind w:firstLine="569"/>
        <w:jc w:val="center"/>
        <w:spacing w:line="360" w:lineRule="auto"/>
        <w:rPr>
          <w:rFonts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（5）所投产品情况表，格式见附件。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（6）偏离表。</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（7）供应商具备投标资格的证明文件（如为南京市政府采购项目，按照公告要求提供）：</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（1）要求供应商提交的其他文件材料或证明材料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（2）供应商认为需提供的其他文件或证明材料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spacing w:line="360" w:lineRule="auto"/>
        <w:rPr>
          <w:rFonts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0"/>
      <w:r/>
      <w:r/>
    </w:p>
    <w:p>
      <w:pPr>
        <w:pStyle w:val="757"/>
        <w:ind w:left="601" w:firstLine="425"/>
        <w:spacing w:before="0"/>
        <w:rPr>
          <w:rFonts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2" w:name="_Toc107246274"/>
      <w:r/>
      <w:bookmarkStart w:id="263" w:name="_Toc103848582"/>
      <w:r/>
      <w:bookmarkStart w:id="264" w:name="_Toc104560897"/>
      <w:r/>
      <w:bookmarkStart w:id="265"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2"/>
      <w:r/>
      <w:bookmarkEnd w:id="263"/>
      <w:r/>
      <w:bookmarkEnd w:id="264"/>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7"/>
        <w:spacing w:before="0" w:line="360" w:lineRule="auto"/>
        <w:rPr>
          <w:rFonts w:ascii="宋体" w:hAnsi="宋体" w:cs="宋体"/>
          <w:color w:val="000000" w:themeColor="text1"/>
          <w:sz w:val="28"/>
          <w:szCs w:val="24"/>
          <w:highlight w:val="none"/>
          <w14:textFill>
            <w14:solidFill>
              <w14:schemeClr w14:val="tx1"/>
            </w14:solidFill>
          </w14:textFill>
        </w:rPr>
      </w:pPr>
      <w:r/>
      <w:bookmarkStart w:id="266"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5"/>
      <w:r/>
      <w:bookmarkEnd w:id="266"/>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267" w:name="_Toc103848580"/>
      <w:r/>
      <w:bookmarkStart w:id="268" w:name="_Toc96347902"/>
      <w:r>
        <w:rPr>
          <w:rFonts w:hint="eastAsia" w:ascii="宋体" w:hAnsi="宋体" w:cs="宋体"/>
          <w:color w:val="000000" w:themeColor="text1"/>
          <w:szCs w:val="21"/>
          <w:highlight w:val="none"/>
          <w:u w:val="single"/>
          <w14:textFill>
            <w14:solidFill>
              <w14:schemeClr w14:val="tx1"/>
            </w14:solidFill>
          </w14:textFill>
        </w:rPr>
        <w:t xml:space="preserve">南京市儿童医院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(供应商全称)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34"/>
        <w:spacing w:before="1"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before="0"/>
        <w:rPr>
          <w:rFonts w:ascii="宋体" w:hAnsi="宋体" w:cs="宋体"/>
          <w:bCs w:val="0"/>
          <w:color w:val="000000" w:themeColor="text1"/>
          <w:sz w:val="24"/>
          <w:szCs w:val="24"/>
          <w:highlight w:val="none"/>
          <w14:textFill>
            <w14:solidFill>
              <w14:schemeClr w14:val="tx1"/>
            </w14:solidFill>
          </w14:textFill>
        </w:rPr>
      </w:pPr>
      <w:r/>
      <w:bookmarkStart w:id="269" w:name="_Toc103848583"/>
      <w:r/>
      <w:bookmarkStart w:id="270" w:name="_Toc104560898"/>
      <w:r/>
      <w:bookmarkStart w:id="271"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69"/>
      <w:r/>
      <w:bookmarkEnd w:id="270"/>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1"/>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firstLine="420"/>
        <w:spacing w:line="360" w:lineRule="auto"/>
        <w:tabs>
          <w:tab w:val="left" w:pos="4228"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0" w:line="360" w:lineRule="auto"/>
        <w:tabs>
          <w:tab w:val="left" w:pos="2712" w:leader="none"/>
          <w:tab w:val="left" w:pos="4183" w:leader="none"/>
          <w:tab w:val="left" w:pos="5652" w:leader="none"/>
          <w:tab w:val="left" w:pos="7169"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3" w:line="360" w:lineRule="auto"/>
        <w:tabs>
          <w:tab w:val="left" w:pos="3132"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34"/>
        <w:ind w:firstLine="420"/>
        <w:spacing w:before="17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478"/>
        <w:spacing w:before="10" w:line="360" w:lineRule="auto"/>
        <w:rPr>
          <w:rFonts w:ascii="宋体" w:hAnsi="宋体" w:cs="宋体"/>
          <w:color w:val="000000" w:themeColor="text1"/>
          <w:sz w:val="27"/>
          <w:highlight w:val="none"/>
          <w14:textFill>
            <w14:solidFill>
              <w14:schemeClr w14:val="tx1"/>
            </w14:solidFill>
          </w14:textFill>
        </w:rPr>
      </w:pPr>
      <w:r>
        <w:rPr>
          <w:rFonts w:ascii="宋体" w:hAnsi="宋体" w:cs="宋体"/>
          <w:color w:val="000000" w:themeColor="text1"/>
          <w:sz w:val="27"/>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89"/>
        <w:spacing w:before="1"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pStyle w:val="734"/>
        <w:ind w:left="1260" w:firstLine="3060"/>
        <w:spacing w:line="360" w:lineRule="auto"/>
        <w:tabs>
          <w:tab w:val="left" w:pos="797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供应商名称（公章）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55"/>
        <w:ind w:firstLine="372"/>
        <w:jc w:val="righ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2" w:name="_Toc104560899"/>
      <w:r/>
      <w:bookmarkStart w:id="273" w:name="_Toc107246277"/>
      <w:r/>
      <w:bookmarkStart w:id="274"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2"/>
      <w:r/>
      <w:bookmarkEnd w:id="273"/>
      <w:r/>
      <w:bookmarkEnd w:id="274"/>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5" w:name="_Toc104560895"/>
      <w:r/>
      <w:bookmarkStart w:id="276" w:name="_Toc107246279"/>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1"/>
          <w:szCs w:val="24"/>
          <w:highlight w:val="none"/>
          <w14:textFill>
            <w14:solidFill>
              <w14:schemeClr w14:val="tx1"/>
            </w14:solidFill>
          </w14:textFill>
        </w:rPr>
      </w:pPr>
      <w:r/>
      <w:bookmarkStart w:id="277" w:name="_Toc103848585"/>
      <w:r/>
      <w:bookmarkStart w:id="278" w:name="_Toc104560900"/>
      <w:r/>
      <w:bookmarkStart w:id="279"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77"/>
      <w:r/>
      <w:bookmarkEnd w:id="278"/>
      <w:r/>
      <w:bookmarkEnd w:id="279"/>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bookmarkEnd w:id="267"/>
      <w:bookmarkEnd w:id="275"/>
      <w:bookmarkEnd w:id="276"/>
      <w:r/>
    </w:p>
    <w:p>
      <w:pPr>
        <w:pStyle w:val="757"/>
        <w:rPr>
          <w:rFonts w:ascii="宋体" w:hAnsi="宋体" w:cs="宋体"/>
          <w:bCs w:val="0"/>
          <w:color w:val="000000" w:themeColor="text1"/>
          <w:sz w:val="24"/>
          <w:szCs w:val="24"/>
          <w:highlight w:val="none"/>
          <w14:textFill>
            <w14:solidFill>
              <w14:schemeClr w14:val="tx1"/>
            </w14:solidFill>
          </w14:textFill>
        </w:rPr>
      </w:pPr>
      <w:r/>
      <w:bookmarkStart w:id="280" w:name="_Toc104560901"/>
      <w:r/>
      <w:bookmarkStart w:id="281" w:name="_Toc107246281"/>
      <w:r/>
      <w:bookmarkStart w:id="282" w:name="_Toc103848586"/>
      <w:r/>
      <w:bookmarkStart w:id="283" w:name="_Toc102117319"/>
      <w:r>
        <w:rPr>
          <w:rFonts w:hint="eastAsia" w:ascii="宋体" w:hAnsi="宋体" w:cs="宋体"/>
          <w:bCs w:val="0"/>
          <w:color w:val="000000" w:themeColor="text1"/>
          <w:sz w:val="24"/>
          <w:szCs w:val="24"/>
          <w:highlight w:val="none"/>
          <w14:textFill>
            <w14:solidFill>
              <w14:schemeClr w14:val="tx1"/>
            </w14:solidFill>
          </w14:textFill>
        </w:rPr>
        <w:t xml:space="preserve">（4）开标一览表</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4"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r>
      <w:r/>
    </w:p>
    <w:tbl>
      <w:tblPr>
        <w:tblStyle w:val="7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80"/>
        <w:gridCol w:w="4949"/>
      </w:tblGrid>
      <w:tr>
        <w:trPr>
          <w:jc w:val="center"/>
          <w:trHeight w:val="1733"/>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总价</w:t>
            </w:r>
            <w:r/>
          </w:p>
        </w:tc>
      </w:tr>
      <w:tr>
        <w:trPr>
          <w:jc w:val="center"/>
          <w:trHeight w:val="1765"/>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元</w:t>
            </w:r>
            <w:bookmarkEnd w:id="284"/>
            <w:r/>
          </w:p>
        </w:tc>
      </w:tr>
    </w:tbl>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ind w:firstLine="372"/>
        <w:jc w:val="right"/>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righ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righ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（4-1）分项报价表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p>
    <w:p>
      <w:pPr>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25"/>
        <w:gridCol w:w="647"/>
        <w:gridCol w:w="762"/>
        <w:gridCol w:w="1030"/>
        <w:gridCol w:w="688"/>
        <w:gridCol w:w="741"/>
        <w:gridCol w:w="627"/>
        <w:gridCol w:w="966"/>
        <w:gridCol w:w="939"/>
        <w:gridCol w:w="807"/>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消化内窥镜系统</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w:t>
      </w:r>
      <w:r>
        <w:rPr>
          <w:rStyle w:val="1003"/>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南京市儿童医院消化内窥镜系统采购项目</w:t>
      </w:r>
      <w:r/>
    </w:p>
    <w:p>
      <w:pPr>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JSZC-320100-JITC-G2026-0355</w:t>
      </w:r>
      <w:r/>
    </w:p>
    <w:tbl>
      <w:tblPr>
        <w:tblStyle w:val="727"/>
        <w:tblpPr w:horzAnchor="page" w:tblpX="1588" w:vertAnchor="text" w:tblpY="23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1537"/>
        <w:gridCol w:w="1078"/>
        <w:gridCol w:w="910"/>
        <w:gridCol w:w="2219"/>
        <w:gridCol w:w="1645"/>
      </w:tblGrid>
      <w:tr>
        <w:trPr>
          <w:trHeight w:val="640"/>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p>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单位</w:t>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jc w:val="right"/>
        <w:rPr>
          <w:rStyle w:val="1003"/>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（5）偏离表</w:t>
      </w:r>
      <w:r/>
    </w:p>
    <w:p>
      <w:pPr>
        <w:pStyle w:val="757"/>
        <w:ind w:firstLine="426"/>
        <w:spacing w:befor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（5-1）商务要求响应及偏离表</w:t>
      </w:r>
      <w:bookmarkEnd w:id="280"/>
      <w:r/>
      <w:bookmarkEnd w:id="281"/>
      <w:r/>
      <w:bookmarkEnd w:id="282"/>
      <w:r/>
      <w:r/>
    </w:p>
    <w:p>
      <w:pPr>
        <w:pStyle w:val="993"/>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南京市儿童医院消化内窥镜系统采购项目</w:t>
      </w:r>
      <w:r/>
    </w:p>
    <w:p>
      <w:pPr>
        <w:pStyle w:val="993"/>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JSZC-320100-JITC-G2026-0355</w:t>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供应商须根据招标文件商务条款要求填写此表，作为投标文件的组成部分。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highlight w:val="none"/>
          <w14:textFill>
            <w14:solidFill>
              <w14:schemeClr w14:val="tx1"/>
            </w14:solidFill>
          </w14:textFill>
        </w:rPr>
      </w:pPr>
      <w:r/>
      <w:bookmarkStart w:id="285" w:name="_Toc103848587"/>
      <w:r/>
      <w:bookmarkStart w:id="286" w:name="_Toc10456090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87" w:name="_Toc107246282"/>
      <w:r>
        <w:rPr>
          <w:rFonts w:hint="eastAsia" w:ascii="宋体" w:hAnsi="宋体" w:cs="宋体"/>
          <w:bCs w:val="0"/>
          <w:color w:val="000000" w:themeColor="text1"/>
          <w:sz w:val="24"/>
          <w:szCs w:val="24"/>
          <w:highlight w:val="none"/>
          <w14:textFill>
            <w14:solidFill>
              <w14:schemeClr w14:val="tx1"/>
            </w14:solidFill>
          </w14:textFill>
        </w:rPr>
        <w:t xml:space="preserve">（5-2）技术要求响应及偏离表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南京市儿童医院消化内窥镜系统采购项目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JSZC-320100-JITC-G2026-0355</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供应商须根据招标文件技术条款要求填写此表，作为投标文件的组成部分。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（6）供应商具备投标资格的证明文件</w:t>
      </w:r>
      <w:bookmarkEnd w:id="285"/>
      <w:r/>
      <w:bookmarkEnd w:id="286"/>
      <w:r/>
      <w:bookmarkEnd w:id="287"/>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bookmarkStart w:id="288" w:name="_Toc104560903"/>
      <w:r/>
      <w:bookmarkStart w:id="289" w:name="_Toc107246283"/>
      <w:r/>
      <w:bookmarkStart w:id="290" w:name="_Toc103848588"/>
      <w:r>
        <w:rPr>
          <w:rFonts w:hint="eastAsia" w:ascii="宋体" w:hAnsi="宋体" w:cs="宋体"/>
          <w:bCs w:val="0"/>
          <w:color w:val="000000" w:themeColor="text1"/>
          <w:sz w:val="24"/>
          <w:szCs w:val="24"/>
          <w:highlight w:val="none"/>
          <w14:textFill>
            <w14:solidFill>
              <w14:schemeClr w14:val="tx1"/>
            </w14:solidFill>
          </w14:textFill>
        </w:rPr>
        <w:t xml:space="preserve">（6-1-1）营业执照复印件</w:t>
      </w:r>
      <w:bookmarkEnd w:id="283"/>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88"/>
      <w:r/>
      <w:bookmarkEnd w:id="289"/>
      <w:r/>
      <w:bookmarkEnd w:id="290"/>
      <w:r/>
      <w:r/>
    </w:p>
    <w:p>
      <w:pPr>
        <w:ind w:firstLine="373"/>
        <w:spacing w:line="360" w:lineRule="auto"/>
        <w:rPr>
          <w:rFonts w:ascii="宋体" w:hAnsi="宋体" w:cs="宋体"/>
          <w:b/>
          <w:bCs/>
          <w:color w:val="000000" w:themeColor="text1"/>
          <w:highlight w:val="none"/>
          <w14:textFill>
            <w14:solidFill>
              <w14:schemeClr w14:val="tx1"/>
            </w14:solidFill>
          </w14:textFill>
        </w:rPr>
      </w:pPr>
      <w:r/>
      <w:bookmarkStart w:id="291" w:name="_Hlk33717720"/>
      <w:r/>
      <w:bookmarkEnd w:id="291"/>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bookmarkStart w:id="292" w:name="_Toc102117320"/>
      <w:r/>
      <w:bookmarkStart w:id="293" w:name="_Toc103848589"/>
      <w:r>
        <w:rPr>
          <w:rFonts w:hint="eastAsia" w:ascii="宋体" w:hAnsi="宋体" w:cs="宋体"/>
          <w:color w:val="000000" w:themeColor="text1"/>
          <w:highlight w:val="none"/>
          <w14:textFill>
            <w14:solidFill>
              <w14:schemeClr w14:val="tx1"/>
            </w14:solidFill>
          </w14:textFill>
        </w:rPr>
        <w:br w:type="page" w:clear="all"/>
      </w:r>
      <w:bookmarkStart w:id="294" w:name="_Toc107246284"/>
      <w:r/>
      <w:bookmarkStart w:id="295" w:name="_Toc104560904"/>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（6-1-2）工商变更登记文件（如需）</w:t>
      </w:r>
      <w:bookmarkEnd w:id="292"/>
      <w:r/>
      <w:bookmarkEnd w:id="293"/>
      <w:r/>
      <w:bookmarkEnd w:id="294"/>
      <w:r/>
      <w:bookmarkEnd w:id="295"/>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96" w:name="_Toc104560905"/>
      <w:r/>
      <w:bookmarkStart w:id="297" w:name="_Toc103848590"/>
      <w:r/>
      <w:bookmarkStart w:id="298" w:name="_Toc102117321"/>
      <w:r/>
      <w:bookmarkStart w:id="299" w:name="_Toc107246285"/>
      <w:r/>
      <w:r/>
    </w:p>
    <w:p>
      <w:pPr>
        <w:ind w:firstLine="372"/>
        <w:jc w:val="center"/>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（6-1-3）南京市政府采购供应商信用承诺书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6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（6-2）财务报表</w:t>
      </w:r>
      <w:bookmarkEnd w:id="296"/>
      <w:r/>
      <w:bookmarkEnd w:id="297"/>
      <w:r/>
      <w:bookmarkEnd w:id="298"/>
      <w:r/>
      <w:bookmarkEnd w:id="299"/>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bookmarkStart w:id="300" w:name="_Toc102117322"/>
      <w:r/>
      <w:bookmarkStart w:id="301" w:name="_Toc104560908"/>
      <w:r/>
      <w:bookmarkStart w:id="302" w:name="_Toc103848593"/>
      <w:r>
        <w:rPr>
          <w:rFonts w:hint="eastAsia" w:ascii="宋体" w:hAnsi="宋体" w:eastAsia="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03" w:name="_Toc107246286"/>
      <w:r>
        <w:rPr>
          <w:rFonts w:hint="eastAsia" w:ascii="宋体" w:hAnsi="宋体" w:cs="宋体"/>
          <w:bCs w:val="0"/>
          <w:color w:val="000000" w:themeColor="text1"/>
          <w:sz w:val="24"/>
          <w:szCs w:val="24"/>
          <w:highlight w:val="none"/>
          <w14:textFill>
            <w14:solidFill>
              <w14:schemeClr w14:val="tx1"/>
            </w14:solidFill>
          </w14:textFill>
        </w:rPr>
        <w:t xml:space="preserve">（6-3）</w:t>
      </w:r>
      <w:bookmarkEnd w:id="300"/>
      <w:r/>
      <w:bookmarkEnd w:id="301"/>
      <w:r/>
      <w:bookmarkEnd w:id="302"/>
      <w:r/>
      <w:bookmarkEnd w:id="303"/>
      <w:r>
        <w:rPr>
          <w:rFonts w:hint="eastAsia" w:ascii="宋体" w:hAnsi="宋体" w:cs="宋体"/>
          <w:bCs w:val="0"/>
          <w:color w:val="000000" w:themeColor="text1"/>
          <w:sz w:val="24"/>
          <w:szCs w:val="24"/>
          <w:highlight w:val="none"/>
          <w14:textFill>
            <w14:solidFill>
              <w14:schemeClr w14:val="tx1"/>
            </w14:solidFill>
          </w14:textFill>
        </w:rPr>
        <w:t xml:space="preserve">具有履行合同所必需的设备和专业技术能力，投标人提供具备履行合同所必需的设备和专业技术能力的书面声明（由供应商根据项目需求提供材料）；</w:t>
      </w:r>
      <w:r/>
    </w:p>
    <w:p>
      <w:pPr>
        <w:ind w:firstLine="779"/>
        <w:jc w:val="center"/>
        <w:spacing w:before="120" w:after="12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供应商名称（公章）：______________________</w:t>
      </w:r>
      <w:r/>
    </w:p>
    <w:p>
      <w:pPr>
        <w:ind w:firstLine="372"/>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bookmarkStart w:id="304" w:name="_Toc103848591"/>
      <w:r/>
      <w:bookmarkStart w:id="305"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06" w:name="_Toc107246287"/>
      <w:r/>
      <w:bookmarkStart w:id="307" w:name="_Toc104560906"/>
      <w:r>
        <w:rPr>
          <w:rFonts w:hint="eastAsia" w:ascii="宋体" w:hAnsi="宋体" w:cs="宋体"/>
          <w:bCs w:val="0"/>
          <w:color w:val="000000" w:themeColor="text1"/>
          <w:sz w:val="24"/>
          <w:szCs w:val="24"/>
          <w:highlight w:val="none"/>
          <w14:textFill>
            <w14:solidFill>
              <w14:schemeClr w14:val="tx1"/>
            </w14:solidFill>
          </w14:textFill>
        </w:rPr>
        <w:t xml:space="preserve">（6-4）有依法缴纳税收和社会保障资金的良好记录的相关材料</w:t>
      </w:r>
      <w:bookmarkEnd w:id="304"/>
      <w:r/>
      <w:bookmarkEnd w:id="305"/>
      <w:r/>
      <w:bookmarkEnd w:id="306"/>
      <w:r/>
      <w:bookmarkEnd w:id="307"/>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递交投标文件截止时间前六个月内至少一个月依法缴纳税收的证明材料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211"/>
        <w:jc w:val="both"/>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递交投标文件截止时间前六个月内至少一个月依法缴纳社会保障资金的证明材料</w:t>
      </w:r>
      <w:r>
        <w:rPr>
          <w:rFonts w:hint="eastAsia" w:ascii="宋体" w:hAnsi="宋体" w:cs="宋体"/>
          <w:b/>
          <w:bCs/>
          <w:color w:val="000000" w:themeColor="text1"/>
          <w:highlight w:val="none"/>
          <w14:textFill>
            <w14:solidFill>
              <w14:schemeClr w14:val="tx1"/>
            </w14:solidFill>
          </w14:textFill>
        </w:rPr>
        <w:br w:type="page" w:clear="all"/>
      </w:r>
      <w:bookmarkStart w:id="308" w:name="_Toc103848594"/>
      <w:r/>
      <w:bookmarkStart w:id="309" w:name="_Toc102117325"/>
      <w:r/>
      <w:bookmarkStart w:id="310" w:name="_Toc107246289"/>
      <w:r/>
      <w:bookmarkStart w:id="311" w:name="_Toc104560909"/>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（6-5）没有重大违法记录的书面声明</w:t>
      </w:r>
      <w:bookmarkEnd w:id="308"/>
      <w:r/>
      <w:bookmarkEnd w:id="309"/>
      <w:r/>
      <w:bookmarkEnd w:id="310"/>
      <w:r/>
      <w:bookmarkEnd w:id="311"/>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7"/>
        <w:ind w:firstLine="566"/>
        <w:spacing w:line="360" w:lineRule="auto"/>
        <w:rPr>
          <w:rFonts w:hint="eastAsia" w:ascii="宋体" w:hAnsi="宋体" w:cs="宋体"/>
          <w:b w:val="0"/>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757"/>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12" w:name="_Toc104560910"/>
      <w:r/>
      <w:bookmarkStart w:id="313"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12"/>
      <w:r/>
      <w:bookmarkEnd w:id="313"/>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1.供应商单位负责人为同一人或者存在直接控股、管理关系的不同供应商，不得同时参加本项目的采购活动。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szCs w:val="21"/>
          <w:highlight w:val="none"/>
          <w:u w:val="single"/>
          <w14:textFill>
            <w14:solidFill>
              <w14:schemeClr w14:val="tx1"/>
            </w14:solidFill>
          </w14:textFill>
        </w:rPr>
      </w:pPr>
      <w:r/>
      <w:bookmarkStart w:id="314" w:name="_Toc103848596"/>
      <w:r/>
      <w:bookmarkStart w:id="315" w:name="_Toc102117326"/>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316" w:name="_Toc107246291"/>
      <w:r/>
      <w:bookmarkStart w:id="317" w:name="_Toc104560911"/>
      <w:r/>
      <w:r/>
    </w:p>
    <w:p>
      <w:pPr>
        <w:pStyle w:val="7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2"/>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314"/>
      <w:bookmarkEnd w:id="315"/>
      <w:bookmarkEnd w:id="316"/>
      <w:bookmarkEnd w:id="317"/>
      <w:r/>
    </w:p>
    <w:p>
      <w:pPr>
        <w:pStyle w:val="757"/>
        <w:ind w:firstLine="426"/>
        <w:rPr>
          <w:rFonts w:ascii="宋体" w:hAnsi="宋体" w:cs="宋体"/>
          <w:b w:val="0"/>
          <w:color w:val="000000" w:themeColor="text1"/>
          <w:sz w:val="24"/>
          <w:szCs w:val="24"/>
          <w:highlight w:val="none"/>
          <w14:textFill>
            <w14:solidFill>
              <w14:schemeClr w14:val="tx1"/>
            </w14:solidFill>
          </w14:textFill>
        </w:rPr>
      </w:pPr>
      <w:r/>
      <w:bookmarkStart w:id="318" w:name="_Toc104560915"/>
      <w:r/>
      <w:bookmarkStart w:id="319" w:name="_Toc107246296"/>
      <w:r/>
      <w:bookmarkStart w:id="320" w:name="_Toc102117330"/>
      <w:r/>
      <w:bookmarkStart w:id="321" w:name="_Toc103848598"/>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18"/>
      <w:r/>
      <w:bookmarkEnd w:id="319"/>
      <w:r/>
      <w:bookmarkEnd w:id="320"/>
      <w:r/>
      <w:bookmarkEnd w:id="321"/>
      <w:r/>
      <w:r/>
    </w:p>
    <w:p>
      <w:pPr>
        <w:pStyle w:val="993"/>
        <w:ind w:firstLine="0"/>
        <w:rPr>
          <w:rFonts w:hAnsi="宋体" w:cs="宋体"/>
          <w:b/>
          <w:color w:val="000000" w:themeColor="text1"/>
          <w:sz w:val="21"/>
          <w:szCs w:val="21"/>
          <w:highlight w:val="none"/>
          <w14:textFill>
            <w14:solidFill>
              <w14:schemeClr w14:val="tx1"/>
            </w14:solidFill>
          </w14:textFill>
        </w:rPr>
      </w:pPr>
      <w:r>
        <w:rPr>
          <w:rFonts w:hAnsi="宋体" w:cs="宋体"/>
          <w:b/>
          <w:color w:val="000000" w:themeColor="text1"/>
          <w:sz w:val="21"/>
          <w:szCs w:val="21"/>
          <w:highlight w:val="none"/>
          <w14:textFill>
            <w14:solidFill>
              <w14:schemeClr w14:val="tx1"/>
            </w14:solidFill>
          </w14:textFill>
        </w:rPr>
      </w:r>
      <w:r/>
    </w:p>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(供应商名称)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南京市儿童医院消化内窥镜系统采购项目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JSZC-320100-JITC-G2026-0355</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993"/>
        <w:ind w:right="840" w:firstLine="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840" w:firstLine="19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993"/>
        <w:ind w:right="420" w:firstLine="190"/>
        <w:rPr>
          <w:rFonts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miter/>
                        </a:ln>
                        <a:effectLst/>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993"/>
        <w:ind w:right="420" w:firstLine="4819"/>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供应商名称（公章）：</w:t>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ind w:firstLine="3158"/>
        <w:jc w:val="left"/>
        <w:spacing w:line="360" w:lineRule="auto"/>
        <w:rPr>
          <w:rFonts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757"/>
        <w:ind w:left="601" w:firstLine="498"/>
        <w:spacing w:before="0"/>
        <w:rPr>
          <w:rFonts w:ascii="宋体" w:hAnsi="宋体" w:cs="宋体"/>
          <w:color w:val="000000" w:themeColor="text1"/>
          <w:sz w:val="28"/>
          <w:szCs w:val="24"/>
          <w:highlight w:val="none"/>
          <w14:textFill>
            <w14:solidFill>
              <w14:schemeClr w14:val="tx1"/>
            </w14:solidFill>
          </w14:textFill>
        </w:rPr>
      </w:pPr>
      <w:r/>
      <w:bookmarkStart w:id="322" w:name="_Toc107246299"/>
      <w:r/>
      <w:bookmarkStart w:id="323" w:name="_Toc103848599"/>
      <w:r/>
      <w:bookmarkStart w:id="324"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2"/>
      <w:r/>
      <w:bookmarkEnd w:id="323"/>
      <w:r/>
      <w:bookmarkEnd w:id="324"/>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360" w:lineRule="auto"/>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14:textFill>
            <w14:solidFill>
              <w14:schemeClr w14:val="tx1"/>
            </w14:solidFill>
          </w14:textFill>
        </w:rPr>
      </w:r>
      <w:r/>
    </w:p>
    <w:p>
      <w:pPr>
        <w:spacing w:line="360" w:lineRule="auto"/>
        <w:rPr>
          <w:rFonts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569"/>
        <w:spacing w:before="0"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25" w:name="_Toc103848602"/>
      <w:r/>
      <w:bookmarkStart w:id="326" w:name="_Toc107246302"/>
      <w:r/>
      <w:bookmarkStart w:id="327" w:name="_Toc104560919"/>
      <w:r>
        <w:rPr>
          <w:rFonts w:hint="eastAsia" w:ascii="宋体" w:hAnsi="宋体" w:cs="宋体"/>
          <w:bCs w:val="0"/>
          <w:color w:val="000000" w:themeColor="text1"/>
          <w:sz w:val="24"/>
          <w:szCs w:val="24"/>
          <w:highlight w:val="none"/>
          <w14:textFill>
            <w14:solidFill>
              <w14:schemeClr w14:val="tx1"/>
            </w14:solidFill>
          </w14:textFill>
        </w:rPr>
        <w:t xml:space="preserve">（2）供应商服务承诺</w:t>
      </w:r>
      <w:bookmarkEnd w:id="325"/>
      <w:r/>
      <w:bookmarkEnd w:id="326"/>
      <w:r/>
      <w:bookmarkEnd w:id="327"/>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4"/>
        <w:jc w:val="center"/>
        <w:spacing w:after="0"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南京市儿童医院：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我司郑重承诺：</w:t>
      </w:r>
      <w:r/>
    </w:p>
    <w:p>
      <w:pPr>
        <w:numPr>
          <w:ilvl w:val="0"/>
          <w:numId w:val="7"/>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(其他，如有)</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3990"/>
        <w:jc w:val="righ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72"/>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8" w:name="_Toc103848603"/>
      <w:r/>
      <w:bookmarkStart w:id="329" w:name="_Toc107246303"/>
      <w:r/>
      <w:bookmarkStart w:id="330" w:name="_Toc104560920"/>
      <w:r>
        <w:rPr>
          <w:rFonts w:hint="eastAsia" w:ascii="宋体" w:hAnsi="宋体" w:cs="宋体"/>
          <w:bCs w:val="0"/>
          <w:color w:val="000000" w:themeColor="text1"/>
          <w:sz w:val="24"/>
          <w:szCs w:val="24"/>
          <w:highlight w:val="none"/>
          <w14:textFill>
            <w14:solidFill>
              <w14:schemeClr w14:val="tx1"/>
            </w14:solidFill>
          </w14:textFill>
        </w:rPr>
        <w:t xml:space="preserve">（3）用于本项目人员简历表</w:t>
      </w:r>
      <w:bookmarkEnd w:id="328"/>
      <w:r/>
      <w:bookmarkEnd w:id="329"/>
      <w:r/>
      <w:bookmarkEnd w:id="330"/>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tbl>
      <w:tblPr>
        <w:tblStyle w:val="72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（4）拟投入本项目人员情况表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南京市儿童医院消化内窥镜系统采购项目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JSZC-320100-JITC-G2026-0355</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2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68"/>
      <w:r/>
      <w:r/>
    </w:p>
    <w:p>
      <w:pPr>
        <w:spacing w:line="360" w:lineRule="auto"/>
        <w:rPr>
          <w:color w:val="000000" w:themeColor="text1"/>
          <w:highlight w:val="none"/>
          <w14:textFill>
            <w14:solidFill>
              <w14:schemeClr w14:val="tx1"/>
            </w14:solidFill>
          </w14:textFill>
        </w:rPr>
      </w:pPr>
      <w:r/>
      <w:bookmarkStart w:id="331" w:name="_Toc104560922"/>
      <w:r/>
      <w:bookmarkStart w:id="332" w:name="_Toc107246305"/>
      <w:r/>
      <w:bookmarkStart w:id="333" w:name="_Toc103848605"/>
      <w:r/>
      <w:bookmarkStart w:id="334" w:name="_Toc100905289"/>
      <w:r/>
      <w:bookmarkStart w:id="335" w:name="_Toc96347904"/>
      <w:r/>
      <w:r/>
    </w:p>
    <w:p>
      <w:pPr>
        <w:pStyle w:val="757"/>
        <w:ind w:firstLine="498"/>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1"/>
      <w:r/>
      <w:bookmarkEnd w:id="332"/>
      <w:r/>
      <w:bookmarkEnd w:id="333"/>
      <w:r/>
      <w:r/>
    </w:p>
    <w:p>
      <w:pPr>
        <w:jc w:val="center"/>
        <w:spacing w:line="360" w:lineRule="auto"/>
        <w:rPr>
          <w:rFonts w:ascii="宋体" w:hAnsi="宋体" w:cs="宋体"/>
          <w:b/>
          <w:bCs/>
          <w:color w:val="000000" w:themeColor="text1"/>
          <w:sz w:val="24"/>
          <w:highlight w:val="none"/>
          <w14:textFill>
            <w14:solidFill>
              <w14:schemeClr w14:val="tx1"/>
            </w14:solidFill>
          </w14:textFill>
        </w:rPr>
      </w:pPr>
      <w:r/>
      <w:bookmarkStart w:id="336" w:name="_Toc104560925"/>
      <w:r/>
      <w:bookmarkStart w:id="337" w:name="_Toc103848608"/>
      <w:r/>
      <w:bookmarkStart w:id="338" w:name="_Toc107246308"/>
      <w:r/>
      <w:bookmarkStart w:id="339" w:name="_Toc100905295"/>
      <w:r/>
      <w:bookmarkStart w:id="340" w:name="_Toc104560924"/>
      <w:r/>
      <w:bookmarkStart w:id="341" w:name="_Toc103848607"/>
      <w:r/>
      <w:bookmarkStart w:id="342" w:name="_Toc107246307"/>
      <w:r/>
      <w:bookmarkStart w:id="343" w:name="_Toc104560923"/>
      <w:r/>
      <w:bookmarkStart w:id="344" w:name="_Toc107246306"/>
      <w:r/>
      <w:bookmarkStart w:id="345" w:name="_Toc103848606"/>
      <w:r>
        <w:rPr>
          <w:rFonts w:hint="eastAsia" w:ascii="宋体" w:hAnsi="宋体" w:cs="宋体"/>
          <w:b/>
          <w:bCs/>
          <w:color w:val="000000" w:themeColor="text1"/>
          <w:sz w:val="24"/>
          <w:highlight w:val="none"/>
          <w14:textFill>
            <w14:solidFill>
              <w14:schemeClr w14:val="tx1"/>
            </w14:solidFill>
          </w14:textFill>
        </w:rPr>
        <w:t xml:space="preserve">（1）要求供应商提交的其他文件材料或证明材料</w:t>
      </w:r>
      <w:bookmarkEnd w:id="336"/>
      <w:r/>
      <w:bookmarkEnd w:id="337"/>
      <w:r/>
      <w:bookmarkEnd w:id="338"/>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（2）供应商认为需提供的其他</w:t>
      </w:r>
      <w:bookmarkEnd w:id="339"/>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0"/>
      <w:r/>
      <w:bookmarkEnd w:id="341"/>
      <w:r/>
      <w:bookmarkEnd w:id="34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34"/>
      <w:r/>
      <w:bookmarkEnd w:id="343"/>
      <w:r/>
      <w:bookmarkEnd w:id="344"/>
      <w:r/>
      <w:bookmarkEnd w:id="345"/>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spacing w:line="360" w:lineRule="auto"/>
        <w:rPr>
          <w:rFonts w:ascii="宋体" w:hAnsi="宋体" w:cs="宋体"/>
          <w:color w:val="000000" w:themeColor="text1"/>
          <w:spacing w:val="2"/>
          <w:position w:val="-3"/>
          <w:szCs w:val="21"/>
          <w:highlight w:val="none"/>
          <w14:textFill>
            <w14:solidFill>
              <w14:schemeClr w14:val="tx1"/>
            </w14:solidFill>
          </w14:textFill>
        </w:rPr>
      </w:pPr>
      <w:r>
        <w:rPr>
          <w:rFonts w:ascii="宋体" w:hAnsi="宋体" w:cs="宋体"/>
          <w:color w:val="000000" w:themeColor="text1"/>
          <w:spacing w:val="2"/>
          <w:position w:val="-3"/>
          <w:szCs w:val="21"/>
          <w:highlight w:val="none"/>
          <w14:textFill>
            <w14:solidFill>
              <w14:schemeClr w14:val="tx1"/>
            </w14:solidFill>
          </w14:textFill>
        </w:rPr>
      </w:r>
      <w:r/>
    </w:p>
    <w:p>
      <w:pPr>
        <w:pStyle w:val="993"/>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position w:val="-2"/>
          <w:szCs w:val="21"/>
          <w:highlight w:val="none"/>
          <w:u w:val="single"/>
          <w14:textFill>
            <w14:solidFill>
              <w14:schemeClr w14:val="tx1"/>
            </w14:solidFill>
          </w14:textFill>
        </w:rPr>
        <w:t xml:space="preserve">南京市儿童医院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color w:val="000000" w:themeColor="text1"/>
          <w:position w:val="-2"/>
          <w:szCs w:val="21"/>
          <w:highlight w:val="none"/>
          <w:u w:val="single"/>
          <w14:textFill>
            <w14:solidFill>
              <w14:schemeClr w14:val="tx1"/>
            </w14:solidFill>
          </w14:textFill>
        </w:rPr>
        <w:t xml:space="preserve">南京市儿童医院消化内窥镜系统采购项目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993"/>
        <w:ind w:firstLine="482"/>
        <w:jc w:val="center"/>
        <w:spacing w:line="360" w:lineRule="auto"/>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198"/>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360" w:lineRule="auto"/>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376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35"/>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clear="all"/>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756"/>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756"/>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756"/>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756"/>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93"/>
        <w:ind w:firstLine="164"/>
        <w:jc w:val="cente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bookmarkEnd w:id="346"/>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74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46"/>
      <w:rPr>
        <w:rFonts w:hint="default" w:eastAsia="宋体"/>
        <w:lang w:val="en-US" w:eastAsia="zh-CN"/>
      </w:rPr>
    </w:pPr>
    <w:r>
      <w:rPr>
        <w:rFonts w:hint="eastAsia" w:ascii="宋体" w:hAnsi="宋体" w:cs="宋体"/>
        <w:color w:val="000000"/>
        <w:sz w:val="22"/>
        <w:szCs w:val="22"/>
        <w:lang w:eastAsia="zh-CN"/>
      </w:rPr>
      <w:t xml:space="preserve">南京市儿童医院消化内窥镜系统采购项目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951"/>
    <w:uiPriority w:val="0"/>
    <w:qFormat/>
    <w:pPr>
      <w:ind w:left="100" w:right="100"/>
      <w:keepLines/>
      <w:keepNext/>
      <w:spacing w:before="120" w:after="120"/>
      <w:outlineLvl w:val="0"/>
    </w:pPr>
    <w:rPr>
      <w:b/>
      <w:bCs/>
      <w:szCs w:val="44"/>
    </w:rPr>
  </w:style>
  <w:style w:type="paragraph" w:styleId="718">
    <w:name w:val="Heading 2"/>
    <w:basedOn w:val="716"/>
    <w:next w:val="716"/>
    <w:link w:val="788"/>
    <w:uiPriority w:val="0"/>
    <w:qFormat/>
    <w:pPr>
      <w:keepLines/>
      <w:keepNext/>
      <w:spacing w:before="260" w:after="260" w:line="416" w:lineRule="auto"/>
      <w:outlineLvl w:val="1"/>
    </w:pPr>
    <w:rPr>
      <w:rFonts w:ascii="等线 Light" w:hAnsi="等线 Light" w:eastAsia="等线 Light"/>
      <w:b/>
      <w:bCs/>
      <w:sz w:val="32"/>
      <w:szCs w:val="32"/>
    </w:rPr>
  </w:style>
  <w:style w:type="paragraph" w:styleId="719">
    <w:name w:val="Heading 3"/>
    <w:basedOn w:val="716"/>
    <w:next w:val="716"/>
    <w:link w:val="790"/>
    <w:uiPriority w:val="9"/>
    <w:qFormat/>
    <w:pPr>
      <w:keepLines/>
      <w:keepNext/>
      <w:spacing w:before="260" w:after="260" w:line="416" w:lineRule="auto"/>
      <w:outlineLvl w:val="2"/>
    </w:pPr>
    <w:rPr>
      <w:b/>
      <w:bCs/>
      <w:sz w:val="32"/>
      <w:szCs w:val="32"/>
    </w:rPr>
  </w:style>
  <w:style w:type="paragraph" w:styleId="720">
    <w:name w:val="Heading 4"/>
    <w:basedOn w:val="716"/>
    <w:next w:val="716"/>
    <w:link w:val="789"/>
    <w:uiPriority w:val="0"/>
    <w:qFormat/>
    <w:pPr>
      <w:keepLines/>
      <w:keepNext/>
      <w:spacing w:before="280" w:after="290" w:line="376" w:lineRule="auto"/>
      <w:outlineLvl w:val="3"/>
    </w:pPr>
    <w:rPr>
      <w:rFonts w:ascii="等线 Light" w:hAnsi="等线 Light" w:eastAsia="等线 Light"/>
      <w:b/>
      <w:bCs/>
      <w:sz w:val="28"/>
      <w:szCs w:val="28"/>
    </w:rPr>
  </w:style>
  <w:style w:type="paragraph" w:styleId="721">
    <w:name w:val="Heading 5"/>
    <w:basedOn w:val="716"/>
    <w:next w:val="716"/>
    <w:link w:val="827"/>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952"/>
    <w:uiPriority w:val="0"/>
    <w:qFormat/>
    <w:pPr>
      <w:keepLines/>
      <w:keepNext/>
      <w:spacing w:before="240" w:after="64" w:line="320" w:lineRule="auto"/>
      <w:outlineLvl w:val="5"/>
    </w:pPr>
    <w:rPr>
      <w:rFonts w:ascii="等线 Light" w:hAnsi="等线 Light" w:eastAsia="等线 Light"/>
      <w:b/>
      <w:bCs/>
      <w:sz w:val="24"/>
    </w:rPr>
  </w:style>
  <w:style w:type="paragraph" w:styleId="723">
    <w:name w:val="Heading 7"/>
    <w:basedOn w:val="716"/>
    <w:next w:val="716"/>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953"/>
    <w:uiPriority w:val="0"/>
    <w:qFormat/>
    <w:pPr>
      <w:keepLines/>
      <w:keepNext/>
      <w:spacing w:before="240" w:after="64" w:line="320" w:lineRule="auto"/>
      <w:outlineLvl w:val="7"/>
    </w:pPr>
    <w:rPr>
      <w:rFonts w:ascii="等线 Light" w:hAnsi="等线 Light" w:eastAsia="等线 Light"/>
      <w:sz w:val="24"/>
    </w:rPr>
  </w:style>
  <w:style w:type="paragraph" w:styleId="725">
    <w:name w:val="Heading 9"/>
    <w:basedOn w:val="716"/>
    <w:next w:val="716"/>
    <w:link w:val="831"/>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List 3"/>
    <w:basedOn w:val="716"/>
    <w:uiPriority w:val="0"/>
    <w:qFormat/>
    <w:pPr>
      <w:contextualSpacing/>
      <w:ind w:left="100" w:hanging="200"/>
      <w:jc w:val="left"/>
      <w:widowControl/>
    </w:pPr>
    <w:rPr>
      <w:sz w:val="20"/>
      <w:szCs w:val="20"/>
    </w:rPr>
  </w:style>
  <w:style w:type="paragraph" w:styleId="729">
    <w:name w:val="toc 7"/>
    <w:basedOn w:val="716"/>
    <w:next w:val="716"/>
    <w:uiPriority w:val="39"/>
    <w:unhideWhenUsed/>
    <w:qFormat/>
    <w:pPr>
      <w:ind w:left="1701"/>
      <w:spacing w:after="57"/>
    </w:pPr>
  </w:style>
  <w:style w:type="paragraph" w:styleId="730">
    <w:name w:val="Normal Indent"/>
    <w:basedOn w:val="716"/>
    <w:next w:val="716"/>
    <w:link w:val="955"/>
    <w:uiPriority w:val="99"/>
    <w:qFormat/>
    <w:pPr>
      <w:ind w:firstLine="420"/>
    </w:pPr>
    <w:rPr>
      <w:szCs w:val="20"/>
    </w:rPr>
  </w:style>
  <w:style w:type="paragraph" w:styleId="731">
    <w:name w:val="Caption"/>
    <w:basedOn w:val="716"/>
    <w:next w:val="71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2">
    <w:name w:val="Document Map"/>
    <w:basedOn w:val="716"/>
    <w:link w:val="956"/>
    <w:uiPriority w:val="0"/>
    <w:qFormat/>
    <w:pPr>
      <w:shd w:val="clear" w:color="auto" w:fill="000080"/>
    </w:pPr>
  </w:style>
  <w:style w:type="paragraph" w:styleId="733">
    <w:name w:val="annotation text"/>
    <w:basedOn w:val="716"/>
    <w:link w:val="957"/>
    <w:uiPriority w:val="0"/>
    <w:qFormat/>
    <w:pPr>
      <w:jc w:val="left"/>
    </w:pPr>
  </w:style>
  <w:style w:type="paragraph" w:styleId="734">
    <w:name w:val="Body Text"/>
    <w:basedOn w:val="716"/>
    <w:next w:val="716"/>
    <w:link w:val="958"/>
    <w:uiPriority w:val="1"/>
    <w:qFormat/>
    <w:pPr>
      <w:spacing w:after="120"/>
    </w:pPr>
  </w:style>
  <w:style w:type="paragraph" w:styleId="735">
    <w:name w:val="Body Text Indent"/>
    <w:basedOn w:val="716"/>
    <w:uiPriority w:val="0"/>
    <w:qFormat/>
    <w:pPr>
      <w:ind w:left="420"/>
      <w:spacing w:after="120"/>
    </w:pPr>
  </w:style>
  <w:style w:type="paragraph" w:styleId="736">
    <w:name w:val="index 4"/>
    <w:basedOn w:val="716"/>
    <w:next w:val="716"/>
    <w:uiPriority w:val="99"/>
    <w:unhideWhenUsed/>
    <w:qFormat/>
    <w:pPr>
      <w:ind w:left="600"/>
    </w:pPr>
    <w:rPr>
      <w:rFonts w:ascii="宋体"/>
      <w:b/>
      <w:position w:val="-10"/>
      <w:sz w:val="24"/>
      <w:szCs w:val="20"/>
    </w:rPr>
  </w:style>
  <w:style w:type="paragraph" w:styleId="737">
    <w:name w:val="toc 5"/>
    <w:basedOn w:val="716"/>
    <w:next w:val="716"/>
    <w:uiPriority w:val="39"/>
    <w:unhideWhenUsed/>
    <w:qFormat/>
    <w:pPr>
      <w:ind w:left="1134"/>
      <w:spacing w:after="57"/>
    </w:pPr>
  </w:style>
  <w:style w:type="paragraph" w:styleId="738">
    <w:name w:val="toc 3"/>
    <w:basedOn w:val="716"/>
    <w:next w:val="716"/>
    <w:uiPriority w:val="39"/>
    <w:unhideWhenUsed/>
    <w:qFormat/>
    <w:pPr>
      <w:ind w:left="567"/>
      <w:spacing w:after="57"/>
    </w:pPr>
  </w:style>
  <w:style w:type="paragraph" w:styleId="739">
    <w:name w:val="Plain Text"/>
    <w:basedOn w:val="716"/>
    <w:link w:val="961"/>
    <w:uiPriority w:val="0"/>
    <w:qFormat/>
    <w:rPr>
      <w:rFonts w:ascii="宋体" w:hAnsi="Courier New" w:cs="Courier New"/>
      <w:szCs w:val="21"/>
    </w:rPr>
  </w:style>
  <w:style w:type="paragraph" w:styleId="740">
    <w:name w:val="toc 8"/>
    <w:basedOn w:val="716"/>
    <w:next w:val="716"/>
    <w:uiPriority w:val="39"/>
    <w:unhideWhenUsed/>
    <w:qFormat/>
    <w:pPr>
      <w:ind w:left="1984"/>
      <w:spacing w:after="57"/>
    </w:pPr>
  </w:style>
  <w:style w:type="paragraph" w:styleId="741">
    <w:name w:val="Date"/>
    <w:basedOn w:val="716"/>
    <w:next w:val="716"/>
    <w:link w:val="963"/>
    <w:uiPriority w:val="0"/>
    <w:qFormat/>
    <w:rPr>
      <w:sz w:val="24"/>
      <w:szCs w:val="20"/>
    </w:rPr>
  </w:style>
  <w:style w:type="paragraph" w:styleId="742">
    <w:name w:val="endnote text"/>
    <w:basedOn w:val="716"/>
    <w:link w:val="948"/>
    <w:uiPriority w:val="99"/>
    <w:semiHidden/>
    <w:unhideWhenUsed/>
    <w:qFormat/>
    <w:rPr>
      <w:sz w:val="20"/>
    </w:rPr>
  </w:style>
  <w:style w:type="paragraph" w:styleId="743">
    <w:name w:val="Balloon Text"/>
    <w:basedOn w:val="716"/>
    <w:link w:val="964"/>
    <w:uiPriority w:val="0"/>
    <w:qFormat/>
    <w:rPr>
      <w:sz w:val="18"/>
      <w:szCs w:val="18"/>
    </w:rPr>
  </w:style>
  <w:style w:type="paragraph" w:styleId="744">
    <w:name w:val="Footer"/>
    <w:basedOn w:val="716"/>
    <w:link w:val="965"/>
    <w:uiPriority w:val="99"/>
    <w:qFormat/>
    <w:pPr>
      <w:jc w:val="left"/>
      <w:tabs>
        <w:tab w:val="center" w:pos="4153" w:leader="none"/>
        <w:tab w:val="right" w:pos="8306" w:leader="none"/>
      </w:tabs>
    </w:pPr>
    <w:rPr>
      <w:sz w:val="18"/>
      <w:szCs w:val="18"/>
    </w:rPr>
  </w:style>
  <w:style w:type="paragraph" w:styleId="745">
    <w:name w:val="envelope return"/>
    <w:basedOn w:val="716"/>
    <w:uiPriority w:val="0"/>
    <w:qFormat/>
    <w:rPr>
      <w:rFonts w:ascii="Arial" w:hAnsi="Arial"/>
    </w:rPr>
  </w:style>
  <w:style w:type="paragraph" w:styleId="746">
    <w:name w:val="Header"/>
    <w:basedOn w:val="716"/>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6"/>
    <w:next w:val="716"/>
    <w:uiPriority w:val="39"/>
    <w:unhideWhenUsed/>
    <w:qFormat/>
    <w:pPr>
      <w:spacing w:after="57"/>
    </w:pPr>
  </w:style>
  <w:style w:type="paragraph" w:styleId="748">
    <w:name w:val="toc 4"/>
    <w:basedOn w:val="716"/>
    <w:next w:val="716"/>
    <w:uiPriority w:val="39"/>
    <w:unhideWhenUsed/>
    <w:qFormat/>
    <w:pPr>
      <w:ind w:left="850"/>
      <w:spacing w:after="57"/>
    </w:pPr>
  </w:style>
  <w:style w:type="paragraph" w:styleId="749">
    <w:name w:val="Subtitle"/>
    <w:basedOn w:val="716"/>
    <w:next w:val="716"/>
    <w:link w:val="833"/>
    <w:uiPriority w:val="11"/>
    <w:qFormat/>
    <w:pPr>
      <w:spacing w:before="200" w:after="200"/>
    </w:pPr>
    <w:rPr>
      <w:sz w:val="24"/>
    </w:rPr>
  </w:style>
  <w:style w:type="paragraph" w:styleId="750">
    <w:name w:val="footnote text"/>
    <w:basedOn w:val="716"/>
    <w:link w:val="947"/>
    <w:uiPriority w:val="99"/>
    <w:semiHidden/>
    <w:unhideWhenUsed/>
    <w:qFormat/>
    <w:pPr>
      <w:spacing w:after="40"/>
    </w:pPr>
    <w:rPr>
      <w:sz w:val="18"/>
    </w:rPr>
  </w:style>
  <w:style w:type="paragraph" w:styleId="751">
    <w:name w:val="toc 6"/>
    <w:basedOn w:val="716"/>
    <w:next w:val="716"/>
    <w:uiPriority w:val="39"/>
    <w:unhideWhenUsed/>
    <w:qFormat/>
    <w:pPr>
      <w:ind w:left="1417"/>
      <w:spacing w:after="57"/>
    </w:pPr>
  </w:style>
  <w:style w:type="paragraph" w:styleId="752">
    <w:name w:val="table of figures"/>
    <w:basedOn w:val="716"/>
    <w:next w:val="716"/>
    <w:uiPriority w:val="99"/>
    <w:unhideWhenUsed/>
    <w:qFormat/>
  </w:style>
  <w:style w:type="paragraph" w:styleId="753">
    <w:name w:val="toc 2"/>
    <w:basedOn w:val="716"/>
    <w:next w:val="716"/>
    <w:uiPriority w:val="99"/>
    <w:semiHidden/>
    <w:qFormat/>
    <w:pPr>
      <w:ind w:left="420"/>
    </w:pPr>
    <w:rPr>
      <w:rFonts w:eastAsia="楷体_GB2312"/>
      <w:sz w:val="26"/>
      <w:szCs w:val="26"/>
    </w:rPr>
  </w:style>
  <w:style w:type="paragraph" w:styleId="754">
    <w:name w:val="toc 9"/>
    <w:basedOn w:val="716"/>
    <w:next w:val="716"/>
    <w:uiPriority w:val="39"/>
    <w:unhideWhenUsed/>
    <w:qFormat/>
    <w:pPr>
      <w:ind w:left="2268"/>
      <w:spacing w:after="57"/>
    </w:pPr>
  </w:style>
  <w:style w:type="paragraph" w:styleId="755">
    <w:name w:val="Body Text 2"/>
    <w:basedOn w:val="716"/>
    <w:link w:val="972"/>
    <w:uiPriority w:val="0"/>
    <w:qFormat/>
    <w:pPr>
      <w:spacing w:after="120" w:line="480" w:lineRule="auto"/>
    </w:pPr>
    <w:rPr>
      <w:rFonts w:ascii="Calibri" w:hAnsi="Calibri"/>
    </w:rPr>
  </w:style>
  <w:style w:type="paragraph" w:styleId="756">
    <w:name w:val="Normal (Web)"/>
    <w:basedOn w:val="716"/>
    <w:uiPriority w:val="99"/>
    <w:qFormat/>
    <w:pPr>
      <w:jc w:val="left"/>
      <w:spacing w:before="100" w:beforeAutospacing="1" w:after="100" w:afterAutospacing="1"/>
      <w:widowControl/>
    </w:pPr>
    <w:rPr>
      <w:sz w:val="24"/>
    </w:rPr>
  </w:style>
  <w:style w:type="paragraph" w:styleId="757">
    <w:name w:val="Title"/>
    <w:basedOn w:val="716"/>
    <w:next w:val="716"/>
    <w:link w:val="973"/>
    <w:uiPriority w:val="0"/>
    <w:qFormat/>
    <w:pPr>
      <w:jc w:val="center"/>
      <w:spacing w:before="240" w:after="60" w:line="360" w:lineRule="auto"/>
      <w:outlineLvl w:val="0"/>
    </w:pPr>
    <w:rPr>
      <w:rFonts w:ascii="等线 Light" w:hAnsi="等线 Light"/>
      <w:b/>
      <w:bCs/>
      <w:sz w:val="32"/>
      <w:szCs w:val="32"/>
    </w:rPr>
  </w:style>
  <w:style w:type="paragraph" w:styleId="758">
    <w:name w:val="annotation subject"/>
    <w:basedOn w:val="733"/>
    <w:next w:val="733"/>
    <w:link w:val="974"/>
    <w:uiPriority w:val="0"/>
    <w:qFormat/>
    <w:rPr>
      <w:b/>
      <w:bCs/>
    </w:rPr>
  </w:style>
  <w:style w:type="paragraph" w:styleId="759">
    <w:name w:val="Body Text First Indent"/>
    <w:basedOn w:val="734"/>
    <w:uiPriority w:val="0"/>
    <w:qFormat/>
    <w:pPr>
      <w:ind w:firstLine="420"/>
      <w:spacing w:line="360" w:lineRule="auto"/>
    </w:pPr>
    <w:rPr>
      <w:szCs w:val="21"/>
    </w:rPr>
  </w:style>
  <w:style w:type="table" w:styleId="760">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uiPriority w:val="0"/>
    <w:qFormat/>
    <w:rPr>
      <w:b/>
      <w:bCs/>
    </w:rPr>
  </w:style>
  <w:style w:type="character" w:styleId="762">
    <w:name w:val="endnote reference"/>
    <w:basedOn w:val="726"/>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iCs/>
    </w:rPr>
  </w:style>
  <w:style w:type="character" w:styleId="765">
    <w:name w:val="Hyperlink"/>
    <w:uiPriority w:val="99"/>
    <w:qFormat/>
    <w:rPr>
      <w:color w:val="auto"/>
      <w:u w:val="none"/>
    </w:rPr>
  </w:style>
  <w:style w:type="character" w:styleId="766">
    <w:name w:val="annotation reference"/>
    <w:uiPriority w:val="0"/>
    <w:qFormat/>
    <w:rPr>
      <w:sz w:val="21"/>
      <w:szCs w:val="21"/>
    </w:rPr>
  </w:style>
  <w:style w:type="character" w:styleId="767">
    <w:name w:val="footnote reference"/>
    <w:basedOn w:val="726"/>
    <w:uiPriority w:val="99"/>
    <w:unhideWhenUsed/>
    <w:qFormat/>
    <w:rPr>
      <w:vertAlign w:val="superscript"/>
    </w:rPr>
  </w:style>
  <w:style w:type="table" w:styleId="76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character" w:styleId="788" w:customStyle="1">
    <w:name w:val="标题 2 Char"/>
    <w:link w:val="718"/>
    <w:uiPriority w:val="0"/>
    <w:semiHidden/>
    <w:qFormat/>
    <w:rPr>
      <w:rFonts w:ascii="等线 Light" w:hAnsi="等线 Light" w:eastAsia="等线 Light" w:cs="Times New Roman"/>
      <w:b/>
      <w:bCs/>
      <w:sz w:val="32"/>
      <w:szCs w:val="32"/>
    </w:rPr>
  </w:style>
  <w:style w:type="character" w:styleId="789" w:customStyle="1">
    <w:name w:val="标题 4 Char"/>
    <w:link w:val="720"/>
    <w:uiPriority w:val="0"/>
    <w:semiHidden/>
    <w:qFormat/>
    <w:rPr>
      <w:rFonts w:ascii="等线 Light" w:hAnsi="等线 Light" w:eastAsia="等线 Light" w:cs="Times New Roman"/>
      <w:b/>
      <w:bCs/>
      <w:sz w:val="28"/>
      <w:szCs w:val="28"/>
    </w:rPr>
  </w:style>
  <w:style w:type="character" w:styleId="790" w:customStyle="1">
    <w:name w:val="标题 3 Char"/>
    <w:link w:val="719"/>
    <w:uiPriority w:val="9"/>
    <w:qFormat/>
    <w:rPr>
      <w:rFonts w:eastAsia="宋体"/>
      <w:b/>
      <w:bCs/>
      <w:sz w:val="32"/>
      <w:szCs w:val="32"/>
      <w:lang w:val="en-US" w:eastAsia="zh-CN" w:bidi="ar-SA"/>
    </w:rPr>
  </w:style>
  <w:style w:type="paragraph" w:styleId="79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92" w:customStyle="1">
    <w:name w:val="Heading 5 Char"/>
    <w:basedOn w:val="726"/>
    <w:uiPriority w:val="9"/>
    <w:qFormat/>
    <w:rPr>
      <w:rFonts w:ascii="Arial" w:hAnsi="Arial" w:eastAsia="Arial" w:cs="Arial"/>
      <w:b/>
      <w:bCs/>
      <w:sz w:val="24"/>
      <w:szCs w:val="24"/>
    </w:rPr>
  </w:style>
  <w:style w:type="character" w:styleId="793" w:customStyle="1">
    <w:name w:val="Heading 7 Char"/>
    <w:basedOn w:val="726"/>
    <w:uiPriority w:val="9"/>
    <w:qFormat/>
    <w:rPr>
      <w:rFonts w:ascii="Arial" w:hAnsi="Arial" w:eastAsia="Arial" w:cs="Arial"/>
      <w:b/>
      <w:bCs/>
      <w:i/>
      <w:iCs/>
      <w:sz w:val="22"/>
      <w:szCs w:val="22"/>
    </w:rPr>
  </w:style>
  <w:style w:type="character" w:styleId="794" w:customStyle="1">
    <w:name w:val="Heading 9 Char"/>
    <w:basedOn w:val="726"/>
    <w:uiPriority w:val="9"/>
    <w:qFormat/>
    <w:rPr>
      <w:rFonts w:ascii="Arial" w:hAnsi="Arial" w:eastAsia="Arial" w:cs="Arial"/>
      <w:i/>
      <w:iCs/>
      <w:sz w:val="21"/>
      <w:szCs w:val="21"/>
    </w:rPr>
  </w:style>
  <w:style w:type="character" w:styleId="795" w:customStyle="1">
    <w:name w:val="Subtitle Char"/>
    <w:basedOn w:val="726"/>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2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2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2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rPr>
      <w:rFonts w:hint="default" w:ascii="Times New Roman" w:hAnsi="Times New Roman" w:eastAsia="宋体" w:cs="Times New Roman"/>
      <w:lang w:val="en-US" w:eastAsia="zh-CN" w:bidi="ar-SA"/>
    </w:rPr>
  </w:style>
  <w:style w:type="paragraph" w:styleId="820" w:customStyle="1">
    <w:name w:val="首行缩进"/>
    <w:basedOn w:val="716"/>
    <w:uiPriority w:val="0"/>
    <w:qFormat/>
    <w:pPr>
      <w:spacing w:line="360" w:lineRule="auto"/>
    </w:pPr>
  </w:style>
  <w:style w:type="paragraph" w:styleId="821" w:customStyle="1">
    <w:name w:val="正文文本1"/>
    <w:basedOn w:val="822"/>
    <w:next w:val="716"/>
    <w:uiPriority w:val="0"/>
    <w:qFormat/>
    <w:pPr>
      <w:spacing w:after="120"/>
    </w:pPr>
    <w:rPr>
      <w:sz w:val="28"/>
    </w:rPr>
  </w:style>
  <w:style w:type="paragraph" w:styleId="822" w:customStyle="1">
    <w:name w:val="正文1"/>
    <w:next w:val="821"/>
    <w:uiPriority w:val="0"/>
    <w:qFormat/>
    <w:pPr>
      <w:jc w:val="both"/>
      <w:widowControl w:val="off"/>
    </w:pPr>
    <w:rPr>
      <w:rFonts w:hint="default" w:ascii="Calibri" w:hAnsi="Calibri" w:eastAsia="宋体" w:cs="Times New Roman"/>
      <w:sz w:val="21"/>
      <w:szCs w:val="22"/>
      <w:lang w:val="en-US" w:eastAsia="zh-CN" w:bidi="ar-SA"/>
    </w:rPr>
  </w:style>
  <w:style w:type="character" w:styleId="823" w:customStyle="1">
    <w:name w:val="Heading 1 Char"/>
    <w:basedOn w:val="726"/>
    <w:uiPriority w:val="9"/>
    <w:qFormat/>
    <w:rPr>
      <w:rFonts w:ascii="Arial" w:hAnsi="Arial" w:eastAsia="Arial" w:cs="Arial"/>
      <w:sz w:val="40"/>
      <w:szCs w:val="40"/>
    </w:rPr>
  </w:style>
  <w:style w:type="character" w:styleId="824" w:customStyle="1">
    <w:name w:val="Heading 2 Char"/>
    <w:basedOn w:val="726"/>
    <w:uiPriority w:val="9"/>
    <w:qFormat/>
    <w:rPr>
      <w:rFonts w:ascii="Arial" w:hAnsi="Arial" w:eastAsia="Arial" w:cs="Arial"/>
      <w:sz w:val="34"/>
    </w:rPr>
  </w:style>
  <w:style w:type="character" w:styleId="825" w:customStyle="1">
    <w:name w:val="Heading 3 Char"/>
    <w:basedOn w:val="726"/>
    <w:uiPriority w:val="9"/>
    <w:qFormat/>
    <w:rPr>
      <w:rFonts w:ascii="Arial" w:hAnsi="Arial" w:eastAsia="Arial" w:cs="Arial"/>
      <w:sz w:val="30"/>
      <w:szCs w:val="30"/>
    </w:rPr>
  </w:style>
  <w:style w:type="character" w:styleId="826" w:customStyle="1">
    <w:name w:val="Heading 4 Char"/>
    <w:basedOn w:val="726"/>
    <w:uiPriority w:val="9"/>
    <w:qFormat/>
    <w:rPr>
      <w:rFonts w:ascii="Arial" w:hAnsi="Arial" w:eastAsia="Arial" w:cs="Arial"/>
      <w:b/>
      <w:bCs/>
      <w:sz w:val="26"/>
      <w:szCs w:val="26"/>
    </w:rPr>
  </w:style>
  <w:style w:type="character" w:styleId="827" w:customStyle="1">
    <w:name w:val="标题 5 Char"/>
    <w:basedOn w:val="726"/>
    <w:link w:val="721"/>
    <w:uiPriority w:val="9"/>
    <w:qFormat/>
    <w:rPr>
      <w:rFonts w:ascii="Arial" w:hAnsi="Arial" w:eastAsia="Arial" w:cs="Arial"/>
      <w:b/>
      <w:bCs/>
      <w:sz w:val="24"/>
      <w:szCs w:val="24"/>
    </w:rPr>
  </w:style>
  <w:style w:type="character" w:styleId="828" w:customStyle="1">
    <w:name w:val="Heading 6 Char"/>
    <w:basedOn w:val="726"/>
    <w:uiPriority w:val="9"/>
    <w:qFormat/>
    <w:rPr>
      <w:rFonts w:ascii="Arial" w:hAnsi="Arial" w:eastAsia="Arial" w:cs="Arial"/>
      <w:b/>
      <w:bCs/>
      <w:sz w:val="22"/>
      <w:szCs w:val="22"/>
    </w:rPr>
  </w:style>
  <w:style w:type="character" w:styleId="829" w:customStyle="1">
    <w:name w:val="标题 7 Char"/>
    <w:basedOn w:val="726"/>
    <w:link w:val="723"/>
    <w:uiPriority w:val="9"/>
    <w:qFormat/>
    <w:rPr>
      <w:rFonts w:ascii="Arial" w:hAnsi="Arial" w:eastAsia="Arial" w:cs="Arial"/>
      <w:b/>
      <w:bCs/>
      <w:i/>
      <w:iCs/>
      <w:sz w:val="22"/>
      <w:szCs w:val="22"/>
    </w:rPr>
  </w:style>
  <w:style w:type="character" w:styleId="830" w:customStyle="1">
    <w:name w:val="Heading 8 Char"/>
    <w:basedOn w:val="726"/>
    <w:uiPriority w:val="9"/>
    <w:qFormat/>
    <w:rPr>
      <w:rFonts w:ascii="Arial" w:hAnsi="Arial" w:eastAsia="Arial" w:cs="Arial"/>
      <w:i/>
      <w:iCs/>
      <w:sz w:val="22"/>
      <w:szCs w:val="22"/>
    </w:rPr>
  </w:style>
  <w:style w:type="character" w:styleId="831" w:customStyle="1">
    <w:name w:val="标题 9 Char"/>
    <w:basedOn w:val="726"/>
    <w:link w:val="725"/>
    <w:uiPriority w:val="9"/>
    <w:qFormat/>
    <w:rPr>
      <w:rFonts w:ascii="Arial" w:hAnsi="Arial" w:eastAsia="Arial" w:cs="Arial"/>
      <w:i/>
      <w:iCs/>
      <w:sz w:val="21"/>
      <w:szCs w:val="21"/>
    </w:rPr>
  </w:style>
  <w:style w:type="character" w:styleId="832" w:customStyle="1">
    <w:name w:val="Title Char"/>
    <w:basedOn w:val="726"/>
    <w:uiPriority w:val="10"/>
    <w:qFormat/>
    <w:rPr>
      <w:sz w:val="48"/>
      <w:szCs w:val="48"/>
    </w:rPr>
  </w:style>
  <w:style w:type="character" w:styleId="833" w:customStyle="1">
    <w:name w:val="副标题 Char"/>
    <w:basedOn w:val="726"/>
    <w:link w:val="749"/>
    <w:uiPriority w:val="11"/>
    <w:qFormat/>
    <w:rPr>
      <w:sz w:val="24"/>
      <w:szCs w:val="24"/>
    </w:rPr>
  </w:style>
  <w:style w:type="paragraph" w:styleId="834">
    <w:name w:val="Quote"/>
    <w:basedOn w:val="716"/>
    <w:next w:val="716"/>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16"/>
    <w:next w:val="71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basedOn w:val="726"/>
    <w:uiPriority w:val="99"/>
    <w:qFormat/>
  </w:style>
  <w:style w:type="character" w:styleId="839" w:customStyle="1">
    <w:name w:val="Footer Char"/>
    <w:basedOn w:val="726"/>
    <w:uiPriority w:val="99"/>
    <w:qFormat/>
  </w:style>
  <w:style w:type="character" w:styleId="840" w:customStyle="1">
    <w:name w:val="Caption Char"/>
    <w:uiPriority w:val="99"/>
    <w:qFormat/>
  </w:style>
  <w:style w:type="table" w:styleId="841"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Grid Table 1 Light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Grid Table 3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basedOn w:val="72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2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7"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1"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 Accent 1"/>
    <w:basedOn w:val="72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5"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2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8" w:customStyle="1">
    <w:name w:val="Grid Table 7 Colorful - Accent 1"/>
    <w:basedOn w:val="72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2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basedOn w:val="72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2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2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2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2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2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 Accent 1"/>
    <w:basedOn w:val="72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1"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2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5"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 Accent 1"/>
    <w:basedOn w:val="72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2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 Accent 1"/>
    <w:basedOn w:val="72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2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7"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 Accent 1"/>
    <w:basedOn w:val="72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basedOn w:val="72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5"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2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9"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 Accent 1"/>
    <w:basedOn w:val="72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Lined - Accent 2"/>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Lined - Accent 6"/>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2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2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2"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6"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50"/>
    <w:uiPriority w:val="99"/>
    <w:qFormat/>
    <w:rPr>
      <w:sz w:val="18"/>
    </w:rPr>
  </w:style>
  <w:style w:type="character" w:styleId="948" w:customStyle="1">
    <w:name w:val="尾注文本 Char"/>
    <w:link w:val="742"/>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paragraph" w:styleId="950" w:customStyle="1">
    <w:name w:val="正文文本11"/>
    <w:basedOn w:val="716"/>
    <w:uiPriority w:val="99"/>
    <w:qFormat/>
    <w:rPr>
      <w:rFonts w:ascii="楷体_GB2312" w:hAnsi="宋体" w:eastAsia="楷体_GB2312"/>
      <w:sz w:val="28"/>
      <w:szCs w:val="28"/>
    </w:rPr>
  </w:style>
  <w:style w:type="character" w:styleId="951" w:customStyle="1">
    <w:name w:val="标题 1 Char"/>
    <w:link w:val="717"/>
    <w:uiPriority w:val="0"/>
    <w:qFormat/>
    <w:rPr>
      <w:b/>
      <w:bCs/>
      <w:sz w:val="21"/>
      <w:szCs w:val="44"/>
    </w:rPr>
  </w:style>
  <w:style w:type="character" w:styleId="952" w:customStyle="1">
    <w:name w:val="标题 6 Char"/>
    <w:link w:val="722"/>
    <w:uiPriority w:val="0"/>
    <w:qFormat/>
    <w:rPr>
      <w:rFonts w:ascii="等线 Light" w:hAnsi="等线 Light" w:eastAsia="等线 Light" w:cs="Times New Roman"/>
      <w:b/>
      <w:bCs/>
      <w:sz w:val="24"/>
      <w:szCs w:val="24"/>
    </w:rPr>
  </w:style>
  <w:style w:type="character" w:styleId="953" w:customStyle="1">
    <w:name w:val="标题 8 Char"/>
    <w:link w:val="724"/>
    <w:uiPriority w:val="0"/>
    <w:semiHidden/>
    <w:qFormat/>
    <w:rPr>
      <w:rFonts w:ascii="等线 Light" w:hAnsi="等线 Light" w:eastAsia="等线 Light" w:cs="Times New Roman"/>
      <w:sz w:val="24"/>
      <w:szCs w:val="24"/>
    </w:rPr>
  </w:style>
  <w:style w:type="paragraph" w:styleId="954" w:customStyle="1">
    <w:name w:val="目录 71"/>
    <w:basedOn w:val="716"/>
    <w:next w:val="716"/>
    <w:uiPriority w:val="39"/>
    <w:unhideWhenUsed/>
    <w:qFormat/>
    <w:pPr>
      <w:ind w:left="2520"/>
    </w:pPr>
    <w:rPr>
      <w:rFonts w:ascii="等线" w:hAnsi="等线" w:eastAsia="等线"/>
      <w:szCs w:val="22"/>
    </w:rPr>
  </w:style>
  <w:style w:type="character" w:styleId="955" w:customStyle="1">
    <w:name w:val="正文缩进 Char"/>
    <w:link w:val="730"/>
    <w:uiPriority w:val="0"/>
    <w:qFormat/>
    <w:rPr>
      <w:sz w:val="21"/>
    </w:rPr>
  </w:style>
  <w:style w:type="character" w:styleId="956" w:customStyle="1">
    <w:name w:val="文档结构图 Char"/>
    <w:link w:val="732"/>
    <w:uiPriority w:val="0"/>
    <w:qFormat/>
    <w:rPr>
      <w:sz w:val="21"/>
      <w:szCs w:val="24"/>
      <w:shd w:val="clear" w:color="auto" w:fill="000080"/>
    </w:rPr>
  </w:style>
  <w:style w:type="character" w:styleId="957" w:customStyle="1">
    <w:name w:val="批注文字 Char"/>
    <w:link w:val="733"/>
    <w:uiPriority w:val="0"/>
    <w:qFormat/>
    <w:rPr>
      <w:sz w:val="21"/>
      <w:szCs w:val="24"/>
    </w:rPr>
  </w:style>
  <w:style w:type="character" w:styleId="958" w:customStyle="1">
    <w:name w:val="正文文本 Char"/>
    <w:link w:val="734"/>
    <w:uiPriority w:val="1"/>
    <w:qFormat/>
    <w:rPr>
      <w:sz w:val="21"/>
      <w:szCs w:val="24"/>
    </w:rPr>
  </w:style>
  <w:style w:type="paragraph" w:styleId="959" w:customStyle="1">
    <w:name w:val="目录 51"/>
    <w:basedOn w:val="716"/>
    <w:next w:val="716"/>
    <w:uiPriority w:val="39"/>
    <w:unhideWhenUsed/>
    <w:qFormat/>
    <w:pPr>
      <w:ind w:left="1680"/>
    </w:pPr>
    <w:rPr>
      <w:rFonts w:ascii="等线" w:hAnsi="等线" w:eastAsia="等线"/>
      <w:szCs w:val="22"/>
    </w:rPr>
  </w:style>
  <w:style w:type="paragraph" w:styleId="960" w:customStyle="1">
    <w:name w:val="目录 31"/>
    <w:basedOn w:val="716"/>
    <w:next w:val="716"/>
    <w:uiPriority w:val="39"/>
    <w:unhideWhenUsed/>
    <w:qFormat/>
    <w:pPr>
      <w:ind w:left="440"/>
      <w:jc w:val="left"/>
      <w:spacing w:after="100" w:line="259" w:lineRule="auto"/>
      <w:widowControl/>
    </w:pPr>
    <w:rPr>
      <w:rFonts w:ascii="等线" w:hAnsi="等线" w:eastAsia="等线"/>
      <w:sz w:val="22"/>
      <w:szCs w:val="22"/>
    </w:rPr>
  </w:style>
  <w:style w:type="character" w:styleId="961" w:customStyle="1">
    <w:name w:val="纯文本 Char1"/>
    <w:link w:val="739"/>
    <w:uiPriority w:val="0"/>
    <w:qFormat/>
    <w:rPr>
      <w:rFonts w:ascii="宋体" w:hAnsi="Courier New" w:cs="Courier New"/>
      <w:sz w:val="21"/>
      <w:szCs w:val="21"/>
    </w:rPr>
  </w:style>
  <w:style w:type="paragraph" w:styleId="962" w:customStyle="1">
    <w:name w:val="目录 81"/>
    <w:basedOn w:val="716"/>
    <w:next w:val="716"/>
    <w:uiPriority w:val="39"/>
    <w:unhideWhenUsed/>
    <w:qFormat/>
    <w:pPr>
      <w:ind w:left="2940"/>
    </w:pPr>
    <w:rPr>
      <w:rFonts w:ascii="等线" w:hAnsi="等线" w:eastAsia="等线"/>
      <w:szCs w:val="22"/>
    </w:rPr>
  </w:style>
  <w:style w:type="character" w:styleId="963" w:customStyle="1">
    <w:name w:val="日期 Char"/>
    <w:link w:val="741"/>
    <w:uiPriority w:val="0"/>
    <w:qFormat/>
    <w:rPr>
      <w:sz w:val="24"/>
    </w:rPr>
  </w:style>
  <w:style w:type="character" w:styleId="964" w:customStyle="1">
    <w:name w:val="批注框文本 Char"/>
    <w:link w:val="743"/>
    <w:uiPriority w:val="0"/>
    <w:qFormat/>
    <w:rPr>
      <w:sz w:val="18"/>
      <w:szCs w:val="18"/>
    </w:rPr>
  </w:style>
  <w:style w:type="character" w:styleId="965" w:customStyle="1">
    <w:name w:val="页脚 Char1"/>
    <w:link w:val="744"/>
    <w:uiPriority w:val="99"/>
    <w:qFormat/>
    <w:rPr>
      <w:sz w:val="18"/>
      <w:szCs w:val="18"/>
    </w:rPr>
  </w:style>
  <w:style w:type="character" w:styleId="966" w:customStyle="1">
    <w:name w:val="页眉 Char"/>
    <w:link w:val="746"/>
    <w:uiPriority w:val="99"/>
    <w:qFormat/>
    <w:rPr>
      <w:sz w:val="18"/>
      <w:szCs w:val="18"/>
    </w:rPr>
  </w:style>
  <w:style w:type="paragraph" w:styleId="967" w:customStyle="1">
    <w:name w:val="目录 11"/>
    <w:basedOn w:val="716"/>
    <w:next w:val="716"/>
    <w:uiPriority w:val="39"/>
    <w:qFormat/>
    <w:rPr>
      <w:rFonts w:ascii="仿宋_GB2312" w:eastAsia="仿宋_GB2312"/>
      <w:sz w:val="24"/>
    </w:rPr>
  </w:style>
  <w:style w:type="paragraph" w:styleId="968" w:customStyle="1">
    <w:name w:val="目录 41"/>
    <w:basedOn w:val="716"/>
    <w:next w:val="716"/>
    <w:uiPriority w:val="39"/>
    <w:unhideWhenUsed/>
    <w:qFormat/>
    <w:pPr>
      <w:ind w:left="1260"/>
    </w:pPr>
    <w:rPr>
      <w:rFonts w:ascii="等线" w:hAnsi="等线" w:eastAsia="等线"/>
      <w:szCs w:val="22"/>
    </w:rPr>
  </w:style>
  <w:style w:type="paragraph" w:styleId="969" w:customStyle="1">
    <w:name w:val="目录 61"/>
    <w:basedOn w:val="716"/>
    <w:next w:val="716"/>
    <w:uiPriority w:val="39"/>
    <w:unhideWhenUsed/>
    <w:qFormat/>
    <w:pPr>
      <w:ind w:left="2100"/>
    </w:pPr>
    <w:rPr>
      <w:rFonts w:ascii="等线" w:hAnsi="等线" w:eastAsia="等线"/>
      <w:szCs w:val="22"/>
    </w:rPr>
  </w:style>
  <w:style w:type="paragraph" w:styleId="970" w:customStyle="1">
    <w:name w:val="目录 21"/>
    <w:basedOn w:val="716"/>
    <w:next w:val="716"/>
    <w:uiPriority w:val="39"/>
    <w:unhideWhenUsed/>
    <w:qFormat/>
    <w:pPr>
      <w:ind w:left="220"/>
      <w:jc w:val="left"/>
      <w:spacing w:after="100" w:line="259" w:lineRule="auto"/>
      <w:widowControl/>
    </w:pPr>
    <w:rPr>
      <w:rFonts w:ascii="等线" w:hAnsi="等线" w:eastAsia="等线"/>
      <w:sz w:val="22"/>
      <w:szCs w:val="22"/>
    </w:rPr>
  </w:style>
  <w:style w:type="paragraph" w:styleId="971" w:customStyle="1">
    <w:name w:val="目录 91"/>
    <w:basedOn w:val="716"/>
    <w:next w:val="716"/>
    <w:uiPriority w:val="39"/>
    <w:unhideWhenUsed/>
    <w:qFormat/>
    <w:pPr>
      <w:ind w:left="3360"/>
    </w:pPr>
    <w:rPr>
      <w:rFonts w:ascii="等线" w:hAnsi="等线" w:eastAsia="等线"/>
      <w:szCs w:val="22"/>
    </w:rPr>
  </w:style>
  <w:style w:type="character" w:styleId="972" w:customStyle="1">
    <w:name w:val="正文文本 2 Char"/>
    <w:link w:val="755"/>
    <w:uiPriority w:val="0"/>
    <w:qFormat/>
    <w:rPr>
      <w:rFonts w:ascii="Calibri" w:hAnsi="Calibri"/>
      <w:sz w:val="21"/>
      <w:szCs w:val="24"/>
    </w:rPr>
  </w:style>
  <w:style w:type="character" w:styleId="973" w:customStyle="1">
    <w:name w:val="标题 Char"/>
    <w:link w:val="757"/>
    <w:uiPriority w:val="0"/>
    <w:qFormat/>
    <w:rPr>
      <w:rFonts w:ascii="等线 Light" w:hAnsi="等线 Light" w:eastAsia="宋体" w:cs="Times New Roman"/>
      <w:b/>
      <w:bCs/>
      <w:sz w:val="32"/>
      <w:szCs w:val="32"/>
    </w:rPr>
  </w:style>
  <w:style w:type="character" w:styleId="974" w:customStyle="1">
    <w:name w:val="批注主题 Char"/>
    <w:link w:val="758"/>
    <w:uiPriority w:val="0"/>
    <w:qFormat/>
    <w:rPr>
      <w:b/>
      <w:bCs/>
      <w:sz w:val="21"/>
      <w:szCs w:val="24"/>
    </w:rPr>
  </w:style>
  <w:style w:type="character" w:styleId="975" w:customStyle="1">
    <w:name w:val="p0 Char"/>
    <w:link w:val="976"/>
    <w:uiPriority w:val="0"/>
    <w:qFormat/>
    <w:rPr>
      <w:rFonts w:eastAsia="宋体"/>
      <w:sz w:val="21"/>
      <w:szCs w:val="21"/>
      <w:lang w:val="en-US" w:eastAsia="zh-CN" w:bidi="ar-SA"/>
    </w:rPr>
  </w:style>
  <w:style w:type="paragraph" w:styleId="976" w:customStyle="1">
    <w:name w:val="p0"/>
    <w:basedOn w:val="716"/>
    <w:link w:val="975"/>
    <w:uiPriority w:val="0"/>
    <w:qFormat/>
    <w:pPr>
      <w:widowControl/>
    </w:pPr>
    <w:rPr>
      <w:szCs w:val="21"/>
    </w:rPr>
  </w:style>
  <w:style w:type="character" w:styleId="977" w:customStyle="1">
    <w:name w:val="标题 2 Char Char Char"/>
    <w:uiPriority w:val="0"/>
    <w:qFormat/>
    <w:rPr>
      <w:rFonts w:ascii="Arial" w:hAnsi="Arial" w:eastAsia="黑体"/>
      <w:b/>
      <w:bCs/>
      <w:sz w:val="32"/>
      <w:szCs w:val="32"/>
      <w:lang w:val="en-US" w:eastAsia="zh-CN" w:bidi="ar-SA"/>
    </w:rPr>
  </w:style>
  <w:style w:type="character" w:styleId="978" w:customStyle="1">
    <w:name w:val="NormalCharacter"/>
    <w:uiPriority w:val="0"/>
    <w:semiHidden/>
    <w:qFormat/>
  </w:style>
  <w:style w:type="paragraph" w:styleId="979" w:customStyle="1">
    <w:name w:val="标题 21"/>
    <w:basedOn w:val="716"/>
    <w:next w:val="716"/>
    <w:uiPriority w:val="0"/>
    <w:qFormat/>
    <w:pPr>
      <w:jc w:val="center"/>
      <w:keepNext/>
      <w:widowControl/>
    </w:pPr>
    <w:rPr>
      <w:rFonts w:ascii="楷体_GB2312" w:eastAsia="楷体_GB2312"/>
      <w:sz w:val="18"/>
      <w:szCs w:val="20"/>
    </w:rPr>
  </w:style>
  <w:style w:type="paragraph" w:styleId="980" w:customStyle="1">
    <w:name w:val="TOC 标题11"/>
    <w:basedOn w:val="717"/>
    <w:next w:val="71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样式1"/>
    <w:basedOn w:val="717"/>
    <w:link w:val="983"/>
    <w:uiPriority w:val="0"/>
    <w:qFormat/>
    <w:pPr>
      <w:ind w:left="210" w:right="210"/>
    </w:pPr>
  </w:style>
  <w:style w:type="character" w:styleId="983" w:customStyle="1">
    <w:name w:val="样式1 字符"/>
    <w:link w:val="982"/>
    <w:uiPriority w:val="0"/>
    <w:qFormat/>
  </w:style>
  <w:style w:type="paragraph" w:styleId="984" w:customStyle="1">
    <w:name w:val="标题 211"/>
    <w:basedOn w:val="71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5" w:customStyle="1">
    <w:name w:val="列出段落1"/>
    <w:basedOn w:val="716"/>
    <w:uiPriority w:val="1"/>
    <w:qFormat/>
    <w:pPr>
      <w:ind w:left="400" w:firstLine="420"/>
      <w:jc w:val="left"/>
    </w:pPr>
    <w:rPr>
      <w:rFonts w:ascii="宋体" w:hAnsi="宋体" w:cs="宋体"/>
      <w:sz w:val="22"/>
      <w:szCs w:val="22"/>
      <w:lang w:val="zh-CN" w:bidi="zh-CN"/>
    </w:rPr>
  </w:style>
  <w:style w:type="paragraph" w:styleId="986" w:customStyle="1">
    <w:name w:val="Table Paragraph"/>
    <w:basedOn w:val="716"/>
    <w:uiPriority w:val="1"/>
    <w:qFormat/>
    <w:pPr>
      <w:jc w:val="left"/>
    </w:pPr>
    <w:rPr>
      <w:rFonts w:ascii="宋体" w:hAnsi="宋体" w:cs="宋体"/>
      <w:sz w:val="22"/>
      <w:szCs w:val="22"/>
      <w:lang w:val="zh-CN" w:bidi="zh-CN"/>
    </w:rPr>
  </w:style>
  <w:style w:type="character" w:styleId="987" w:customStyle="1">
    <w:name w:val="ask-title2"/>
    <w:uiPriority w:val="0"/>
    <w:qFormat/>
  </w:style>
  <w:style w:type="paragraph" w:styleId="988" w:customStyle="1">
    <w:name w:val="列出段落2"/>
    <w:basedOn w:val="716"/>
    <w:uiPriority w:val="99"/>
    <w:unhideWhenUsed/>
    <w:qFormat/>
    <w:pPr>
      <w:ind w:firstLine="420"/>
      <w:jc w:val="left"/>
    </w:pPr>
    <w:rPr>
      <w:rFonts w:ascii="宋体"/>
      <w:sz w:val="20"/>
      <w:szCs w:val="20"/>
    </w:rPr>
  </w:style>
  <w:style w:type="paragraph" w:styleId="989" w:customStyle="1">
    <w:name w:val="纯文本1"/>
    <w:basedOn w:val="716"/>
    <w:uiPriority w:val="0"/>
    <w:qFormat/>
    <w:rPr>
      <w:rFonts w:ascii="宋体" w:hAnsi="Courier New"/>
      <w:sz w:val="20"/>
      <w:szCs w:val="21"/>
    </w:rPr>
  </w:style>
  <w:style w:type="character" w:styleId="990" w:customStyle="1">
    <w:name w:val="纯文本 Char2"/>
    <w:uiPriority w:val="0"/>
    <w:qFormat/>
    <w:rPr>
      <w:rFonts w:ascii="宋体" w:hAnsi="Courier New"/>
      <w:sz w:val="21"/>
    </w:rPr>
  </w:style>
  <w:style w:type="paragraph" w:styleId="991" w:customStyle="1">
    <w:name w:val="列出段落11"/>
    <w:basedOn w:val="716"/>
    <w:uiPriority w:val="0"/>
    <w:qFormat/>
    <w:pPr>
      <w:ind w:firstLine="420"/>
      <w:spacing w:line="0" w:lineRule="atLeast"/>
    </w:pPr>
    <w:rPr>
      <w:rFonts w:eastAsia="微软雅黑"/>
      <w:sz w:val="20"/>
      <w:szCs w:val="20"/>
    </w:rPr>
  </w:style>
  <w:style w:type="character" w:styleId="992" w:customStyle="1">
    <w:name w:val="纯文本 Char"/>
    <w:link w:val="993"/>
    <w:uiPriority w:val="0"/>
    <w:qFormat/>
    <w:rPr>
      <w:rFonts w:ascii="宋体" w:hAnsi="Courier New"/>
    </w:rPr>
  </w:style>
  <w:style w:type="paragraph" w:styleId="993" w:customStyle="1">
    <w:name w:val="纯文本2"/>
    <w:basedOn w:val="716"/>
    <w:link w:val="992"/>
    <w:uiPriority w:val="0"/>
    <w:qFormat/>
    <w:pPr>
      <w:ind w:firstLine="200"/>
      <w:spacing w:line="360" w:lineRule="auto"/>
    </w:pPr>
    <w:rPr>
      <w:rFonts w:ascii="宋体" w:hAnsi="Courier New"/>
      <w:sz w:val="20"/>
      <w:szCs w:val="20"/>
    </w:rPr>
  </w:style>
  <w:style w:type="character" w:styleId="994" w:customStyle="1">
    <w:name w:val="页脚 Char"/>
    <w:uiPriority w:val="0"/>
    <w:qFormat/>
    <w:rPr>
      <w:sz w:val="18"/>
      <w:szCs w:val="18"/>
    </w:rPr>
  </w:style>
  <w:style w:type="paragraph" w:styleId="995" w:customStyle="1">
    <w:name w:val="_Style 83"/>
    <w:basedOn w:val="716"/>
    <w:next w:val="985"/>
    <w:uiPriority w:val="99"/>
    <w:qFormat/>
    <w:pPr>
      <w:ind w:firstLine="420"/>
    </w:pPr>
  </w:style>
  <w:style w:type="character" w:styleId="996">
    <w:name w:val="Placeholder Text"/>
    <w:basedOn w:val="726"/>
    <w:uiPriority w:val="99"/>
    <w:unhideWhenUsed/>
    <w:qFormat/>
    <w:rPr>
      <w:color w:val="808080"/>
    </w:rPr>
  </w:style>
  <w:style w:type="paragraph" w:styleId="997" w:customStyle="1">
    <w:name w:val="pf0"/>
    <w:basedOn w:val="716"/>
    <w:uiPriority w:val="0"/>
    <w:qFormat/>
    <w:pPr>
      <w:jc w:val="left"/>
      <w:spacing w:before="100" w:beforeAutospacing="1" w:after="100" w:afterAutospacing="1"/>
      <w:widowControl/>
    </w:pPr>
    <w:rPr>
      <w:rFonts w:ascii="宋体" w:hAnsi="宋体" w:cs="宋体"/>
      <w:sz w:val="24"/>
    </w:rPr>
  </w:style>
  <w:style w:type="character" w:styleId="998" w:customStyle="1">
    <w:name w:val="cf01"/>
    <w:basedOn w:val="726"/>
    <w:uiPriority w:val="0"/>
    <w:qFormat/>
    <w:rPr>
      <w:rFonts w:hint="eastAsia" w:ascii="Microsoft YaHei UI" w:hAnsi="Microsoft YaHei UI" w:eastAsia="Microsoft YaHei UI"/>
      <w:sz w:val="18"/>
      <w:szCs w:val="18"/>
    </w:rPr>
  </w:style>
  <w:style w:type="character" w:styleId="999" w:customStyle="1">
    <w:name w:val="cf11"/>
    <w:basedOn w:val="726"/>
    <w:uiPriority w:val="0"/>
    <w:qFormat/>
    <w:rPr>
      <w:rFonts w:hint="eastAsia" w:ascii="Microsoft YaHei UI" w:hAnsi="Microsoft YaHei UI" w:eastAsia="Microsoft YaHei UI"/>
      <w:sz w:val="18"/>
      <w:szCs w:val="18"/>
    </w:rPr>
  </w:style>
  <w:style w:type="paragraph" w:styleId="1000">
    <w:name w:val="List Paragraph"/>
    <w:basedOn w:val="716"/>
    <w:uiPriority w:val="1"/>
    <w:qFormat/>
    <w:pPr>
      <w:ind w:firstLine="420"/>
    </w:pPr>
  </w:style>
  <w:style w:type="paragraph" w:styleId="1001" w:customStyle="1">
    <w:name w:val="标题1，章节第一层"/>
    <w:basedOn w:val="716"/>
    <w:next w:val="71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2" w:customStyle="1">
    <w:name w:val="标准文本"/>
    <w:basedOn w:val="716"/>
    <w:uiPriority w:val="0"/>
    <w:qFormat/>
    <w:pPr>
      <w:ind w:firstLine="480"/>
      <w:spacing w:line="360" w:lineRule="auto"/>
    </w:pPr>
    <w:rPr>
      <w:rFonts w:ascii="Calibri" w:hAnsi="Calibri" w:eastAsia="Calibri" w:cs="宋体"/>
      <w:sz w:val="24"/>
      <w:lang w:val="zh-CN"/>
    </w:rPr>
  </w:style>
  <w:style w:type="character" w:styleId="1003" w:customStyle="1">
    <w:name w:val="标准文本 Char Char"/>
    <w:uiPriority w:val="0"/>
    <w:qFormat/>
    <w:rPr>
      <w:rFonts w:eastAsia="宋体" w:cs="宋体"/>
      <w:sz w:val="24"/>
      <w:szCs w:val="24"/>
      <w:lang w:val="en-US" w:eastAsia="zh-CN" w:bidi="ar-SA"/>
    </w:rPr>
  </w:style>
  <w:style w:type="character" w:styleId="1004" w:customStyle="1">
    <w:name w:val="标准小四 Char Char"/>
    <w:uiPriority w:val="0"/>
    <w:qFormat/>
    <w:rPr>
      <w:rFonts w:ascii="Arial" w:hAnsi="Arial" w:eastAsia="宋体"/>
      <w:sz w:val="24"/>
      <w:szCs w:val="21"/>
      <w:lang w:val="en-US" w:eastAsia="zh-CN" w:bidi="ar-SA"/>
    </w:rPr>
  </w:style>
  <w:style w:type="character" w:styleId="1005" w:customStyle="1">
    <w:name w:val="标准文本 Char"/>
    <w:uiPriority w:val="0"/>
    <w:qFormat/>
    <w:rPr>
      <w:rFonts w:eastAsia="宋体" w:cs="宋体"/>
      <w:sz w:val="24"/>
      <w:szCs w:val="24"/>
      <w:lang w:val="en-US" w:eastAsia="zh-CN" w:bidi="ar-SA"/>
    </w:rPr>
  </w:style>
  <w:style w:type="character" w:styleId="1006" w:customStyle="1">
    <w:name w:val="未处理的提及1"/>
    <w:basedOn w:val="726"/>
    <w:uiPriority w:val="99"/>
    <w:semiHidden/>
    <w:unhideWhenUsed/>
    <w:qFormat/>
    <w:rPr>
      <w:color w:val="605e5c"/>
      <w:shd w:val="clear" w:color="auto" w:fill="e1dfdd"/>
    </w:rPr>
  </w:style>
  <w:style w:type="paragraph" w:styleId="1007" w:customStyle="1">
    <w:name w:val="列出段落3"/>
    <w:basedOn w:val="716"/>
    <w:uiPriority w:val="99"/>
    <w:qFormat/>
    <w:pPr>
      <w:ind w:firstLine="420"/>
    </w:pPr>
  </w:style>
  <w:style w:type="paragraph" w:styleId="1008"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9"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10" w:customStyle="1">
    <w:name w:val="font41"/>
    <w:basedOn w:val="726"/>
    <w:uiPriority w:val="0"/>
    <w:qFormat/>
    <w:rPr>
      <w:rFonts w:hint="default" w:ascii="方正仿宋_GBK" w:hAnsi="方正仿宋_GBK" w:eastAsia="方正仿宋_GBK" w:cs="方正仿宋_GBK"/>
      <w:b/>
      <w:bCs/>
      <w:color w:val="000000"/>
      <w:sz w:val="22"/>
      <w:szCs w:val="22"/>
      <w:u w:val="none"/>
    </w:rPr>
  </w:style>
  <w:style w:type="character" w:styleId="1011" w:customStyle="1">
    <w:name w:val="font31"/>
    <w:basedOn w:val="726"/>
    <w:uiPriority w:val="0"/>
    <w:qFormat/>
    <w:rPr>
      <w:rFonts w:hint="default" w:ascii="方正仿宋_GBK" w:hAnsi="方正仿宋_GBK" w:eastAsia="方正仿宋_GBK" w:cs="方正仿宋_GBK"/>
      <w:color w:val="000000"/>
      <w:sz w:val="22"/>
      <w:szCs w:val="22"/>
      <w:u w:val="none"/>
    </w:rPr>
  </w:style>
  <w:style w:type="character" w:styleId="1012" w:customStyle="1">
    <w:name w:val="不明显参考1"/>
    <w:uiPriority w:val="31"/>
    <w:qFormat/>
    <w:rPr>
      <w:smallCaps/>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1"/>
    <w:uiPriority w:val="1"/>
    <w:unhideWhenUsed/>
    <w:qFormat/>
  </w:style>
  <w:style w:type="paragraph" w:styleId="101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8"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19" w:customStyle="1">
    <w:name w:val="列表段落1"/>
    <w:basedOn w:val="716"/>
    <w:uiPriority w:val="99"/>
    <w:qFormat/>
    <w:pPr>
      <w:ind w:firstLine="420"/>
    </w:pPr>
  </w:style>
  <w:style w:type="character" w:styleId="1020" w:customStyle="1">
    <w:name w:val="font21"/>
    <w:basedOn w:val="726"/>
    <w:uiPriority w:val="0"/>
    <w:qFormat/>
    <w:rPr>
      <w:rFonts w:hint="eastAsia" w:ascii="等线" w:hAnsi="等线" w:eastAsia="等线" w:cs="等线"/>
      <w:color w:val="000000"/>
      <w:sz w:val="21"/>
      <w:szCs w:val="21"/>
      <w:u w:val="none"/>
    </w:rPr>
  </w:style>
  <w:style w:type="character" w:styleId="1021" w:customStyle="1">
    <w:name w:val="font11"/>
    <w:basedOn w:val="726"/>
    <w:uiPriority w:val="0"/>
    <w:qFormat/>
    <w:rPr>
      <w:rFonts w:hint="eastAsia" w:ascii="宋体" w:hAnsi="宋体" w:eastAsia="宋体" w:cs="宋体"/>
      <w:color w:val="000000"/>
      <w:sz w:val="21"/>
      <w:szCs w:val="21"/>
      <w:u w:val="none"/>
    </w:rPr>
  </w:style>
  <w:style w:type="paragraph" w:styleId="1022" w:customStyle="1">
    <w:name w:val="null3"/>
    <w:hidden/>
    <w:uiPriority w:val="0"/>
    <w:qFormat/>
    <w:rPr>
      <w:rFonts w:hint="eastAsia" w:asciiTheme="minorHAnsi" w:hAnsiTheme="minorHAnsi" w:eastAsiaTheme="minorEastAsia" w:cstheme="minorBidi"/>
      <w:lang w:val="en-US" w:eastAsia="zh-CN" w:bidi="ar-SA"/>
    </w:rPr>
  </w:style>
  <w:style w:type="character" w:styleId="1023" w:customStyle="1">
    <w:name w:val="font51"/>
    <w:basedOn w:val="726"/>
    <w:uiPriority w:val="0"/>
    <w:qFormat/>
    <w:rPr>
      <w:rFonts w:hint="eastAsia" w:ascii="宋体" w:hAnsi="宋体" w:eastAsia="宋体" w:cs="宋体"/>
      <w:color w:val="000000"/>
      <w:sz w:val="21"/>
      <w:szCs w:val="21"/>
      <w:u w:val="none"/>
    </w:rPr>
  </w:style>
  <w:style w:type="character" w:styleId="1024" w:customStyle="1">
    <w:name w:val="font61"/>
    <w:basedOn w:val="726"/>
    <w:uiPriority w:val="0"/>
    <w:qFormat/>
    <w:rPr>
      <w:rFonts w:hint="default" w:ascii="Times New Roman" w:hAnsi="Times New Roman" w:cs="Times New Roman"/>
      <w:color w:val="000000"/>
      <w:sz w:val="21"/>
      <w:szCs w:val="21"/>
      <w:u w:val="none"/>
    </w:rPr>
  </w:style>
  <w:style w:type="paragraph" w:styleId="1025"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26" w:customStyle="1">
    <w:name w:val="标题一级"/>
    <w:basedOn w:val="716"/>
    <w:uiPriority w:val="0"/>
    <w:qFormat/>
    <w:pPr>
      <w:ind w:left="422"/>
    </w:pPr>
    <w:rPr>
      <w:rFonts w:ascii="宋体" w:hAnsi="宋体"/>
      <w:b/>
      <w:szCs w:val="21"/>
    </w:rPr>
  </w:style>
  <w:style w:type="paragraph" w:styleId="1027" w:customStyle="1">
    <w:name w:val="Table Text"/>
    <w:basedOn w:val="716"/>
    <w:uiPriority w:val="0"/>
    <w:semiHidden/>
    <w:qFormat/>
    <w:rPr>
      <w:rFonts w:ascii="宋体" w:hAnsi="宋体" w:cs="宋体"/>
      <w:szCs w:val="21"/>
      <w:lang w:eastAsia="en-US"/>
    </w:rPr>
  </w:style>
  <w:style w:type="numbering" w:styleId="14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7867fe7-5d61-4f1b-9909-88ba0846745a}"/>
        <w:description w:val=""/>
        <w:category>
          <w:name w:val="常规"/>
          <w:gallery w:val="placeholder"/>
        </w:category>
        <w:types>
          <w:type w:val="bbPlcHdr"/>
        </w:types>
        <w:behaviors>
          <w:behavior w:val="content"/>
        </w:behaviors>
        <w:guid w:val="{97867fe7-5d61-4f1b-9909-88ba0846745a}"/>
      </w:docPartPr>
      <w:docPartBody>
        <w:p>
          <w:pPr>
            <w:pStyle w:val="1441"/>
            <w:rPr>
              <w:rFonts w:hint="eastAsia"/>
            </w:rPr>
          </w:pPr>
          <w:r>
            <w:rPr>
              <w:rStyle w:val="144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440"/>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440"/>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440"/>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440"/>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440"/>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440"/>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440"/>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440"/>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440"/>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1440"/>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1440"/>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1440"/>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1440"/>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440"/>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440"/>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 w:type="character" w:styleId="1440" w:default="1">
    <w:name w:val="Default Paragraph Font"/>
    <w:uiPriority w:val="1"/>
    <w:semiHidden/>
    <w:unhideWhenUsed/>
    <w:qFormat/>
  </w:style>
  <w:style w:type="paragraph" w:styleId="1441"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442">
    <w:name w:val="Placeholder Text"/>
    <w:basedOn w:val="1440"/>
    <w:uiPriority w:val="99"/>
    <w:unhideWhenUsed/>
    <w:qFormat/>
    <w:rPr>
      <w:color w:val="808080"/>
    </w:rPr>
  </w:style>
  <w:style w:type="numbering" w:styleId="1452" w:default="1">
    <w:name w:val="No List"/>
    <w:uiPriority w:val="99"/>
    <w:semiHidden/>
    <w:unhideWhenUsed/>
  </w:style>
  <w:style w:type="paragraph" w:styleId="1453" w:default="1">
    <w:name w:val="Normal"/>
    <w:qFormat/>
  </w:style>
  <w:style w:type="table" w:styleId="145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62881-5ACE-4567-955F-2AE83CC0102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23</cp:revision>
  <dcterms:created xsi:type="dcterms:W3CDTF">2024-10-22T06:28:00Z</dcterms:created>
  <dcterms:modified xsi:type="dcterms:W3CDTF">2026-09-29T07:57:21Z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D66770EB7BA746B6A3B97E487E344B11_13</vt:lpwstr>
  </property>
  <property fmtid="{D5CDD505-2E9C-101B-9397-08002B2CF9AE}" pid="4" name="KSOTemplateDocerSaveRecord">
    <vt:lpwstr>eyJoZGlkIjoiMWYxYmUwODIzYzk0M2QzOTM3M2I1MzA0NjYxZWNjMTciLCJ1c2VySWQiOiI3MDY5OTM5NjQifQ==</vt:lpwstr>
  </property>
</Properties>
</file>