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45B32">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327DB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84"/>
          <w:szCs w:val="84"/>
          <w:highlight w:val="none"/>
        </w:rPr>
      </w:pPr>
    </w:p>
    <w:p w14:paraId="114E95A9">
      <w:pPr>
        <w:pStyle w:val="31"/>
        <w:spacing w:before="120" w:beforeAutospacing="0" w:after="120" w:afterAutospacing="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招 标 文 件</w:t>
      </w:r>
    </w:p>
    <w:p w14:paraId="4F130F03">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58DC76B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78C576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2330CAD0">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项目名称：</w:t>
      </w:r>
      <w:r>
        <w:rPr>
          <w:rFonts w:hint="eastAsia" w:asciiTheme="minorEastAsia" w:hAnsiTheme="minorEastAsia" w:eastAsiaTheme="minorEastAsia" w:cstheme="minorEastAsia"/>
          <w:b/>
          <w:color w:val="auto"/>
          <w:sz w:val="32"/>
          <w:szCs w:val="32"/>
          <w:highlight w:val="none"/>
          <w:lang w:eastAsia="zh-CN"/>
        </w:rPr>
        <w:t>盐城市公安局水域感知前端二期维保项目</w:t>
      </w:r>
    </w:p>
    <w:p w14:paraId="5BD87ACC">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b/>
          <w:color w:val="auto"/>
          <w:sz w:val="32"/>
          <w:szCs w:val="32"/>
          <w:highlight w:val="none"/>
        </w:rPr>
        <w:t>项目编号：</w:t>
      </w:r>
      <w:r>
        <w:rPr>
          <w:rFonts w:hint="eastAsia" w:asciiTheme="minorEastAsia" w:hAnsiTheme="minorEastAsia" w:cstheme="minorEastAsia"/>
          <w:b/>
          <w:color w:val="auto"/>
          <w:sz w:val="32"/>
          <w:szCs w:val="32"/>
          <w:highlight w:val="none"/>
          <w:lang w:eastAsia="zh-CN"/>
        </w:rPr>
        <w:t>JSZC-320900-JCJS-G2026-0015</w:t>
      </w:r>
    </w:p>
    <w:p w14:paraId="7186113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3493619">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2762D1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26B2F372">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47389EFA">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rPr>
      </w:pPr>
    </w:p>
    <w:p w14:paraId="2AA2FA6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盐城市公安局</w:t>
      </w:r>
    </w:p>
    <w:p w14:paraId="57F3692E">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2026年</w:t>
      </w:r>
      <w:r>
        <w:rPr>
          <w:rFonts w:hint="eastAsia" w:asciiTheme="minorEastAsia" w:hAnsiTheme="minorEastAsia" w:cstheme="minorEastAsia"/>
          <w:b/>
          <w:color w:val="auto"/>
          <w:sz w:val="36"/>
          <w:szCs w:val="36"/>
          <w:highlight w:val="none"/>
          <w:lang w:val="en-US" w:eastAsia="zh-CN"/>
        </w:rPr>
        <w:t>10</w:t>
      </w:r>
      <w:r>
        <w:rPr>
          <w:rFonts w:hint="eastAsia" w:asciiTheme="minorEastAsia" w:hAnsiTheme="minorEastAsia" w:eastAsiaTheme="minorEastAsia" w:cstheme="minorEastAsia"/>
          <w:b/>
          <w:color w:val="auto"/>
          <w:sz w:val="36"/>
          <w:szCs w:val="36"/>
          <w:highlight w:val="none"/>
        </w:rPr>
        <w:t>月</w:t>
      </w:r>
    </w:p>
    <w:p w14:paraId="615F8370">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bookmarkStart w:id="156" w:name="_GoBack"/>
      <w:bookmarkEnd w:id="156"/>
      <w:r>
        <w:rPr>
          <w:rFonts w:hint="eastAsia" w:asciiTheme="minorEastAsia" w:hAnsiTheme="minorEastAsia" w:eastAsiaTheme="minorEastAsia" w:cstheme="minorEastAsia"/>
          <w:color w:val="auto"/>
          <w:highlight w:val="none"/>
        </w:rPr>
        <w:t xml:space="preserve">       </w:t>
      </w:r>
    </w:p>
    <w:p w14:paraId="67BE68A2">
      <w:pPr>
        <w:pStyle w:val="31"/>
        <w:spacing w:beforeAutospacing="0" w:afterAutospacing="0" w:line="480" w:lineRule="auto"/>
        <w:jc w:val="center"/>
        <w:rPr>
          <w:rFonts w:hint="eastAsia" w:asciiTheme="minorEastAsia" w:hAnsiTheme="minorEastAsia" w:eastAsiaTheme="minorEastAsia" w:cstheme="minorEastAsia"/>
          <w:color w:val="auto"/>
          <w:sz w:val="21"/>
          <w:szCs w:val="21"/>
          <w:highlight w:val="none"/>
        </w:rPr>
      </w:pPr>
    </w:p>
    <w:p w14:paraId="78626B5A">
      <w:pPr>
        <w:pStyle w:val="31"/>
        <w:spacing w:beforeAutospacing="0" w:afterAutospacing="0" w:line="48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w:t>
      </w:r>
      <w:bookmarkStart w:id="0" w:name="_Toc20823272"/>
      <w:bookmarkStart w:id="1" w:name="_Toc513029200"/>
      <w:bookmarkStart w:id="2" w:name="_Toc523127445"/>
      <w:bookmarkStart w:id="3" w:name="_Toc16938516"/>
      <w:bookmarkStart w:id="4" w:name="_Toc479757206"/>
      <w:bookmarkStart w:id="5" w:name="_Toc120614210"/>
      <w:r>
        <w:rPr>
          <w:rFonts w:hint="eastAsia" w:asciiTheme="minorEastAsia" w:hAnsiTheme="minorEastAsia" w:eastAsiaTheme="minorEastAsia" w:cstheme="minorEastAsia"/>
          <w:b/>
          <w:color w:val="auto"/>
          <w:sz w:val="44"/>
          <w:szCs w:val="44"/>
          <w:highlight w:val="none"/>
        </w:rPr>
        <w:t>总  目  录</w:t>
      </w:r>
      <w:bookmarkEnd w:id="0"/>
      <w:bookmarkEnd w:id="1"/>
      <w:bookmarkEnd w:id="2"/>
      <w:bookmarkEnd w:id="3"/>
      <w:bookmarkEnd w:id="4"/>
      <w:bookmarkEnd w:id="5"/>
    </w:p>
    <w:p w14:paraId="5906B767">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68003F6">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第一章      招标公告</w:t>
      </w:r>
    </w:p>
    <w:p w14:paraId="6B8ACD98">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第二章      投标人须知</w:t>
      </w:r>
    </w:p>
    <w:p w14:paraId="2C7AA1EA">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第三章      合同条款</w:t>
      </w:r>
    </w:p>
    <w:p w14:paraId="5BACDEC9">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第四章      采购需求</w:t>
      </w:r>
    </w:p>
    <w:p w14:paraId="41415177">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第五章      评标方法与评标标准</w:t>
      </w:r>
    </w:p>
    <w:p w14:paraId="472D05AB">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第六章      投标文件格式</w:t>
      </w:r>
    </w:p>
    <w:p w14:paraId="7FDB7E8F">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53EE51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7C0954A">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7AB2D35D">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第一章 招标公告</w:t>
      </w:r>
    </w:p>
    <w:p w14:paraId="6C782BCD">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项目概况</w:t>
      </w:r>
    </w:p>
    <w:p w14:paraId="64163A9E">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lang w:eastAsia="zh-CN"/>
        </w:rPr>
        <w:t>盐城市公安局水域感知前端二期维保项目</w:t>
      </w:r>
      <w:r>
        <w:rPr>
          <w:rFonts w:hint="eastAsia" w:asciiTheme="minorEastAsia" w:hAnsiTheme="minorEastAsia" w:eastAsiaTheme="minorEastAsia" w:cstheme="minorEastAsia"/>
          <w:color w:val="auto"/>
          <w:highlight w:val="none"/>
        </w:rPr>
        <w:t>招标项目的潜在投标人应在</w:t>
      </w:r>
      <w:r>
        <w:rPr>
          <w:rFonts w:hint="eastAsia" w:asciiTheme="minorEastAsia" w:hAnsiTheme="minorEastAsia" w:eastAsiaTheme="minorEastAsia" w:cstheme="minorEastAsia"/>
          <w:color w:val="auto"/>
          <w:highlight w:val="none"/>
          <w:shd w:val="clear" w:color="auto" w:fill="FFFFFF"/>
        </w:rPr>
        <w:t>“苏采云”系统内免费下载（投标人必须在苏采云系统中获取采购文件，方能参与政府采购项目）</w:t>
      </w:r>
      <w:r>
        <w:rPr>
          <w:rFonts w:hint="eastAsia" w:asciiTheme="minorEastAsia" w:hAnsiTheme="minorEastAsia" w:eastAsiaTheme="minorEastAsia" w:cstheme="minorEastAsia"/>
          <w:color w:val="auto"/>
          <w:highlight w:val="none"/>
        </w:rPr>
        <w:t>，并于</w:t>
      </w:r>
      <w:r>
        <w:rPr>
          <w:rFonts w:hint="eastAsia" w:asciiTheme="minorEastAsia" w:hAnsiTheme="minorEastAsia" w:eastAsiaTheme="minorEastAsia" w:cstheme="minorEastAsia"/>
          <w:color w:val="auto"/>
          <w:highlight w:val="none"/>
          <w:u w:val="single"/>
        </w:rPr>
        <w:t>2026年</w:t>
      </w:r>
      <w:r>
        <w:rPr>
          <w:rFonts w:hint="eastAsia" w:asciiTheme="minorEastAsia" w:hAnsi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cstheme="minorEastAsia"/>
          <w:color w:val="auto"/>
          <w:highlight w:val="none"/>
          <w:u w:val="single"/>
          <w:lang w:val="en-US" w:eastAsia="zh-CN"/>
        </w:rPr>
        <w:t>9</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cstheme="minorEastAsia"/>
          <w:color w:val="auto"/>
          <w:highlight w:val="none"/>
          <w:u w:val="single"/>
          <w:lang w:val="en-US" w:eastAsia="zh-CN"/>
        </w:rPr>
        <w:t>15</w:t>
      </w:r>
      <w:r>
        <w:rPr>
          <w:rFonts w:hint="eastAsia" w:asciiTheme="minorEastAsia" w:hAnsiTheme="minorEastAsia" w:eastAsiaTheme="minorEastAsia" w:cstheme="minorEastAsia"/>
          <w:color w:val="auto"/>
          <w:highlight w:val="none"/>
          <w:u w:val="single"/>
        </w:rPr>
        <w:t>点00分（</w:t>
      </w:r>
      <w:r>
        <w:rPr>
          <w:rFonts w:hint="eastAsia" w:asciiTheme="minorEastAsia" w:hAnsiTheme="minorEastAsia" w:eastAsiaTheme="minorEastAsia" w:cstheme="minorEastAsia"/>
          <w:color w:val="auto"/>
          <w:highlight w:val="none"/>
        </w:rPr>
        <w:t>北京时间）前递交投标文件。</w:t>
      </w:r>
    </w:p>
    <w:p w14:paraId="54B6149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6" w:name="_Toc35393790"/>
      <w:bookmarkStart w:id="7" w:name="_Toc28359079"/>
      <w:bookmarkStart w:id="8" w:name="_Toc28359002"/>
      <w:bookmarkStart w:id="9" w:name="_Hlk24379207"/>
      <w:bookmarkStart w:id="10" w:name="_Toc35393621"/>
      <w:bookmarkStart w:id="11" w:name="_Toc38985263"/>
      <w:r>
        <w:rPr>
          <w:rFonts w:hint="eastAsia" w:asciiTheme="minorEastAsia" w:hAnsiTheme="minorEastAsia" w:eastAsiaTheme="minorEastAsia" w:cstheme="minorEastAsia"/>
          <w:b/>
          <w:color w:val="auto"/>
          <w:highlight w:val="none"/>
        </w:rPr>
        <w:t>一、项目基本情况</w:t>
      </w:r>
      <w:bookmarkEnd w:id="6"/>
      <w:bookmarkEnd w:id="7"/>
      <w:bookmarkEnd w:id="8"/>
      <w:bookmarkEnd w:id="9"/>
      <w:bookmarkEnd w:id="10"/>
      <w:bookmarkEnd w:id="11"/>
    </w:p>
    <w:p w14:paraId="354B909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1.项目编号：</w:t>
      </w:r>
      <w:r>
        <w:rPr>
          <w:rFonts w:hint="eastAsia" w:asciiTheme="minorEastAsia" w:hAnsiTheme="minorEastAsia" w:cstheme="minorEastAsia"/>
          <w:color w:val="auto"/>
          <w:highlight w:val="none"/>
          <w:lang w:eastAsia="zh-CN"/>
        </w:rPr>
        <w:t>JSZC-320900-JCJS-G2026-0015</w:t>
      </w:r>
    </w:p>
    <w:p w14:paraId="78DE0C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2.项目名称：</w:t>
      </w:r>
      <w:r>
        <w:rPr>
          <w:rFonts w:hint="eastAsia" w:asciiTheme="minorEastAsia" w:hAnsiTheme="minorEastAsia" w:eastAsiaTheme="minorEastAsia" w:cstheme="minorEastAsia"/>
          <w:color w:val="auto"/>
          <w:highlight w:val="none"/>
          <w:lang w:eastAsia="zh-CN"/>
        </w:rPr>
        <w:t>盐城市公安局水域感知前端二期维保项目</w:t>
      </w:r>
    </w:p>
    <w:p w14:paraId="02D16D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3.预算金额：</w:t>
      </w:r>
      <w:r>
        <w:rPr>
          <w:rFonts w:hint="eastAsia" w:asciiTheme="minorEastAsia" w:hAnsiTheme="minorEastAsia" w:eastAsiaTheme="minorEastAsia" w:cstheme="minorEastAsia"/>
          <w:color w:val="auto"/>
          <w:highlight w:val="none"/>
          <w:lang w:val="en-US" w:eastAsia="zh-CN"/>
        </w:rPr>
        <w:t>132</w:t>
      </w:r>
      <w:r>
        <w:rPr>
          <w:rFonts w:hint="eastAsia" w:asciiTheme="minorEastAsia" w:hAnsiTheme="minorEastAsia" w:eastAsiaTheme="minorEastAsia" w:cstheme="minorEastAsia"/>
          <w:color w:val="auto"/>
          <w:highlight w:val="none"/>
        </w:rPr>
        <w:t>万元</w:t>
      </w:r>
    </w:p>
    <w:p w14:paraId="0A91A63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.最高限价：</w:t>
      </w:r>
      <w:r>
        <w:rPr>
          <w:rFonts w:hint="eastAsia" w:asciiTheme="minorEastAsia" w:hAnsiTheme="minorEastAsia" w:eastAsiaTheme="minorEastAsia" w:cstheme="minorEastAsia"/>
          <w:color w:val="auto"/>
          <w:highlight w:val="none"/>
          <w:lang w:val="en-US" w:eastAsia="zh-CN"/>
        </w:rPr>
        <w:t>132</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lang w:val="en-US" w:eastAsia="zh-CN"/>
        </w:rPr>
        <w:t>/3年</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 xml:space="preserve">报价超过最高限价的为无效报价，按照无效响应处理。  </w:t>
      </w:r>
    </w:p>
    <w:p w14:paraId="506AE91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.采购需求：盐城市公安局水域感知前端设备的维保，包含前端设备维保服务、网络专线租赁服务、设备接电服务、</w:t>
      </w:r>
      <w:r>
        <w:rPr>
          <w:rFonts w:hint="eastAsia" w:asciiTheme="minorEastAsia" w:hAnsiTheme="minorEastAsia" w:cstheme="minorEastAsia"/>
          <w:color w:val="auto"/>
          <w:highlight w:val="none"/>
          <w:lang w:eastAsia="zh-CN"/>
        </w:rPr>
        <w:t>铁塔</w:t>
      </w:r>
      <w:r>
        <w:rPr>
          <w:rFonts w:hint="eastAsia" w:asciiTheme="minorEastAsia" w:hAnsiTheme="minorEastAsia" w:eastAsiaTheme="minorEastAsia" w:cstheme="minorEastAsia"/>
          <w:color w:val="auto"/>
          <w:highlight w:val="none"/>
        </w:rPr>
        <w:t>点位租赁服务等内容。</w:t>
      </w:r>
    </w:p>
    <w:p w14:paraId="5B13F4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.合同履行期限</w:t>
      </w:r>
      <w:r>
        <w:rPr>
          <w:rFonts w:hint="eastAsia" w:asciiTheme="minorEastAsia" w:hAnsiTheme="minorEastAsia" w:eastAsiaTheme="minorEastAsia" w:cstheme="minorEastAsia"/>
          <w:color w:val="auto"/>
          <w:highlight w:val="none"/>
          <w:lang w:val="en-US" w:eastAsia="zh-CN"/>
        </w:rPr>
        <w:t>（维保服务期）：三年。维保合同一年一签（服务开始时间以合同约定为准；合同服务期</w:t>
      </w:r>
      <w:r>
        <w:rPr>
          <w:rFonts w:hint="eastAsia" w:asciiTheme="minorEastAsia" w:hAnsiTheme="minorEastAsia" w:cstheme="minorEastAsia"/>
          <w:color w:val="auto"/>
          <w:highlight w:val="none"/>
          <w:lang w:val="en-US" w:eastAsia="zh-CN"/>
        </w:rPr>
        <w:t>满前，经甲方年度验收</w:t>
      </w:r>
      <w:r>
        <w:rPr>
          <w:rFonts w:hint="eastAsia" w:asciiTheme="minorEastAsia" w:hAnsiTheme="minorEastAsia" w:eastAsiaTheme="minorEastAsia" w:cstheme="minorEastAsia"/>
          <w:color w:val="auto"/>
          <w:highlight w:val="none"/>
          <w:lang w:val="en-US" w:eastAsia="zh-CN"/>
        </w:rPr>
        <w:t>合格，且月均考核评分达到90分及以上，可续签下一年合同，最多续签二次）。</w:t>
      </w:r>
    </w:p>
    <w:p w14:paraId="6F4D5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.本项目（是/否）接受联合体投标：否。</w:t>
      </w:r>
    </w:p>
    <w:p w14:paraId="53B9AC8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12" w:name="_Toc35393791"/>
      <w:bookmarkStart w:id="13" w:name="_Toc38985264"/>
      <w:bookmarkStart w:id="14" w:name="_Toc35393622"/>
      <w:bookmarkStart w:id="15" w:name="_Toc28359080"/>
      <w:bookmarkStart w:id="16" w:name="_Toc28359003"/>
      <w:r>
        <w:rPr>
          <w:rFonts w:hint="eastAsia" w:asciiTheme="minorEastAsia" w:hAnsiTheme="minorEastAsia" w:eastAsiaTheme="minorEastAsia" w:cstheme="minorEastAsia"/>
          <w:b/>
          <w:color w:val="auto"/>
          <w:highlight w:val="none"/>
        </w:rPr>
        <w:t>二、申请人的资格要求：</w:t>
      </w:r>
      <w:bookmarkEnd w:id="12"/>
      <w:bookmarkEnd w:id="13"/>
      <w:bookmarkEnd w:id="14"/>
      <w:bookmarkEnd w:id="15"/>
      <w:bookmarkEnd w:id="16"/>
    </w:p>
    <w:p w14:paraId="222D31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1.满足《中华人民共和国政府采购法》第二十二条规定，并提供下列材料：</w:t>
      </w:r>
    </w:p>
    <w:p w14:paraId="0AC9903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法人或者其他组织的营业执照等证明文件，自然人的身份证明。</w:t>
      </w:r>
    </w:p>
    <w:p w14:paraId="4BDAB4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w:t>
      </w:r>
      <w:bookmarkStart w:id="17" w:name="OLE_LINK1"/>
      <w:r>
        <w:rPr>
          <w:rFonts w:hint="eastAsia" w:asciiTheme="minorEastAsia" w:hAnsiTheme="minorEastAsia" w:eastAsiaTheme="minorEastAsia" w:cstheme="minorEastAsia"/>
          <w:color w:val="auto"/>
          <w:highlight w:val="none"/>
        </w:rPr>
        <w:t>上一年度的财务状况报</w:t>
      </w:r>
      <w:bookmarkEnd w:id="17"/>
      <w:r>
        <w:rPr>
          <w:rFonts w:hint="eastAsia" w:asciiTheme="minorEastAsia" w:hAnsiTheme="minorEastAsia" w:cstheme="minorEastAsia"/>
          <w:color w:val="auto"/>
          <w:highlight w:val="none"/>
          <w:lang w:val="en-US" w:eastAsia="zh-CN"/>
        </w:rPr>
        <w:t>告</w:t>
      </w:r>
      <w:r>
        <w:rPr>
          <w:rFonts w:hint="eastAsia" w:asciiTheme="minorEastAsia" w:hAnsiTheme="minorEastAsia" w:eastAsiaTheme="minorEastAsia" w:cstheme="minorEastAsia"/>
          <w:color w:val="auto"/>
          <w:highlight w:val="none"/>
        </w:rPr>
        <w:t>（成立不满一年无需提供）；</w:t>
      </w:r>
    </w:p>
    <w:p w14:paraId="40A2C60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1.3具备履行合同所必需的设备和专业技术能力的书面声明。</w:t>
      </w:r>
    </w:p>
    <w:p w14:paraId="38779F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928CF3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1.5参加政府采购活动前3年内在经营活动中没有重大违法记录的书面声明。</w:t>
      </w:r>
    </w:p>
    <w:p w14:paraId="252143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1.6法律、行政法规规定的其他条件。</w:t>
      </w:r>
    </w:p>
    <w:p w14:paraId="6524D8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C96AE2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1.8单位负责人为同一人或者存在直接控股、管理关系的不同供应商，不得参加同一合同项下的政府采购活动。</w:t>
      </w:r>
    </w:p>
    <w:p w14:paraId="05352D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落实政府采购政策需满足的资格要求：本项目专门面向中小企业采购。采购标的的所属行业为租赁和商务服务业，投标人需按照采购文件的要求提供相应的《中小企业声明函》。企业标准请参照《关于印发中小企业划型标准规定的通知》（工信部联企业[2011]300号）文件规定自行填写。</w:t>
      </w:r>
    </w:p>
    <w:p w14:paraId="78878BD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3.本项目的特定资格要求：无</w:t>
      </w:r>
    </w:p>
    <w:p w14:paraId="7136935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三、获取招标文件</w:t>
      </w:r>
    </w:p>
    <w:p w14:paraId="2C03AE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8" w:name="_Toc35393793"/>
      <w:bookmarkStart w:id="19" w:name="_Toc35393624"/>
      <w:bookmarkStart w:id="20" w:name="_Toc38985266"/>
      <w:bookmarkStart w:id="21" w:name="_Toc28359005"/>
      <w:bookmarkStart w:id="22" w:name="_Toc28359082"/>
      <w:r>
        <w:rPr>
          <w:rFonts w:hint="eastAsia" w:asciiTheme="minorEastAsia" w:hAnsiTheme="minorEastAsia" w:eastAsiaTheme="minorEastAsia" w:cstheme="minorEastAsia"/>
          <w:color w:val="auto"/>
          <w:highlight w:val="none"/>
        </w:rPr>
        <w:t>1.时间：</w:t>
      </w:r>
      <w:bookmarkEnd w:id="18"/>
      <w:bookmarkEnd w:id="19"/>
      <w:bookmarkEnd w:id="20"/>
      <w:bookmarkEnd w:id="21"/>
      <w:bookmarkEnd w:id="22"/>
      <w:r>
        <w:rPr>
          <w:rFonts w:hint="eastAsia" w:asciiTheme="minorEastAsia" w:hAnsiTheme="minorEastAsia" w:eastAsiaTheme="minorEastAsia" w:cstheme="minorEastAsia"/>
          <w:color w:val="auto"/>
          <w:highlight w:val="none"/>
        </w:rPr>
        <w:t>自招标文件公告发布之日起5个工作日 。</w:t>
      </w:r>
    </w:p>
    <w:p w14:paraId="23E37B8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2.地点：“苏采云”系统内免费下载（投标人必须在苏采云系统中获取采购文件，方能参与政府采购项目）；</w:t>
      </w:r>
    </w:p>
    <w:p w14:paraId="63B0C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p>
    <w:p w14:paraId="6FBFBC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4.售价：0元</w:t>
      </w:r>
    </w:p>
    <w:p w14:paraId="1FDB9CF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四、提交投标文件截止时间、开标时间和地点</w:t>
      </w:r>
    </w:p>
    <w:p w14:paraId="39EE611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1.时间：2026年</w:t>
      </w:r>
      <w:r>
        <w:rPr>
          <w:rFonts w:hint="eastAsia" w:asciiTheme="minorEastAsia" w:hAnsiTheme="minorEastAsia" w:cstheme="minorEastAsia"/>
          <w:color w:val="auto"/>
          <w:highlight w:val="none"/>
          <w:lang w:val="en-US" w:eastAsia="zh-CN"/>
        </w:rPr>
        <w:t>11</w:t>
      </w:r>
      <w:r>
        <w:rPr>
          <w:rFonts w:hint="eastAsia" w:asciiTheme="minorEastAsia" w:hAnsiTheme="minorEastAsia" w:eastAsiaTheme="minorEastAsia" w:cstheme="minorEastAsia"/>
          <w:color w:val="auto"/>
          <w:highlight w:val="none"/>
        </w:rPr>
        <w:t>月</w:t>
      </w:r>
      <w:r>
        <w:rPr>
          <w:rFonts w:hint="eastAsia" w:asciiTheme="minorEastAsia" w:hAnsi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日</w:t>
      </w:r>
      <w:r>
        <w:rPr>
          <w:rFonts w:hint="eastAsia" w:asciiTheme="minorEastAsia" w:hAnsiTheme="minorEastAsia" w:cstheme="minorEastAsia"/>
          <w:color w:val="auto"/>
          <w:highlight w:val="none"/>
          <w:lang w:val="en-US" w:eastAsia="zh-CN"/>
        </w:rPr>
        <w:t>15</w:t>
      </w:r>
      <w:r>
        <w:rPr>
          <w:rFonts w:hint="eastAsia" w:asciiTheme="minorEastAsia" w:hAnsiTheme="minorEastAsia" w:eastAsiaTheme="minorEastAsia" w:cstheme="minorEastAsia"/>
          <w:color w:val="auto"/>
          <w:highlight w:val="none"/>
        </w:rPr>
        <w:t>点00分（北京时间）。</w:t>
      </w:r>
    </w:p>
    <w:p w14:paraId="7EA82C5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2.地点：苏采云“不见面”开标大厅 。</w:t>
      </w:r>
    </w:p>
    <w:p w14:paraId="51980BA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23" w:name="_Toc28359084"/>
      <w:bookmarkStart w:id="24" w:name="_Toc38985267"/>
      <w:bookmarkStart w:id="25" w:name="_Toc35393625"/>
      <w:bookmarkStart w:id="26" w:name="_Toc35393794"/>
      <w:bookmarkStart w:id="27" w:name="_Toc28359007"/>
      <w:r>
        <w:rPr>
          <w:rFonts w:hint="eastAsia" w:asciiTheme="minorEastAsia" w:hAnsiTheme="minorEastAsia" w:eastAsiaTheme="minorEastAsia" w:cstheme="minorEastAsia"/>
          <w:b/>
          <w:color w:val="auto"/>
          <w:highlight w:val="none"/>
        </w:rPr>
        <w:t>五、公告期限</w:t>
      </w:r>
      <w:bookmarkEnd w:id="23"/>
      <w:bookmarkEnd w:id="24"/>
      <w:bookmarkEnd w:id="25"/>
      <w:bookmarkEnd w:id="26"/>
      <w:bookmarkEnd w:id="27"/>
    </w:p>
    <w:p w14:paraId="6CFBD4C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28" w:name="_Toc35393795"/>
      <w:bookmarkStart w:id="29" w:name="_Toc38985268"/>
      <w:bookmarkStart w:id="30" w:name="_Toc35393626"/>
      <w:r>
        <w:rPr>
          <w:rFonts w:hint="eastAsia" w:asciiTheme="minorEastAsia" w:hAnsiTheme="minorEastAsia" w:eastAsiaTheme="minorEastAsia" w:cstheme="minorEastAsia"/>
          <w:color w:val="auto"/>
          <w:highlight w:val="none"/>
        </w:rPr>
        <w:t>自本公告发布之日起5个工作日。</w:t>
      </w:r>
      <w:bookmarkEnd w:id="28"/>
      <w:bookmarkEnd w:id="29"/>
      <w:bookmarkEnd w:id="30"/>
    </w:p>
    <w:p w14:paraId="31076A3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六、其他补充事宜</w:t>
      </w:r>
    </w:p>
    <w:p w14:paraId="761C80D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0A589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F16F7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2.潜在供应商访问电子招标响应交易平台的网络地址和方法：</w:t>
      </w:r>
    </w:p>
    <w:p w14:paraId="2E1846A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468929C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潜在投标人访问“苏采云”系统方法：江苏省政府采购网首页-“苏采云”链接。</w:t>
      </w:r>
    </w:p>
    <w:p w14:paraId="0CAE1EF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采购文件（后缀名为“.kedt”）、供应商操作手册及政府采购客户端 工具可通过“苏采云”系统相应链接进行下载。</w:t>
      </w:r>
    </w:p>
    <w:p w14:paraId="4DDD015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 采购代理机构将数据电文形式的采购文件加载至“苏采云”系统，供潜在供应商下载或者查阅。</w:t>
      </w:r>
    </w:p>
    <w:p w14:paraId="5F16AF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 请潜在投标单位提前安装相应的控件（详见《“苏采云”系统供应商操作手册》）并使用谷歌浏览器登录“苏采云”系统参与不见面开评标。</w:t>
      </w:r>
    </w:p>
    <w:p w14:paraId="1B9A1E8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如潜在投标人未按上述要求操作，将自行承担所产生的风险。</w:t>
      </w:r>
    </w:p>
    <w:p w14:paraId="693922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3.有关本次招标的事项若存在变动或修改，敬请及时关注采购代理机构在“中国政府采购网”、“江苏政府采购网”“盐城市政府采购网”发布的更正公告。</w:t>
      </w:r>
    </w:p>
    <w:p w14:paraId="23B7775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4.本次招标不收取投标保证金，不收取质量保证金。</w:t>
      </w:r>
    </w:p>
    <w:p w14:paraId="0FD3205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七、对本次招标提出询问，请按以下方式联系。</w:t>
      </w:r>
    </w:p>
    <w:p w14:paraId="1223385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 </w:t>
      </w:r>
    </w:p>
    <w:p w14:paraId="668616B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单位名称：盐城市公安局</w:t>
      </w:r>
    </w:p>
    <w:p w14:paraId="1041676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单位地址：盐城市平安路9号</w:t>
      </w:r>
    </w:p>
    <w:p w14:paraId="6855077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联系人：江警官</w:t>
      </w:r>
    </w:p>
    <w:p w14:paraId="73CBB2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联系电话：0515-83220095</w:t>
      </w:r>
    </w:p>
    <w:p w14:paraId="1C92C8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2、招标代理机构信息</w:t>
      </w:r>
    </w:p>
    <w:p w14:paraId="0A6EFF6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名称：江苏捷诚建设项目管理咨询有限公司    </w:t>
      </w:r>
    </w:p>
    <w:p w14:paraId="73D7ED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单位地址：盐城市神州路与新都路交界处紫金大厦506室</w:t>
      </w:r>
    </w:p>
    <w:p w14:paraId="08E23D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联系人：吉胜</w:t>
      </w:r>
    </w:p>
    <w:p w14:paraId="19F1332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联系电话：18912509153</w:t>
      </w:r>
    </w:p>
    <w:p w14:paraId="67FF68B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3、项目联系方式</w:t>
      </w:r>
    </w:p>
    <w:p w14:paraId="15B6441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项目联系人：江警官</w:t>
      </w:r>
    </w:p>
    <w:p w14:paraId="1557978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电话：0515-83220095</w:t>
      </w:r>
    </w:p>
    <w:p w14:paraId="48481C3F">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7CB8D29F">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br w:type="page"/>
      </w:r>
    </w:p>
    <w:p w14:paraId="7E0A02D6">
      <w:pPr>
        <w:pStyle w:val="31"/>
        <w:keepNext/>
        <w:keepLines/>
        <w:spacing w:before="260" w:beforeAutospacing="0" w:after="260" w:afterAutospacing="0" w:line="415" w:lineRule="auto"/>
        <w:ind w:firstLine="2429"/>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Start w:id="31" w:name="_Toc513029202"/>
      <w:bookmarkStart w:id="32" w:name="_Toc120614213"/>
      <w:bookmarkStart w:id="33" w:name="_Toc16938518"/>
      <w:bookmarkStart w:id="34" w:name="_Toc20823274"/>
      <w:r>
        <w:rPr>
          <w:rFonts w:hint="eastAsia" w:asciiTheme="minorEastAsia" w:hAnsiTheme="minorEastAsia" w:eastAsiaTheme="minorEastAsia" w:cstheme="minorEastAsia"/>
          <w:b/>
          <w:color w:val="auto"/>
          <w:sz w:val="44"/>
          <w:szCs w:val="44"/>
          <w:highlight w:val="none"/>
        </w:rPr>
        <w:t>投标人须知</w:t>
      </w:r>
      <w:bookmarkEnd w:id="31"/>
      <w:bookmarkEnd w:id="32"/>
      <w:bookmarkEnd w:id="33"/>
      <w:bookmarkEnd w:id="34"/>
    </w:p>
    <w:p w14:paraId="32DE817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35" w:name="_Toc120614214"/>
      <w:bookmarkStart w:id="36" w:name="_Toc20823275"/>
      <w:bookmarkStart w:id="37" w:name="_Toc513029203"/>
      <w:bookmarkStart w:id="38" w:name="_Toc16938519"/>
      <w:r>
        <w:rPr>
          <w:rFonts w:hint="eastAsia" w:asciiTheme="minorEastAsia" w:hAnsiTheme="minorEastAsia" w:eastAsiaTheme="minorEastAsia" w:cstheme="minorEastAsia"/>
          <w:b/>
          <w:color w:val="auto"/>
          <w:highlight w:val="none"/>
        </w:rPr>
        <w:t>一、总则</w:t>
      </w:r>
      <w:bookmarkEnd w:id="35"/>
      <w:bookmarkEnd w:id="36"/>
      <w:bookmarkEnd w:id="37"/>
      <w:bookmarkEnd w:id="38"/>
    </w:p>
    <w:p w14:paraId="63B75EC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39" w:name="_Toc20823276"/>
      <w:bookmarkStart w:id="40" w:name="_Toc458694821"/>
      <w:bookmarkStart w:id="41" w:name="_Toc513029204"/>
      <w:bookmarkStart w:id="42" w:name="_Toc16938520"/>
      <w:r>
        <w:rPr>
          <w:rFonts w:hint="eastAsia" w:asciiTheme="minorEastAsia" w:hAnsiTheme="minorEastAsia" w:eastAsiaTheme="minorEastAsia" w:cstheme="minorEastAsia"/>
          <w:color w:val="auto"/>
          <w:highlight w:val="none"/>
        </w:rPr>
        <w:t>1</w:t>
      </w:r>
      <w:bookmarkEnd w:id="39"/>
      <w:r>
        <w:rPr>
          <w:rFonts w:hint="eastAsia" w:asciiTheme="minorEastAsia" w:hAnsiTheme="minorEastAsia" w:eastAsiaTheme="minorEastAsia" w:cstheme="minorEastAsia"/>
          <w:color w:val="auto"/>
          <w:highlight w:val="none"/>
        </w:rPr>
        <w:t>、招标方式</w:t>
      </w:r>
      <w:bookmarkEnd w:id="40"/>
      <w:bookmarkEnd w:id="41"/>
      <w:bookmarkEnd w:id="42"/>
    </w:p>
    <w:p w14:paraId="28588B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本次招标采取公开招标方式，本招标文件仅适用于招标公告中所述项目。</w:t>
      </w:r>
    </w:p>
    <w:p w14:paraId="2EEC247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3" w:name="_Toc513029205"/>
      <w:bookmarkStart w:id="44" w:name="_Toc20823277"/>
      <w:bookmarkStart w:id="45" w:name="_Toc16938521"/>
      <w:r>
        <w:rPr>
          <w:rFonts w:hint="eastAsia" w:asciiTheme="minorEastAsia" w:hAnsiTheme="minorEastAsia" w:eastAsiaTheme="minorEastAsia" w:cstheme="minorEastAsia"/>
          <w:color w:val="auto"/>
          <w:highlight w:val="none"/>
        </w:rPr>
        <w:t>2、合格的投标人</w:t>
      </w:r>
      <w:bookmarkEnd w:id="43"/>
      <w:bookmarkEnd w:id="44"/>
      <w:bookmarkEnd w:id="45"/>
    </w:p>
    <w:p w14:paraId="240A3B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2.1满足招标公告中供应商的资格要求的规定。</w:t>
      </w:r>
    </w:p>
    <w:p w14:paraId="370D2E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满足本文件实质性要求和条件的规定。</w:t>
      </w:r>
    </w:p>
    <w:p w14:paraId="187DC738">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szCs w:val="21"/>
          <w:highlight w:val="none"/>
        </w:rPr>
      </w:pPr>
      <w:bookmarkStart w:id="46" w:name="_Toc513029206"/>
      <w:bookmarkStart w:id="47" w:name="_Toc16938522"/>
      <w:bookmarkStart w:id="48" w:name="_Toc20823278"/>
      <w:r>
        <w:rPr>
          <w:rFonts w:hint="eastAsia" w:asciiTheme="minorEastAsia" w:hAnsiTheme="minorEastAsia" w:eastAsiaTheme="minorEastAsia" w:cstheme="minorEastAsia"/>
          <w:color w:val="auto"/>
          <w:sz w:val="24"/>
          <w:szCs w:val="21"/>
          <w:highlight w:val="none"/>
        </w:rPr>
        <w:t>3、适用法律</w:t>
      </w:r>
      <w:bookmarkEnd w:id="46"/>
      <w:bookmarkEnd w:id="47"/>
      <w:bookmarkEnd w:id="48"/>
      <w:r>
        <w:rPr>
          <w:rFonts w:hint="eastAsia" w:asciiTheme="minorEastAsia" w:hAnsiTheme="minorEastAsia" w:eastAsiaTheme="minorEastAsia" w:cstheme="minorEastAsia"/>
          <w:color w:val="auto"/>
          <w:sz w:val="24"/>
          <w:szCs w:val="21"/>
          <w:highlight w:val="none"/>
        </w:rPr>
        <w:t>和标准</w:t>
      </w:r>
    </w:p>
    <w:p w14:paraId="204DB0DE">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本次招标及由此产生的合同受中华人民共和国有关的法律法规制约和保护。</w:t>
      </w:r>
    </w:p>
    <w:p w14:paraId="1D63DAA3">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3.2 在本项目政府采购活动过程中，如果所执行的标准有更新的，按照最新标准执行。</w:t>
      </w:r>
    </w:p>
    <w:p w14:paraId="249335E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9" w:name="_Toc462564067"/>
      <w:bookmarkStart w:id="50" w:name="_Toc513029207"/>
      <w:bookmarkStart w:id="51" w:name="_Toc16938523"/>
      <w:bookmarkStart w:id="52" w:name="_Toc20823279"/>
      <w:r>
        <w:rPr>
          <w:rFonts w:hint="eastAsia" w:asciiTheme="minorEastAsia" w:hAnsiTheme="minorEastAsia" w:eastAsiaTheme="minorEastAsia" w:cstheme="minorEastAsia"/>
          <w:color w:val="auto"/>
          <w:highlight w:val="none"/>
        </w:rPr>
        <w:t>4、投标费用</w:t>
      </w:r>
      <w:bookmarkEnd w:id="49"/>
      <w:bookmarkEnd w:id="50"/>
      <w:bookmarkEnd w:id="51"/>
      <w:bookmarkEnd w:id="52"/>
    </w:p>
    <w:p w14:paraId="2F7327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4.1投标人应自行承担所有与参加投标有关的费用，无论投标过程中的做法和结果如何，采购人和采购代理机构在任何情况下均无义务和责任承担这些费用。</w:t>
      </w:r>
    </w:p>
    <w:p w14:paraId="70C6809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4.2本次招标采购人和采购代理机构不收取标书工本费。</w:t>
      </w:r>
    </w:p>
    <w:p w14:paraId="1AB5BB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4.3本项目代理服务费由项目中标单位支付，代理服务费收费标准按照《江苏省政府采购代理服务收费指导意见》的通知（苏政采协[2024]20号文）收费标准的43.5%计取，由中标人领取中标通知书前，向代理公司支付，请投标人考虑在投标报价中。</w:t>
      </w:r>
    </w:p>
    <w:p w14:paraId="4910E92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5、</w:t>
      </w:r>
      <w:r>
        <w:rPr>
          <w:rFonts w:hint="eastAsia" w:asciiTheme="minorEastAsia" w:hAnsiTheme="minorEastAsia" w:eastAsiaTheme="minorEastAsia" w:cstheme="minorEastAsia"/>
          <w:color w:val="auto"/>
          <w:highlight w:val="none"/>
        </w:rPr>
        <w:t>招标文件的约束力</w:t>
      </w:r>
    </w:p>
    <w:p w14:paraId="383EC18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 投标人一旦参加本项目采购活动，即被认为接受了本招标文件的规定和约束。</w:t>
      </w:r>
    </w:p>
    <w:p w14:paraId="7726F0C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321"/>
        <w:jc w:val="both"/>
        <w:textAlignment w:val="auto"/>
        <w:rPr>
          <w:rFonts w:hint="eastAsia" w:asciiTheme="minorEastAsia" w:hAnsiTheme="minorEastAsia" w:eastAsiaTheme="minorEastAsia" w:cstheme="minorEastAsia"/>
          <w:color w:val="auto"/>
          <w:highlight w:val="none"/>
        </w:rPr>
      </w:pPr>
      <w:bookmarkStart w:id="53" w:name="_Toc16938525"/>
      <w:bookmarkStart w:id="54" w:name="_Toc513029209"/>
      <w:bookmarkStart w:id="55" w:name="_Toc120614215"/>
      <w:bookmarkStart w:id="56" w:name="_Toc20823281"/>
      <w:r>
        <w:rPr>
          <w:rFonts w:hint="eastAsia" w:asciiTheme="minorEastAsia" w:hAnsiTheme="minorEastAsia" w:eastAsiaTheme="minorEastAsia" w:cstheme="minorEastAsia"/>
          <w:b/>
          <w:color w:val="auto"/>
          <w:highlight w:val="none"/>
        </w:rPr>
        <w:t>二、招标文件</w:t>
      </w:r>
      <w:bookmarkEnd w:id="53"/>
      <w:bookmarkEnd w:id="54"/>
      <w:bookmarkEnd w:id="55"/>
      <w:bookmarkEnd w:id="56"/>
    </w:p>
    <w:p w14:paraId="53995FE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57" w:name="_Toc513029210"/>
      <w:bookmarkStart w:id="58" w:name="_Toc20823282"/>
      <w:bookmarkStart w:id="59" w:name="_Toc16938526"/>
      <w:r>
        <w:rPr>
          <w:rFonts w:hint="eastAsia" w:asciiTheme="minorEastAsia" w:hAnsiTheme="minorEastAsia" w:eastAsiaTheme="minorEastAsia" w:cstheme="minorEastAsia"/>
          <w:color w:val="auto"/>
          <w:highlight w:val="none"/>
        </w:rPr>
        <w:t>6、招标文件构成</w:t>
      </w:r>
      <w:bookmarkEnd w:id="57"/>
      <w:bookmarkEnd w:id="58"/>
      <w:bookmarkEnd w:id="59"/>
    </w:p>
    <w:p w14:paraId="1375258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 招标文件由以下部分组成：</w:t>
      </w:r>
    </w:p>
    <w:p w14:paraId="41335258">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（1）招标公告</w:t>
      </w:r>
    </w:p>
    <w:p w14:paraId="08715C3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（2）投标人须知</w:t>
      </w:r>
    </w:p>
    <w:p w14:paraId="47E31F40">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（3）合同文本</w:t>
      </w:r>
    </w:p>
    <w:p w14:paraId="7312DE03">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（4）采购需求</w:t>
      </w:r>
    </w:p>
    <w:p w14:paraId="4132076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（5）评标方法与评标标准</w:t>
      </w:r>
    </w:p>
    <w:p w14:paraId="4068245A">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（6）投标文件格式</w:t>
      </w:r>
    </w:p>
    <w:p w14:paraId="7B15B8F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请仔细检查招标文件是否齐全，如有缺漏请立即与采购代理机构联系解决。</w:t>
      </w:r>
    </w:p>
    <w:p w14:paraId="6B0E17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714B4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0" w:name="_Toc462564070"/>
      <w:bookmarkStart w:id="61" w:name="_Toc16938527"/>
      <w:bookmarkStart w:id="62" w:name="_Toc513029211"/>
      <w:bookmarkStart w:id="63" w:name="_Toc20823283"/>
      <w:r>
        <w:rPr>
          <w:rFonts w:hint="eastAsia" w:asciiTheme="minorEastAsia" w:hAnsiTheme="minorEastAsia" w:eastAsiaTheme="minorEastAsia" w:cstheme="minorEastAsia"/>
          <w:color w:val="auto"/>
          <w:highlight w:val="none"/>
        </w:rPr>
        <w:t>7、招标文件的澄清</w:t>
      </w:r>
      <w:bookmarkEnd w:id="60"/>
      <w:bookmarkEnd w:id="61"/>
      <w:bookmarkEnd w:id="62"/>
      <w:bookmarkEnd w:id="63"/>
    </w:p>
    <w:p w14:paraId="787F8A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 任何要求对招标文件进行澄清的投标人，应在投标截止期</w:t>
      </w:r>
      <w:r>
        <w:rPr>
          <w:rFonts w:hint="eastAsia" w:asciiTheme="minorEastAsia" w:hAnsiTheme="minorEastAsia" w:eastAsiaTheme="minorEastAsia" w:cstheme="minorEastAsia"/>
          <w:b/>
          <w:color w:val="auto"/>
          <w:highlight w:val="none"/>
        </w:rPr>
        <w:t>十日</w:t>
      </w:r>
      <w:r>
        <w:rPr>
          <w:rFonts w:hint="eastAsia" w:asciiTheme="minorEastAsia" w:hAnsiTheme="minorEastAsia" w:eastAsiaTheme="minorEastAsia" w:cstheme="minorEastAsia"/>
          <w:color w:val="auto"/>
          <w:highlight w:val="none"/>
        </w:rPr>
        <w:t>前按招标公告中的通讯地址，以书面形式通知采购人或采购代理机构。</w:t>
      </w:r>
    </w:p>
    <w:p w14:paraId="0271BA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4" w:name="_Toc20823284"/>
      <w:bookmarkStart w:id="65" w:name="_Toc513029212"/>
      <w:bookmarkStart w:id="66" w:name="_Toc16938528"/>
      <w:bookmarkStart w:id="67" w:name="_Toc462564071"/>
      <w:r>
        <w:rPr>
          <w:rFonts w:hint="eastAsia" w:asciiTheme="minorEastAsia" w:hAnsiTheme="minorEastAsia" w:eastAsiaTheme="minorEastAsia" w:cstheme="minorEastAsia"/>
          <w:color w:val="auto"/>
          <w:highlight w:val="none"/>
        </w:rPr>
        <w:t>8、招标文件的修改</w:t>
      </w:r>
      <w:bookmarkEnd w:id="64"/>
      <w:bookmarkEnd w:id="65"/>
      <w:bookmarkEnd w:id="66"/>
      <w:bookmarkEnd w:id="67"/>
    </w:p>
    <w:p w14:paraId="0C6E5F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在投标截止时间前，采购人可以对招标文件进行修改。</w:t>
      </w:r>
    </w:p>
    <w:p w14:paraId="02E6B9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采购人有权按照法定的要求推迟投标截止日期和开标日期。</w:t>
      </w:r>
    </w:p>
    <w:p w14:paraId="1149D8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招标文件的修改将在中国政府采购网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江苏政府采购网、盐城市政府采购网公布，补充文件将作为招标文件的组成部分，并对投标人具有约束力。</w:t>
      </w:r>
    </w:p>
    <w:p w14:paraId="0BA821D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68" w:name="_Toc462564072"/>
      <w:bookmarkStart w:id="69" w:name="_Toc513029213"/>
      <w:bookmarkStart w:id="70" w:name="_Toc120614216"/>
      <w:bookmarkStart w:id="71" w:name="_Toc16938529"/>
      <w:bookmarkStart w:id="72" w:name="_Toc20823285"/>
      <w:r>
        <w:rPr>
          <w:rFonts w:hint="eastAsia" w:asciiTheme="minorEastAsia" w:hAnsiTheme="minorEastAsia" w:eastAsiaTheme="minorEastAsia" w:cstheme="minorEastAsia"/>
          <w:b/>
          <w:color w:val="auto"/>
          <w:highlight w:val="none"/>
        </w:rPr>
        <w:t>三、投标文件的编制</w:t>
      </w:r>
      <w:bookmarkEnd w:id="68"/>
      <w:bookmarkEnd w:id="69"/>
      <w:bookmarkEnd w:id="70"/>
      <w:bookmarkEnd w:id="71"/>
      <w:bookmarkEnd w:id="72"/>
    </w:p>
    <w:p w14:paraId="2097E04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73" w:name="_Toc20823286"/>
      <w:bookmarkStart w:id="74" w:name="_Toc462564073"/>
      <w:bookmarkStart w:id="75" w:name="_Toc16938530"/>
      <w:bookmarkStart w:id="76" w:name="_Toc513029214"/>
      <w:r>
        <w:rPr>
          <w:rFonts w:hint="eastAsia" w:asciiTheme="minorEastAsia" w:hAnsiTheme="minorEastAsia" w:eastAsiaTheme="minorEastAsia" w:cstheme="minorEastAsia"/>
          <w:color w:val="auto"/>
          <w:highlight w:val="none"/>
        </w:rPr>
        <w:t>9、投标文件的语言及度量衡单位</w:t>
      </w:r>
      <w:bookmarkEnd w:id="73"/>
      <w:bookmarkEnd w:id="74"/>
      <w:bookmarkEnd w:id="75"/>
      <w:bookmarkEnd w:id="76"/>
    </w:p>
    <w:p w14:paraId="77D7F4B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9.1 投标人提交的投标文件以及投标人与采购人或采购代理机构就有关投标的所有来往通知、函件和文件均应使用</w:t>
      </w:r>
      <w:r>
        <w:rPr>
          <w:rFonts w:hint="eastAsia" w:asciiTheme="minorEastAsia" w:hAnsiTheme="minorEastAsia" w:eastAsiaTheme="minorEastAsia" w:cstheme="minorEastAsia"/>
          <w:b/>
          <w:color w:val="auto"/>
          <w:highlight w:val="none"/>
        </w:rPr>
        <w:t>简体中文</w:t>
      </w:r>
      <w:r>
        <w:rPr>
          <w:rFonts w:hint="eastAsia" w:asciiTheme="minorEastAsia" w:hAnsiTheme="minorEastAsia" w:eastAsiaTheme="minorEastAsia" w:cstheme="minorEastAsia"/>
          <w:color w:val="auto"/>
          <w:highlight w:val="none"/>
        </w:rPr>
        <w:t>。</w:t>
      </w:r>
    </w:p>
    <w:p w14:paraId="5A3961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9.2 除技术性能另有规定外，投标文件所使用的度量衡单位，均须采用国家法定计量单位。</w:t>
      </w:r>
    </w:p>
    <w:p w14:paraId="472E51C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77" w:name="_Toc20823287"/>
      <w:bookmarkStart w:id="78" w:name="_Toc462564074"/>
      <w:bookmarkStart w:id="79" w:name="_Toc513029215"/>
      <w:bookmarkStart w:id="80" w:name="_Toc16938531"/>
      <w:r>
        <w:rPr>
          <w:rFonts w:hint="eastAsia" w:asciiTheme="minorEastAsia" w:hAnsiTheme="minorEastAsia" w:eastAsiaTheme="minorEastAsia" w:cstheme="minorEastAsia"/>
          <w:color w:val="auto"/>
          <w:highlight w:val="none"/>
        </w:rPr>
        <w:t>10、投标文件构成</w:t>
      </w:r>
      <w:bookmarkEnd w:id="77"/>
      <w:bookmarkEnd w:id="78"/>
      <w:bookmarkEnd w:id="79"/>
      <w:bookmarkEnd w:id="80"/>
    </w:p>
    <w:p w14:paraId="6EDB898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 投标人编写的投标文件应包括资格证明文件、符合性证明文件、投标分项报价表、技术要求响应及偏离表、商务要求响应及偏离表、其他证明文件、投标函、开标一览表等部分。</w:t>
      </w:r>
    </w:p>
    <w:p w14:paraId="4369FB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 如标书制作工具中格式和内容与</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发布的招标文件不一致，请以中国政府采购网”“江苏政府采购网”“盐城市政府采购网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发布的招标文件为准。</w:t>
      </w:r>
    </w:p>
    <w:p w14:paraId="1A4D844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1" w:name="_Toc513029219"/>
      <w:bookmarkStart w:id="82" w:name="_Toc49090508"/>
      <w:bookmarkStart w:id="83" w:name="_Toc14577355"/>
      <w:bookmarkStart w:id="84" w:name="_Toc14577357"/>
      <w:bookmarkStart w:id="85" w:name="_Toc49090507"/>
      <w:bookmarkStart w:id="86" w:name="_Toc14577354"/>
      <w:bookmarkStart w:id="87" w:name="_Toc513029216"/>
      <w:bookmarkStart w:id="88" w:name="_Toc49090509"/>
      <w:r>
        <w:rPr>
          <w:rFonts w:hint="eastAsia" w:asciiTheme="minorEastAsia" w:hAnsiTheme="minorEastAsia" w:eastAsiaTheme="minorEastAsia" w:cstheme="minorEastAsia"/>
          <w:color w:val="auto"/>
          <w:highlight w:val="none"/>
        </w:rPr>
        <w:t>11、证明投标人及投标标的符合招标文件规定的文件</w:t>
      </w:r>
      <w:bookmarkEnd w:id="81"/>
      <w:bookmarkEnd w:id="82"/>
      <w:bookmarkEnd w:id="83"/>
      <w:bookmarkEnd w:id="84"/>
      <w:bookmarkEnd w:id="85"/>
      <w:bookmarkEnd w:id="86"/>
      <w:bookmarkEnd w:id="87"/>
      <w:bookmarkEnd w:id="88"/>
    </w:p>
    <w:p w14:paraId="6AE76A1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11.1 投标人应按照招标文件要求提交证明文件，证明其及投标标的符合招标文件规定。</w:t>
      </w:r>
    </w:p>
    <w:p w14:paraId="067FF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11.2招标文件对证明文件无明确形式要求的，证明文件可以以文字资料、图纸和数据等形式提交。</w:t>
      </w:r>
    </w:p>
    <w:p w14:paraId="7F1CE8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12、投标分项报价表</w:t>
      </w:r>
    </w:p>
    <w:p w14:paraId="50F3E6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 投标人应按照招标文件规定格式填报投标分项报价表。</w:t>
      </w:r>
    </w:p>
    <w:p w14:paraId="020C41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12.2投标货币。投标文件中的单价和总价无特殊规定的采用人民币报价，以元为单位标注。招标文件中另有规定的按规定执行。</w:t>
      </w:r>
    </w:p>
    <w:p w14:paraId="6F221435">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13、技术要求响应及偏离表、商务要求响应及偏离表</w:t>
      </w:r>
    </w:p>
    <w:p w14:paraId="1AB0CB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 投标人需对招标文件中的技术要求与商务要求逐项作出响应或偏离，并说明原因。</w:t>
      </w:r>
    </w:p>
    <w:p w14:paraId="52FBCF8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 投标人可在投标文件中提供认为需要的其他技术文件或说明。</w:t>
      </w:r>
    </w:p>
    <w:p w14:paraId="60CD756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14、服务承诺、培训计划、人员安排及其他</w:t>
      </w:r>
    </w:p>
    <w:p w14:paraId="2DDAE4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14.1 投标人需根据招标文件要求提供有关售后服务的管理制度，售后服务机构的分布情况，售后服务人员的数量、素质、技术水平及售后服务的反应能力等。</w:t>
      </w:r>
    </w:p>
    <w:p w14:paraId="6EE6031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14.2 投标人需根据招标文件要求提供培训计划。</w:t>
      </w:r>
    </w:p>
    <w:p w14:paraId="773C30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14.3  投标人需根据招标文件要求提供所投标的的主要组成部分、功能设计、实现思路及关键技术等。</w:t>
      </w:r>
    </w:p>
    <w:p w14:paraId="546C730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9" w:name="_Toc49090510"/>
      <w:bookmarkStart w:id="90" w:name="_Toc14577359"/>
      <w:r>
        <w:rPr>
          <w:rFonts w:hint="eastAsia" w:asciiTheme="minorEastAsia" w:hAnsiTheme="minorEastAsia" w:eastAsiaTheme="minorEastAsia" w:cstheme="minorEastAsia"/>
          <w:color w:val="auto"/>
          <w:highlight w:val="none"/>
        </w:rPr>
        <w:t>15、投标函和开标一览表</w:t>
      </w:r>
      <w:bookmarkEnd w:id="89"/>
      <w:bookmarkEnd w:id="90"/>
    </w:p>
    <w:p w14:paraId="4B0CD6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 投标人应按照招标文件中提供的格式完整、正确填写投标函、开标一览表。</w:t>
      </w:r>
    </w:p>
    <w:p w14:paraId="579B1E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 对于采用货币报价的项目，开标一览表中的投标总报价应与投标分项报价表中的投标总报价一致，如不一致，不作为无效投标处理，但评标时按开标一览表中价格为准。</w:t>
      </w:r>
    </w:p>
    <w:p w14:paraId="4CB6EBA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1" w:name="_Toc14577360"/>
      <w:bookmarkStart w:id="92" w:name="_Toc49090511"/>
      <w:r>
        <w:rPr>
          <w:rFonts w:hint="eastAsia" w:asciiTheme="minorEastAsia" w:hAnsiTheme="minorEastAsia" w:eastAsiaTheme="minorEastAsia" w:cstheme="minorEastAsia"/>
          <w:color w:val="auto"/>
          <w:highlight w:val="none"/>
        </w:rPr>
        <w:t>16、投标有效期</w:t>
      </w:r>
      <w:bookmarkEnd w:id="91"/>
      <w:bookmarkEnd w:id="92"/>
    </w:p>
    <w:p w14:paraId="7EC4CF6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16.1投标有效期为采购人规定的开标之日后</w:t>
      </w:r>
      <w:r>
        <w:rPr>
          <w:rFonts w:hint="eastAsia" w:asciiTheme="minorEastAsia" w:hAnsiTheme="minorEastAsia" w:eastAsiaTheme="minorEastAsia" w:cstheme="minorEastAsia"/>
          <w:b/>
          <w:color w:val="auto"/>
          <w:highlight w:val="none"/>
          <w:u w:val="single"/>
        </w:rPr>
        <w:t>九十（90）天</w:t>
      </w:r>
      <w:r>
        <w:rPr>
          <w:rFonts w:hint="eastAsia" w:asciiTheme="minorEastAsia" w:hAnsiTheme="minorEastAsia" w:eastAsiaTheme="minorEastAsia" w:cstheme="minorEastAsia"/>
          <w:color w:val="auto"/>
          <w:highlight w:val="none"/>
        </w:rPr>
        <w:t>。投标有效期比规定短的将被视为未实质性响应招标文件而予以拒绝。</w:t>
      </w:r>
    </w:p>
    <w:p w14:paraId="072552B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17、投标有效期的延长</w:t>
      </w:r>
    </w:p>
    <w:p w14:paraId="7311A1F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DAB92F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93" w:name="_Toc513029224"/>
      <w:bookmarkStart w:id="94" w:name="_Toc120614217"/>
      <w:bookmarkStart w:id="95" w:name="_Toc20823296"/>
      <w:bookmarkStart w:id="96" w:name="_Toc16938540"/>
      <w:r>
        <w:rPr>
          <w:rFonts w:hint="eastAsia" w:asciiTheme="minorEastAsia" w:hAnsiTheme="minorEastAsia" w:eastAsiaTheme="minorEastAsia" w:cstheme="minorEastAsia"/>
          <w:b/>
          <w:color w:val="auto"/>
          <w:highlight w:val="none"/>
        </w:rPr>
        <w:t>四、投标文件的递交</w:t>
      </w:r>
      <w:bookmarkEnd w:id="93"/>
      <w:bookmarkEnd w:id="94"/>
      <w:bookmarkEnd w:id="95"/>
      <w:bookmarkEnd w:id="96"/>
    </w:p>
    <w:p w14:paraId="5B6F3F2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7" w:name="_Toc462564084"/>
      <w:bookmarkStart w:id="98" w:name="_Toc513029225"/>
      <w:bookmarkStart w:id="99" w:name="_Toc20823297"/>
      <w:bookmarkStart w:id="100" w:name="_Toc16938541"/>
      <w:r>
        <w:rPr>
          <w:rFonts w:hint="eastAsia" w:asciiTheme="minorEastAsia" w:hAnsiTheme="minorEastAsia" w:eastAsiaTheme="minorEastAsia" w:cstheme="minorEastAsia"/>
          <w:color w:val="auto"/>
          <w:highlight w:val="none"/>
        </w:rPr>
        <w:t>18、电子投标文件</w:t>
      </w:r>
      <w:bookmarkEnd w:id="97"/>
      <w:bookmarkEnd w:id="98"/>
      <w:bookmarkEnd w:id="99"/>
      <w:bookmarkEnd w:id="100"/>
      <w:r>
        <w:rPr>
          <w:rFonts w:hint="eastAsia" w:asciiTheme="minorEastAsia" w:hAnsiTheme="minorEastAsia" w:eastAsiaTheme="minorEastAsia" w:cstheme="minorEastAsia"/>
          <w:color w:val="auto"/>
          <w:highlight w:val="none"/>
        </w:rPr>
        <w:t>的递交</w:t>
      </w:r>
    </w:p>
    <w:p w14:paraId="46F5971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18.1投标人应当按照《操作手册》规定，在投标截止时间前制作并上传电子投标文件。</w:t>
      </w:r>
      <w:bookmarkStart w:id="101" w:name="_Toc20823298"/>
      <w:bookmarkEnd w:id="101"/>
      <w:bookmarkStart w:id="102" w:name="_Toc16938542"/>
      <w:bookmarkEnd w:id="102"/>
    </w:p>
    <w:p w14:paraId="5A44DA6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19、投标截止日期</w:t>
      </w:r>
    </w:p>
    <w:p w14:paraId="59A6C73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19.1 投标人上传电子投标文件的时间不得迟于招标公告中规定的投标截止时间。</w:t>
      </w:r>
    </w:p>
    <w:p w14:paraId="1D06D60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投标人应充分考虑到网络环境、网络带宽等风险因素，如因投标人自身原因造成的电子投标文件上传不成功的按照本招标文件第二章第27.1.2条规定做无效投标处理。</w:t>
      </w:r>
    </w:p>
    <w:p w14:paraId="5758986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19.2 采购人和采购代理机构可以按照规定，通过修改招标文件酌情延长投标截止日期，在此情况下，投标人的所有权利和义务以及投标人受制的截止日期均应以延长后新的截止日期为准。</w:t>
      </w:r>
    </w:p>
    <w:p w14:paraId="7A18A8A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3" w:name="_Toc513029227"/>
      <w:bookmarkStart w:id="104" w:name="_Toc16938543"/>
      <w:bookmarkStart w:id="105" w:name="_Toc20823299"/>
      <w:r>
        <w:rPr>
          <w:rFonts w:hint="eastAsia" w:asciiTheme="minorEastAsia" w:hAnsiTheme="minorEastAsia" w:eastAsiaTheme="minorEastAsia" w:cstheme="minorEastAsia"/>
          <w:color w:val="auto"/>
          <w:highlight w:val="none"/>
        </w:rPr>
        <w:t>20、投标文件</w:t>
      </w:r>
      <w:bookmarkEnd w:id="103"/>
      <w:bookmarkEnd w:id="104"/>
      <w:bookmarkEnd w:id="105"/>
      <w:r>
        <w:rPr>
          <w:rFonts w:hint="eastAsia" w:asciiTheme="minorEastAsia" w:hAnsiTheme="minorEastAsia" w:eastAsiaTheme="minorEastAsia" w:cstheme="minorEastAsia"/>
          <w:color w:val="auto"/>
          <w:highlight w:val="none"/>
        </w:rPr>
        <w:t>的拒收</w:t>
      </w:r>
    </w:p>
    <w:p w14:paraId="087461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 采购人拒绝接收在其规定的投标截止时间后上传的任何投标文件。</w:t>
      </w:r>
    </w:p>
    <w:p w14:paraId="7F47835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6" w:name="_Toc513029228"/>
      <w:bookmarkStart w:id="107" w:name="_Toc16938544"/>
      <w:bookmarkStart w:id="108" w:name="_Toc20823300"/>
      <w:r>
        <w:rPr>
          <w:rFonts w:hint="eastAsia" w:asciiTheme="minorEastAsia" w:hAnsiTheme="minorEastAsia" w:eastAsiaTheme="minorEastAsia" w:cstheme="minorEastAsia"/>
          <w:color w:val="auto"/>
          <w:highlight w:val="none"/>
        </w:rPr>
        <w:t>21、投标文件的撤回和修改</w:t>
      </w:r>
      <w:bookmarkEnd w:id="106"/>
      <w:bookmarkEnd w:id="107"/>
      <w:bookmarkEnd w:id="108"/>
    </w:p>
    <w:p w14:paraId="08FC799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 投标文件的撤回</w:t>
      </w:r>
    </w:p>
    <w:p w14:paraId="7E277CF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21.1.1 电子投标文件的撤回</w:t>
      </w:r>
    </w:p>
    <w:p w14:paraId="4F39051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投标人可在投标截止时间前，撤回其电子投标文件，具体操作方法见《操作手册》。</w:t>
      </w:r>
    </w:p>
    <w:p w14:paraId="33DCEF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21.1.2 投标人撤回电子投标文件，则认为其不再参与本项目投标活动。</w:t>
      </w:r>
    </w:p>
    <w:p w14:paraId="30A284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 投标文件的修改</w:t>
      </w:r>
    </w:p>
    <w:p w14:paraId="4F7A408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21.2.1投标人可在投标截止时间前，对其电子投标文件进行修改，具体操作方法见《操作手册》。</w:t>
      </w:r>
    </w:p>
    <w:p w14:paraId="42B37AB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21.2.2 在投标截止时间之后，投标人不得对其电子投标文件作任何修改。</w:t>
      </w:r>
    </w:p>
    <w:p w14:paraId="363D726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21.3 在投标截止时间至招标文件中规定的投标有效期满之间的这段时间内，投标人不得撤回其投标。</w:t>
      </w:r>
    </w:p>
    <w:p w14:paraId="30D23CC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09" w:name="_Toc513029229"/>
      <w:bookmarkStart w:id="110" w:name="_Toc16938545"/>
      <w:bookmarkStart w:id="111" w:name="_Toc20823301"/>
      <w:bookmarkStart w:id="112" w:name="_Toc120614218"/>
      <w:r>
        <w:rPr>
          <w:rFonts w:hint="eastAsia" w:asciiTheme="minorEastAsia" w:hAnsiTheme="minorEastAsia" w:eastAsiaTheme="minorEastAsia" w:cstheme="minorEastAsia"/>
          <w:b/>
          <w:color w:val="auto"/>
          <w:highlight w:val="none"/>
        </w:rPr>
        <w:t>五、开标与评标</w:t>
      </w:r>
      <w:bookmarkEnd w:id="109"/>
      <w:bookmarkEnd w:id="110"/>
      <w:bookmarkEnd w:id="111"/>
      <w:bookmarkEnd w:id="112"/>
    </w:p>
    <w:p w14:paraId="47E5281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3" w:name="_Toc16938546"/>
      <w:bookmarkStart w:id="114" w:name="_Toc513029230"/>
      <w:bookmarkStart w:id="115" w:name="_Toc20823302"/>
      <w:r>
        <w:rPr>
          <w:rFonts w:hint="eastAsia" w:asciiTheme="minorEastAsia" w:hAnsiTheme="minorEastAsia" w:eastAsiaTheme="minorEastAsia" w:cstheme="minorEastAsia"/>
          <w:color w:val="auto"/>
          <w:highlight w:val="none"/>
        </w:rPr>
        <w:t>22、开标</w:t>
      </w:r>
      <w:bookmarkEnd w:id="113"/>
      <w:bookmarkEnd w:id="114"/>
      <w:bookmarkEnd w:id="115"/>
    </w:p>
    <w:p w14:paraId="4726758C">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22.1 采购人和采购代理机构将在招标公告中规定的时间和地点组织公开开标。投标人应当按照《操作手册》规定，参加开标活动和在苏采云系统规定的时间内对投标文件进行解密。</w:t>
      </w:r>
    </w:p>
    <w:p w14:paraId="38D8C0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22.2开标仪式由采购人和采购代理机构组织。苏采云系统将自动对项目进行开标，并宣布各投标人名称和投标价格。</w:t>
      </w:r>
    </w:p>
    <w:p w14:paraId="137BA6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22.3投标人在开标过程中涉及到的投标文件解密、开标结果确认等工作，应按照《操作手册》规定执行。</w:t>
      </w:r>
    </w:p>
    <w:p w14:paraId="44E843E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22.4投标人如果对开标过程和开标记录有疑义，应当根据《操作手册》规定提出，如 苏采云系统中《开标记录表》宣布后5分钟内未提出的，视同认可开标结果。</w:t>
      </w:r>
    </w:p>
    <w:p w14:paraId="1BA3769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6" w:name="_Toc16938547"/>
      <w:bookmarkStart w:id="117" w:name="_Toc20823303"/>
      <w:bookmarkStart w:id="118" w:name="_Toc513029231"/>
      <w:r>
        <w:rPr>
          <w:rFonts w:hint="eastAsia" w:asciiTheme="minorEastAsia" w:hAnsiTheme="minorEastAsia" w:eastAsiaTheme="minorEastAsia" w:cstheme="minorEastAsia"/>
          <w:color w:val="auto"/>
          <w:highlight w:val="none"/>
        </w:rPr>
        <w:t>23、评标委员会</w:t>
      </w:r>
      <w:bookmarkEnd w:id="116"/>
      <w:bookmarkEnd w:id="117"/>
      <w:bookmarkEnd w:id="118"/>
    </w:p>
    <w:p w14:paraId="2C72E1D6">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开标后，采购人将立即组织评标委员会（以下简称评委会）进行评标。</w:t>
      </w:r>
    </w:p>
    <w:p w14:paraId="61040FCB">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23.2 评委会由采购人代表和有关技术、经济等方面的专家组成，且人员构成符合政府采购有关规定。</w:t>
      </w:r>
    </w:p>
    <w:p w14:paraId="3FD514C1">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23.3评委会独立工作，负责评审所有投标文件并确定中标候选人。</w:t>
      </w:r>
    </w:p>
    <w:p w14:paraId="113BFA0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评标过程的保密与公正</w:t>
      </w:r>
    </w:p>
    <w:p w14:paraId="2F5F1F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24.1凡是与审查、澄清、评价和比较投标的有关资料以及授标建议等，采购人、评委、采购代理机构均不得向投标人或与评标无关的其他人员透露。</w:t>
      </w:r>
    </w:p>
    <w:p w14:paraId="33CB80C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24.2在评标过程中，投标人不得以任何行为影响评标过程，否则其投标文件将被作为无效投标文件。</w:t>
      </w:r>
    </w:p>
    <w:p w14:paraId="3CA26C9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24.3 采购人、采购代理机构和评标委员会不向未中标的投标人解释未中标原因，也不公布评标过程中的相关细节。</w:t>
      </w:r>
    </w:p>
    <w:p w14:paraId="341F61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24.4 采用综合评分法的项目，未中标的投标人可于中标结果公告期限届满之日起通过苏采云系统查看自己的评审得分及排序情况。</w:t>
      </w:r>
    </w:p>
    <w:p w14:paraId="3602F8B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9" w:name="_Toc20823304"/>
      <w:bookmarkStart w:id="120" w:name="_Toc16938548"/>
      <w:bookmarkStart w:id="121" w:name="_Toc513029232"/>
      <w:r>
        <w:rPr>
          <w:rFonts w:hint="eastAsia" w:asciiTheme="minorEastAsia" w:hAnsiTheme="minorEastAsia" w:eastAsiaTheme="minorEastAsia" w:cstheme="minorEastAsia"/>
          <w:color w:val="auto"/>
          <w:highlight w:val="none"/>
        </w:rPr>
        <w:t>25．投标文件的澄清</w:t>
      </w:r>
      <w:bookmarkEnd w:id="119"/>
      <w:bookmarkEnd w:id="120"/>
      <w:bookmarkEnd w:id="121"/>
    </w:p>
    <w:p w14:paraId="501A9C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2" w:name="_Toc16938549"/>
      <w:bookmarkStart w:id="123" w:name="_Toc20823305"/>
      <w:bookmarkStart w:id="124" w:name="_Toc513029233"/>
      <w:r>
        <w:rPr>
          <w:rFonts w:hint="eastAsia" w:asciiTheme="minorEastAsia" w:hAnsiTheme="minorEastAsia" w:eastAsiaTheme="minorEastAsia" w:cstheme="minorEastAsia"/>
          <w:color w:val="auto"/>
          <w:highlight w:val="none"/>
        </w:rPr>
        <w:t>25.1评标期间，评委会对投标文件中含义不明确、同类问题表述不一致或者有明显文字和计算错误的内容，有权要求投标人作出必要的澄清、说明或者补正。</w:t>
      </w:r>
      <w:bookmarkEnd w:id="122"/>
      <w:bookmarkEnd w:id="123"/>
      <w:bookmarkEnd w:id="124"/>
    </w:p>
    <w:p w14:paraId="611EA56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投标人的澄清、说明或者补正不得超出投标文件的范围或者改变投标文件的实质性内容。</w:t>
      </w:r>
    </w:p>
    <w:p w14:paraId="326354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评标委员会并非对每个投标人都做澄清要求。</w:t>
      </w:r>
    </w:p>
    <w:p w14:paraId="54002F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A2A72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25.3 接到评委会澄清、说明和补正要求的投标人如未按规定作出澄清、说明和补正，其风险由投标人自行承担。</w:t>
      </w:r>
    </w:p>
    <w:p w14:paraId="739E847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26、对投标文件的初审</w:t>
      </w:r>
    </w:p>
    <w:p w14:paraId="5397CC4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26.1投标文件初审分为资格审查和符合性审查。</w:t>
      </w:r>
    </w:p>
    <w:p w14:paraId="6FECDDA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26.1.1 资格审查：依据法律法规和招标文件的规定，由采购人对投标文件中的资格证明文件进行审查。资格审查的结论，采购人以书面形式向评委会进行反馈。</w:t>
      </w:r>
    </w:p>
    <w:p w14:paraId="31FB06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采购人在进行资格性审查的同时，将在“信用中国”网站（www.creditchina.gov.cn）查询投标人的信用记录，以确定投标人是否具备投标资格,查询结果留存并归档。</w:t>
      </w:r>
    </w:p>
    <w:p w14:paraId="4DD13E4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6B0D86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26.1.2 符合性审查：依据招标文件的规定，由评委会从投标文件的有效性、完整性和对招标文件的响应程度进行审查，以确定是否对招标文件的实质性要求作出响应。</w:t>
      </w:r>
    </w:p>
    <w:p w14:paraId="5167F93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26.1.3 未通过资格审查或符合性审查的投标人，采购代理机构将在苏采云系统中告知未通过资格审查或符合性审查的原因，评审结束后，采购人和采购代理机构将不再告知未通过资格审查或符合性审查的原因。</w:t>
      </w:r>
    </w:p>
    <w:p w14:paraId="1CDD376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61A662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846B10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26.3如果投标文件实质上没有响应招标文件的要求，评委会将予以拒绝，投标人不得通过修改或撤销不符合要求的偏离或保留而使其投标成为实质性响应的投标。</w:t>
      </w:r>
    </w:p>
    <w:p w14:paraId="50B67E9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26.4评委会将对确定为实质性响应的投标进行进一步审核，看其是否有计算上或累加上的算术错误，修正错误的原则如下：</w:t>
      </w:r>
    </w:p>
    <w:p w14:paraId="724FE07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（1）投标文件中开标一览表内容与投标文件中相应内容不一致的，以开标一览表为准。</w:t>
      </w:r>
    </w:p>
    <w:p w14:paraId="7BA0F2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（2）大写金额和小写金额不一致的，以大写金额为准。</w:t>
      </w:r>
    </w:p>
    <w:p w14:paraId="01CBFE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（3）单价金额小数点或者百分比有明显错位的，以开标一览表的总价为准，并修改单价。</w:t>
      </w:r>
    </w:p>
    <w:p w14:paraId="457665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（4）总价金额与按单价汇总金额不一致的，以单价金额计算结果为准。</w:t>
      </w:r>
    </w:p>
    <w:p w14:paraId="1F8A06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同时出现两种以上错误的，按照前款规定的顺序修正。</w:t>
      </w:r>
    </w:p>
    <w:p w14:paraId="3B80ED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1E0A3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5" w:name="_Toc513029234"/>
      <w:bookmarkStart w:id="126" w:name="_Toc16938550"/>
      <w:bookmarkStart w:id="127" w:name="_Toc20823306"/>
      <w:r>
        <w:rPr>
          <w:rFonts w:hint="eastAsia" w:asciiTheme="minorEastAsia" w:hAnsiTheme="minorEastAsia" w:eastAsiaTheme="minorEastAsia" w:cstheme="minorEastAsia"/>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bookmarkEnd w:id="126"/>
      <w:bookmarkEnd w:id="127"/>
    </w:p>
    <w:p w14:paraId="7C0B98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5F27B53">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非单一产品采购项目，招标文件中将载明其中的核心产品。多家投标人提供的核心产品品牌相同的，按前两款规定处理。</w:t>
      </w:r>
    </w:p>
    <w:p w14:paraId="65BCD84C">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26.7投标人在开、评标全过程中应保持通信畅通，及时登录苏采云系统查阅、答复相关信息，并安排专人与采购代理机构及评标委员会联系。</w:t>
      </w:r>
    </w:p>
    <w:p w14:paraId="6FE6509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27、无效投标条款和废标条款</w:t>
      </w:r>
    </w:p>
    <w:p w14:paraId="760F54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8" w:name="_Toc513029235"/>
      <w:bookmarkStart w:id="129" w:name="_Toc16938551"/>
      <w:bookmarkStart w:id="130" w:name="_Toc20823307"/>
      <w:r>
        <w:rPr>
          <w:rFonts w:hint="eastAsia" w:asciiTheme="minorEastAsia" w:hAnsiTheme="minorEastAsia" w:eastAsiaTheme="minorEastAsia" w:cstheme="minorEastAsia"/>
          <w:color w:val="auto"/>
          <w:highlight w:val="none"/>
        </w:rPr>
        <w:t>27.1无效投标条款</w:t>
      </w:r>
      <w:bookmarkEnd w:id="128"/>
      <w:bookmarkEnd w:id="129"/>
      <w:bookmarkEnd w:id="130"/>
    </w:p>
    <w:p w14:paraId="6C8870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 投标人在苏采云系统规定的时间内未成功解密电子投标文件的。</w:t>
      </w:r>
    </w:p>
    <w:p w14:paraId="63D9FF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27.1.2 投标人未按照招标文件要求上传电子投标文件的。</w:t>
      </w:r>
    </w:p>
    <w:p w14:paraId="6FA542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27.1.3同一投标人提交两个（含两个）以上不同的投标报价的。</w:t>
      </w:r>
    </w:p>
    <w:p w14:paraId="4B0FC2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27.1.4投标人不具备招标文件中规定资格要求的。</w:t>
      </w:r>
    </w:p>
    <w:p w14:paraId="5F40EC4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27.1.5投标人的报价超过了采购预算或最高限价的。</w:t>
      </w:r>
    </w:p>
    <w:p w14:paraId="2FBE91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27.1.6未通过符合性审查的。</w:t>
      </w:r>
    </w:p>
    <w:p w14:paraId="0B389705">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27.1.7不符合招标文件中规定的实质性要求和条件的（</w:t>
      </w:r>
      <w:r>
        <w:rPr>
          <w:rFonts w:hint="eastAsia" w:asciiTheme="minorEastAsia" w:hAnsiTheme="minorEastAsia" w:eastAsiaTheme="minorEastAsia" w:cstheme="minorEastAsia"/>
          <w:i/>
          <w:color w:val="auto"/>
          <w:highlight w:val="none"/>
          <w:u w:val="single"/>
        </w:rPr>
        <w:t>本招标文件中斜体且有下划线部分为实质性要求和条件）。</w:t>
      </w:r>
    </w:p>
    <w:p w14:paraId="7E1000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BAE5C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27.1.9投标文件含有采购人不能接受的附加条件的。</w:t>
      </w:r>
    </w:p>
    <w:p w14:paraId="4885B46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27.1.10投标人不能证明其报价合理性的，评标委员会应当将其作为无效投标处理。</w:t>
      </w:r>
    </w:p>
    <w:p w14:paraId="7655894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（一）评审过程中出现下列情形之一的，评标委员会应当启动异常低价投标审查程序：</w:t>
      </w:r>
    </w:p>
    <w:p w14:paraId="1A472D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1.投标（响应）报价低于全部通过符合性审查供应商投标（响应）报价平均值50%的，即投标（响应）报价&lt;全部通过符合性审查供应商投标（响应）报价平均值×50%；</w:t>
      </w:r>
    </w:p>
    <w:p w14:paraId="3A31ABE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2.投标（响应）报价低于通过符合性审查的次低报价供应商投标（响应）报价50%的，即投标（响应）报价&lt;通过符合性审查的次低报价供应商投标（响应）报价×50%；</w:t>
      </w:r>
    </w:p>
    <w:p w14:paraId="6F36D60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3.投标（响应）报价低于采购项目最高限价</w:t>
      </w:r>
      <w:r>
        <w:rPr>
          <w:rFonts w:hint="eastAsia" w:asciiTheme="minorEastAsia" w:hAnsiTheme="minorEastAsia" w:cstheme="minorEastAsia"/>
          <w:b/>
          <w:bCs/>
          <w:color w:val="auto"/>
          <w:highlight w:val="none"/>
          <w:lang w:val="en-US" w:eastAsia="zh-CN"/>
        </w:rPr>
        <w:t>45</w:t>
      </w:r>
      <w:r>
        <w:rPr>
          <w:rFonts w:hint="eastAsia" w:asciiTheme="minorEastAsia" w:hAnsiTheme="minorEastAsia" w:eastAsiaTheme="minorEastAsia" w:cstheme="minorEastAsia"/>
          <w:b/>
          <w:bCs/>
          <w:color w:val="auto"/>
          <w:highlight w:val="none"/>
        </w:rPr>
        <w:t>%的，即投标（响应）报价&lt;采购项目最高限价×</w:t>
      </w:r>
      <w:r>
        <w:rPr>
          <w:rFonts w:hint="eastAsia" w:asciiTheme="minorEastAsia" w:hAnsiTheme="minorEastAsia" w:cstheme="minorEastAsia"/>
          <w:b/>
          <w:bCs/>
          <w:color w:val="auto"/>
          <w:highlight w:val="none"/>
          <w:lang w:val="en-US" w:eastAsia="zh-CN"/>
        </w:rPr>
        <w:t>45</w:t>
      </w:r>
      <w:r>
        <w:rPr>
          <w:rFonts w:hint="eastAsia" w:asciiTheme="minorEastAsia" w:hAnsiTheme="minorEastAsia" w:eastAsiaTheme="minorEastAsia" w:cstheme="minorEastAsia"/>
          <w:b/>
          <w:bCs/>
          <w:color w:val="auto"/>
          <w:highlight w:val="none"/>
        </w:rPr>
        <w:t>%；</w:t>
      </w:r>
    </w:p>
    <w:p w14:paraId="08B8BC1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4.评审委员会基于专业判断，认为供应商报价过低，有可能影响产品质量或者不能诚信履约的其他情形。</w:t>
      </w:r>
    </w:p>
    <w:p w14:paraId="4E719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u w:val="single"/>
        </w:rPr>
        <w:t>提醒：采购人可以结合具体项目实际情况，提高上述第1项至第3项中启动异常低价投标（响应）审查的数值标准，但是最高不得超过65%。</w:t>
      </w:r>
    </w:p>
    <w:p w14:paraId="0869DC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相关法律法规对供应商报价有规定的，从其规定。</w:t>
      </w:r>
    </w:p>
    <w:p w14:paraId="30E89FF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76DF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A8BB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53F5C3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7D57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CB0FC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27.1.12 投标文件未按照招标文件要求加盖CA电子公章的。</w:t>
      </w:r>
    </w:p>
    <w:p w14:paraId="67BBB71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27.1.13其他法律、法规及本招标文件规定的属无效投标的情形。</w:t>
      </w:r>
    </w:p>
    <w:p w14:paraId="743CEA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27.2废标条款</w:t>
      </w:r>
    </w:p>
    <w:p w14:paraId="168E89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27.2.1符合专业条件的供应商或者对招标文件作实质响应的供应商不足三家的。</w:t>
      </w:r>
    </w:p>
    <w:p w14:paraId="1278D81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27.2.2出现影响采购公正的违法、违规行为的。</w:t>
      </w:r>
    </w:p>
    <w:p w14:paraId="5C370CE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27.2.3因重大变故，采购任务取消的。</w:t>
      </w:r>
    </w:p>
    <w:p w14:paraId="4BFD874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27.2.4评标委员会认定招标文件存在歧义、重大缺陷导致评审工作无法进行。</w:t>
      </w:r>
    </w:p>
    <w:p w14:paraId="262CCA1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27.2.5 因苏采云系统故障原因造成开标不成功的。</w:t>
      </w:r>
    </w:p>
    <w:p w14:paraId="772F097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 投标截止时间结束后参加投标的供应商不足三家的处理：</w:t>
      </w:r>
    </w:p>
    <w:p w14:paraId="6915A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27.3.1如出现投标截止时间结束后参加投标的供应商或者在评标期间对招标文件做出实质响应的供应商不足三家情况，按政府采购相关规定执行。</w:t>
      </w:r>
    </w:p>
    <w:p w14:paraId="7FFF907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31" w:name="_Toc120614219"/>
      <w:r>
        <w:rPr>
          <w:rFonts w:hint="eastAsia" w:asciiTheme="minorEastAsia" w:hAnsiTheme="minorEastAsia" w:eastAsiaTheme="minorEastAsia" w:cstheme="minorEastAsia"/>
          <w:b/>
          <w:color w:val="auto"/>
          <w:highlight w:val="none"/>
        </w:rPr>
        <w:t>六、定标</w:t>
      </w:r>
      <w:bookmarkEnd w:id="131"/>
    </w:p>
    <w:p w14:paraId="72E20B3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32" w:name="_Toc20823310"/>
      <w:bookmarkStart w:id="133" w:name="_Toc16938554"/>
      <w:bookmarkStart w:id="134" w:name="_Toc513029238"/>
      <w:r>
        <w:rPr>
          <w:rFonts w:hint="eastAsia" w:asciiTheme="minorEastAsia" w:hAnsiTheme="minorEastAsia" w:eastAsiaTheme="minorEastAsia" w:cstheme="minorEastAsia"/>
          <w:color w:val="auto"/>
          <w:highlight w:val="none"/>
        </w:rPr>
        <w:t>28、</w:t>
      </w:r>
      <w:bookmarkEnd w:id="132"/>
      <w:r>
        <w:rPr>
          <w:rFonts w:hint="eastAsia" w:asciiTheme="minorEastAsia" w:hAnsiTheme="minorEastAsia" w:eastAsiaTheme="minorEastAsia" w:cstheme="minorEastAsia"/>
          <w:color w:val="auto"/>
          <w:highlight w:val="none"/>
        </w:rPr>
        <w:t>确定</w:t>
      </w:r>
      <w:bookmarkEnd w:id="133"/>
      <w:bookmarkEnd w:id="134"/>
      <w:r>
        <w:rPr>
          <w:rFonts w:hint="eastAsia" w:asciiTheme="minorEastAsia" w:hAnsiTheme="minorEastAsia" w:eastAsiaTheme="minorEastAsia" w:cstheme="minorEastAsia"/>
          <w:color w:val="auto"/>
          <w:highlight w:val="none"/>
        </w:rPr>
        <w:t>中标单位</w:t>
      </w:r>
    </w:p>
    <w:p w14:paraId="07A951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28.1中标候选人的选取原则和数量见招标文件第五章规定。 </w:t>
      </w:r>
    </w:p>
    <w:p w14:paraId="637B44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28.2 采购人应根据评委会推荐的中标候选人确定中标人。</w:t>
      </w:r>
    </w:p>
    <w:p w14:paraId="489DCD8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28.3 采购代理机构将在中国政府采购网”“江苏政府采购网”“盐城市政府采购网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发布中标公告，公告期限为1个工作日。</w:t>
      </w:r>
    </w:p>
    <w:p w14:paraId="2A5B46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  若有充分证据证明，中标人出现下列情况之一的，一经查实，将被取消中标资格：</w:t>
      </w:r>
    </w:p>
    <w:p w14:paraId="7F2590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28.4.1提供虚假材料谋取中标的。</w:t>
      </w:r>
    </w:p>
    <w:p w14:paraId="3776BC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28.4.2向采购人、采购代理机构行贿或者提供其他不正当利益的。</w:t>
      </w:r>
    </w:p>
    <w:p w14:paraId="3753B8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28.4.3属于本文件规定的无效条件，但在评标过程中又未被评委会发现的。</w:t>
      </w:r>
    </w:p>
    <w:p w14:paraId="762163B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28.4.4与采购人或者其他供应商恶意串通的。</w:t>
      </w:r>
    </w:p>
    <w:p w14:paraId="768728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28.4.5采取不正当手段诋毁、排挤其他供应商的。</w:t>
      </w:r>
    </w:p>
    <w:p w14:paraId="1B24CEF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35" w:name="_Toc200451960"/>
      <w:r>
        <w:rPr>
          <w:rFonts w:hint="eastAsia" w:asciiTheme="minorEastAsia" w:hAnsiTheme="minorEastAsia" w:eastAsiaTheme="minorEastAsia" w:cstheme="minorEastAsia"/>
          <w:color w:val="auto"/>
          <w:highlight w:val="none"/>
        </w:rPr>
        <w:t>28.5. 有下列情形之一的，视为投标人串通投标，投标无效：</w:t>
      </w:r>
      <w:bookmarkEnd w:id="135"/>
    </w:p>
    <w:p w14:paraId="60E740F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28.5.1不同投标人的投标文件由同一单位或者个人编制；</w:t>
      </w:r>
    </w:p>
    <w:p w14:paraId="544155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28.5.2不同投标人委托同一单位或者个人办理投标事宜；</w:t>
      </w:r>
    </w:p>
    <w:p w14:paraId="6B740E2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28.5.3 不同投标人的投标文件载明的项目管理成员或者联系人员为同一人；</w:t>
      </w:r>
    </w:p>
    <w:p w14:paraId="6B797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28.5.4不同投标人的投标文件异常一致或者投标报价呈规律性差异；</w:t>
      </w:r>
    </w:p>
    <w:p w14:paraId="2B35B2B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29、质疑处理</w:t>
      </w:r>
    </w:p>
    <w:p w14:paraId="758879E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29.1 提出质疑的供应商应当是参与所质疑项目采购活动的供应商。潜在供应商依法获取其可质疑的采购文件的，可以对采购文件提出质疑。</w:t>
      </w:r>
    </w:p>
    <w:p w14:paraId="02B7B2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28CB529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29.2.1对可以质疑的采购文件提出质疑的，为收到采购文件之日或者采购文件公告期限届满之日；</w:t>
      </w:r>
    </w:p>
    <w:p w14:paraId="1496D1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29.2.2对采购过程提出质疑的，为各采购程序环节结束之日；</w:t>
      </w:r>
    </w:p>
    <w:p w14:paraId="237B7A7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29.2.3对中标或者成交结果提出质疑的，为中标或者成交结果公告期限届满之日。</w:t>
      </w:r>
    </w:p>
    <w:p w14:paraId="30EC97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E0DE08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E821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0672DE9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采购人及采购代理机构只接收以纸质原件形式送达的质疑,采购人和采购代理机构不接受未填写快递运单的快件。</w:t>
      </w:r>
    </w:p>
    <w:p w14:paraId="4A16CC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 以下情形的质疑不予受理</w:t>
      </w:r>
    </w:p>
    <w:p w14:paraId="4884F1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29.5.1 内容不符合《政府采购质疑和投诉办法》第十二条规定的质疑。</w:t>
      </w:r>
    </w:p>
    <w:p w14:paraId="21B154E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29.5.2 超出政府采购法定期限的质疑。</w:t>
      </w:r>
    </w:p>
    <w:p w14:paraId="420889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29.5.3 以传真、电子邮件等方式递交的非原件形式的质疑。</w:t>
      </w:r>
    </w:p>
    <w:p w14:paraId="5191F3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29.5.4 未参加投标活动的供应商或在投标活动中自身权益未受到损害的供应商所提出的质疑。</w:t>
      </w:r>
    </w:p>
    <w:p w14:paraId="1CD0D4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29.5.5供应商组成联合体参加投标，联合体中任何一方或多方未按要求签字、盖章、加盖公章的质疑。</w:t>
      </w:r>
    </w:p>
    <w:p w14:paraId="6CB804E4">
      <w:pPr>
        <w:pStyle w:val="31"/>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B4BEDD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30、中标通知书</w:t>
      </w:r>
    </w:p>
    <w:p w14:paraId="31D5E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1DD9388">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1D8A2D4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36" w:name="_Toc513029236"/>
      <w:bookmarkStart w:id="137" w:name="_Toc16938552"/>
      <w:bookmarkStart w:id="138" w:name="_Toc120614220"/>
      <w:bookmarkStart w:id="139" w:name="_Toc20823308"/>
      <w:r>
        <w:rPr>
          <w:rFonts w:hint="eastAsia" w:asciiTheme="minorEastAsia" w:hAnsiTheme="minorEastAsia" w:eastAsiaTheme="minorEastAsia" w:cstheme="minorEastAsia"/>
          <w:b/>
          <w:color w:val="auto"/>
          <w:highlight w:val="none"/>
        </w:rPr>
        <w:t>七、授予合同</w:t>
      </w:r>
      <w:bookmarkEnd w:id="136"/>
      <w:bookmarkEnd w:id="137"/>
      <w:bookmarkEnd w:id="138"/>
      <w:bookmarkEnd w:id="139"/>
    </w:p>
    <w:p w14:paraId="129F264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40" w:name="_Toc16938553"/>
      <w:bookmarkStart w:id="141" w:name="_Toc513029237"/>
      <w:bookmarkStart w:id="142" w:name="_Toc20823309"/>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签订合同</w:t>
      </w:r>
      <w:bookmarkEnd w:id="140"/>
      <w:bookmarkEnd w:id="141"/>
      <w:bookmarkEnd w:id="142"/>
    </w:p>
    <w:p w14:paraId="1CBD8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中标人应当在中标通知书发出之日起三十日内，按照招标文件确定的事项与采购人签订政府采购合同。</w:t>
      </w:r>
    </w:p>
    <w:p w14:paraId="7851817E">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31.2招标文件、中标人的投标文件及招标过程中有关澄清、承诺文件均应作为合同附件。</w:t>
      </w:r>
    </w:p>
    <w:p w14:paraId="32F8BEDB">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31.3 签订合同后，</w:t>
      </w:r>
      <w:r>
        <w:rPr>
          <w:rFonts w:hint="eastAsia" w:asciiTheme="minorEastAsia" w:hAnsiTheme="minorEastAsia" w:eastAsiaTheme="minorEastAsia" w:cstheme="minorEastAsia"/>
          <w:i/>
          <w:color w:val="auto"/>
          <w:highlight w:val="none"/>
          <w:u w:val="single"/>
        </w:rPr>
        <w:t>中标人不得将合同标的进行转包</w:t>
      </w:r>
      <w:r>
        <w:rPr>
          <w:rFonts w:hint="eastAsia" w:asciiTheme="minorEastAsia" w:hAnsiTheme="minorEastAsia" w:eastAsiaTheme="minorEastAsia" w:cstheme="minorEastAsia"/>
          <w:color w:val="auto"/>
          <w:highlight w:val="none"/>
        </w:rPr>
        <w:t>。未经采购人同意，中标人也不得采用分包的形式履行合同，否则采购人有权终止合同。转包或分包造成采购人损失的，中标人应承担相应赔偿责任。</w:t>
      </w:r>
    </w:p>
    <w:p w14:paraId="348A930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32、货物（包含与货物相关的服务）的追加</w:t>
      </w:r>
    </w:p>
    <w:p w14:paraId="64762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C932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33.政府采购政策功能落实</w:t>
      </w:r>
    </w:p>
    <w:p w14:paraId="14B9F7F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33.1政府采购线上合同信用融资政策</w:t>
      </w:r>
    </w:p>
    <w:p w14:paraId="2FFE93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00C990C">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33.2进口产品</w:t>
      </w:r>
    </w:p>
    <w:p w14:paraId="6C8C4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A7BBFE">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33.3中小企业、监狱企业及残疾人福利性单位</w:t>
      </w:r>
    </w:p>
    <w:p w14:paraId="1AF5A79A">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33.3.1中小企业定义：</w:t>
      </w:r>
    </w:p>
    <w:p w14:paraId="3B7C6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A292C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33.3.2供应商提供的货物、工程或者服务符合下列情形的，享受中小企业扶持政策：</w:t>
      </w:r>
    </w:p>
    <w:p w14:paraId="6614C7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33.3.2.1在货物采购项目中，货物由中小企业制造，即货物由中小企业生产且使用该中小企业商号或者注册商标；</w:t>
      </w:r>
    </w:p>
    <w:p w14:paraId="4A6882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33.3.2.2在工程采购项目中，工程由中小企业承建，即工程施工单位为中小企业；</w:t>
      </w:r>
    </w:p>
    <w:p w14:paraId="0A3551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33.3.2.3在服务采购项目中，服务由中小企业承接，即提供服务的人员为中小企业依照《中华人民共和国劳动合同法》订立劳动合同的从业人员。</w:t>
      </w:r>
    </w:p>
    <w:p w14:paraId="5437D09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33.3.3在货物采购项目中，供应商提供的货物既有中小企业制造货物，也有大型企业制造货物的，不享受中小企业扶持政策。</w:t>
      </w:r>
    </w:p>
    <w:p w14:paraId="03EF36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33.3.4以联合体形式参加政府采购活动，联合体各方均为中小企业的，联合体视同中小企业。其中，联合体各方均为小微企业的，联合体视同小微企业。</w:t>
      </w:r>
    </w:p>
    <w:p w14:paraId="5A1251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36B7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33.3.6残疾人福利单位定义：享受政府采购支持政策的残疾人福利性单位应当同时满足以下条件：</w:t>
      </w:r>
    </w:p>
    <w:p w14:paraId="379372D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33.3.6.1安置的残疾人占本单位在职职工人数的比例不低于25%（含25%），并且安置的残疾人人数不少于10 人（含10 人）；</w:t>
      </w:r>
    </w:p>
    <w:p w14:paraId="611DC8A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33.3.6.2依法与安置的每位残疾人签订了一年以上（含一年）的劳动合同或服务协议；</w:t>
      </w:r>
    </w:p>
    <w:p w14:paraId="7C624A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33.3.6.3为安置的每位残疾人按月足额缴纳了基本养老保险、基本医疗保险、失业保险、工伤保险和生育保险等社会保险费；</w:t>
      </w:r>
    </w:p>
    <w:p w14:paraId="101653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33.3.6.4通过银行等金融机构向安置的每位残疾人，按月支付了不低于单位所在区县适用的经省级人民政府批准的月最低工资标准的工资；</w:t>
      </w:r>
    </w:p>
    <w:p w14:paraId="13458A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33.3.6.5提供本单位制造的货物、承担的工程或者服务（以下简称产品），或者提供其他残疾人福利性单位制造的货物（不包括使用非残疾人福利性单位注册商标的货物）；</w:t>
      </w:r>
    </w:p>
    <w:p w14:paraId="2894F8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803424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33.3.7本项目是否专门面向中小企业预留采购份额见第一章《招标公告》。</w:t>
      </w:r>
    </w:p>
    <w:p w14:paraId="1F38EB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33.3.8采购标的对应的中小企业划分标准所属行业见第四章《采购需求》。</w:t>
      </w:r>
    </w:p>
    <w:p w14:paraId="3989B1D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33.3.9小微企业价格评审优惠的政策：见第五章《评标方法和评标标准》。</w:t>
      </w:r>
    </w:p>
    <w:p w14:paraId="02EEEAD1">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33.4政府采购节能产品、环境标志产品</w:t>
      </w:r>
    </w:p>
    <w:p w14:paraId="754B6898">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7A9AC167">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8D01605">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33.5绿色包装</w:t>
      </w:r>
    </w:p>
    <w:p w14:paraId="270DE2B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CBD6C1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33.6政府采购创新产品</w:t>
      </w:r>
    </w:p>
    <w:p w14:paraId="61F9B5BF">
      <w:pPr>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00" w:lineRule="exact"/>
        <w:ind w:firstLine="478"/>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采购人优先采购各级政府部门公开发布的有效期内的创新产品、创新服务、首台套、首购首用等《目录》的创新产品。</w:t>
      </w:r>
    </w:p>
    <w:p w14:paraId="7EE32869">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33.7绿色数据中心政策 </w:t>
      </w:r>
    </w:p>
    <w:p w14:paraId="09C7730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90B5FD0">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33.8实施本国产品标准及相关政策</w:t>
      </w:r>
    </w:p>
    <w:p w14:paraId="1A7645C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1.本项目对采购本国产品给予政策支持，具体内容见招标文件“第五章 评标方法与评标标准”。</w:t>
      </w:r>
    </w:p>
    <w:p w14:paraId="372CD4C9">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7B355D">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26070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FF541F7">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33.9履约保证金政策</w:t>
      </w:r>
    </w:p>
    <w:p w14:paraId="4C9E518D">
      <w:pPr>
        <w:pStyle w:val="231"/>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确需收取履约保证金的，履约保证金的缴纳形式：</w:t>
      </w:r>
    </w:p>
    <w:p w14:paraId="469842EF">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5C55F4">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如以履约保函（保险）形式缴纳履约保证金，供应商可通过政府采购电子履约保函（保险）平台（www.jsdzbh.com）在线申请履约保函（保险）。</w:t>
      </w:r>
    </w:p>
    <w:p w14:paraId="4E90585C">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履约保证金金额不超过合同金额的10%，本项目履约保证金金额为合同金额的5%，采购人对第三方信用服务机构依据标准规范评定为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p>
    <w:p w14:paraId="0F6CE1A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 预付款制度</w:t>
      </w:r>
    </w:p>
    <w:p w14:paraId="4B2E57A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本项目落实预付款制度，预付款比例为</w:t>
      </w:r>
      <w:r>
        <w:rPr>
          <w:rFonts w:hint="eastAsia" w:asciiTheme="minorEastAsia" w:hAnsiTheme="minorEastAsia" w:eastAsiaTheme="minorEastAsia" w:cstheme="minorEastAsia"/>
          <w:color w:val="auto"/>
          <w:sz w:val="24"/>
          <w:highlight w:val="none"/>
          <w:u w:val="single"/>
        </w:rPr>
        <w:t>30</w:t>
      </w:r>
      <w:r>
        <w:rPr>
          <w:rFonts w:hint="eastAsia" w:asciiTheme="minorEastAsia" w:hAnsiTheme="minorEastAsia" w:eastAsiaTheme="minorEastAsia" w:cstheme="minorEastAsia"/>
          <w:color w:val="auto"/>
          <w:sz w:val="24"/>
          <w:highlight w:val="none"/>
        </w:rPr>
        <w:t>%。在签订合同时，中标、成交供应商明确书面表示无需预付款或者主动要求降低预付款比例的，采购人可就预付款比例作相应调整。</w:t>
      </w:r>
    </w:p>
    <w:p w14:paraId="2E9CCEBE">
      <w:pPr>
        <w:widowControl/>
        <w:spacing w:line="360" w:lineRule="auto"/>
        <w:jc w:val="center"/>
        <w:rPr>
          <w:rFonts w:hint="eastAsia" w:asciiTheme="minorEastAsia" w:hAnsiTheme="minorEastAsia" w:eastAsiaTheme="minorEastAsia" w:cstheme="minorEastAsia"/>
          <w:color w:val="auto"/>
          <w:sz w:val="36"/>
          <w:szCs w:val="44"/>
          <w:highlight w:val="none"/>
        </w:rPr>
      </w:pPr>
    </w:p>
    <w:p w14:paraId="7642E027">
      <w:pPr>
        <w:tabs>
          <w:tab w:val="left" w:pos="7017"/>
        </w:tabs>
        <w:rPr>
          <w:rFonts w:hint="eastAsia" w:asciiTheme="minorEastAsia" w:hAnsiTheme="minorEastAsia" w:eastAsiaTheme="minorEastAsia" w:cstheme="minorEastAsia"/>
          <w:color w:val="auto"/>
          <w:sz w:val="36"/>
          <w:szCs w:val="44"/>
          <w:highlight w:val="none"/>
          <w:lang w:eastAsia="zh-CN"/>
        </w:rPr>
      </w:pPr>
      <w:r>
        <w:rPr>
          <w:rFonts w:hint="eastAsia" w:asciiTheme="minorEastAsia" w:hAnsiTheme="minorEastAsia" w:eastAsiaTheme="minorEastAsia" w:cstheme="minorEastAsia"/>
          <w:color w:val="auto"/>
          <w:sz w:val="36"/>
          <w:szCs w:val="44"/>
          <w:highlight w:val="none"/>
        </w:rPr>
        <w:br w:type="page"/>
      </w:r>
      <w:r>
        <w:rPr>
          <w:rFonts w:hint="eastAsia" w:asciiTheme="minorEastAsia" w:hAnsiTheme="minorEastAsia" w:eastAsiaTheme="minorEastAsia" w:cstheme="minorEastAsia"/>
          <w:color w:val="auto"/>
          <w:sz w:val="36"/>
          <w:szCs w:val="44"/>
          <w:highlight w:val="none"/>
          <w:lang w:eastAsia="zh-CN"/>
        </w:rPr>
        <w:tab/>
      </w:r>
    </w:p>
    <w:p w14:paraId="7CFB2C22">
      <w:pPr>
        <w:widowControl/>
        <w:spacing w:line="360" w:lineRule="auto"/>
        <w:jc w:val="center"/>
        <w:rPr>
          <w:rFonts w:hint="eastAsia" w:asciiTheme="minorEastAsia" w:hAnsiTheme="minorEastAsia" w:eastAsiaTheme="minorEastAsia" w:cstheme="minorEastAsia"/>
          <w:b/>
          <w:color w:val="auto"/>
          <w:sz w:val="48"/>
          <w:szCs w:val="44"/>
          <w:highlight w:val="none"/>
        </w:rPr>
      </w:pPr>
      <w:r>
        <w:rPr>
          <w:rFonts w:hint="eastAsia" w:asciiTheme="minorEastAsia" w:hAnsiTheme="minorEastAsia" w:eastAsiaTheme="minorEastAsia" w:cstheme="minorEastAsia"/>
          <w:b/>
          <w:color w:val="auto"/>
          <w:sz w:val="48"/>
          <w:szCs w:val="44"/>
          <w:highlight w:val="none"/>
        </w:rPr>
        <w:t>第三章  合同条款</w:t>
      </w:r>
    </w:p>
    <w:p w14:paraId="6B9BF242">
      <w:pPr>
        <w:spacing w:line="500" w:lineRule="exact"/>
        <w:jc w:val="center"/>
        <w:rPr>
          <w:rFonts w:hint="eastAsia" w:asciiTheme="minorEastAsia" w:hAnsiTheme="minorEastAsia" w:eastAsiaTheme="minorEastAsia" w:cstheme="minorEastAsia"/>
          <w:b/>
          <w:color w:val="auto"/>
          <w:sz w:val="30"/>
          <w:szCs w:val="30"/>
          <w:highlight w:val="none"/>
        </w:rPr>
      </w:pPr>
      <w:bookmarkStart w:id="143" w:name="EB6d2006462e294de090c16e672cecc3bd"/>
      <w:bookmarkEnd w:id="143"/>
      <w:r>
        <w:rPr>
          <w:rFonts w:hint="eastAsia" w:asciiTheme="minorEastAsia" w:hAnsiTheme="minorEastAsia" w:eastAsiaTheme="minorEastAsia" w:cstheme="minorEastAsia"/>
          <w:b/>
          <w:color w:val="auto"/>
          <w:sz w:val="30"/>
          <w:szCs w:val="30"/>
          <w:highlight w:val="none"/>
          <w:lang w:bidi="ar"/>
        </w:rPr>
        <w:t>政府采购合同</w:t>
      </w:r>
    </w:p>
    <w:p w14:paraId="442F0B37">
      <w:pPr>
        <w:pStyle w:val="243"/>
        <w:widowControl/>
        <w:spacing w:line="500" w:lineRule="exact"/>
        <w:rPr>
          <w:rFonts w:hint="eastAsia" w:asciiTheme="minorEastAsia" w:hAnsiTheme="minorEastAsia" w:eastAsiaTheme="minorEastAsia" w:cstheme="minorEastAsia"/>
          <w:color w:val="auto"/>
          <w:sz w:val="24"/>
          <w:szCs w:val="24"/>
          <w:highlight w:val="none"/>
        </w:rPr>
      </w:pPr>
    </w:p>
    <w:p w14:paraId="6FC2F868">
      <w:pPr>
        <w:pStyle w:val="243"/>
        <w:widowControl/>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盐城市公安局水域感知前端二期维保项目</w:t>
      </w:r>
      <w:r>
        <w:rPr>
          <w:rFonts w:hint="eastAsia" w:asciiTheme="minorEastAsia" w:hAnsiTheme="minorEastAsia" w:eastAsiaTheme="minorEastAsia" w:cstheme="minorEastAsia"/>
          <w:color w:val="auto"/>
          <w:sz w:val="24"/>
          <w:szCs w:val="24"/>
          <w:highlight w:val="none"/>
        </w:rPr>
        <w:t xml:space="preserve">                                       </w:t>
      </w:r>
    </w:p>
    <w:p w14:paraId="12EA06B0">
      <w:pPr>
        <w:pStyle w:val="243"/>
        <w:widowControl/>
        <w:spacing w:line="50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cstheme="minorEastAsia"/>
          <w:color w:val="auto"/>
          <w:sz w:val="24"/>
          <w:szCs w:val="24"/>
          <w:highlight w:val="none"/>
          <w:lang w:eastAsia="zh-CN"/>
        </w:rPr>
        <w:t>JSZC-320900-JCJS-G2026-0015</w:t>
      </w:r>
    </w:p>
    <w:p w14:paraId="599ACA21">
      <w:pPr>
        <w:pStyle w:val="243"/>
        <w:widowControl/>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rPr>
        <w:t xml:space="preserve">             </w:t>
      </w:r>
    </w:p>
    <w:p w14:paraId="1C0039DF">
      <w:pPr>
        <w:pStyle w:val="243"/>
        <w:widowControl/>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w:t>
      </w:r>
      <w:r>
        <w:rPr>
          <w:rFonts w:hint="eastAsia" w:asciiTheme="minorEastAsia" w:hAnsiTheme="minorEastAsia" w:eastAsiaTheme="minorEastAsia" w:cstheme="minorEastAsia"/>
          <w:color w:val="auto"/>
          <w:sz w:val="24"/>
          <w:szCs w:val="24"/>
          <w:highlight w:val="none"/>
          <w:u w:val="single"/>
        </w:rPr>
        <w:t xml:space="preserve">             </w:t>
      </w:r>
    </w:p>
    <w:p w14:paraId="595FCC1F">
      <w:pPr>
        <w:pStyle w:val="243"/>
        <w:widowControl/>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甲、乙双方根据</w:t>
      </w:r>
      <w:r>
        <w:rPr>
          <w:rFonts w:hint="eastAsia" w:asciiTheme="minorEastAsia" w:hAnsiTheme="minorEastAsia" w:eastAsiaTheme="minorEastAsia" w:cstheme="minorEastAsia"/>
          <w:color w:val="auto"/>
          <w:sz w:val="24"/>
          <w:szCs w:val="24"/>
          <w:highlight w:val="none"/>
          <w:u w:val="single"/>
          <w:lang w:eastAsia="zh-CN"/>
        </w:rPr>
        <w:t>盐城市公安局水域感知前端二期维保项目</w:t>
      </w:r>
      <w:r>
        <w:rPr>
          <w:rFonts w:hint="eastAsia" w:asciiTheme="minorEastAsia" w:hAnsiTheme="minorEastAsia" w:eastAsiaTheme="minorEastAsia" w:cstheme="minorEastAsia"/>
          <w:color w:val="auto"/>
          <w:sz w:val="24"/>
          <w:szCs w:val="24"/>
          <w:highlight w:val="none"/>
        </w:rPr>
        <w:t>公开招标的结果，签署本合同。</w:t>
      </w:r>
    </w:p>
    <w:p w14:paraId="221DB5CD">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一、工作内容清单及价格</w:t>
      </w:r>
    </w:p>
    <w:tbl>
      <w:tblPr>
        <w:tblStyle w:val="3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0"/>
        <w:gridCol w:w="1475"/>
        <w:gridCol w:w="3277"/>
        <w:gridCol w:w="712"/>
        <w:gridCol w:w="749"/>
        <w:gridCol w:w="951"/>
        <w:gridCol w:w="988"/>
        <w:gridCol w:w="716"/>
      </w:tblGrid>
      <w:tr w14:paraId="57DA4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222B58F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475" w:type="dxa"/>
            <w:tcBorders>
              <w:top w:val="single" w:color="000000" w:sz="4" w:space="0"/>
              <w:left w:val="single" w:color="000000" w:sz="4" w:space="0"/>
              <w:bottom w:val="single" w:color="000000" w:sz="4" w:space="0"/>
              <w:right w:val="single" w:color="000000" w:sz="4" w:space="0"/>
            </w:tcBorders>
            <w:vAlign w:val="center"/>
          </w:tcPr>
          <w:p w14:paraId="60E0D79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3277" w:type="dxa"/>
            <w:tcBorders>
              <w:top w:val="single" w:color="000000" w:sz="4" w:space="0"/>
              <w:left w:val="single" w:color="000000" w:sz="4" w:space="0"/>
              <w:bottom w:val="single" w:color="000000" w:sz="4" w:space="0"/>
              <w:right w:val="single" w:color="000000" w:sz="4" w:space="0"/>
            </w:tcBorders>
            <w:vAlign w:val="center"/>
          </w:tcPr>
          <w:p w14:paraId="6EE57E4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详细参数</w:t>
            </w:r>
          </w:p>
        </w:tc>
        <w:tc>
          <w:tcPr>
            <w:tcW w:w="712" w:type="dxa"/>
            <w:tcBorders>
              <w:top w:val="single" w:color="000000" w:sz="4" w:space="0"/>
              <w:left w:val="single" w:color="000000" w:sz="4" w:space="0"/>
              <w:bottom w:val="single" w:color="000000" w:sz="4" w:space="0"/>
              <w:right w:val="single" w:color="000000" w:sz="4" w:space="0"/>
            </w:tcBorders>
            <w:vAlign w:val="center"/>
          </w:tcPr>
          <w:p w14:paraId="6BE9724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w:t>
            </w:r>
          </w:p>
        </w:tc>
        <w:tc>
          <w:tcPr>
            <w:tcW w:w="749" w:type="dxa"/>
            <w:tcBorders>
              <w:top w:val="single" w:color="000000" w:sz="4" w:space="0"/>
              <w:left w:val="single" w:color="000000" w:sz="4" w:space="0"/>
              <w:bottom w:val="single" w:color="000000" w:sz="4" w:space="0"/>
              <w:right w:val="single" w:color="000000" w:sz="4" w:space="0"/>
            </w:tcBorders>
            <w:vAlign w:val="center"/>
          </w:tcPr>
          <w:p w14:paraId="483A0D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951" w:type="dxa"/>
            <w:tcBorders>
              <w:top w:val="single" w:color="000000" w:sz="4" w:space="0"/>
              <w:left w:val="single" w:color="000000" w:sz="4" w:space="0"/>
              <w:bottom w:val="single" w:color="000000" w:sz="4" w:space="0"/>
              <w:right w:val="single" w:color="000000" w:sz="4" w:space="0"/>
            </w:tcBorders>
            <w:vAlign w:val="center"/>
          </w:tcPr>
          <w:p w14:paraId="087B74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单价（元/年）</w:t>
            </w:r>
          </w:p>
        </w:tc>
        <w:tc>
          <w:tcPr>
            <w:tcW w:w="988" w:type="dxa"/>
            <w:tcBorders>
              <w:top w:val="single" w:color="000000" w:sz="4" w:space="0"/>
              <w:left w:val="single" w:color="000000" w:sz="4" w:space="0"/>
              <w:bottom w:val="single" w:color="000000" w:sz="4" w:space="0"/>
              <w:right w:val="single" w:color="000000" w:sz="4" w:space="0"/>
            </w:tcBorders>
            <w:vAlign w:val="center"/>
          </w:tcPr>
          <w:p w14:paraId="5FB4A30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合价（元/年）</w:t>
            </w:r>
          </w:p>
        </w:tc>
        <w:tc>
          <w:tcPr>
            <w:tcW w:w="716" w:type="dxa"/>
            <w:tcBorders>
              <w:top w:val="single" w:color="000000" w:sz="4" w:space="0"/>
              <w:left w:val="single" w:color="000000" w:sz="4" w:space="0"/>
              <w:bottom w:val="single" w:color="000000" w:sz="4" w:space="0"/>
              <w:right w:val="single" w:color="000000" w:sz="4" w:space="0"/>
            </w:tcBorders>
            <w:vAlign w:val="center"/>
          </w:tcPr>
          <w:p w14:paraId="1B41B5F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r>
      <w:tr w14:paraId="12B34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284CF28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475" w:type="dxa"/>
            <w:tcBorders>
              <w:top w:val="single" w:color="000000" w:sz="4" w:space="0"/>
              <w:left w:val="single" w:color="000000" w:sz="4" w:space="0"/>
              <w:bottom w:val="single" w:color="000000" w:sz="4" w:space="0"/>
              <w:right w:val="single" w:color="000000" w:sz="4" w:space="0"/>
            </w:tcBorders>
            <w:vAlign w:val="center"/>
          </w:tcPr>
          <w:p w14:paraId="0AA67F3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IP</w:t>
            </w:r>
            <w:r>
              <w:rPr>
                <w:rFonts w:hint="eastAsia" w:asciiTheme="minorEastAsia" w:hAnsiTheme="minorEastAsia" w:eastAsiaTheme="minorEastAsia" w:cstheme="minorEastAsia"/>
                <w:color w:val="auto"/>
                <w:sz w:val="24"/>
                <w:highlight w:val="none"/>
              </w:rPr>
              <w:t>网络专线</w:t>
            </w:r>
          </w:p>
        </w:tc>
        <w:tc>
          <w:tcPr>
            <w:tcW w:w="3277" w:type="dxa"/>
            <w:tcBorders>
              <w:top w:val="single" w:color="000000" w:sz="4" w:space="0"/>
              <w:left w:val="single" w:color="000000" w:sz="4" w:space="0"/>
              <w:bottom w:val="single" w:color="000000" w:sz="4" w:space="0"/>
              <w:right w:val="single" w:color="000000" w:sz="4" w:space="0"/>
            </w:tcBorders>
            <w:vAlign w:val="center"/>
          </w:tcPr>
          <w:p w14:paraId="1549E71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w:t>
            </w:r>
            <w:r>
              <w:rPr>
                <w:rFonts w:hint="eastAsia" w:asciiTheme="minorEastAsia" w:hAnsiTheme="minorEastAsia" w:eastAsiaTheme="minorEastAsia" w:cstheme="minorEastAsia"/>
                <w:color w:val="auto"/>
                <w:sz w:val="24"/>
                <w:highlight w:val="none"/>
              </w:rPr>
              <w:t>前端设备至市局机房的链路网络传输</w:t>
            </w:r>
            <w:r>
              <w:rPr>
                <w:rFonts w:hint="eastAsia" w:asciiTheme="minorEastAsia" w:hAnsiTheme="minorEastAsia" w:eastAsiaTheme="minorEastAsia" w:cstheme="minorEastAsia"/>
                <w:color w:val="auto"/>
                <w:sz w:val="24"/>
                <w:highlight w:val="none"/>
                <w:lang w:val="en-US" w:eastAsia="zh-CN"/>
              </w:rPr>
              <w:t>及支付租赁网络专线费用。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1E90845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条</w:t>
            </w:r>
          </w:p>
        </w:tc>
        <w:tc>
          <w:tcPr>
            <w:tcW w:w="749" w:type="dxa"/>
            <w:tcBorders>
              <w:top w:val="single" w:color="000000" w:sz="4" w:space="0"/>
              <w:left w:val="single" w:color="000000" w:sz="4" w:space="0"/>
              <w:bottom w:val="single" w:color="000000" w:sz="4" w:space="0"/>
              <w:right w:val="single" w:color="000000" w:sz="4" w:space="0"/>
            </w:tcBorders>
            <w:vAlign w:val="center"/>
          </w:tcPr>
          <w:p w14:paraId="34046C4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73</w:t>
            </w:r>
          </w:p>
        </w:tc>
        <w:tc>
          <w:tcPr>
            <w:tcW w:w="951" w:type="dxa"/>
            <w:tcBorders>
              <w:top w:val="single" w:color="000000" w:sz="4" w:space="0"/>
              <w:left w:val="single" w:color="000000" w:sz="4" w:space="0"/>
              <w:bottom w:val="single" w:color="000000" w:sz="4" w:space="0"/>
              <w:right w:val="single" w:color="000000" w:sz="4" w:space="0"/>
            </w:tcBorders>
            <w:vAlign w:val="center"/>
          </w:tcPr>
          <w:p w14:paraId="459A27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1E8A157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3EE5610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4E51E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06AB361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475" w:type="dxa"/>
            <w:tcBorders>
              <w:top w:val="single" w:color="000000" w:sz="4" w:space="0"/>
              <w:left w:val="single" w:color="000000" w:sz="4" w:space="0"/>
              <w:bottom w:val="single" w:color="000000" w:sz="4" w:space="0"/>
              <w:right w:val="single" w:color="000000" w:sz="4" w:space="0"/>
            </w:tcBorders>
            <w:vAlign w:val="center"/>
          </w:tcPr>
          <w:p w14:paraId="47F397D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铁塔租赁服务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336EA14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含铁塔监控点位租赁、登高排故服务。</w:t>
            </w:r>
          </w:p>
        </w:tc>
        <w:tc>
          <w:tcPr>
            <w:tcW w:w="712" w:type="dxa"/>
            <w:tcBorders>
              <w:top w:val="single" w:color="000000" w:sz="4" w:space="0"/>
              <w:left w:val="single" w:color="000000" w:sz="4" w:space="0"/>
              <w:bottom w:val="single" w:color="000000" w:sz="4" w:space="0"/>
              <w:right w:val="single" w:color="000000" w:sz="4" w:space="0"/>
            </w:tcBorders>
            <w:vAlign w:val="center"/>
          </w:tcPr>
          <w:p w14:paraId="2DCF76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座</w:t>
            </w:r>
          </w:p>
        </w:tc>
        <w:tc>
          <w:tcPr>
            <w:tcW w:w="749" w:type="dxa"/>
            <w:tcBorders>
              <w:top w:val="single" w:color="000000" w:sz="4" w:space="0"/>
              <w:left w:val="single" w:color="000000" w:sz="4" w:space="0"/>
              <w:bottom w:val="single" w:color="000000" w:sz="4" w:space="0"/>
              <w:right w:val="single" w:color="000000" w:sz="4" w:space="0"/>
            </w:tcBorders>
            <w:vAlign w:val="center"/>
          </w:tcPr>
          <w:p w14:paraId="4D91D5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16</w:t>
            </w:r>
          </w:p>
        </w:tc>
        <w:tc>
          <w:tcPr>
            <w:tcW w:w="951" w:type="dxa"/>
            <w:tcBorders>
              <w:top w:val="single" w:color="000000" w:sz="4" w:space="0"/>
              <w:left w:val="single" w:color="000000" w:sz="4" w:space="0"/>
              <w:bottom w:val="single" w:color="000000" w:sz="4" w:space="0"/>
              <w:right w:val="single" w:color="000000" w:sz="4" w:space="0"/>
            </w:tcBorders>
            <w:vAlign w:val="center"/>
          </w:tcPr>
          <w:p w14:paraId="48578DF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083D397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71B3292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214C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3F6C819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475" w:type="dxa"/>
            <w:tcBorders>
              <w:top w:val="single" w:color="000000" w:sz="4" w:space="0"/>
              <w:left w:val="single" w:color="000000" w:sz="4" w:space="0"/>
              <w:bottom w:val="single" w:color="000000" w:sz="4" w:space="0"/>
              <w:right w:val="single" w:color="000000" w:sz="4" w:space="0"/>
            </w:tcBorders>
            <w:vAlign w:val="center"/>
          </w:tcPr>
          <w:p w14:paraId="4CC2EE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接电服务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0500CE9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保障视频监控、雷达、激光、桥梁音柱、智能电箱设备等1</w:t>
            </w:r>
            <w:r>
              <w:rPr>
                <w:rFonts w:hint="eastAsia" w:asciiTheme="minorEastAsia" w:hAnsi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lang w:val="en-US" w:eastAsia="zh-CN"/>
              </w:rPr>
              <w:t>0台（套）设备供电及支付设备用电费用。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58D60E0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台（套）</w:t>
            </w:r>
          </w:p>
        </w:tc>
        <w:tc>
          <w:tcPr>
            <w:tcW w:w="749" w:type="dxa"/>
            <w:tcBorders>
              <w:top w:val="single" w:color="000000" w:sz="4" w:space="0"/>
              <w:left w:val="single" w:color="000000" w:sz="4" w:space="0"/>
              <w:bottom w:val="single" w:color="000000" w:sz="4" w:space="0"/>
              <w:right w:val="single" w:color="000000" w:sz="4" w:space="0"/>
            </w:tcBorders>
            <w:vAlign w:val="center"/>
          </w:tcPr>
          <w:p w14:paraId="46271E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cstheme="minorEastAsia"/>
                <w:color w:val="auto"/>
                <w:sz w:val="24"/>
                <w:highlight w:val="none"/>
                <w:lang w:val="en-US" w:eastAsia="zh-CN"/>
              </w:rPr>
              <w:t>50</w:t>
            </w:r>
          </w:p>
        </w:tc>
        <w:tc>
          <w:tcPr>
            <w:tcW w:w="951" w:type="dxa"/>
            <w:tcBorders>
              <w:top w:val="single" w:color="000000" w:sz="4" w:space="0"/>
              <w:left w:val="single" w:color="000000" w:sz="4" w:space="0"/>
              <w:bottom w:val="single" w:color="000000" w:sz="4" w:space="0"/>
              <w:right w:val="single" w:color="000000" w:sz="4" w:space="0"/>
            </w:tcBorders>
            <w:vAlign w:val="center"/>
          </w:tcPr>
          <w:p w14:paraId="63DEA52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1866B49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860FE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6804B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4CE73CB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4</w:t>
            </w:r>
          </w:p>
        </w:tc>
        <w:tc>
          <w:tcPr>
            <w:tcW w:w="1475" w:type="dxa"/>
            <w:tcBorders>
              <w:top w:val="single" w:color="000000" w:sz="4" w:space="0"/>
              <w:left w:val="single" w:color="000000" w:sz="4" w:space="0"/>
              <w:bottom w:val="single" w:color="000000" w:sz="4" w:space="0"/>
              <w:right w:val="single" w:color="000000" w:sz="4" w:space="0"/>
            </w:tcBorders>
            <w:vAlign w:val="center"/>
          </w:tcPr>
          <w:p w14:paraId="0219EFA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eastAsia="zh-CN"/>
              </w:rPr>
              <w:t>维保</w:t>
            </w:r>
            <w:r>
              <w:rPr>
                <w:rFonts w:hint="eastAsia" w:asciiTheme="minorEastAsia" w:hAnsiTheme="minorEastAsia" w:eastAsiaTheme="minorEastAsia" w:cstheme="minorEastAsia"/>
                <w:color w:val="auto"/>
                <w:sz w:val="24"/>
                <w:highlight w:val="none"/>
                <w:lang w:val="en-US" w:eastAsia="zh-CN"/>
              </w:rPr>
              <w:t>内容</w:t>
            </w:r>
          </w:p>
        </w:tc>
        <w:tc>
          <w:tcPr>
            <w:tcW w:w="3277" w:type="dxa"/>
            <w:tcBorders>
              <w:top w:val="single" w:color="000000" w:sz="4" w:space="0"/>
              <w:left w:val="single" w:color="000000" w:sz="4" w:space="0"/>
              <w:bottom w:val="single" w:color="000000" w:sz="4" w:space="0"/>
              <w:right w:val="single" w:color="000000" w:sz="4" w:space="0"/>
            </w:tcBorders>
            <w:vAlign w:val="center"/>
          </w:tcPr>
          <w:p w14:paraId="27DCEBA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设备线路的故障排查，保证设备平台在线率90%以上，其中一般故障在4小时内排除，其他复杂故障在24小时内排除，并提供7*24小时响应保障；（2）每月完成一次全点位巡检，包含点位视频区域遮挡物清除、设备维护及线路安全巡查等工作，每月出具一份巡检报告；（3）提供不超过6个点位的免费迁移服务；（4）供应急备件临时替换，对无法修复的设备由</w:t>
            </w:r>
            <w:r>
              <w:rPr>
                <w:rFonts w:hint="eastAsia" w:asciiTheme="minorEastAsia" w:hAnsiTheme="minorEastAsia" w:cstheme="minorEastAsia"/>
                <w:color w:val="auto"/>
                <w:sz w:val="24"/>
                <w:highlight w:val="none"/>
                <w:lang w:val="en-US" w:eastAsia="zh-CN"/>
              </w:rPr>
              <w:t>市公安局另行</w:t>
            </w:r>
            <w:r>
              <w:rPr>
                <w:rFonts w:hint="eastAsia" w:asciiTheme="minorEastAsia" w:hAnsiTheme="minorEastAsia" w:eastAsiaTheme="minorEastAsia" w:cstheme="minorEastAsia"/>
                <w:color w:val="auto"/>
                <w:sz w:val="24"/>
                <w:highlight w:val="none"/>
                <w:lang w:val="en-US" w:eastAsia="zh-CN"/>
              </w:rPr>
              <w:t>采购后更换。</w:t>
            </w:r>
          </w:p>
        </w:tc>
        <w:tc>
          <w:tcPr>
            <w:tcW w:w="712" w:type="dxa"/>
            <w:tcBorders>
              <w:top w:val="single" w:color="000000" w:sz="4" w:space="0"/>
              <w:left w:val="single" w:color="000000" w:sz="4" w:space="0"/>
              <w:bottom w:val="single" w:color="000000" w:sz="4" w:space="0"/>
              <w:right w:val="single" w:color="000000" w:sz="4" w:space="0"/>
            </w:tcBorders>
            <w:vAlign w:val="center"/>
          </w:tcPr>
          <w:p w14:paraId="1E8658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6BEE61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2FD08E3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43A1A4B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432835C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r>
      <w:tr w14:paraId="1F35E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340B4A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5</w:t>
            </w:r>
          </w:p>
        </w:tc>
        <w:tc>
          <w:tcPr>
            <w:tcW w:w="1475" w:type="dxa"/>
            <w:tcBorders>
              <w:top w:val="single" w:color="000000" w:sz="4" w:space="0"/>
              <w:left w:val="single" w:color="000000" w:sz="4" w:space="0"/>
              <w:bottom w:val="single" w:color="000000" w:sz="4" w:space="0"/>
              <w:right w:val="single" w:color="000000" w:sz="4" w:space="0"/>
            </w:tcBorders>
            <w:vAlign w:val="center"/>
          </w:tcPr>
          <w:p w14:paraId="2B3A0EB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辅材</w:t>
            </w:r>
          </w:p>
        </w:tc>
        <w:tc>
          <w:tcPr>
            <w:tcW w:w="3277" w:type="dxa"/>
            <w:tcBorders>
              <w:top w:val="single" w:color="000000" w:sz="4" w:space="0"/>
              <w:left w:val="single" w:color="000000" w:sz="4" w:space="0"/>
              <w:bottom w:val="single" w:color="000000" w:sz="4" w:space="0"/>
              <w:right w:val="single" w:color="000000" w:sz="4" w:space="0"/>
            </w:tcBorders>
            <w:vAlign w:val="center"/>
          </w:tcPr>
          <w:p w14:paraId="3859E2E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自行保障使用</w:t>
            </w:r>
          </w:p>
        </w:tc>
        <w:tc>
          <w:tcPr>
            <w:tcW w:w="712" w:type="dxa"/>
            <w:tcBorders>
              <w:top w:val="single" w:color="000000" w:sz="4" w:space="0"/>
              <w:left w:val="single" w:color="000000" w:sz="4" w:space="0"/>
              <w:bottom w:val="single" w:color="000000" w:sz="4" w:space="0"/>
              <w:right w:val="single" w:color="000000" w:sz="4" w:space="0"/>
            </w:tcBorders>
            <w:vAlign w:val="center"/>
          </w:tcPr>
          <w:p w14:paraId="2F22B4A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35A830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09C8A9C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0A7DD4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49CEFB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50C30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1DFB8BE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一年总价：  元/年</w:t>
            </w:r>
          </w:p>
        </w:tc>
      </w:tr>
      <w:tr w14:paraId="3A5E5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180ADD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总价：  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一年</w:t>
            </w:r>
            <w:r>
              <w:rPr>
                <w:rFonts w:hint="eastAsia" w:asciiTheme="minorEastAsia" w:hAnsiTheme="minorEastAsia" w:eastAsiaTheme="minorEastAsia" w:cstheme="minorEastAsia"/>
                <w:color w:val="auto"/>
                <w:sz w:val="24"/>
                <w:szCs w:val="24"/>
                <w:highlight w:val="none"/>
              </w:rPr>
              <w:t>总价</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p>
        </w:tc>
      </w:tr>
    </w:tbl>
    <w:p w14:paraId="1954AC51">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二、合同金额</w:t>
      </w:r>
    </w:p>
    <w:p w14:paraId="7BD78600">
      <w:pPr>
        <w:snapToGrid w:val="0"/>
        <w:spacing w:line="50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1、本合同金额为人民币（大写）：___________元</w:t>
      </w:r>
      <w:r>
        <w:rPr>
          <w:rFonts w:hint="eastAsia" w:asciiTheme="minorEastAsia" w:hAnsiTheme="minorEastAsia" w:eastAsiaTheme="minorEastAsia" w:cstheme="minorEastAsia"/>
          <w:color w:val="auto"/>
          <w:sz w:val="24"/>
          <w:szCs w:val="24"/>
          <w:highlight w:val="none"/>
          <w:lang w:val="en-US" w:eastAsia="zh-CN"/>
        </w:rPr>
        <w:t>/年</w:t>
      </w:r>
      <w:r>
        <w:rPr>
          <w:rFonts w:hint="eastAsia" w:asciiTheme="minorEastAsia" w:hAnsiTheme="minorEastAsia" w:eastAsiaTheme="minorEastAsia" w:cstheme="minorEastAsia"/>
          <w:color w:val="auto"/>
          <w:sz w:val="24"/>
          <w:szCs w:val="24"/>
          <w:highlight w:val="none"/>
        </w:rPr>
        <w:t>（¥________元</w:t>
      </w:r>
      <w:r>
        <w:rPr>
          <w:rFonts w:hint="eastAsia" w:asciiTheme="minorEastAsia" w:hAnsiTheme="minorEastAsia" w:eastAsiaTheme="minorEastAsia" w:cstheme="minorEastAsia"/>
          <w:color w:val="auto"/>
          <w:sz w:val="24"/>
          <w:szCs w:val="24"/>
          <w:highlight w:val="none"/>
          <w:lang w:val="en-US" w:eastAsia="zh-CN"/>
        </w:rPr>
        <w:t>/年</w:t>
      </w:r>
      <w:r>
        <w:rPr>
          <w:rFonts w:hint="eastAsia" w:asciiTheme="minorEastAsia" w:hAnsiTheme="minorEastAsia" w:eastAsiaTheme="minorEastAsia" w:cstheme="minorEastAsia"/>
          <w:color w:val="auto"/>
          <w:sz w:val="24"/>
          <w:szCs w:val="24"/>
          <w:highlight w:val="none"/>
        </w:rPr>
        <w:t>）。</w:t>
      </w:r>
    </w:p>
    <w:p w14:paraId="78AFC21C">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2、本合同价款包含所有乙方提供合同约定产品和服务的报酬及乙方提供合同中产品和服务所支出的必要费用，甲方在上述合同价款之外不再向乙方支付其他任何费用。</w:t>
      </w:r>
    </w:p>
    <w:p w14:paraId="78477C94">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三、技术资料</w:t>
      </w:r>
    </w:p>
    <w:p w14:paraId="3DA36FA2">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1、乙方应按招标文件规定的时间向甲方提供有关技术资料。</w:t>
      </w:r>
    </w:p>
    <w:p w14:paraId="769BA053">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4B733AB">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四、知识产权</w:t>
      </w:r>
    </w:p>
    <w:p w14:paraId="377C8C88">
      <w:pPr>
        <w:spacing w:line="500" w:lineRule="exact"/>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4029E2DE">
      <w:pPr>
        <w:snapToGrid w:val="0"/>
        <w:spacing w:line="500" w:lineRule="exact"/>
        <w:ind w:firstLine="482"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五、产权担保</w:t>
      </w:r>
    </w:p>
    <w:p w14:paraId="7B4E8A8F">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乙方保证所交付标的的所有权完全属于乙方且无任何抵押、查封等产权瑕疵。 </w:t>
      </w:r>
    </w:p>
    <w:p w14:paraId="366E0314">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六、履约保证金</w:t>
      </w:r>
    </w:p>
    <w:p w14:paraId="66ADEB74">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交纳人民币_____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p>
    <w:p w14:paraId="58224D34">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2、合同履行结束后，甲方应及时退还交纳的履约保证金。</w:t>
      </w:r>
    </w:p>
    <w:p w14:paraId="5511799A">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3、履约保证金的退还：</w:t>
      </w:r>
    </w:p>
    <w:p w14:paraId="2081561F">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3.1方式：无息退还至乙方缴纳履约保证金的账户。如为保函，在到期时自行失效。</w:t>
      </w:r>
    </w:p>
    <w:p w14:paraId="7E3293CB">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3.2时间：验收合格且甲方收到发票后30日内。</w:t>
      </w:r>
    </w:p>
    <w:p w14:paraId="380E12FA">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3.3条件：按合同要求全部履约完成并经甲方验收合格，且甲方收到乙方出具的发票。</w:t>
      </w:r>
    </w:p>
    <w:p w14:paraId="23B4DBBF">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3.4不予退还情形：</w:t>
      </w:r>
    </w:p>
    <w:p w14:paraId="7E98BC1C">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除不可抗力情况外，乙方出现下列情形之一的，其履约保证金，甲方将视情节决定不予退还或部分不予退还。</w:t>
      </w:r>
    </w:p>
    <w:p w14:paraId="72E97C67">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（1）乙方无正当理由拒绝签订合同的，或者在签订合同时向甲方提出附加条件或者更改合同实质性内容要求的；</w:t>
      </w:r>
    </w:p>
    <w:p w14:paraId="16A7399A">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（2）乙方不履行与甲方订立的合同的；</w:t>
      </w:r>
    </w:p>
    <w:p w14:paraId="07651739">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（3）乙方所供货物或服务不符合招标文件规定要求的；</w:t>
      </w:r>
    </w:p>
    <w:p w14:paraId="669309C3">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（4）乙方采取欺骗、弄虚作假方式投标的或与其它投标人串通投标的；</w:t>
      </w:r>
    </w:p>
    <w:p w14:paraId="1A86D7BC">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（5）乙方将合同内容转包、违法分包的；</w:t>
      </w:r>
    </w:p>
    <w:p w14:paraId="1285F1C1">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（6）乙方故意捏造事实或伪造证明材料，进行虚假恶意投诉或反映的。</w:t>
      </w:r>
    </w:p>
    <w:p w14:paraId="20546129">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3.5逾期退还的违约责任：甲方逾期无故未退还履约保证金的，按中国人民银行同期贷款基准利率上浮20%后的利率支付超期资金占用费，但因供应商自身原因导致无法及时退还的除外。</w:t>
      </w:r>
    </w:p>
    <w:p w14:paraId="0DC468BE">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七、转包或分包</w:t>
      </w:r>
    </w:p>
    <w:p w14:paraId="49CC240E">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本合同范围内产品或服务，应由乙方直接供应，不得转让他人供应；</w:t>
      </w:r>
    </w:p>
    <w:p w14:paraId="4FD540B1">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除非得到甲方的书面同意，乙方不得部分分包给他人供应。</w:t>
      </w:r>
    </w:p>
    <w:p w14:paraId="1A004EDB">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如有转让和未经甲方同意的分包行为，甲方有权给予终止合同，乙方的履约保证金将不予退还。转包或分包造成甲方损失的，乙方承担相应赔偿责任。</w:t>
      </w:r>
    </w:p>
    <w:p w14:paraId="2FF5E7BF">
      <w:pPr>
        <w:widowControl/>
        <w:spacing w:line="500" w:lineRule="exact"/>
        <w:ind w:firstLine="479" w:firstLineChars="199"/>
        <w:jc w:val="left"/>
        <w:textAlignment w:val="baseline"/>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八、维保服务期</w:t>
      </w:r>
    </w:p>
    <w:p w14:paraId="0EB0D444">
      <w:pPr>
        <w:widowControl/>
        <w:spacing w:line="500" w:lineRule="exact"/>
        <w:ind w:firstLine="477" w:firstLineChars="199"/>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1、维保服务期：1年，自</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日至</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合同服务期满前，经甲方年度验收合格，且月均考核评分达到90分及以上，可续签下一年合同，最多续签二次。</w:t>
      </w:r>
    </w:p>
    <w:p w14:paraId="7D2604EC">
      <w:pPr>
        <w:widowControl/>
        <w:spacing w:line="500" w:lineRule="exact"/>
        <w:ind w:firstLine="479" w:firstLineChars="199"/>
        <w:jc w:val="left"/>
        <w:textAlignment w:val="baseline"/>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九、响应时间及要求</w:t>
      </w:r>
    </w:p>
    <w:p w14:paraId="53E040C6">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1、乙方须提供具体维保服务方案，建立配套巡查机制，及时发现设备线路故障，主动恢复；对于甲方提供的设备线路故障申告，应快速修复，并为甲方提供7</w:t>
      </w:r>
      <w:r>
        <w:rPr>
          <w:rFonts w:hint="eastAsia" w:asciiTheme="minorEastAsia" w:hAnsiTheme="minorEastAsia" w:eastAsiaTheme="minorEastAsia" w:cstheme="minorEastAsia"/>
          <w:bCs/>
          <w:color w:val="auto"/>
          <w:sz w:val="24"/>
          <w:szCs w:val="24"/>
          <w:highlight w:val="none"/>
          <w:lang w:val="en-US" w:eastAsia="zh-CN"/>
        </w:rPr>
        <w:t>*</w:t>
      </w:r>
      <w:r>
        <w:rPr>
          <w:rFonts w:hint="eastAsia" w:asciiTheme="minorEastAsia" w:hAnsiTheme="minorEastAsia" w:eastAsiaTheme="minorEastAsia" w:cstheme="minorEastAsia"/>
          <w:bCs/>
          <w:color w:val="auto"/>
          <w:sz w:val="24"/>
          <w:szCs w:val="24"/>
          <w:highlight w:val="none"/>
        </w:rPr>
        <w:t>24小时的技术支持，且说明故障问题响应时间和保障措施。</w:t>
      </w:r>
    </w:p>
    <w:p w14:paraId="211B4C2D">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2、甲方提出服务请求后，乙方应在1小时内响应，2小时内赶到现场，并保证在6小时内查明原因，一般问题在4小时内解决，重大故障启动应急备用方案，最长不超过24小时。</w:t>
      </w:r>
    </w:p>
    <w:p w14:paraId="43E50BD8">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3、乙方须确保每条专线年故障时间应低于10%（断线时间/当年总时间，从乙方接到甲方电话申告开始计时）。</w:t>
      </w:r>
    </w:p>
    <w:p w14:paraId="1149E6B6">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本次维保项目须提供不少于4人的维护团队（前端人员不少于3人，后台人员不少于1人），其中至少2人持有有效期内的特种作业操作证（电工作业），还需配备1辆工程登高车辆。乙方须制定健全信息安全制度和操作规范，提供维保人员无犯罪记录证明；维保单位、维保人员、市公安局</w:t>
      </w:r>
      <w:r>
        <w:rPr>
          <w:rFonts w:hint="eastAsia" w:asciiTheme="minorEastAsia" w:hAnsiTheme="minorEastAsia" w:cstheme="minorEastAsia"/>
          <w:bCs/>
          <w:color w:val="auto"/>
          <w:sz w:val="24"/>
          <w:szCs w:val="24"/>
          <w:highlight w:val="none"/>
          <w:lang w:eastAsia="zh-CN"/>
        </w:rPr>
        <w:t>三方签订</w:t>
      </w:r>
      <w:r>
        <w:rPr>
          <w:rFonts w:hint="eastAsia" w:asciiTheme="minorEastAsia" w:hAnsiTheme="minorEastAsia" w:eastAsiaTheme="minorEastAsia" w:cstheme="minorEastAsia"/>
          <w:bCs/>
          <w:color w:val="auto"/>
          <w:sz w:val="24"/>
          <w:szCs w:val="24"/>
          <w:highlight w:val="none"/>
        </w:rPr>
        <w:t>保密协议。</w:t>
      </w:r>
    </w:p>
    <w:p w14:paraId="4F336101">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5、服务人员名单：</w:t>
      </w:r>
    </w:p>
    <w:tbl>
      <w:tblPr>
        <w:tblStyle w:val="34"/>
        <w:tblW w:w="8504" w:type="dxa"/>
        <w:jc w:val="center"/>
        <w:tblLayout w:type="fixed"/>
        <w:tblCellMar>
          <w:top w:w="0" w:type="dxa"/>
          <w:left w:w="108" w:type="dxa"/>
          <w:bottom w:w="0" w:type="dxa"/>
          <w:right w:w="108" w:type="dxa"/>
        </w:tblCellMar>
      </w:tblPr>
      <w:tblGrid>
        <w:gridCol w:w="711"/>
        <w:gridCol w:w="712"/>
        <w:gridCol w:w="852"/>
        <w:gridCol w:w="764"/>
        <w:gridCol w:w="1227"/>
        <w:gridCol w:w="1445"/>
        <w:gridCol w:w="1159"/>
        <w:gridCol w:w="1634"/>
      </w:tblGrid>
      <w:tr w14:paraId="2642CFF7">
        <w:tblPrEx>
          <w:tblCellMar>
            <w:top w:w="0" w:type="dxa"/>
            <w:left w:w="108" w:type="dxa"/>
            <w:bottom w:w="0" w:type="dxa"/>
            <w:right w:w="108" w:type="dxa"/>
          </w:tblCellMar>
        </w:tblPrEx>
        <w:trPr>
          <w:trHeight w:val="952"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0E09F44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序号</w:t>
            </w:r>
          </w:p>
        </w:tc>
        <w:tc>
          <w:tcPr>
            <w:tcW w:w="712" w:type="dxa"/>
            <w:tcBorders>
              <w:top w:val="single" w:color="auto" w:sz="4" w:space="0"/>
              <w:left w:val="single" w:color="auto" w:sz="4" w:space="0"/>
              <w:bottom w:val="single" w:color="auto" w:sz="4" w:space="0"/>
              <w:right w:val="single" w:color="auto" w:sz="4" w:space="0"/>
            </w:tcBorders>
            <w:vAlign w:val="center"/>
          </w:tcPr>
          <w:p w14:paraId="66AB7825">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姓名</w:t>
            </w:r>
          </w:p>
        </w:tc>
        <w:tc>
          <w:tcPr>
            <w:tcW w:w="852" w:type="dxa"/>
            <w:tcBorders>
              <w:top w:val="single" w:color="auto" w:sz="4" w:space="0"/>
              <w:left w:val="nil"/>
              <w:bottom w:val="single" w:color="auto" w:sz="4" w:space="0"/>
              <w:right w:val="single" w:color="auto" w:sz="4" w:space="0"/>
            </w:tcBorders>
            <w:vAlign w:val="center"/>
          </w:tcPr>
          <w:p w14:paraId="50A6ADD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性别</w:t>
            </w:r>
          </w:p>
        </w:tc>
        <w:tc>
          <w:tcPr>
            <w:tcW w:w="764" w:type="dxa"/>
            <w:tcBorders>
              <w:top w:val="single" w:color="auto" w:sz="4" w:space="0"/>
              <w:left w:val="nil"/>
              <w:bottom w:val="single" w:color="auto" w:sz="4" w:space="0"/>
              <w:right w:val="single" w:color="auto" w:sz="4" w:space="0"/>
            </w:tcBorders>
            <w:vAlign w:val="center"/>
          </w:tcPr>
          <w:p w14:paraId="1A79B4F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年龄</w:t>
            </w:r>
          </w:p>
        </w:tc>
        <w:tc>
          <w:tcPr>
            <w:tcW w:w="1227" w:type="dxa"/>
            <w:tcBorders>
              <w:top w:val="single" w:color="auto" w:sz="4" w:space="0"/>
              <w:left w:val="nil"/>
              <w:bottom w:val="single" w:color="auto" w:sz="4" w:space="0"/>
              <w:right w:val="single" w:color="auto" w:sz="4" w:space="0"/>
            </w:tcBorders>
            <w:vAlign w:val="center"/>
          </w:tcPr>
          <w:p w14:paraId="0410FC5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职务职称</w:t>
            </w:r>
          </w:p>
        </w:tc>
        <w:tc>
          <w:tcPr>
            <w:tcW w:w="1445" w:type="dxa"/>
            <w:tcBorders>
              <w:top w:val="single" w:color="auto" w:sz="4" w:space="0"/>
              <w:left w:val="nil"/>
              <w:bottom w:val="single" w:color="auto" w:sz="4" w:space="0"/>
              <w:right w:val="single" w:color="auto" w:sz="4" w:space="0"/>
            </w:tcBorders>
            <w:vAlign w:val="center"/>
          </w:tcPr>
          <w:p w14:paraId="2FC65DD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业务专业</w:t>
            </w:r>
          </w:p>
        </w:tc>
        <w:tc>
          <w:tcPr>
            <w:tcW w:w="1159" w:type="dxa"/>
            <w:tcBorders>
              <w:top w:val="single" w:color="auto" w:sz="4" w:space="0"/>
              <w:left w:val="nil"/>
              <w:bottom w:val="single" w:color="auto" w:sz="4" w:space="0"/>
              <w:right w:val="single" w:color="auto" w:sz="4" w:space="0"/>
            </w:tcBorders>
            <w:vAlign w:val="center"/>
          </w:tcPr>
          <w:p w14:paraId="5256CBB5">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学历</w:t>
            </w:r>
          </w:p>
        </w:tc>
        <w:tc>
          <w:tcPr>
            <w:tcW w:w="1634" w:type="dxa"/>
            <w:tcBorders>
              <w:top w:val="single" w:color="auto" w:sz="4" w:space="0"/>
              <w:left w:val="nil"/>
              <w:bottom w:val="single" w:color="auto" w:sz="4" w:space="0"/>
              <w:right w:val="single" w:color="auto" w:sz="4" w:space="0"/>
            </w:tcBorders>
            <w:vAlign w:val="center"/>
          </w:tcPr>
          <w:p w14:paraId="4F5BAB1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备注</w:t>
            </w:r>
          </w:p>
        </w:tc>
      </w:tr>
      <w:tr w14:paraId="4B40D499">
        <w:tblPrEx>
          <w:tblCellMar>
            <w:top w:w="0" w:type="dxa"/>
            <w:left w:w="108" w:type="dxa"/>
            <w:bottom w:w="0" w:type="dxa"/>
            <w:right w:w="108" w:type="dxa"/>
          </w:tblCellMar>
        </w:tblPrEx>
        <w:trPr>
          <w:trHeight w:val="929"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48B75A9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p>
        </w:tc>
        <w:tc>
          <w:tcPr>
            <w:tcW w:w="712" w:type="dxa"/>
            <w:tcBorders>
              <w:top w:val="single" w:color="auto" w:sz="4" w:space="0"/>
              <w:left w:val="single" w:color="auto" w:sz="4" w:space="0"/>
              <w:bottom w:val="single" w:color="auto" w:sz="4" w:space="0"/>
              <w:right w:val="single" w:color="auto" w:sz="4" w:space="0"/>
            </w:tcBorders>
            <w:vAlign w:val="center"/>
          </w:tcPr>
          <w:p w14:paraId="2152BD8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52" w:type="dxa"/>
            <w:tcBorders>
              <w:top w:val="single" w:color="auto" w:sz="4" w:space="0"/>
              <w:left w:val="nil"/>
              <w:bottom w:val="single" w:color="auto" w:sz="4" w:space="0"/>
              <w:right w:val="single" w:color="auto" w:sz="4" w:space="0"/>
            </w:tcBorders>
            <w:vAlign w:val="center"/>
          </w:tcPr>
          <w:p w14:paraId="1050772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64" w:type="dxa"/>
            <w:tcBorders>
              <w:top w:val="single" w:color="auto" w:sz="4" w:space="0"/>
              <w:left w:val="nil"/>
              <w:bottom w:val="single" w:color="auto" w:sz="4" w:space="0"/>
              <w:right w:val="single" w:color="auto" w:sz="4" w:space="0"/>
            </w:tcBorders>
            <w:vAlign w:val="center"/>
          </w:tcPr>
          <w:p w14:paraId="70899F2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27" w:type="dxa"/>
            <w:tcBorders>
              <w:top w:val="single" w:color="auto" w:sz="4" w:space="0"/>
              <w:left w:val="nil"/>
              <w:bottom w:val="single" w:color="auto" w:sz="4" w:space="0"/>
              <w:right w:val="single" w:color="auto" w:sz="4" w:space="0"/>
            </w:tcBorders>
            <w:vAlign w:val="center"/>
          </w:tcPr>
          <w:p w14:paraId="1ED5319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445" w:type="dxa"/>
            <w:tcBorders>
              <w:top w:val="single" w:color="auto" w:sz="4" w:space="0"/>
              <w:left w:val="nil"/>
              <w:bottom w:val="single" w:color="auto" w:sz="4" w:space="0"/>
              <w:right w:val="single" w:color="auto" w:sz="4" w:space="0"/>
            </w:tcBorders>
            <w:vAlign w:val="center"/>
          </w:tcPr>
          <w:p w14:paraId="60787A44">
            <w:pPr>
              <w:adjustRightInd w:val="0"/>
              <w:spacing w:line="360" w:lineRule="auto"/>
              <w:jc w:val="both"/>
              <w:textAlignment w:val="baseline"/>
              <w:rPr>
                <w:rFonts w:hint="eastAsia" w:asciiTheme="minorEastAsia" w:hAnsiTheme="minorEastAsia" w:eastAsiaTheme="minorEastAsia" w:cstheme="minorEastAsia"/>
                <w:color w:val="auto"/>
                <w:kern w:val="0"/>
                <w:sz w:val="24"/>
                <w:highlight w:val="none"/>
              </w:rPr>
            </w:pPr>
          </w:p>
        </w:tc>
        <w:tc>
          <w:tcPr>
            <w:tcW w:w="1159" w:type="dxa"/>
            <w:tcBorders>
              <w:top w:val="single" w:color="auto" w:sz="4" w:space="0"/>
              <w:left w:val="nil"/>
              <w:bottom w:val="single" w:color="auto" w:sz="4" w:space="0"/>
              <w:right w:val="single" w:color="auto" w:sz="4" w:space="0"/>
            </w:tcBorders>
            <w:vAlign w:val="center"/>
          </w:tcPr>
          <w:p w14:paraId="26F6B6E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634" w:type="dxa"/>
            <w:tcBorders>
              <w:top w:val="single" w:color="auto" w:sz="4" w:space="0"/>
              <w:left w:val="nil"/>
              <w:bottom w:val="single" w:color="auto" w:sz="4" w:space="0"/>
              <w:right w:val="single" w:color="auto" w:sz="4" w:space="0"/>
            </w:tcBorders>
            <w:vAlign w:val="center"/>
          </w:tcPr>
          <w:p w14:paraId="0E380BA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0F7638D6">
        <w:tblPrEx>
          <w:tblCellMar>
            <w:top w:w="0" w:type="dxa"/>
            <w:left w:w="108" w:type="dxa"/>
            <w:bottom w:w="0" w:type="dxa"/>
            <w:right w:w="108" w:type="dxa"/>
          </w:tblCellMar>
        </w:tblPrEx>
        <w:trPr>
          <w:trHeight w:val="929"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1AB542F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p>
        </w:tc>
        <w:tc>
          <w:tcPr>
            <w:tcW w:w="712" w:type="dxa"/>
            <w:tcBorders>
              <w:top w:val="single" w:color="auto" w:sz="4" w:space="0"/>
              <w:left w:val="single" w:color="auto" w:sz="4" w:space="0"/>
              <w:bottom w:val="single" w:color="auto" w:sz="4" w:space="0"/>
              <w:right w:val="single" w:color="auto" w:sz="4" w:space="0"/>
            </w:tcBorders>
            <w:vAlign w:val="center"/>
          </w:tcPr>
          <w:p w14:paraId="2CB74F9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52" w:type="dxa"/>
            <w:tcBorders>
              <w:top w:val="single" w:color="auto" w:sz="4" w:space="0"/>
              <w:left w:val="nil"/>
              <w:bottom w:val="single" w:color="auto" w:sz="4" w:space="0"/>
              <w:right w:val="single" w:color="auto" w:sz="4" w:space="0"/>
            </w:tcBorders>
            <w:vAlign w:val="center"/>
          </w:tcPr>
          <w:p w14:paraId="79FE66EC">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64" w:type="dxa"/>
            <w:tcBorders>
              <w:top w:val="single" w:color="auto" w:sz="4" w:space="0"/>
              <w:left w:val="nil"/>
              <w:bottom w:val="single" w:color="auto" w:sz="4" w:space="0"/>
              <w:right w:val="single" w:color="auto" w:sz="4" w:space="0"/>
            </w:tcBorders>
            <w:vAlign w:val="center"/>
          </w:tcPr>
          <w:p w14:paraId="2495432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27" w:type="dxa"/>
            <w:tcBorders>
              <w:top w:val="single" w:color="auto" w:sz="4" w:space="0"/>
              <w:left w:val="nil"/>
              <w:bottom w:val="single" w:color="auto" w:sz="4" w:space="0"/>
              <w:right w:val="single" w:color="auto" w:sz="4" w:space="0"/>
            </w:tcBorders>
            <w:vAlign w:val="center"/>
          </w:tcPr>
          <w:p w14:paraId="598187E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445" w:type="dxa"/>
            <w:tcBorders>
              <w:top w:val="single" w:color="auto" w:sz="4" w:space="0"/>
              <w:left w:val="nil"/>
              <w:bottom w:val="single" w:color="auto" w:sz="4" w:space="0"/>
              <w:right w:val="single" w:color="auto" w:sz="4" w:space="0"/>
            </w:tcBorders>
            <w:vAlign w:val="center"/>
          </w:tcPr>
          <w:p w14:paraId="331CADD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159" w:type="dxa"/>
            <w:tcBorders>
              <w:top w:val="single" w:color="auto" w:sz="4" w:space="0"/>
              <w:left w:val="nil"/>
              <w:bottom w:val="single" w:color="auto" w:sz="4" w:space="0"/>
              <w:right w:val="single" w:color="auto" w:sz="4" w:space="0"/>
            </w:tcBorders>
            <w:vAlign w:val="center"/>
          </w:tcPr>
          <w:p w14:paraId="0179CE5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634" w:type="dxa"/>
            <w:tcBorders>
              <w:top w:val="single" w:color="auto" w:sz="4" w:space="0"/>
              <w:left w:val="nil"/>
              <w:bottom w:val="single" w:color="auto" w:sz="4" w:space="0"/>
              <w:right w:val="single" w:color="auto" w:sz="4" w:space="0"/>
            </w:tcBorders>
            <w:vAlign w:val="center"/>
          </w:tcPr>
          <w:p w14:paraId="6E9383C5">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65899106">
        <w:tblPrEx>
          <w:tblCellMar>
            <w:top w:w="0" w:type="dxa"/>
            <w:left w:w="108" w:type="dxa"/>
            <w:bottom w:w="0" w:type="dxa"/>
            <w:right w:w="108" w:type="dxa"/>
          </w:tblCellMar>
        </w:tblPrEx>
        <w:trPr>
          <w:trHeight w:val="929"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209FCAE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p>
        </w:tc>
        <w:tc>
          <w:tcPr>
            <w:tcW w:w="712" w:type="dxa"/>
            <w:tcBorders>
              <w:top w:val="single" w:color="auto" w:sz="4" w:space="0"/>
              <w:left w:val="single" w:color="auto" w:sz="4" w:space="0"/>
              <w:bottom w:val="single" w:color="auto" w:sz="4" w:space="0"/>
              <w:right w:val="single" w:color="auto" w:sz="4" w:space="0"/>
            </w:tcBorders>
            <w:vAlign w:val="center"/>
          </w:tcPr>
          <w:p w14:paraId="41F1A02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52" w:type="dxa"/>
            <w:tcBorders>
              <w:top w:val="single" w:color="auto" w:sz="4" w:space="0"/>
              <w:left w:val="nil"/>
              <w:bottom w:val="single" w:color="auto" w:sz="4" w:space="0"/>
              <w:right w:val="single" w:color="auto" w:sz="4" w:space="0"/>
            </w:tcBorders>
            <w:vAlign w:val="center"/>
          </w:tcPr>
          <w:p w14:paraId="555BFE7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64" w:type="dxa"/>
            <w:tcBorders>
              <w:top w:val="single" w:color="auto" w:sz="4" w:space="0"/>
              <w:left w:val="nil"/>
              <w:bottom w:val="single" w:color="auto" w:sz="4" w:space="0"/>
              <w:right w:val="single" w:color="auto" w:sz="4" w:space="0"/>
            </w:tcBorders>
            <w:vAlign w:val="center"/>
          </w:tcPr>
          <w:p w14:paraId="245AB5B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27" w:type="dxa"/>
            <w:tcBorders>
              <w:top w:val="single" w:color="auto" w:sz="4" w:space="0"/>
              <w:left w:val="nil"/>
              <w:bottom w:val="single" w:color="auto" w:sz="4" w:space="0"/>
              <w:right w:val="single" w:color="auto" w:sz="4" w:space="0"/>
            </w:tcBorders>
            <w:vAlign w:val="center"/>
          </w:tcPr>
          <w:p w14:paraId="6706503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445" w:type="dxa"/>
            <w:tcBorders>
              <w:top w:val="single" w:color="auto" w:sz="4" w:space="0"/>
              <w:left w:val="nil"/>
              <w:bottom w:val="single" w:color="auto" w:sz="4" w:space="0"/>
              <w:right w:val="single" w:color="auto" w:sz="4" w:space="0"/>
            </w:tcBorders>
            <w:vAlign w:val="center"/>
          </w:tcPr>
          <w:p w14:paraId="0ABB622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159" w:type="dxa"/>
            <w:tcBorders>
              <w:top w:val="single" w:color="auto" w:sz="4" w:space="0"/>
              <w:left w:val="nil"/>
              <w:bottom w:val="single" w:color="auto" w:sz="4" w:space="0"/>
              <w:right w:val="single" w:color="auto" w:sz="4" w:space="0"/>
            </w:tcBorders>
            <w:vAlign w:val="center"/>
          </w:tcPr>
          <w:p w14:paraId="297571F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634" w:type="dxa"/>
            <w:tcBorders>
              <w:top w:val="single" w:color="auto" w:sz="4" w:space="0"/>
              <w:left w:val="nil"/>
              <w:bottom w:val="single" w:color="auto" w:sz="4" w:space="0"/>
              <w:right w:val="single" w:color="auto" w:sz="4" w:space="0"/>
            </w:tcBorders>
            <w:vAlign w:val="center"/>
          </w:tcPr>
          <w:p w14:paraId="5B71B41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3B17C5F">
        <w:tblPrEx>
          <w:tblCellMar>
            <w:top w:w="0" w:type="dxa"/>
            <w:left w:w="108" w:type="dxa"/>
            <w:bottom w:w="0" w:type="dxa"/>
            <w:right w:w="108" w:type="dxa"/>
          </w:tblCellMar>
        </w:tblPrEx>
        <w:trPr>
          <w:trHeight w:val="929" w:hRule="atLeast"/>
          <w:jc w:val="center"/>
        </w:trPr>
        <w:tc>
          <w:tcPr>
            <w:tcW w:w="711" w:type="dxa"/>
            <w:tcBorders>
              <w:top w:val="single" w:color="auto" w:sz="4" w:space="0"/>
              <w:left w:val="single" w:color="auto" w:sz="4" w:space="0"/>
              <w:bottom w:val="single" w:color="auto" w:sz="4" w:space="0"/>
              <w:right w:val="single" w:color="auto" w:sz="4" w:space="0"/>
            </w:tcBorders>
            <w:vAlign w:val="center"/>
          </w:tcPr>
          <w:p w14:paraId="7ACB365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w:t>
            </w:r>
          </w:p>
        </w:tc>
        <w:tc>
          <w:tcPr>
            <w:tcW w:w="712" w:type="dxa"/>
            <w:tcBorders>
              <w:top w:val="single" w:color="auto" w:sz="4" w:space="0"/>
              <w:left w:val="single" w:color="auto" w:sz="4" w:space="0"/>
              <w:bottom w:val="single" w:color="auto" w:sz="4" w:space="0"/>
              <w:right w:val="single" w:color="auto" w:sz="4" w:space="0"/>
            </w:tcBorders>
            <w:vAlign w:val="center"/>
          </w:tcPr>
          <w:p w14:paraId="59E14DB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52" w:type="dxa"/>
            <w:tcBorders>
              <w:top w:val="single" w:color="auto" w:sz="4" w:space="0"/>
              <w:left w:val="nil"/>
              <w:bottom w:val="single" w:color="auto" w:sz="4" w:space="0"/>
              <w:right w:val="single" w:color="auto" w:sz="4" w:space="0"/>
            </w:tcBorders>
            <w:vAlign w:val="center"/>
          </w:tcPr>
          <w:p w14:paraId="32BF004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64" w:type="dxa"/>
            <w:tcBorders>
              <w:top w:val="single" w:color="auto" w:sz="4" w:space="0"/>
              <w:left w:val="nil"/>
              <w:bottom w:val="single" w:color="auto" w:sz="4" w:space="0"/>
              <w:right w:val="single" w:color="auto" w:sz="4" w:space="0"/>
            </w:tcBorders>
            <w:vAlign w:val="center"/>
          </w:tcPr>
          <w:p w14:paraId="3417917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27" w:type="dxa"/>
            <w:tcBorders>
              <w:top w:val="single" w:color="auto" w:sz="4" w:space="0"/>
              <w:left w:val="nil"/>
              <w:bottom w:val="single" w:color="auto" w:sz="4" w:space="0"/>
              <w:right w:val="single" w:color="auto" w:sz="4" w:space="0"/>
            </w:tcBorders>
            <w:vAlign w:val="center"/>
          </w:tcPr>
          <w:p w14:paraId="114C0CFC">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445" w:type="dxa"/>
            <w:tcBorders>
              <w:top w:val="single" w:color="auto" w:sz="4" w:space="0"/>
              <w:left w:val="nil"/>
              <w:bottom w:val="single" w:color="auto" w:sz="4" w:space="0"/>
              <w:right w:val="single" w:color="auto" w:sz="4" w:space="0"/>
            </w:tcBorders>
            <w:vAlign w:val="center"/>
          </w:tcPr>
          <w:p w14:paraId="04A66D6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159" w:type="dxa"/>
            <w:tcBorders>
              <w:top w:val="single" w:color="auto" w:sz="4" w:space="0"/>
              <w:left w:val="nil"/>
              <w:bottom w:val="single" w:color="auto" w:sz="4" w:space="0"/>
              <w:right w:val="single" w:color="auto" w:sz="4" w:space="0"/>
            </w:tcBorders>
            <w:vAlign w:val="center"/>
          </w:tcPr>
          <w:p w14:paraId="0D8B5DF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634" w:type="dxa"/>
            <w:tcBorders>
              <w:top w:val="single" w:color="auto" w:sz="4" w:space="0"/>
              <w:left w:val="nil"/>
              <w:bottom w:val="single" w:color="auto" w:sz="4" w:space="0"/>
              <w:right w:val="single" w:color="auto" w:sz="4" w:space="0"/>
            </w:tcBorders>
            <w:vAlign w:val="center"/>
          </w:tcPr>
          <w:p w14:paraId="061D2ADC">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bl>
    <w:p w14:paraId="21085BA7">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十、合同款支付</w:t>
      </w:r>
    </w:p>
    <w:p w14:paraId="7A6662BF">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w:t>
      </w:r>
      <w:r>
        <w:rPr>
          <w:rFonts w:hint="eastAsia" w:ascii="宋体" w:hAnsi="宋体" w:eastAsia="宋体" w:cs="宋体"/>
          <w:color w:val="auto"/>
          <w:sz w:val="24"/>
          <w:highlight w:val="none"/>
          <w:lang w:bidi="ar"/>
        </w:rPr>
        <w:t>合同签订后，在收到乙方发票10个工作日内，</w:t>
      </w:r>
      <w:r>
        <w:rPr>
          <w:rFonts w:hint="eastAsia" w:asciiTheme="minorEastAsia" w:hAnsiTheme="minorEastAsia" w:eastAsiaTheme="minorEastAsia" w:cstheme="minorEastAsia"/>
          <w:bCs/>
          <w:color w:val="auto"/>
          <w:sz w:val="24"/>
          <w:szCs w:val="24"/>
          <w:highlight w:val="none"/>
        </w:rPr>
        <w:t>甲方支付</w:t>
      </w:r>
      <w:r>
        <w:rPr>
          <w:rFonts w:hint="eastAsia" w:asciiTheme="minorEastAsia" w:hAnsiTheme="minorEastAsia" w:eastAsiaTheme="minorEastAsia" w:cstheme="minorEastAsia"/>
          <w:bCs/>
          <w:color w:val="auto"/>
          <w:sz w:val="24"/>
          <w:szCs w:val="24"/>
          <w:highlight w:val="none"/>
          <w:lang w:val="en-US" w:eastAsia="zh-CN"/>
        </w:rPr>
        <w:t>年度</w:t>
      </w:r>
      <w:r>
        <w:rPr>
          <w:rFonts w:hint="eastAsia" w:asciiTheme="minorEastAsia" w:hAnsiTheme="minorEastAsia" w:eastAsiaTheme="minorEastAsia" w:cstheme="minorEastAsia"/>
          <w:bCs/>
          <w:color w:val="auto"/>
          <w:sz w:val="24"/>
          <w:szCs w:val="24"/>
          <w:highlight w:val="none"/>
        </w:rPr>
        <w:t>合同金额的30%（在签订合同时，乙方明确书面表示无需预付款或者主动要求降低预付款比例的，甲方可就预付款比例作相应调整）；</w:t>
      </w:r>
    </w:p>
    <w:p w14:paraId="02DE0696">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服务期满半年后，乙方按照招标文件和本合同的要求实施维保，每月出具维保总结，经甲方确认后付至</w:t>
      </w:r>
      <w:r>
        <w:rPr>
          <w:rFonts w:hint="eastAsia" w:asciiTheme="minorEastAsia" w:hAnsiTheme="minorEastAsia" w:eastAsiaTheme="minorEastAsia" w:cstheme="minorEastAsia"/>
          <w:bCs/>
          <w:color w:val="auto"/>
          <w:sz w:val="24"/>
          <w:szCs w:val="24"/>
          <w:highlight w:val="none"/>
          <w:lang w:val="en-US" w:eastAsia="zh-CN"/>
        </w:rPr>
        <w:t>年度</w:t>
      </w:r>
      <w:r>
        <w:rPr>
          <w:rFonts w:hint="eastAsia" w:asciiTheme="minorEastAsia" w:hAnsiTheme="minorEastAsia" w:eastAsiaTheme="minorEastAsia" w:cstheme="minorEastAsia"/>
          <w:bCs/>
          <w:color w:val="auto"/>
          <w:sz w:val="24"/>
          <w:szCs w:val="24"/>
          <w:highlight w:val="none"/>
        </w:rPr>
        <w:t>合同价的50%（扣除应扣金额），服务期满1年后，乙方按照招标文件和本合同的要求实施维保，每月出具维保总结，经甲方确认按</w:t>
      </w:r>
      <w:r>
        <w:rPr>
          <w:rFonts w:hint="eastAsia" w:asciiTheme="minorEastAsia" w:hAnsiTheme="minorEastAsia" w:eastAsiaTheme="minorEastAsia" w:cstheme="minorEastAsia"/>
          <w:bCs/>
          <w:color w:val="auto"/>
          <w:sz w:val="24"/>
          <w:szCs w:val="24"/>
          <w:highlight w:val="none"/>
          <w:lang w:val="en-US" w:eastAsia="zh-CN"/>
        </w:rPr>
        <w:t>年度</w:t>
      </w:r>
      <w:r>
        <w:rPr>
          <w:rFonts w:hint="eastAsia" w:asciiTheme="minorEastAsia" w:hAnsiTheme="minorEastAsia" w:eastAsiaTheme="minorEastAsia" w:cstheme="minorEastAsia"/>
          <w:bCs/>
          <w:color w:val="auto"/>
          <w:sz w:val="24"/>
          <w:szCs w:val="24"/>
          <w:highlight w:val="none"/>
        </w:rPr>
        <w:t>合同价（扣除应扣金额）结清。</w:t>
      </w:r>
    </w:p>
    <w:p w14:paraId="53B4588D">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注：</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甲方依据招标文件及合同要求对乙方进行考核打分，考核扣款在支付时予以扣除。</w:t>
      </w:r>
    </w:p>
    <w:p w14:paraId="3477D8A7">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服务期内，如遇设备拆除等特殊情况无需维保的，甲方在支付时依量核减费用。</w:t>
      </w:r>
    </w:p>
    <w:p w14:paraId="4DEDEE82">
      <w:pPr>
        <w:adjustRightInd w:val="0"/>
        <w:snapToGrid w:val="0"/>
        <w:spacing w:line="500" w:lineRule="exact"/>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甲方在收到乙方发票后10个工作日内将款项支付到乙方账户。</w:t>
      </w:r>
    </w:p>
    <w:p w14:paraId="2A57FE69">
      <w:pPr>
        <w:adjustRightInd w:val="0"/>
        <w:snapToGrid w:val="0"/>
        <w:spacing w:line="500" w:lineRule="exact"/>
        <w:ind w:firstLine="480" w:firstLineChars="200"/>
        <w:rPr>
          <w:rFonts w:hint="eastAsia"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乙方任意1个月考核评分低于60分或</w:t>
      </w:r>
      <w:r>
        <w:rPr>
          <w:rFonts w:hint="eastAsia" w:asciiTheme="minorEastAsia" w:hAnsiTheme="minorEastAsia" w:cstheme="minorEastAsia"/>
          <w:color w:val="auto"/>
          <w:sz w:val="24"/>
          <w:szCs w:val="24"/>
          <w:highlight w:val="none"/>
          <w:lang w:val="en-US" w:eastAsia="zh-CN"/>
        </w:rPr>
        <w:t>单个</w:t>
      </w:r>
      <w:r>
        <w:rPr>
          <w:rFonts w:hint="eastAsia" w:asciiTheme="minorEastAsia" w:hAnsiTheme="minorEastAsia" w:eastAsiaTheme="minorEastAsia" w:cstheme="minorEastAsia"/>
          <w:color w:val="auto"/>
          <w:sz w:val="24"/>
          <w:szCs w:val="24"/>
          <w:highlight w:val="none"/>
        </w:rPr>
        <w:t>合同年内累计3个月月考核评分低于80分，甲方有权立即解除合同，一切损失由乙方承担。</w:t>
      </w:r>
    </w:p>
    <w:p w14:paraId="4BCDD8B0">
      <w:pPr>
        <w:numPr>
          <w:ilvl w:val="0"/>
          <w:numId w:val="0"/>
        </w:num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bidi="ar-SA"/>
        </w:rPr>
        <w:t>十一、</w:t>
      </w:r>
      <w:r>
        <w:rPr>
          <w:rFonts w:hint="eastAsia" w:asciiTheme="minorEastAsia" w:hAnsiTheme="minorEastAsia" w:eastAsiaTheme="minorEastAsia" w:cstheme="minorEastAsia"/>
          <w:b/>
          <w:color w:val="auto"/>
          <w:sz w:val="24"/>
          <w:szCs w:val="24"/>
          <w:highlight w:val="none"/>
        </w:rPr>
        <w:t>税费</w:t>
      </w:r>
    </w:p>
    <w:p w14:paraId="7F66045A">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本合同执行中相关的一切税费均由乙方负担。</w:t>
      </w:r>
    </w:p>
    <w:p w14:paraId="227F3A66">
      <w:pPr>
        <w:snapToGrid w:val="0"/>
        <w:spacing w:line="500" w:lineRule="exact"/>
        <w:ind w:firstLine="482"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十二、质量保证及售后服务</w:t>
      </w:r>
    </w:p>
    <w:p w14:paraId="5AFB06DA">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1、乙方应按招标文件规定和响应文件承诺的性能、技术要求、质量标准向甲方提供产品或服务。</w:t>
      </w:r>
    </w:p>
    <w:p w14:paraId="0E145564">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2、乙方提供的产品或服务在服务期内因其本身出现质量问题，根据实际情况，经双方协商，可按以下办法处理：</w:t>
      </w:r>
    </w:p>
    <w:p w14:paraId="32EC0D7E">
      <w:pPr>
        <w:snapToGrid w:val="0"/>
        <w:spacing w:line="5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（1）更换：由乙方承担所发生的全部费用。</w:t>
      </w:r>
    </w:p>
    <w:p w14:paraId="040CA487">
      <w:pPr>
        <w:snapToGrid w:val="0"/>
        <w:spacing w:line="5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（2）合同终止处理：合同终止，并退还甲方支付的合同款，同时应承担由此产生的所有费用，甲方不承担发生任何费用。</w:t>
      </w:r>
    </w:p>
    <w:p w14:paraId="2405FD46">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3、在服务期内，乙方应对产品或服务出现的质量及安全问题负责处理解决并承担一切费用。</w:t>
      </w:r>
    </w:p>
    <w:p w14:paraId="6DBAF69A">
      <w:pPr>
        <w:pStyle w:val="18"/>
        <w:snapToGrid w:val="0"/>
        <w:spacing w:line="500" w:lineRule="exact"/>
        <w:ind w:firstLine="347" w:firstLineChars="14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十三、安全要求</w:t>
      </w:r>
    </w:p>
    <w:p w14:paraId="67B9FDFF">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（一）保密安全要求</w:t>
      </w:r>
    </w:p>
    <w:p w14:paraId="5880F875">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乙方在信息化建设过程中，应配合甲方，落实如下安全保密要求：</w:t>
      </w:r>
    </w:p>
    <w:p w14:paraId="337CE402">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1、明确合作事项的安全保密责任人；</w:t>
      </w:r>
    </w:p>
    <w:p w14:paraId="284AF5FE">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2、对参与人员提出与合作事项有关的安全保密要求；</w:t>
      </w:r>
    </w:p>
    <w:p w14:paraId="14567E27">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3、及时清除离职、离岗或者不再参与公安信息化建设的员工持有的甲方文档资料、数据等内容；</w:t>
      </w:r>
    </w:p>
    <w:p w14:paraId="5D4F394A">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4、对本单位参与公安信息化建设安全保密责任落实情况进行年度评估，并向甲方提交评估报告；</w:t>
      </w:r>
    </w:p>
    <w:p w14:paraId="0C6CDF01">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5、在得知提供的产品、服务存在安全漏洞或者危害信息系统安全的潜在风险时，须第一时间报告甲方，并及时启动应急预案，提出解决方案；</w:t>
      </w:r>
    </w:p>
    <w:p w14:paraId="3E4A2248">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6、乙方及其工作人员严禁未经批准翻阅、复印、拍摄甲方内部文件，或者将甲方内部文件带离指定办公场所或者区域；</w:t>
      </w:r>
    </w:p>
    <w:p w14:paraId="1D7C083F">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7、其他应当遵守的安全保密要求。</w:t>
      </w:r>
    </w:p>
    <w:p w14:paraId="68F5A750">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（二）数据安全要求</w:t>
      </w:r>
    </w:p>
    <w:p w14:paraId="49ED9B40">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乙方及其工作人员在信息化建设过程中不得从事下列危害甲方数据安全的行为：</w:t>
      </w:r>
    </w:p>
    <w:p w14:paraId="30F150D7">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1、违规下载、留存、使用公安内部数据；</w:t>
      </w:r>
    </w:p>
    <w:p w14:paraId="63E65B28">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篡改</w:t>
      </w:r>
      <w:r>
        <w:rPr>
          <w:rFonts w:hint="eastAsia" w:asciiTheme="minorEastAsia" w:hAnsiTheme="minorEastAsia" w:eastAsiaTheme="minorEastAsia" w:cstheme="minorEastAsia"/>
          <w:color w:val="auto"/>
          <w:sz w:val="24"/>
          <w:szCs w:val="24"/>
          <w:highlight w:val="none"/>
        </w:rPr>
        <w:t>、毁损、泄露、出售公安内部数据；</w:t>
      </w:r>
    </w:p>
    <w:p w14:paraId="221EEF81">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3、向境外机构和人员提供公安重要数据；</w:t>
      </w:r>
    </w:p>
    <w:p w14:paraId="154FC7B8">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4、在互联网上存储、处理、传输公安内部数据和应用系统源代码；</w:t>
      </w:r>
    </w:p>
    <w:p w14:paraId="70AC6136">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5、使用未经过脱敏的公安敏感数据在互联网上进行开发；</w:t>
      </w:r>
    </w:p>
    <w:p w14:paraId="08070859">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6、将公安数据用于商业用途；</w:t>
      </w:r>
    </w:p>
    <w:p w14:paraId="339B130A">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7、其他危害数据安全的行为。</w:t>
      </w:r>
    </w:p>
    <w:p w14:paraId="14C52C72">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（三）网络应用安全要求</w:t>
      </w:r>
    </w:p>
    <w:p w14:paraId="2D5D4A3D">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乙方及其工作人员不得从事下列危害甲方网络和应用安全的行为：</w:t>
      </w:r>
    </w:p>
    <w:p w14:paraId="66F87C87">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1、违规将公安网络与任何外部网络连接；</w:t>
      </w:r>
    </w:p>
    <w:p w14:paraId="7CAEB395">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2、擅自扫描、探测、入侵公安网络及应用系统；</w:t>
      </w:r>
    </w:p>
    <w:p w14:paraId="74009CE1">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3、设置应用系统后门、木马、病毒等恶意程序；</w:t>
      </w:r>
    </w:p>
    <w:p w14:paraId="079EC9AD">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4、擅自将参与单位及参与人员的终端、移动存储介质、无线设备等与公安网络连接；</w:t>
      </w:r>
    </w:p>
    <w:p w14:paraId="2754FED3">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5、擅自建立跨网、跨域数据传输或者维保通道；</w:t>
      </w:r>
    </w:p>
    <w:p w14:paraId="3C76B356">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6、拆除、破坏公安监管设施或者卸载监管程序；</w:t>
      </w:r>
    </w:p>
    <w:p w14:paraId="056B9FFA">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7、擅自对公安应用源文件、应用源代码进行反编译、加密、解密；</w:t>
      </w:r>
    </w:p>
    <w:p w14:paraId="30AF910E">
      <w:pPr>
        <w:pStyle w:val="18"/>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8、擅自公开与合作事项相关的技术实现方法或者业务模型等重要信息；</w:t>
      </w:r>
    </w:p>
    <w:p w14:paraId="188D536A">
      <w:pPr>
        <w:pStyle w:val="18"/>
        <w:snapToGrid w:val="0"/>
        <w:spacing w:line="500" w:lineRule="exact"/>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9、其他危害公安网络和应用安全的行为。</w:t>
      </w:r>
    </w:p>
    <w:p w14:paraId="18F30C48">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十四、验收</w:t>
      </w:r>
      <w:r>
        <w:rPr>
          <w:rFonts w:hint="eastAsia" w:asciiTheme="minorEastAsia" w:hAnsiTheme="minorEastAsia" w:eastAsiaTheme="minorEastAsia" w:cstheme="minorEastAsia"/>
          <w:b/>
          <w:color w:val="auto"/>
          <w:sz w:val="24"/>
          <w:szCs w:val="24"/>
          <w:highlight w:val="none"/>
          <w:lang w:val="en-US" w:eastAsia="zh-CN"/>
        </w:rPr>
        <w:t>条款</w:t>
      </w:r>
    </w:p>
    <w:p w14:paraId="7BE1FADC">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1、甲方对乙方提交的产品或服务依据招标文件上的项目需求要求、乙方响应文件及国家有关质量标准进行验收。</w:t>
      </w:r>
    </w:p>
    <w:p w14:paraId="68C80EF7">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2、乙方交货前应对产品或服务作出全面检查和对验收文件进行整理，并列出清单，作为甲方验收和使用的技术条件依据，检验的结果应随服务一起提交甲方。</w:t>
      </w:r>
    </w:p>
    <w:p w14:paraId="7BF292D9">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3、甲方对乙方提供的产品或服务在使用前，乙方需负责培训甲方的使用操作人员，并协助甲方一起试用，直到符合技术要求，甲方才做最终验收。</w:t>
      </w:r>
    </w:p>
    <w:p w14:paraId="2CFEA782">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4、对技术复杂的产品或服务，甲方可请国家认可的专业检测机构参与初步验收及最终验收（验收费用由乙方承担），并由其出具质量检测报告。</w:t>
      </w:r>
    </w:p>
    <w:p w14:paraId="06D92D73">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5、验收时乙方必须在现场，验收完毕后作出验收结果报告；验收费用由乙方承担。</w:t>
      </w:r>
    </w:p>
    <w:p w14:paraId="7E19647F">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十五、合同内容的交付</w:t>
      </w:r>
    </w:p>
    <w:p w14:paraId="75F99C55">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1、乙方应保证合同标的安全运达甲方指定地点。</w:t>
      </w:r>
    </w:p>
    <w:p w14:paraId="751DD8EB">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2、使用说明书、质量检验证明书一并提交甲方。</w:t>
      </w:r>
    </w:p>
    <w:p w14:paraId="15F8016F">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3、乙方在合同标的交付甲方48小时前通知甲方准备接收。</w:t>
      </w:r>
    </w:p>
    <w:p w14:paraId="3FF64580">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4、合同标的在交付甲方前发生的风险均由乙方负责。</w:t>
      </w:r>
    </w:p>
    <w:p w14:paraId="5044EBB1">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5、合同标的在规定的交付期限内由乙方送达甲方指定的地点视为交付，乙方同时需通知甲方已送达。</w:t>
      </w:r>
    </w:p>
    <w:p w14:paraId="0963D61E">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十六、违约责任</w:t>
      </w:r>
    </w:p>
    <w:p w14:paraId="28E51EA8">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1、甲方无正当理由拒收的，甲方向乙方偿付拒收货款或服务总值的百分之五违约金。</w:t>
      </w:r>
    </w:p>
    <w:p w14:paraId="1BC9BB84">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p>
    <w:p w14:paraId="01626A0C">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34C716DF">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若乙方违反本合同第十三项“安全要求”中的任一条款内容，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5C615DA1">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若乙方工作人员违反本合同第十三项“安全要求”中的任一条款内容，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218C76AC">
      <w:pPr>
        <w:snapToGrid w:val="0"/>
        <w:spacing w:line="500" w:lineRule="exact"/>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w:t>
      </w:r>
      <w:r>
        <w:rPr>
          <w:rFonts w:hint="eastAsia" w:asciiTheme="minorEastAsia" w:hAnsiTheme="minorEastAsia" w:eastAsiaTheme="minorEastAsia" w:cstheme="minorEastAsia"/>
          <w:b/>
          <w:color w:val="auto"/>
          <w:sz w:val="24"/>
          <w:szCs w:val="24"/>
          <w:highlight w:val="none"/>
          <w:lang w:val="en-US" w:eastAsia="zh-CN"/>
        </w:rPr>
        <w:t>七</w:t>
      </w:r>
      <w:r>
        <w:rPr>
          <w:rFonts w:hint="eastAsia" w:asciiTheme="minorEastAsia" w:hAnsiTheme="minorEastAsia" w:eastAsiaTheme="minorEastAsia" w:cstheme="minorEastAsia"/>
          <w:b/>
          <w:color w:val="auto"/>
          <w:sz w:val="24"/>
          <w:szCs w:val="24"/>
          <w:highlight w:val="none"/>
        </w:rPr>
        <w:t>、不可抗力事件处理</w:t>
      </w:r>
    </w:p>
    <w:p w14:paraId="67E9EB76">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1、在合同有效期内，任何一方因不可抗力事件导致不能履行合同，则合同履行期延长，其延长期与不可抗力影响期相同。</w:t>
      </w:r>
    </w:p>
    <w:p w14:paraId="6CEE66BA">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2、不可抗力事件发生后，应立即通知对方，并寄送有关权威机构出具的证明。</w:t>
      </w:r>
    </w:p>
    <w:p w14:paraId="71ECBCC5">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3、不可抗力事件延续120天以上，双方应通过友好协商，确定是否继续履行合同。</w:t>
      </w:r>
    </w:p>
    <w:p w14:paraId="29C9B3F9">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十</w:t>
      </w:r>
      <w:r>
        <w:rPr>
          <w:rFonts w:hint="eastAsia" w:asciiTheme="minorEastAsia" w:hAnsiTheme="minorEastAsia" w:eastAsiaTheme="minorEastAsia" w:cstheme="minorEastAsia"/>
          <w:b/>
          <w:color w:val="auto"/>
          <w:sz w:val="24"/>
          <w:szCs w:val="24"/>
          <w:highlight w:val="none"/>
          <w:lang w:val="en-US" w:eastAsia="zh-CN"/>
        </w:rPr>
        <w:t>八</w:t>
      </w:r>
      <w:r>
        <w:rPr>
          <w:rFonts w:hint="eastAsia" w:asciiTheme="minorEastAsia" w:hAnsiTheme="minorEastAsia" w:eastAsiaTheme="minorEastAsia" w:cstheme="minorEastAsia"/>
          <w:b/>
          <w:color w:val="auto"/>
          <w:sz w:val="24"/>
          <w:szCs w:val="24"/>
          <w:highlight w:val="none"/>
        </w:rPr>
        <w:t>、诉讼</w:t>
      </w:r>
    </w:p>
    <w:p w14:paraId="513E92BA">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双方在执行合同中所发生的一切争议，应通过协商解决。如协商不成，可向合同签订地法院起诉，合同签订地在此约定为盐城市。</w:t>
      </w:r>
    </w:p>
    <w:p w14:paraId="0D3974A3">
      <w:pPr>
        <w:snapToGrid w:val="0"/>
        <w:spacing w:line="500" w:lineRule="exact"/>
        <w:ind w:firstLine="479" w:firstLineChars="19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十九</w:t>
      </w:r>
      <w:r>
        <w:rPr>
          <w:rFonts w:hint="eastAsia" w:asciiTheme="minorEastAsia" w:hAnsiTheme="minorEastAsia" w:eastAsiaTheme="minorEastAsia" w:cstheme="minorEastAsia"/>
          <w:b/>
          <w:color w:val="auto"/>
          <w:sz w:val="24"/>
          <w:szCs w:val="24"/>
          <w:highlight w:val="none"/>
        </w:rPr>
        <w:t>、合同生效及其它</w:t>
      </w:r>
    </w:p>
    <w:p w14:paraId="0ABD1888">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1、合同经双方法定代表人或授权委托代表人签字并加盖单位公章后生效。</w:t>
      </w:r>
    </w:p>
    <w:p w14:paraId="1FD4D8CB">
      <w:pPr>
        <w:snapToGrid w:val="0"/>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2、本合同未尽事宜，遵照《</w:t>
      </w:r>
      <w:r>
        <w:rPr>
          <w:rFonts w:hint="eastAsia" w:asciiTheme="minorEastAsia" w:hAnsiTheme="minorEastAsia" w:eastAsiaTheme="minorEastAsia" w:cstheme="minorEastAsia"/>
          <w:color w:val="auto"/>
          <w:sz w:val="24"/>
          <w:szCs w:val="24"/>
          <w:highlight w:val="none"/>
          <w:lang w:val="en-US" w:eastAsia="zh-CN"/>
        </w:rPr>
        <w:t>中华人民共和国</w:t>
      </w:r>
      <w:r>
        <w:rPr>
          <w:rFonts w:hint="eastAsia" w:asciiTheme="minorEastAsia" w:hAnsiTheme="minorEastAsia" w:eastAsiaTheme="minorEastAsia" w:cstheme="minorEastAsia"/>
          <w:color w:val="auto"/>
          <w:sz w:val="24"/>
          <w:szCs w:val="24"/>
          <w:highlight w:val="none"/>
        </w:rPr>
        <w:t>民法典》有关条文执行。</w:t>
      </w:r>
    </w:p>
    <w:p w14:paraId="48BA68C9">
      <w:pPr>
        <w:spacing w:line="500" w:lineRule="exact"/>
        <w:ind w:firstLine="477" w:firstLineChars="19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3、本合同一式6份，具有同等法律效力，甲乙双方各执3份。</w:t>
      </w:r>
    </w:p>
    <w:p w14:paraId="4855DC4B">
      <w:pPr>
        <w:snapToGrid w:val="0"/>
        <w:spacing w:line="500" w:lineRule="exact"/>
        <w:rPr>
          <w:rFonts w:hint="eastAsia" w:asciiTheme="minorEastAsia" w:hAnsiTheme="minorEastAsia" w:eastAsiaTheme="minorEastAsia" w:cstheme="minorEastAsia"/>
          <w:color w:val="auto"/>
          <w:sz w:val="24"/>
          <w:szCs w:val="24"/>
          <w:highlight w:val="none"/>
        </w:rPr>
      </w:pPr>
    </w:p>
    <w:p w14:paraId="2665861E">
      <w:pPr>
        <w:snapToGrid w:val="0"/>
        <w:spacing w:line="500" w:lineRule="exact"/>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乙方： </w:t>
      </w:r>
    </w:p>
    <w:p w14:paraId="7B50C25D">
      <w:pPr>
        <w:snapToGrid w:val="0"/>
        <w:spacing w:line="5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地址：                                 地址： </w:t>
      </w:r>
    </w:p>
    <w:p w14:paraId="2A5E5CBD">
      <w:pPr>
        <w:snapToGrid w:val="0"/>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法定代表人或授权代表：                 法定代表人或授权代表：</w:t>
      </w:r>
    </w:p>
    <w:p w14:paraId="3459E928">
      <w:pPr>
        <w:snapToGri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联系电话：                             联系电话：</w:t>
      </w:r>
    </w:p>
    <w:p w14:paraId="660DBB43">
      <w:pPr>
        <w:adjustRightInd w:val="0"/>
        <w:snapToGrid w:val="0"/>
        <w:spacing w:line="500" w:lineRule="exact"/>
        <w:ind w:firstLine="720" w:firstLineChars="3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签订日期：    年  月  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签订日期：    年  月  日</w:t>
      </w:r>
    </w:p>
    <w:p w14:paraId="489D8553">
      <w:pPr>
        <w:spacing w:line="500" w:lineRule="exact"/>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lang w:bidi="ar"/>
        </w:rPr>
        <w:t xml:space="preserve"> </w:t>
      </w:r>
    </w:p>
    <w:p w14:paraId="49346414">
      <w:pP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br w:type="page"/>
      </w:r>
    </w:p>
    <w:p w14:paraId="1A2C7FAF">
      <w:pPr>
        <w:keepNext w:val="0"/>
        <w:keepLines w:val="0"/>
        <w:pageBreakBefore w:val="0"/>
        <w:widowControl w:val="0"/>
        <w:kinsoku/>
        <w:wordWrap w:val="0"/>
        <w:overflowPunct/>
        <w:topLinePunct w:val="0"/>
        <w:autoSpaceDE/>
        <w:autoSpaceDN/>
        <w:bidi w:val="0"/>
        <w:adjustRightInd/>
        <w:snapToGrid/>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附件</w:t>
      </w:r>
      <w:r>
        <w:rPr>
          <w:rFonts w:hint="eastAsia" w:asciiTheme="minorEastAsia" w:hAnsiTheme="minorEastAsia" w:eastAsiaTheme="minorEastAsia" w:cstheme="minorEastAsia"/>
          <w:b/>
          <w:bCs/>
          <w:color w:val="auto"/>
          <w:sz w:val="24"/>
          <w:szCs w:val="24"/>
          <w:highlight w:val="none"/>
          <w:lang w:val="en-US" w:eastAsia="zh-CN"/>
        </w:rPr>
        <w:t>1：</w:t>
      </w:r>
    </w:p>
    <w:p w14:paraId="7668049B">
      <w:pPr>
        <w:spacing w:line="360" w:lineRule="auto"/>
        <w:jc w:val="cente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考核标准</w:t>
      </w:r>
    </w:p>
    <w:p w14:paraId="600D61B2">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由甲方确定考核标准，每月定期对乙方维保情况进行考核评分（百分比均保留后两位小数）。具体考核标准如下：</w:t>
      </w:r>
    </w:p>
    <w:p w14:paraId="4725B730">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（一）、运行质态考核（40分）</w:t>
      </w:r>
    </w:p>
    <w:p w14:paraId="3CED10A7">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前端摄像机在线率考核（40分）</w:t>
      </w:r>
    </w:p>
    <w:p w14:paraId="5E8C2CF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对公安视频网系统中前端监控摄像机在线情况进行考核。</w:t>
      </w:r>
    </w:p>
    <w:p w14:paraId="6792B0B9">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摄像机在平台显示为在线，在线率=（在线数量／点位总数）×100%。（自然灾害、市政施工、城市改造、政策调整等除外）</w:t>
      </w:r>
    </w:p>
    <w:p w14:paraId="4EB26E6B">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评分标准：按照在线率×40分。</w:t>
      </w:r>
    </w:p>
    <w:p w14:paraId="2D3E327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注：结合平台巡检和日常巡检记录，双方共同核定。</w:t>
      </w:r>
    </w:p>
    <w:p w14:paraId="2399544C">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（二）、日常考核（40分）</w:t>
      </w:r>
    </w:p>
    <w:p w14:paraId="1D342965">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1、日常故障维修（20分）</w:t>
      </w:r>
    </w:p>
    <w:p w14:paraId="043AFFD1">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通过平台巡检发现设备线路异常后，填写并派发运维工单,记录故障内容、派单人、维修结果及处置时长等关键信息，乙方排除故障后，需确认工单内容并签字。超过工单规定修复时间24小时的每次扣1分；超过48小时的每次扣2分；超过7天的，每次扣5分，超过1个月的每次扣20分。</w:t>
      </w:r>
    </w:p>
    <w:p w14:paraId="5CC0830D">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2、人员考核（10分）</w:t>
      </w:r>
    </w:p>
    <w:p w14:paraId="25A59D82">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后台人员根据公安要求的作息时间进行上下班，未报备迟到早退的，每发生一次扣0.5分，根据合同规定的维保工作内容开展工作，包括：统计故障点位、下发故障点位、催办维修、配合甲方截图归档、整理工单并上报、日常巡检、配合甲方完成每月考核，以上工作每有一项未完成扣0.2分，最多扣5分。</w:t>
      </w:r>
    </w:p>
    <w:p w14:paraId="0A23B35E">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前端人员根据甲方推送故障点位进行维修并反馈工单，如不按要求反馈的，每有一次扣0.2分，前端人员按照合同规定的巡查要求进行前端点位巡查，如被甲方发现一处巡查不到位，每有一次扣0.2分，最多扣5分。</w:t>
      </w:r>
    </w:p>
    <w:p w14:paraId="3AD80B8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3、日常巡检（5分）</w:t>
      </w:r>
    </w:p>
    <w:p w14:paraId="2EAC76C1">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巡查人员未按合同规定进行巡检的，在巡检工作中，对系统、设备产生的故障没有及时处理及汇报的，每发现1例扣0.2分，每月最多扣5分。</w:t>
      </w:r>
    </w:p>
    <w:p w14:paraId="26395922">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巡检频率：</w:t>
      </w:r>
    </w:p>
    <w:p w14:paraId="0951689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前端设备：每季度一次全部点位详细巡检，全面检测设备性能、功能完好性及线路链路状况；每月一次全部点位普通巡查，重点检查设备基本运行状态和外观完整性。</w:t>
      </w:r>
    </w:p>
    <w:p w14:paraId="07375621">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平台（后台）：巡检平台（后台）全部点位每</w:t>
      </w:r>
      <w:r>
        <w:rPr>
          <w:rFonts w:hint="eastAsia" w:asciiTheme="minorEastAsia" w:hAnsiTheme="minorEastAsia" w:eastAsiaTheme="minorEastAsia" w:cstheme="minorEastAsia"/>
          <w:color w:val="auto"/>
          <w:sz w:val="24"/>
          <w:szCs w:val="24"/>
          <w:highlight w:val="none"/>
          <w:lang w:val="en-US" w:eastAsia="zh-CN"/>
        </w:rPr>
        <w:t>天</w:t>
      </w:r>
      <w:r>
        <w:rPr>
          <w:rFonts w:hint="eastAsia" w:asciiTheme="minorEastAsia" w:hAnsiTheme="minorEastAsia" w:eastAsiaTheme="minorEastAsia" w:cstheme="minorEastAsia"/>
          <w:color w:val="auto"/>
          <w:sz w:val="24"/>
          <w:szCs w:val="24"/>
          <w:highlight w:val="none"/>
        </w:rPr>
        <w:t>一次，重点检测监控画面质量、设备平台（后台）运行状况，检查数据传输过程中有无掉包等异常情况。</w:t>
      </w:r>
    </w:p>
    <w:p w14:paraId="39FA3282">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4、巡检台账（5分）</w:t>
      </w:r>
    </w:p>
    <w:p w14:paraId="69A1143F">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维保人员未按规定向甲方提供巡检月报，发现一次扣5分。</w:t>
      </w:r>
    </w:p>
    <w:p w14:paraId="7FD3CD07">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（三）、应急保障考核（20分）</w:t>
      </w:r>
    </w:p>
    <w:p w14:paraId="2613139C">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甲方提出的应急需求，维保单位不能在合理规定时间内完成的，每次扣5分，每月最多扣20分。</w:t>
      </w:r>
    </w:p>
    <w:p w14:paraId="35ECFA8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（四）、注意事项</w:t>
      </w:r>
    </w:p>
    <w:p w14:paraId="153CC5E3">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因监控问题影响甲方正常开展工作，对维保单位进行处罚，维保单位未能主动发现上报的，每一个点位扣5分。</w:t>
      </w:r>
    </w:p>
    <w:p w14:paraId="3D017891">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（五）、最终考核评分结算</w:t>
      </w:r>
    </w:p>
    <w:p w14:paraId="46E2464D">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每月对（一）、（二）、（三）项进行考核统计评分，得出的总分减去第（四）项扣分，为当月总得分。</w:t>
      </w:r>
    </w:p>
    <w:p w14:paraId="5C5DA2AC">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根据每月考核统计评分情况计算每月应付考核维护费：</w:t>
      </w:r>
    </w:p>
    <w:p w14:paraId="4EDB16D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（1)月考核统计评分≥90分，当月考核进度款=（年进度款/12）；</w:t>
      </w:r>
    </w:p>
    <w:p w14:paraId="39530E8D">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（2）60分≤月考核统计评分＜90分，当月考核进度款=（月考核统计评分/100）×（年进度款/12）；</w:t>
      </w:r>
    </w:p>
    <w:p w14:paraId="33415948">
      <w:pPr>
        <w:pStyle w:val="24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（3）月考核统计评分＜60分，当月考核进度款=50%×（月考核统计评分/100）×（年进度款/12）；</w:t>
      </w:r>
    </w:p>
    <w:p w14:paraId="7607AF2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乙方任意1个月考核评分低于60分或</w:t>
      </w:r>
      <w:r>
        <w:rPr>
          <w:rFonts w:hint="eastAsia" w:asciiTheme="minorEastAsia" w:hAnsiTheme="minorEastAsia" w:cstheme="minorEastAsia"/>
          <w:color w:val="auto"/>
          <w:sz w:val="24"/>
          <w:szCs w:val="24"/>
          <w:highlight w:val="none"/>
          <w:lang w:val="en-US" w:eastAsia="zh-CN"/>
        </w:rPr>
        <w:t>单个</w:t>
      </w:r>
      <w:r>
        <w:rPr>
          <w:rFonts w:hint="eastAsia" w:asciiTheme="minorEastAsia" w:hAnsiTheme="minorEastAsia" w:eastAsiaTheme="minorEastAsia" w:cstheme="minorEastAsia"/>
          <w:color w:val="auto"/>
          <w:sz w:val="24"/>
          <w:szCs w:val="24"/>
          <w:highlight w:val="none"/>
        </w:rPr>
        <w:t>合同年内累计3个月月考核评分低于80分，甲方有权立即解除合同，一切损失由乙方承担。</w:t>
      </w:r>
    </w:p>
    <w:p w14:paraId="186EBB09">
      <w:pP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br w:type="page"/>
      </w:r>
    </w:p>
    <w:p w14:paraId="6D09E58D">
      <w:pPr>
        <w:keepNext w:val="0"/>
        <w:keepLines w:val="0"/>
        <w:pageBreakBefore w:val="0"/>
        <w:widowControl w:val="0"/>
        <w:kinsoku/>
        <w:wordWrap w:val="0"/>
        <w:overflowPunct/>
        <w:topLinePunct w:val="0"/>
        <w:autoSpaceDE/>
        <w:autoSpaceDN/>
        <w:bidi w:val="0"/>
        <w:adjustRightInd/>
        <w:snapToGrid/>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附件</w:t>
      </w: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w:t>
      </w:r>
    </w:p>
    <w:p w14:paraId="254EFCE4">
      <w:pPr>
        <w:jc w:val="center"/>
        <w:rPr>
          <w:rFonts w:hint="eastAsia" w:asciiTheme="minorEastAsia" w:hAnsiTheme="minorEastAsia" w:eastAsiaTheme="minorEastAsia" w:cstheme="minorEastAsia"/>
          <w:b/>
          <w:color w:val="auto"/>
          <w:sz w:val="28"/>
          <w:szCs w:val="28"/>
          <w:highlight w:val="none"/>
          <w:lang w:bidi="ar"/>
        </w:rPr>
      </w:pPr>
      <w:r>
        <w:rPr>
          <w:rFonts w:hint="eastAsia" w:asciiTheme="minorEastAsia" w:hAnsiTheme="minorEastAsia" w:eastAsiaTheme="minorEastAsia" w:cstheme="minorEastAsia"/>
          <w:b/>
          <w:color w:val="auto"/>
          <w:sz w:val="28"/>
          <w:szCs w:val="28"/>
          <w:highlight w:val="none"/>
          <w:lang w:bidi="ar"/>
        </w:rPr>
        <w:t>项目建设供应商承诺函</w:t>
      </w:r>
    </w:p>
    <w:p w14:paraId="6F090AD3">
      <w:pPr>
        <w:spacing w:line="54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bidi="ar"/>
        </w:rPr>
        <w:t xml:space="preserve"> </w:t>
      </w:r>
    </w:p>
    <w:p w14:paraId="38F63175">
      <w:pPr>
        <w:spacing w:line="52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1F330FC7">
      <w:pPr>
        <w:spacing w:line="52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2E90C188">
      <w:pPr>
        <w:spacing w:line="52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对未列出的其他事项，严格按照法律法规等具体规定执行。</w:t>
      </w:r>
    </w:p>
    <w:p w14:paraId="26698D7A">
      <w:pPr>
        <w:spacing w:line="52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现承诺，我单位在履行</w:t>
      </w:r>
      <w:r>
        <w:rPr>
          <w:rFonts w:hint="eastAsia" w:asciiTheme="minorEastAsia" w:hAnsiTheme="minorEastAsia" w:eastAsiaTheme="minorEastAsia" w:cstheme="minorEastAsia"/>
          <w:color w:val="auto"/>
          <w:sz w:val="28"/>
          <w:szCs w:val="28"/>
          <w:highlight w:val="none"/>
          <w:u w:val="single"/>
          <w:lang w:eastAsia="zh-CN" w:bidi="ar"/>
        </w:rPr>
        <w:t>盐城市公安局水域感知前端二期维保项目</w:t>
      </w:r>
      <w:r>
        <w:rPr>
          <w:rFonts w:hint="eastAsia" w:asciiTheme="minorEastAsia" w:hAnsiTheme="minorEastAsia" w:eastAsiaTheme="minorEastAsia" w:cstheme="minorEastAsia"/>
          <w:color w:val="auto"/>
          <w:sz w:val="28"/>
          <w:szCs w:val="28"/>
          <w:highlight w:val="none"/>
          <w:lang w:bidi="ar"/>
        </w:rPr>
        <w:t>的项目建设中，将严格按照提示函的内容和要求执行，如若违反愿意承担相应的责任。</w:t>
      </w:r>
    </w:p>
    <w:p w14:paraId="377C7253">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 xml:space="preserve"> </w:t>
      </w:r>
    </w:p>
    <w:p w14:paraId="742C9C96">
      <w:pPr>
        <w:spacing w:line="52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供应商项目负责人（签字）：            联系方式：</w:t>
      </w:r>
    </w:p>
    <w:p w14:paraId="0D572AEF">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ar"/>
        </w:rPr>
        <w:t xml:space="preserve"> </w:t>
      </w:r>
    </w:p>
    <w:p w14:paraId="0FBA46A0">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（供应商单位公章）</w:t>
      </w:r>
    </w:p>
    <w:p w14:paraId="479A07EC">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w:t>
      </w:r>
    </w:p>
    <w:p w14:paraId="3D356807">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2F47D371">
      <w:pPr>
        <w:pStyle w:val="31"/>
        <w:spacing w:before="120" w:beforeAutospacing="0" w:after="12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第四章 采购需求</w:t>
      </w:r>
    </w:p>
    <w:p w14:paraId="744C7D05">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44" w:name="_Toc26554093"/>
      <w:bookmarkStart w:id="145" w:name="_Toc49090575"/>
    </w:p>
    <w:p w14:paraId="7443B5C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项目属性:</w:t>
      </w:r>
      <w:r>
        <w:rPr>
          <w:rFonts w:hint="eastAsia" w:asciiTheme="minorEastAsia" w:hAnsiTheme="minorEastAsia" w:eastAsia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类项目。</w:t>
      </w:r>
      <w:bookmarkEnd w:id="144"/>
      <w:bookmarkEnd w:id="145"/>
    </w:p>
    <w:p w14:paraId="4EB5FC71">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p>
    <w:p w14:paraId="16F1A3B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一、项目基本要求：</w:t>
      </w:r>
    </w:p>
    <w:p w14:paraId="6FED95DA">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1、项目名称：盐城市公安局水域感知前端二期维保项目</w:t>
      </w:r>
    </w:p>
    <w:p w14:paraId="1BBA7FD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2、预算金额：</w:t>
      </w:r>
      <w:r>
        <w:rPr>
          <w:rFonts w:hint="eastAsia" w:asciiTheme="minorEastAsia" w:hAnsiTheme="minorEastAsia" w:eastAsiaTheme="minorEastAsia" w:cstheme="minorEastAsia"/>
          <w:bCs/>
          <w:color w:val="auto"/>
          <w:highlight w:val="none"/>
          <w:lang w:val="en-US" w:eastAsia="zh-CN"/>
        </w:rPr>
        <w:t>132万</w:t>
      </w:r>
      <w:r>
        <w:rPr>
          <w:rFonts w:hint="eastAsia" w:asciiTheme="minorEastAsia" w:hAnsiTheme="minorEastAsia" w:eastAsiaTheme="minorEastAsia" w:cstheme="minorEastAsia"/>
          <w:bCs/>
          <w:color w:val="auto"/>
          <w:highlight w:val="none"/>
        </w:rPr>
        <w:t>元</w:t>
      </w:r>
    </w:p>
    <w:p w14:paraId="322ED35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rPr>
        <w:t>3、最高限价：</w:t>
      </w:r>
      <w:r>
        <w:rPr>
          <w:rFonts w:hint="eastAsia" w:asciiTheme="minorEastAsia" w:hAnsiTheme="minorEastAsia" w:eastAsiaTheme="minorEastAsia" w:cstheme="minorEastAsia"/>
          <w:color w:val="auto"/>
          <w:highlight w:val="none"/>
          <w:lang w:val="en-US" w:eastAsia="zh-CN"/>
        </w:rPr>
        <w:t>132</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lang w:val="en-US" w:eastAsia="zh-CN"/>
        </w:rPr>
        <w:t>/3年。</w:t>
      </w:r>
      <w:r>
        <w:rPr>
          <w:rFonts w:hint="eastAsia" w:asciiTheme="minorEastAsia" w:hAnsiTheme="minorEastAsia" w:eastAsiaTheme="minorEastAsia" w:cstheme="minorEastAsia"/>
          <w:color w:val="auto"/>
          <w:highlight w:val="none"/>
        </w:rPr>
        <w:t>报价超过最高限价的为无效报价，按照无效响应处理</w:t>
      </w:r>
      <w:r>
        <w:rPr>
          <w:rFonts w:hint="eastAsia" w:asciiTheme="minorEastAsia" w:hAnsiTheme="minorEastAsia" w:cstheme="minorEastAsia"/>
          <w:color w:val="auto"/>
          <w:highlight w:val="none"/>
          <w:lang w:eastAsia="zh-CN"/>
        </w:rPr>
        <w:t>。</w:t>
      </w:r>
    </w:p>
    <w:p w14:paraId="33574E7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4、采购内容：盐城市公安局水域感知前端设备的维保，包含前端设备维保服务、网络专线租赁服务、设备接电服务、</w:t>
      </w:r>
      <w:r>
        <w:rPr>
          <w:rFonts w:hint="eastAsia" w:asciiTheme="minorEastAsia" w:hAnsiTheme="minorEastAsia" w:cstheme="minorEastAsia"/>
          <w:bCs/>
          <w:color w:val="auto"/>
          <w:highlight w:val="none"/>
          <w:lang w:eastAsia="zh-CN"/>
        </w:rPr>
        <w:t>铁塔</w:t>
      </w:r>
      <w:r>
        <w:rPr>
          <w:rFonts w:hint="eastAsia" w:asciiTheme="minorEastAsia" w:hAnsiTheme="minorEastAsia" w:eastAsiaTheme="minorEastAsia" w:cstheme="minorEastAsia"/>
          <w:bCs/>
          <w:color w:val="auto"/>
          <w:highlight w:val="none"/>
        </w:rPr>
        <w:t>点位租赁服务等内容。</w:t>
      </w:r>
    </w:p>
    <w:p w14:paraId="0952330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5、合同履行期限（维保服务期）：三年。维保合同一年一签（服务开始时间以合同约定为准；合同服务期满前，经甲方年度验收合格，且月均考核评分达到90分及以上，可续签下一年合同，最多续签二次）。</w:t>
      </w:r>
    </w:p>
    <w:p w14:paraId="1D549A14">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6、质量要求：合格且符合采购人要求。</w:t>
      </w:r>
    </w:p>
    <w:p w14:paraId="791A07E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二、工作内容清单</w:t>
      </w:r>
    </w:p>
    <w:tbl>
      <w:tblPr>
        <w:tblStyle w:val="3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0"/>
        <w:gridCol w:w="1475"/>
        <w:gridCol w:w="3277"/>
        <w:gridCol w:w="712"/>
        <w:gridCol w:w="749"/>
        <w:gridCol w:w="951"/>
        <w:gridCol w:w="988"/>
        <w:gridCol w:w="716"/>
      </w:tblGrid>
      <w:tr w14:paraId="3838D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0408A2B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475" w:type="dxa"/>
            <w:tcBorders>
              <w:top w:val="single" w:color="000000" w:sz="4" w:space="0"/>
              <w:left w:val="single" w:color="000000" w:sz="4" w:space="0"/>
              <w:bottom w:val="single" w:color="000000" w:sz="4" w:space="0"/>
              <w:right w:val="single" w:color="000000" w:sz="4" w:space="0"/>
            </w:tcBorders>
            <w:vAlign w:val="center"/>
          </w:tcPr>
          <w:p w14:paraId="4338F48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3277" w:type="dxa"/>
            <w:tcBorders>
              <w:top w:val="single" w:color="000000" w:sz="4" w:space="0"/>
              <w:left w:val="single" w:color="000000" w:sz="4" w:space="0"/>
              <w:bottom w:val="single" w:color="000000" w:sz="4" w:space="0"/>
              <w:right w:val="single" w:color="000000" w:sz="4" w:space="0"/>
            </w:tcBorders>
            <w:vAlign w:val="center"/>
          </w:tcPr>
          <w:p w14:paraId="4F4C0F8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详细参数</w:t>
            </w:r>
          </w:p>
        </w:tc>
        <w:tc>
          <w:tcPr>
            <w:tcW w:w="712" w:type="dxa"/>
            <w:tcBorders>
              <w:top w:val="single" w:color="000000" w:sz="4" w:space="0"/>
              <w:left w:val="single" w:color="000000" w:sz="4" w:space="0"/>
              <w:bottom w:val="single" w:color="000000" w:sz="4" w:space="0"/>
              <w:right w:val="single" w:color="000000" w:sz="4" w:space="0"/>
            </w:tcBorders>
            <w:vAlign w:val="center"/>
          </w:tcPr>
          <w:p w14:paraId="7461A8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w:t>
            </w:r>
          </w:p>
        </w:tc>
        <w:tc>
          <w:tcPr>
            <w:tcW w:w="749" w:type="dxa"/>
            <w:tcBorders>
              <w:top w:val="single" w:color="000000" w:sz="4" w:space="0"/>
              <w:left w:val="single" w:color="000000" w:sz="4" w:space="0"/>
              <w:bottom w:val="single" w:color="000000" w:sz="4" w:space="0"/>
              <w:right w:val="single" w:color="000000" w:sz="4" w:space="0"/>
            </w:tcBorders>
            <w:vAlign w:val="center"/>
          </w:tcPr>
          <w:p w14:paraId="781EC06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951" w:type="dxa"/>
            <w:tcBorders>
              <w:top w:val="single" w:color="000000" w:sz="4" w:space="0"/>
              <w:left w:val="single" w:color="000000" w:sz="4" w:space="0"/>
              <w:bottom w:val="single" w:color="000000" w:sz="4" w:space="0"/>
              <w:right w:val="single" w:color="000000" w:sz="4" w:space="0"/>
            </w:tcBorders>
            <w:vAlign w:val="center"/>
          </w:tcPr>
          <w:p w14:paraId="6CC30B6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单价（元/年）</w:t>
            </w:r>
          </w:p>
        </w:tc>
        <w:tc>
          <w:tcPr>
            <w:tcW w:w="988" w:type="dxa"/>
            <w:tcBorders>
              <w:top w:val="single" w:color="000000" w:sz="4" w:space="0"/>
              <w:left w:val="single" w:color="000000" w:sz="4" w:space="0"/>
              <w:bottom w:val="single" w:color="000000" w:sz="4" w:space="0"/>
              <w:right w:val="single" w:color="000000" w:sz="4" w:space="0"/>
            </w:tcBorders>
            <w:vAlign w:val="center"/>
          </w:tcPr>
          <w:p w14:paraId="560066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合价（元/年）</w:t>
            </w:r>
          </w:p>
        </w:tc>
        <w:tc>
          <w:tcPr>
            <w:tcW w:w="716" w:type="dxa"/>
            <w:tcBorders>
              <w:top w:val="single" w:color="000000" w:sz="4" w:space="0"/>
              <w:left w:val="single" w:color="000000" w:sz="4" w:space="0"/>
              <w:bottom w:val="single" w:color="000000" w:sz="4" w:space="0"/>
              <w:right w:val="single" w:color="000000" w:sz="4" w:space="0"/>
            </w:tcBorders>
            <w:vAlign w:val="center"/>
          </w:tcPr>
          <w:p w14:paraId="0433F98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r>
      <w:tr w14:paraId="3F110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52395F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475" w:type="dxa"/>
            <w:tcBorders>
              <w:top w:val="single" w:color="000000" w:sz="4" w:space="0"/>
              <w:left w:val="single" w:color="000000" w:sz="4" w:space="0"/>
              <w:bottom w:val="single" w:color="000000" w:sz="4" w:space="0"/>
              <w:right w:val="single" w:color="000000" w:sz="4" w:space="0"/>
            </w:tcBorders>
            <w:vAlign w:val="center"/>
          </w:tcPr>
          <w:p w14:paraId="7995196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IP</w:t>
            </w:r>
            <w:r>
              <w:rPr>
                <w:rFonts w:hint="eastAsia" w:asciiTheme="minorEastAsia" w:hAnsiTheme="minorEastAsia" w:eastAsiaTheme="minorEastAsia" w:cstheme="minorEastAsia"/>
                <w:color w:val="auto"/>
                <w:sz w:val="24"/>
                <w:highlight w:val="none"/>
              </w:rPr>
              <w:t>网络专线</w:t>
            </w:r>
          </w:p>
        </w:tc>
        <w:tc>
          <w:tcPr>
            <w:tcW w:w="3277" w:type="dxa"/>
            <w:tcBorders>
              <w:top w:val="single" w:color="000000" w:sz="4" w:space="0"/>
              <w:left w:val="single" w:color="000000" w:sz="4" w:space="0"/>
              <w:bottom w:val="single" w:color="000000" w:sz="4" w:space="0"/>
              <w:right w:val="single" w:color="000000" w:sz="4" w:space="0"/>
            </w:tcBorders>
            <w:vAlign w:val="center"/>
          </w:tcPr>
          <w:p w14:paraId="3695DEB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w:t>
            </w:r>
            <w:r>
              <w:rPr>
                <w:rFonts w:hint="eastAsia" w:asciiTheme="minorEastAsia" w:hAnsiTheme="minorEastAsia" w:eastAsiaTheme="minorEastAsia" w:cstheme="minorEastAsia"/>
                <w:color w:val="auto"/>
                <w:sz w:val="24"/>
                <w:highlight w:val="none"/>
              </w:rPr>
              <w:t>前端设备至市局机房的链路网络传输</w:t>
            </w:r>
            <w:r>
              <w:rPr>
                <w:rFonts w:hint="eastAsia" w:asciiTheme="minorEastAsia" w:hAnsiTheme="minorEastAsia" w:eastAsiaTheme="minorEastAsia" w:cstheme="minorEastAsia"/>
                <w:color w:val="auto"/>
                <w:sz w:val="24"/>
                <w:highlight w:val="none"/>
                <w:lang w:val="en-US" w:eastAsia="zh-CN"/>
              </w:rPr>
              <w:t>及支付租赁网络专线费用。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79F19AF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条</w:t>
            </w:r>
          </w:p>
        </w:tc>
        <w:tc>
          <w:tcPr>
            <w:tcW w:w="749" w:type="dxa"/>
            <w:tcBorders>
              <w:top w:val="single" w:color="000000" w:sz="4" w:space="0"/>
              <w:left w:val="single" w:color="000000" w:sz="4" w:space="0"/>
              <w:bottom w:val="single" w:color="000000" w:sz="4" w:space="0"/>
              <w:right w:val="single" w:color="000000" w:sz="4" w:space="0"/>
            </w:tcBorders>
            <w:vAlign w:val="center"/>
          </w:tcPr>
          <w:p w14:paraId="071600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73</w:t>
            </w:r>
          </w:p>
        </w:tc>
        <w:tc>
          <w:tcPr>
            <w:tcW w:w="951" w:type="dxa"/>
            <w:tcBorders>
              <w:top w:val="single" w:color="000000" w:sz="4" w:space="0"/>
              <w:left w:val="single" w:color="000000" w:sz="4" w:space="0"/>
              <w:bottom w:val="single" w:color="000000" w:sz="4" w:space="0"/>
              <w:right w:val="single" w:color="000000" w:sz="4" w:space="0"/>
            </w:tcBorders>
            <w:vAlign w:val="center"/>
          </w:tcPr>
          <w:p w14:paraId="26306A0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141BC03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4132169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16173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19F6C8F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475" w:type="dxa"/>
            <w:tcBorders>
              <w:top w:val="single" w:color="000000" w:sz="4" w:space="0"/>
              <w:left w:val="single" w:color="000000" w:sz="4" w:space="0"/>
              <w:bottom w:val="single" w:color="000000" w:sz="4" w:space="0"/>
              <w:right w:val="single" w:color="000000" w:sz="4" w:space="0"/>
            </w:tcBorders>
            <w:vAlign w:val="center"/>
          </w:tcPr>
          <w:p w14:paraId="5B18673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铁塔租赁服务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099F185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含铁塔监控点位租赁、登高排故服务。</w:t>
            </w:r>
          </w:p>
        </w:tc>
        <w:tc>
          <w:tcPr>
            <w:tcW w:w="712" w:type="dxa"/>
            <w:tcBorders>
              <w:top w:val="single" w:color="000000" w:sz="4" w:space="0"/>
              <w:left w:val="single" w:color="000000" w:sz="4" w:space="0"/>
              <w:bottom w:val="single" w:color="000000" w:sz="4" w:space="0"/>
              <w:right w:val="single" w:color="000000" w:sz="4" w:space="0"/>
            </w:tcBorders>
            <w:vAlign w:val="center"/>
          </w:tcPr>
          <w:p w14:paraId="7E2F477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座</w:t>
            </w:r>
          </w:p>
        </w:tc>
        <w:tc>
          <w:tcPr>
            <w:tcW w:w="749" w:type="dxa"/>
            <w:tcBorders>
              <w:top w:val="single" w:color="000000" w:sz="4" w:space="0"/>
              <w:left w:val="single" w:color="000000" w:sz="4" w:space="0"/>
              <w:bottom w:val="single" w:color="000000" w:sz="4" w:space="0"/>
              <w:right w:val="single" w:color="000000" w:sz="4" w:space="0"/>
            </w:tcBorders>
            <w:vAlign w:val="center"/>
          </w:tcPr>
          <w:p w14:paraId="6470533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16</w:t>
            </w:r>
          </w:p>
        </w:tc>
        <w:tc>
          <w:tcPr>
            <w:tcW w:w="951" w:type="dxa"/>
            <w:tcBorders>
              <w:top w:val="single" w:color="000000" w:sz="4" w:space="0"/>
              <w:left w:val="single" w:color="000000" w:sz="4" w:space="0"/>
              <w:bottom w:val="single" w:color="000000" w:sz="4" w:space="0"/>
              <w:right w:val="single" w:color="000000" w:sz="4" w:space="0"/>
            </w:tcBorders>
            <w:vAlign w:val="center"/>
          </w:tcPr>
          <w:p w14:paraId="78A9B39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1C21CDA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758092B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30C5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05F9474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475" w:type="dxa"/>
            <w:tcBorders>
              <w:top w:val="single" w:color="000000" w:sz="4" w:space="0"/>
              <w:left w:val="single" w:color="000000" w:sz="4" w:space="0"/>
              <w:bottom w:val="single" w:color="000000" w:sz="4" w:space="0"/>
              <w:right w:val="single" w:color="000000" w:sz="4" w:space="0"/>
            </w:tcBorders>
            <w:vAlign w:val="center"/>
          </w:tcPr>
          <w:p w14:paraId="620E0B5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接电服务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476B30E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保障视频监控、雷达、激光、桥梁音柱、智能电箱设备等</w:t>
            </w:r>
            <w:r>
              <w:rPr>
                <w:rFonts w:hint="eastAsia" w:asciiTheme="minorEastAsia" w:hAnsiTheme="minorEastAsia" w:cstheme="minorEastAsia"/>
                <w:color w:val="auto"/>
                <w:sz w:val="24"/>
                <w:highlight w:val="none"/>
                <w:lang w:val="en-US" w:eastAsia="zh-CN"/>
              </w:rPr>
              <w:t>150</w:t>
            </w:r>
            <w:r>
              <w:rPr>
                <w:rFonts w:hint="eastAsia" w:asciiTheme="minorEastAsia" w:hAnsiTheme="minorEastAsia" w:eastAsiaTheme="minorEastAsia" w:cstheme="minorEastAsia"/>
                <w:color w:val="auto"/>
                <w:sz w:val="24"/>
                <w:highlight w:val="none"/>
                <w:lang w:val="en-US" w:eastAsia="zh-CN"/>
              </w:rPr>
              <w:t>台（套）设备供电及支付设备用电费用。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561A26A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台（套）</w:t>
            </w:r>
          </w:p>
        </w:tc>
        <w:tc>
          <w:tcPr>
            <w:tcW w:w="749" w:type="dxa"/>
            <w:tcBorders>
              <w:top w:val="single" w:color="000000" w:sz="4" w:space="0"/>
              <w:left w:val="single" w:color="000000" w:sz="4" w:space="0"/>
              <w:bottom w:val="single" w:color="000000" w:sz="4" w:space="0"/>
              <w:right w:val="single" w:color="000000" w:sz="4" w:space="0"/>
            </w:tcBorders>
            <w:vAlign w:val="center"/>
          </w:tcPr>
          <w:p w14:paraId="05BDFB1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150</w:t>
            </w:r>
          </w:p>
        </w:tc>
        <w:tc>
          <w:tcPr>
            <w:tcW w:w="951" w:type="dxa"/>
            <w:tcBorders>
              <w:top w:val="single" w:color="000000" w:sz="4" w:space="0"/>
              <w:left w:val="single" w:color="000000" w:sz="4" w:space="0"/>
              <w:bottom w:val="single" w:color="000000" w:sz="4" w:space="0"/>
              <w:right w:val="single" w:color="000000" w:sz="4" w:space="0"/>
            </w:tcBorders>
            <w:vAlign w:val="center"/>
          </w:tcPr>
          <w:p w14:paraId="2EDB40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24BD16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F02BB5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46E7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6B22406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4</w:t>
            </w:r>
          </w:p>
        </w:tc>
        <w:tc>
          <w:tcPr>
            <w:tcW w:w="1475" w:type="dxa"/>
            <w:tcBorders>
              <w:top w:val="single" w:color="000000" w:sz="4" w:space="0"/>
              <w:left w:val="single" w:color="000000" w:sz="4" w:space="0"/>
              <w:bottom w:val="single" w:color="000000" w:sz="4" w:space="0"/>
              <w:right w:val="single" w:color="000000" w:sz="4" w:space="0"/>
            </w:tcBorders>
            <w:vAlign w:val="center"/>
          </w:tcPr>
          <w:p w14:paraId="1A15168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eastAsia="zh-CN"/>
              </w:rPr>
              <w:t>维保</w:t>
            </w:r>
            <w:r>
              <w:rPr>
                <w:rFonts w:hint="eastAsia" w:asciiTheme="minorEastAsia" w:hAnsiTheme="minorEastAsia" w:eastAsiaTheme="minorEastAsia" w:cstheme="minorEastAsia"/>
                <w:color w:val="auto"/>
                <w:sz w:val="24"/>
                <w:highlight w:val="none"/>
                <w:lang w:val="en-US" w:eastAsia="zh-CN"/>
              </w:rPr>
              <w:t>内容</w:t>
            </w:r>
          </w:p>
        </w:tc>
        <w:tc>
          <w:tcPr>
            <w:tcW w:w="3277" w:type="dxa"/>
            <w:tcBorders>
              <w:top w:val="single" w:color="000000" w:sz="4" w:space="0"/>
              <w:left w:val="single" w:color="000000" w:sz="4" w:space="0"/>
              <w:bottom w:val="single" w:color="000000" w:sz="4" w:space="0"/>
              <w:right w:val="single" w:color="000000" w:sz="4" w:space="0"/>
            </w:tcBorders>
            <w:vAlign w:val="center"/>
          </w:tcPr>
          <w:p w14:paraId="35654E9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设备线路的故障排查，保证设备平台在线率90%以上，其中一般故障在4小时内排除，其他复杂故障在24小时内排除，并提供7*24小时响应保障；（2）每月完成一次全点位巡检，包含点位视频区域遮挡物清除、设备维护及线路安全巡查等工作，每月出具一份巡检报告；（3）提供不超过6个点位的免费迁移服务；（4）供应急备件临时替换，对无法修复的设备由</w:t>
            </w:r>
            <w:r>
              <w:rPr>
                <w:rFonts w:hint="eastAsia" w:asciiTheme="minorEastAsia" w:hAnsiTheme="minorEastAsia" w:cstheme="minorEastAsia"/>
                <w:color w:val="auto"/>
                <w:sz w:val="24"/>
                <w:highlight w:val="none"/>
                <w:lang w:val="en-US" w:eastAsia="zh-CN"/>
              </w:rPr>
              <w:t>市公安局另行</w:t>
            </w:r>
            <w:r>
              <w:rPr>
                <w:rFonts w:hint="eastAsia" w:asciiTheme="minorEastAsia" w:hAnsiTheme="minorEastAsia" w:eastAsiaTheme="minorEastAsia" w:cstheme="minorEastAsia"/>
                <w:color w:val="auto"/>
                <w:sz w:val="24"/>
                <w:highlight w:val="none"/>
                <w:lang w:val="en-US" w:eastAsia="zh-CN"/>
              </w:rPr>
              <w:t>采购后更换。</w:t>
            </w:r>
          </w:p>
        </w:tc>
        <w:tc>
          <w:tcPr>
            <w:tcW w:w="712" w:type="dxa"/>
            <w:tcBorders>
              <w:top w:val="single" w:color="000000" w:sz="4" w:space="0"/>
              <w:left w:val="single" w:color="000000" w:sz="4" w:space="0"/>
              <w:bottom w:val="single" w:color="000000" w:sz="4" w:space="0"/>
              <w:right w:val="single" w:color="000000" w:sz="4" w:space="0"/>
            </w:tcBorders>
            <w:vAlign w:val="center"/>
          </w:tcPr>
          <w:p w14:paraId="584F961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18F220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71784F2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432151A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1C5FA2F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r>
      <w:tr w14:paraId="2A7E5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1BC574A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5</w:t>
            </w:r>
          </w:p>
        </w:tc>
        <w:tc>
          <w:tcPr>
            <w:tcW w:w="1475" w:type="dxa"/>
            <w:tcBorders>
              <w:top w:val="single" w:color="000000" w:sz="4" w:space="0"/>
              <w:left w:val="single" w:color="000000" w:sz="4" w:space="0"/>
              <w:bottom w:val="single" w:color="000000" w:sz="4" w:space="0"/>
              <w:right w:val="single" w:color="000000" w:sz="4" w:space="0"/>
            </w:tcBorders>
            <w:vAlign w:val="center"/>
          </w:tcPr>
          <w:p w14:paraId="0D9B1B7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辅材</w:t>
            </w:r>
          </w:p>
        </w:tc>
        <w:tc>
          <w:tcPr>
            <w:tcW w:w="3277" w:type="dxa"/>
            <w:tcBorders>
              <w:top w:val="single" w:color="000000" w:sz="4" w:space="0"/>
              <w:left w:val="single" w:color="000000" w:sz="4" w:space="0"/>
              <w:bottom w:val="single" w:color="000000" w:sz="4" w:space="0"/>
              <w:right w:val="single" w:color="000000" w:sz="4" w:space="0"/>
            </w:tcBorders>
            <w:vAlign w:val="center"/>
          </w:tcPr>
          <w:p w14:paraId="5CB03F4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自行保障使用</w:t>
            </w:r>
          </w:p>
        </w:tc>
        <w:tc>
          <w:tcPr>
            <w:tcW w:w="712" w:type="dxa"/>
            <w:tcBorders>
              <w:top w:val="single" w:color="000000" w:sz="4" w:space="0"/>
              <w:left w:val="single" w:color="000000" w:sz="4" w:space="0"/>
              <w:bottom w:val="single" w:color="000000" w:sz="4" w:space="0"/>
              <w:right w:val="single" w:color="000000" w:sz="4" w:space="0"/>
            </w:tcBorders>
            <w:vAlign w:val="center"/>
          </w:tcPr>
          <w:p w14:paraId="46DF929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7F64DE8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7A4D67E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2D6B7F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9E1FA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4A5C5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1827F57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一年总价：  元/年</w:t>
            </w:r>
          </w:p>
        </w:tc>
      </w:tr>
      <w:tr w14:paraId="557D3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702925F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总价：  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一年</w:t>
            </w:r>
            <w:r>
              <w:rPr>
                <w:rFonts w:hint="eastAsia" w:asciiTheme="minorEastAsia" w:hAnsiTheme="minorEastAsia" w:eastAsiaTheme="minorEastAsia" w:cstheme="minorEastAsia"/>
                <w:color w:val="auto"/>
                <w:sz w:val="24"/>
                <w:szCs w:val="24"/>
                <w:highlight w:val="none"/>
              </w:rPr>
              <w:t>总价</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p>
        </w:tc>
      </w:tr>
    </w:tbl>
    <w:p w14:paraId="67D976C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三、</w:t>
      </w:r>
      <w:r>
        <w:rPr>
          <w:rFonts w:hint="eastAsia" w:asciiTheme="minorEastAsia" w:hAnsiTheme="minorEastAsia" w:eastAsiaTheme="minorEastAsia" w:cstheme="minorEastAsia"/>
          <w:b/>
          <w:bCs/>
          <w:color w:val="auto"/>
          <w:sz w:val="24"/>
          <w:highlight w:val="none"/>
        </w:rPr>
        <w:t>维保</w:t>
      </w:r>
      <w:r>
        <w:rPr>
          <w:rFonts w:hint="eastAsia" w:asciiTheme="minorEastAsia" w:hAnsiTheme="minorEastAsia" w:cstheme="minorEastAsia"/>
          <w:b/>
          <w:bCs/>
          <w:color w:val="auto"/>
          <w:sz w:val="24"/>
          <w:highlight w:val="none"/>
          <w:lang w:val="en-US" w:eastAsia="zh-CN"/>
        </w:rPr>
        <w:t>设备数量</w:t>
      </w:r>
      <w:r>
        <w:rPr>
          <w:rFonts w:hint="eastAsia" w:asciiTheme="minorEastAsia" w:hAnsiTheme="minorEastAsia" w:eastAsiaTheme="minorEastAsia" w:cstheme="minorEastAsia"/>
          <w:b/>
          <w:bCs/>
          <w:color w:val="auto"/>
          <w:sz w:val="24"/>
          <w:highlight w:val="none"/>
        </w:rPr>
        <w:t>清单</w:t>
      </w:r>
    </w:p>
    <w:tbl>
      <w:tblPr>
        <w:tblStyle w:val="34"/>
        <w:tblW w:w="9638" w:type="dxa"/>
        <w:jc w:val="center"/>
        <w:tblLayout w:type="fixed"/>
        <w:tblCellMar>
          <w:top w:w="0" w:type="dxa"/>
          <w:left w:w="108" w:type="dxa"/>
          <w:bottom w:w="0" w:type="dxa"/>
          <w:right w:w="108" w:type="dxa"/>
        </w:tblCellMar>
      </w:tblPr>
      <w:tblGrid>
        <w:gridCol w:w="878"/>
        <w:gridCol w:w="5905"/>
        <w:gridCol w:w="2855"/>
      </w:tblGrid>
      <w:tr w14:paraId="4BD72B6A">
        <w:trPr>
          <w:trHeight w:val="567" w:hRule="atLeast"/>
          <w:jc w:val="center"/>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4D402A2">
            <w:pPr>
              <w:widowControl/>
              <w:jc w:val="center"/>
              <w:textAlignment w:val="bottom"/>
              <w:outlineLvl w:val="4"/>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rPr>
              <w:t>序号</w:t>
            </w:r>
          </w:p>
        </w:tc>
        <w:tc>
          <w:tcPr>
            <w:tcW w:w="5905" w:type="dxa"/>
            <w:tcBorders>
              <w:top w:val="single" w:color="auto" w:sz="4" w:space="0"/>
              <w:left w:val="single" w:color="auto" w:sz="4" w:space="0"/>
              <w:bottom w:val="single" w:color="auto" w:sz="4" w:space="0"/>
              <w:right w:val="single" w:color="auto" w:sz="4" w:space="0"/>
            </w:tcBorders>
            <w:shd w:val="clear" w:color="auto" w:fill="auto"/>
            <w:vAlign w:val="center"/>
          </w:tcPr>
          <w:p w14:paraId="13EFE98F">
            <w:pPr>
              <w:widowControl/>
              <w:jc w:val="center"/>
              <w:textAlignment w:val="bottom"/>
              <w:outlineLvl w:val="4"/>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rPr>
              <w:t>设备名称</w:t>
            </w:r>
          </w:p>
        </w:tc>
        <w:tc>
          <w:tcPr>
            <w:tcW w:w="2855" w:type="dxa"/>
            <w:tcBorders>
              <w:top w:val="single" w:color="auto" w:sz="4" w:space="0"/>
              <w:left w:val="single" w:color="auto" w:sz="4" w:space="0"/>
              <w:bottom w:val="single" w:color="auto" w:sz="4" w:space="0"/>
              <w:right w:val="single" w:color="auto" w:sz="4" w:space="0"/>
            </w:tcBorders>
            <w:shd w:val="clear" w:color="auto" w:fill="auto"/>
            <w:vAlign w:val="center"/>
          </w:tcPr>
          <w:p w14:paraId="42605989">
            <w:pPr>
              <w:widowControl/>
              <w:jc w:val="center"/>
              <w:textAlignment w:val="bottom"/>
              <w:outlineLvl w:val="4"/>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rPr>
              <w:t>设备数量</w:t>
            </w:r>
          </w:p>
        </w:tc>
      </w:tr>
      <w:tr w14:paraId="58495565">
        <w:tblPrEx>
          <w:tblCellMar>
            <w:top w:w="0" w:type="dxa"/>
            <w:left w:w="108" w:type="dxa"/>
            <w:bottom w:w="0" w:type="dxa"/>
            <w:right w:w="108" w:type="dxa"/>
          </w:tblCellMar>
        </w:tblPrEx>
        <w:trPr>
          <w:trHeight w:val="567" w:hRule="atLeast"/>
          <w:jc w:val="center"/>
        </w:trPr>
        <w:tc>
          <w:tcPr>
            <w:tcW w:w="9638" w:type="dxa"/>
            <w:gridSpan w:val="3"/>
            <w:tcBorders>
              <w:top w:val="single" w:color="auto" w:sz="4" w:space="0"/>
              <w:left w:val="single" w:color="auto" w:sz="4" w:space="0"/>
              <w:bottom w:val="single" w:color="auto" w:sz="4" w:space="0"/>
              <w:right w:val="single" w:color="auto" w:sz="4" w:space="0"/>
            </w:tcBorders>
            <w:vAlign w:val="center"/>
          </w:tcPr>
          <w:p w14:paraId="167B0B44">
            <w:pPr>
              <w:widowControl/>
              <w:jc w:val="center"/>
              <w:textAlignment w:val="bottom"/>
              <w:outlineLvl w:val="4"/>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一、监控</w:t>
            </w:r>
          </w:p>
        </w:tc>
      </w:tr>
      <w:tr w14:paraId="3C4D42D1">
        <w:tblPrEx>
          <w:tblCellMar>
            <w:top w:w="0" w:type="dxa"/>
            <w:left w:w="108" w:type="dxa"/>
            <w:bottom w:w="0" w:type="dxa"/>
            <w:right w:w="108" w:type="dxa"/>
          </w:tblCellMar>
        </w:tblPrEx>
        <w:trPr>
          <w:trHeight w:val="56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7E793E75">
            <w:pPr>
              <w:widowControl/>
              <w:jc w:val="center"/>
              <w:textAlignment w:val="bottom"/>
              <w:outlineLvl w:val="4"/>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w:t>
            </w:r>
          </w:p>
        </w:tc>
        <w:tc>
          <w:tcPr>
            <w:tcW w:w="5905" w:type="dxa"/>
            <w:tcBorders>
              <w:top w:val="single" w:color="auto" w:sz="4" w:space="0"/>
              <w:left w:val="single" w:color="auto" w:sz="4" w:space="0"/>
              <w:bottom w:val="single" w:color="auto" w:sz="4" w:space="0"/>
              <w:right w:val="single" w:color="auto" w:sz="4" w:space="0"/>
            </w:tcBorders>
            <w:vAlign w:val="center"/>
          </w:tcPr>
          <w:p w14:paraId="1AE0EBA2">
            <w:pPr>
              <w:widowControl/>
              <w:jc w:val="center"/>
              <w:textAlignment w:val="bottom"/>
              <w:outlineLvl w:val="4"/>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监控设备</w:t>
            </w:r>
          </w:p>
        </w:tc>
        <w:tc>
          <w:tcPr>
            <w:tcW w:w="2855" w:type="dxa"/>
            <w:tcBorders>
              <w:top w:val="single" w:color="auto" w:sz="4" w:space="0"/>
              <w:left w:val="single" w:color="auto" w:sz="4" w:space="0"/>
              <w:bottom w:val="single" w:color="auto" w:sz="4" w:space="0"/>
              <w:right w:val="single" w:color="auto" w:sz="4" w:space="0"/>
            </w:tcBorders>
            <w:vAlign w:val="center"/>
          </w:tcPr>
          <w:p w14:paraId="02FB55B8">
            <w:pPr>
              <w:widowControl/>
              <w:jc w:val="center"/>
              <w:textAlignment w:val="bottom"/>
              <w:outlineLvl w:val="4"/>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120台</w:t>
            </w:r>
          </w:p>
        </w:tc>
      </w:tr>
      <w:tr w14:paraId="6620F185">
        <w:tblPrEx>
          <w:tblCellMar>
            <w:top w:w="0" w:type="dxa"/>
            <w:left w:w="108" w:type="dxa"/>
            <w:bottom w:w="0" w:type="dxa"/>
            <w:right w:w="108" w:type="dxa"/>
          </w:tblCellMar>
        </w:tblPrEx>
        <w:trPr>
          <w:trHeight w:val="567" w:hRule="atLeast"/>
          <w:jc w:val="center"/>
        </w:trPr>
        <w:tc>
          <w:tcPr>
            <w:tcW w:w="9638" w:type="dxa"/>
            <w:gridSpan w:val="3"/>
            <w:tcBorders>
              <w:top w:val="single" w:color="auto" w:sz="4" w:space="0"/>
              <w:left w:val="single" w:color="auto" w:sz="4" w:space="0"/>
              <w:bottom w:val="single" w:color="auto" w:sz="4" w:space="0"/>
              <w:right w:val="single" w:color="auto" w:sz="4" w:space="0"/>
            </w:tcBorders>
            <w:vAlign w:val="center"/>
          </w:tcPr>
          <w:p w14:paraId="4BE3FB85">
            <w:pPr>
              <w:autoSpaceDN w:val="0"/>
              <w:jc w:val="center"/>
              <w:textAlignment w:val="center"/>
              <w:outlineLvl w:val="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rPr>
              <w:t>雷达</w:t>
            </w:r>
          </w:p>
        </w:tc>
      </w:tr>
      <w:tr w14:paraId="190BB8D5">
        <w:tblPrEx>
          <w:tblCellMar>
            <w:top w:w="0" w:type="dxa"/>
            <w:left w:w="108" w:type="dxa"/>
            <w:bottom w:w="0" w:type="dxa"/>
            <w:right w:w="108" w:type="dxa"/>
          </w:tblCellMar>
        </w:tblPrEx>
        <w:trPr>
          <w:trHeight w:val="56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4F95CDE0">
            <w:pPr>
              <w:widowControl/>
              <w:jc w:val="center"/>
              <w:textAlignment w:val="bottom"/>
              <w:outlineLvl w:val="4"/>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cstheme="minorEastAsia"/>
                <w:color w:val="auto"/>
                <w:kern w:val="0"/>
                <w:sz w:val="24"/>
                <w:szCs w:val="24"/>
                <w:highlight w:val="none"/>
                <w:lang w:val="en-US" w:eastAsia="zh-CN"/>
              </w:rPr>
              <w:t>2</w:t>
            </w:r>
          </w:p>
        </w:tc>
        <w:tc>
          <w:tcPr>
            <w:tcW w:w="5905" w:type="dxa"/>
            <w:tcBorders>
              <w:top w:val="single" w:color="auto" w:sz="4" w:space="0"/>
              <w:left w:val="single" w:color="auto" w:sz="4" w:space="0"/>
              <w:bottom w:val="single" w:color="auto" w:sz="4" w:space="0"/>
              <w:right w:val="single" w:color="auto" w:sz="4" w:space="0"/>
            </w:tcBorders>
            <w:vAlign w:val="center"/>
          </w:tcPr>
          <w:p w14:paraId="2807CB15">
            <w:pPr>
              <w:autoSpaceDN w:val="0"/>
              <w:jc w:val="center"/>
              <w:textAlignment w:val="center"/>
              <w:outlineLvl w:val="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雷达</w:t>
            </w:r>
          </w:p>
        </w:tc>
        <w:tc>
          <w:tcPr>
            <w:tcW w:w="2855" w:type="dxa"/>
            <w:tcBorders>
              <w:top w:val="single" w:color="auto" w:sz="4" w:space="0"/>
              <w:left w:val="single" w:color="auto" w:sz="4" w:space="0"/>
              <w:bottom w:val="single" w:color="auto" w:sz="4" w:space="0"/>
              <w:right w:val="single" w:color="auto" w:sz="4" w:space="0"/>
            </w:tcBorders>
            <w:vAlign w:val="center"/>
          </w:tcPr>
          <w:p w14:paraId="239AEFB8">
            <w:pPr>
              <w:autoSpaceDN w:val="0"/>
              <w:jc w:val="center"/>
              <w:textAlignment w:val="center"/>
              <w:outlineLvl w:val="4"/>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10台</w:t>
            </w:r>
          </w:p>
        </w:tc>
      </w:tr>
      <w:tr w14:paraId="44489FED">
        <w:tblPrEx>
          <w:tblCellMar>
            <w:top w:w="0" w:type="dxa"/>
            <w:left w:w="15" w:type="dxa"/>
            <w:bottom w:w="0" w:type="dxa"/>
            <w:right w:w="15" w:type="dxa"/>
          </w:tblCellMar>
        </w:tblPrEx>
        <w:trPr>
          <w:trHeight w:val="567" w:hRule="atLeast"/>
          <w:jc w:val="center"/>
        </w:trPr>
        <w:tc>
          <w:tcPr>
            <w:tcW w:w="9638" w:type="dxa"/>
            <w:gridSpan w:val="3"/>
            <w:tcBorders>
              <w:top w:val="single" w:color="auto" w:sz="4" w:space="0"/>
              <w:left w:val="single" w:color="auto" w:sz="4" w:space="0"/>
              <w:bottom w:val="single" w:color="auto" w:sz="4" w:space="0"/>
              <w:right w:val="single" w:color="auto" w:sz="4" w:space="0"/>
            </w:tcBorders>
            <w:vAlign w:val="center"/>
          </w:tcPr>
          <w:p w14:paraId="42C61713">
            <w:pPr>
              <w:jc w:val="center"/>
              <w:outlineLvl w:val="4"/>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防溺水系统</w:t>
            </w:r>
          </w:p>
        </w:tc>
      </w:tr>
      <w:tr w14:paraId="3D4C0F58">
        <w:tblPrEx>
          <w:tblCellMar>
            <w:top w:w="0" w:type="dxa"/>
            <w:left w:w="15" w:type="dxa"/>
            <w:bottom w:w="0" w:type="dxa"/>
            <w:right w:w="15" w:type="dxa"/>
          </w:tblCellMar>
        </w:tblPrEx>
        <w:trPr>
          <w:trHeight w:val="56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25AED654">
            <w:pPr>
              <w:widowControl/>
              <w:jc w:val="center"/>
              <w:textAlignment w:val="bottom"/>
              <w:outlineLvl w:val="4"/>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cstheme="minorEastAsia"/>
                <w:color w:val="auto"/>
                <w:kern w:val="0"/>
                <w:sz w:val="24"/>
                <w:szCs w:val="24"/>
                <w:highlight w:val="none"/>
                <w:lang w:val="en-US" w:eastAsia="zh-CN"/>
              </w:rPr>
              <w:t>3</w:t>
            </w:r>
          </w:p>
        </w:tc>
        <w:tc>
          <w:tcPr>
            <w:tcW w:w="5905" w:type="dxa"/>
            <w:tcBorders>
              <w:top w:val="single" w:color="auto" w:sz="4" w:space="0"/>
              <w:left w:val="single" w:color="auto" w:sz="4" w:space="0"/>
              <w:bottom w:val="single" w:color="auto" w:sz="4" w:space="0"/>
              <w:right w:val="single" w:color="auto" w:sz="4" w:space="0"/>
            </w:tcBorders>
            <w:vAlign w:val="center"/>
          </w:tcPr>
          <w:p w14:paraId="56F0E22D">
            <w:pPr>
              <w:autoSpaceDN w:val="0"/>
              <w:jc w:val="center"/>
              <w:textAlignment w:val="center"/>
              <w:outlineLvl w:val="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激光设备</w:t>
            </w:r>
          </w:p>
        </w:tc>
        <w:tc>
          <w:tcPr>
            <w:tcW w:w="2855" w:type="dxa"/>
            <w:tcBorders>
              <w:top w:val="single" w:color="auto" w:sz="4" w:space="0"/>
              <w:left w:val="single" w:color="auto" w:sz="4" w:space="0"/>
              <w:bottom w:val="single" w:color="auto" w:sz="4" w:space="0"/>
              <w:right w:val="single" w:color="auto" w:sz="4" w:space="0"/>
            </w:tcBorders>
            <w:vAlign w:val="center"/>
          </w:tcPr>
          <w:p w14:paraId="1C001EA7">
            <w:pPr>
              <w:autoSpaceDN w:val="0"/>
              <w:jc w:val="center"/>
              <w:textAlignment w:val="center"/>
              <w:outlineLvl w:val="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4套</w:t>
            </w:r>
          </w:p>
        </w:tc>
      </w:tr>
      <w:tr w14:paraId="18CD22F6">
        <w:tblPrEx>
          <w:tblCellMar>
            <w:top w:w="0" w:type="dxa"/>
            <w:left w:w="15" w:type="dxa"/>
            <w:bottom w:w="0" w:type="dxa"/>
            <w:right w:w="15" w:type="dxa"/>
          </w:tblCellMar>
        </w:tblPrEx>
        <w:trPr>
          <w:trHeight w:val="567"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14:paraId="251F778C">
            <w:pPr>
              <w:widowControl/>
              <w:jc w:val="center"/>
              <w:textAlignment w:val="bottom"/>
              <w:outlineLvl w:val="4"/>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cstheme="minorEastAsia"/>
                <w:color w:val="auto"/>
                <w:kern w:val="0"/>
                <w:sz w:val="24"/>
                <w:szCs w:val="24"/>
                <w:highlight w:val="none"/>
                <w:lang w:val="en-US" w:eastAsia="zh-CN"/>
              </w:rPr>
              <w:t>4</w:t>
            </w:r>
          </w:p>
        </w:tc>
        <w:tc>
          <w:tcPr>
            <w:tcW w:w="5905" w:type="dxa"/>
            <w:tcBorders>
              <w:top w:val="single" w:color="auto" w:sz="4" w:space="0"/>
              <w:left w:val="single" w:color="auto" w:sz="4" w:space="0"/>
              <w:bottom w:val="single" w:color="auto" w:sz="4" w:space="0"/>
              <w:right w:val="single" w:color="auto" w:sz="4" w:space="0"/>
            </w:tcBorders>
            <w:vAlign w:val="center"/>
          </w:tcPr>
          <w:p w14:paraId="3EFBDF40">
            <w:pPr>
              <w:autoSpaceDN w:val="0"/>
              <w:jc w:val="center"/>
              <w:textAlignment w:val="center"/>
              <w:outlineLvl w:val="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桥梁音柱</w:t>
            </w:r>
          </w:p>
        </w:tc>
        <w:tc>
          <w:tcPr>
            <w:tcW w:w="2855" w:type="dxa"/>
            <w:tcBorders>
              <w:top w:val="single" w:color="auto" w:sz="4" w:space="0"/>
              <w:left w:val="single" w:color="auto" w:sz="4" w:space="0"/>
              <w:bottom w:val="single" w:color="auto" w:sz="4" w:space="0"/>
              <w:right w:val="single" w:color="auto" w:sz="4" w:space="0"/>
            </w:tcBorders>
            <w:vAlign w:val="center"/>
          </w:tcPr>
          <w:p w14:paraId="40B463F3">
            <w:pPr>
              <w:autoSpaceDN w:val="0"/>
              <w:jc w:val="center"/>
              <w:textAlignment w:val="center"/>
              <w:outlineLvl w:val="4"/>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16台</w:t>
            </w:r>
          </w:p>
        </w:tc>
      </w:tr>
    </w:tbl>
    <w:p w14:paraId="0516DE55">
      <w:pPr>
        <w:spacing w:line="5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四、主要备品备件设备清单</w:t>
      </w:r>
    </w:p>
    <w:tbl>
      <w:tblPr>
        <w:tblStyle w:val="34"/>
        <w:tblW w:w="9638" w:type="dxa"/>
        <w:jc w:val="center"/>
        <w:tblLayout w:type="fixed"/>
        <w:tblCellMar>
          <w:top w:w="0" w:type="dxa"/>
          <w:left w:w="108" w:type="dxa"/>
          <w:bottom w:w="0" w:type="dxa"/>
          <w:right w:w="108" w:type="dxa"/>
        </w:tblCellMar>
      </w:tblPr>
      <w:tblGrid>
        <w:gridCol w:w="878"/>
        <w:gridCol w:w="5905"/>
        <w:gridCol w:w="2855"/>
      </w:tblGrid>
      <w:tr w14:paraId="18710F9E">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064BC69A">
            <w:pPr>
              <w:widowControl/>
              <w:jc w:val="center"/>
              <w:textAlignment w:val="center"/>
              <w:rPr>
                <w:rFonts w:hint="eastAsia" w:asciiTheme="minorEastAsia" w:hAnsiTheme="minorEastAsia" w:eastAsiaTheme="minorEastAsia" w:cstheme="minorEastAsia"/>
                <w:b/>
                <w:bCs/>
                <w:color w:val="auto"/>
                <w:sz w:val="24"/>
                <w:szCs w:val="28"/>
                <w:highlight w:val="none"/>
              </w:rPr>
            </w:pPr>
            <w:r>
              <w:rPr>
                <w:rFonts w:hint="eastAsia" w:asciiTheme="minorEastAsia" w:hAnsiTheme="minorEastAsia" w:eastAsiaTheme="minorEastAsia" w:cstheme="minorEastAsia"/>
                <w:b/>
                <w:bCs/>
                <w:color w:val="auto"/>
                <w:kern w:val="0"/>
                <w:sz w:val="24"/>
                <w:szCs w:val="24"/>
                <w:highlight w:val="none"/>
              </w:rPr>
              <w:t>序号</w:t>
            </w:r>
          </w:p>
        </w:tc>
        <w:tc>
          <w:tcPr>
            <w:tcW w:w="5905" w:type="dxa"/>
            <w:tcBorders>
              <w:top w:val="single" w:color="000000" w:sz="4" w:space="0"/>
              <w:left w:val="single" w:color="000000" w:sz="4" w:space="0"/>
              <w:bottom w:val="single" w:color="000000" w:sz="4" w:space="0"/>
              <w:right w:val="single" w:color="000000" w:sz="4" w:space="0"/>
            </w:tcBorders>
            <w:vAlign w:val="center"/>
          </w:tcPr>
          <w:p w14:paraId="0793758A">
            <w:pPr>
              <w:widowControl/>
              <w:jc w:val="center"/>
              <w:textAlignment w:val="center"/>
              <w:rPr>
                <w:rFonts w:hint="eastAsia" w:asciiTheme="minorEastAsia" w:hAnsiTheme="minorEastAsia" w:eastAsiaTheme="minorEastAsia" w:cstheme="minorEastAsia"/>
                <w:b/>
                <w:bCs/>
                <w:color w:val="auto"/>
                <w:sz w:val="24"/>
                <w:szCs w:val="28"/>
                <w:highlight w:val="none"/>
              </w:rPr>
            </w:pPr>
            <w:r>
              <w:rPr>
                <w:rFonts w:hint="eastAsia" w:asciiTheme="minorEastAsia" w:hAnsiTheme="minorEastAsia" w:eastAsiaTheme="minorEastAsia" w:cstheme="minorEastAsia"/>
                <w:b/>
                <w:bCs/>
                <w:color w:val="auto"/>
                <w:kern w:val="0"/>
                <w:sz w:val="24"/>
                <w:szCs w:val="24"/>
                <w:highlight w:val="none"/>
              </w:rPr>
              <w:t>设备</w:t>
            </w:r>
          </w:p>
        </w:tc>
        <w:tc>
          <w:tcPr>
            <w:tcW w:w="2855" w:type="dxa"/>
            <w:tcBorders>
              <w:top w:val="single" w:color="000000" w:sz="4" w:space="0"/>
              <w:left w:val="single" w:color="000000" w:sz="4" w:space="0"/>
              <w:bottom w:val="single" w:color="000000" w:sz="4" w:space="0"/>
              <w:right w:val="single" w:color="000000" w:sz="4" w:space="0"/>
            </w:tcBorders>
            <w:vAlign w:val="center"/>
          </w:tcPr>
          <w:p w14:paraId="46E0E24B">
            <w:pPr>
              <w:widowControl/>
              <w:jc w:val="center"/>
              <w:textAlignment w:val="center"/>
              <w:rPr>
                <w:rFonts w:hint="eastAsia" w:asciiTheme="minorEastAsia" w:hAnsiTheme="minorEastAsia" w:eastAsiaTheme="minorEastAsia" w:cstheme="minorEastAsia"/>
                <w:b/>
                <w:bCs/>
                <w:color w:val="auto"/>
                <w:sz w:val="24"/>
                <w:szCs w:val="28"/>
                <w:highlight w:val="none"/>
              </w:rPr>
            </w:pPr>
            <w:r>
              <w:rPr>
                <w:rFonts w:hint="eastAsia" w:asciiTheme="minorEastAsia" w:hAnsiTheme="minorEastAsia" w:eastAsiaTheme="minorEastAsia" w:cstheme="minorEastAsia"/>
                <w:b/>
                <w:bCs/>
                <w:color w:val="auto"/>
                <w:kern w:val="0"/>
                <w:sz w:val="24"/>
                <w:szCs w:val="24"/>
                <w:highlight w:val="none"/>
              </w:rPr>
              <w:t>更换数量上限（个/年）</w:t>
            </w:r>
          </w:p>
        </w:tc>
      </w:tr>
      <w:tr w14:paraId="6338D6FD">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438F528F">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kern w:val="0"/>
                <w:sz w:val="24"/>
                <w:szCs w:val="24"/>
                <w:highlight w:val="none"/>
              </w:rPr>
              <w:t>1</w:t>
            </w:r>
          </w:p>
        </w:tc>
        <w:tc>
          <w:tcPr>
            <w:tcW w:w="5905" w:type="dxa"/>
            <w:tcBorders>
              <w:top w:val="single" w:color="000000" w:sz="4" w:space="0"/>
              <w:left w:val="single" w:color="000000" w:sz="4" w:space="0"/>
              <w:bottom w:val="single" w:color="000000" w:sz="4" w:space="0"/>
              <w:right w:val="single" w:color="000000" w:sz="4" w:space="0"/>
            </w:tcBorders>
            <w:vAlign w:val="center"/>
          </w:tcPr>
          <w:p w14:paraId="09E0545E">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kern w:val="0"/>
                <w:sz w:val="24"/>
                <w:szCs w:val="24"/>
                <w:highlight w:val="none"/>
              </w:rPr>
              <w:t>400W红外高清网络球机</w:t>
            </w:r>
          </w:p>
        </w:tc>
        <w:tc>
          <w:tcPr>
            <w:tcW w:w="2855" w:type="dxa"/>
            <w:tcBorders>
              <w:top w:val="single" w:color="000000" w:sz="4" w:space="0"/>
              <w:left w:val="single" w:color="000000" w:sz="4" w:space="0"/>
              <w:bottom w:val="single" w:color="000000" w:sz="4" w:space="0"/>
              <w:right w:val="single" w:color="000000" w:sz="4" w:space="0"/>
            </w:tcBorders>
            <w:vAlign w:val="center"/>
          </w:tcPr>
          <w:p w14:paraId="463B417A">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72</w:t>
            </w:r>
          </w:p>
        </w:tc>
      </w:tr>
      <w:tr w14:paraId="0E919C27">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1BE68B7A">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w:t>
            </w:r>
          </w:p>
        </w:tc>
        <w:tc>
          <w:tcPr>
            <w:tcW w:w="5905" w:type="dxa"/>
            <w:tcBorders>
              <w:top w:val="single" w:color="000000" w:sz="4" w:space="0"/>
              <w:left w:val="single" w:color="000000" w:sz="4" w:space="0"/>
              <w:bottom w:val="single" w:color="000000" w:sz="4" w:space="0"/>
              <w:right w:val="single" w:color="000000" w:sz="4" w:space="0"/>
            </w:tcBorders>
            <w:vAlign w:val="center"/>
          </w:tcPr>
          <w:p w14:paraId="59404831">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kern w:val="0"/>
                <w:sz w:val="24"/>
                <w:szCs w:val="24"/>
                <w:highlight w:val="none"/>
              </w:rPr>
              <w:t>800W红外高清网络球机</w:t>
            </w:r>
          </w:p>
        </w:tc>
        <w:tc>
          <w:tcPr>
            <w:tcW w:w="2855" w:type="dxa"/>
            <w:tcBorders>
              <w:top w:val="single" w:color="000000" w:sz="4" w:space="0"/>
              <w:left w:val="single" w:color="000000" w:sz="4" w:space="0"/>
              <w:bottom w:val="single" w:color="000000" w:sz="4" w:space="0"/>
              <w:right w:val="single" w:color="000000" w:sz="4" w:space="0"/>
            </w:tcBorders>
            <w:vAlign w:val="center"/>
          </w:tcPr>
          <w:p w14:paraId="4325FC76">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13</w:t>
            </w:r>
          </w:p>
        </w:tc>
      </w:tr>
      <w:tr w14:paraId="62D147F4">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5F5EF2CB">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w:t>
            </w:r>
          </w:p>
        </w:tc>
        <w:tc>
          <w:tcPr>
            <w:tcW w:w="5905" w:type="dxa"/>
            <w:tcBorders>
              <w:top w:val="single" w:color="000000" w:sz="4" w:space="0"/>
              <w:left w:val="single" w:color="000000" w:sz="4" w:space="0"/>
              <w:bottom w:val="single" w:color="000000" w:sz="4" w:space="0"/>
              <w:right w:val="single" w:color="000000" w:sz="4" w:space="0"/>
            </w:tcBorders>
            <w:vAlign w:val="center"/>
          </w:tcPr>
          <w:p w14:paraId="2F381B17">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kern w:val="0"/>
                <w:sz w:val="24"/>
                <w:szCs w:val="24"/>
                <w:highlight w:val="none"/>
              </w:rPr>
              <w:t>400W AI</w:t>
            </w:r>
            <w:r>
              <w:rPr>
                <w:rFonts w:hint="eastAsia" w:asciiTheme="minorEastAsia" w:hAnsiTheme="minorEastAsia" w:cstheme="minorEastAsia"/>
                <w:color w:val="auto"/>
                <w:kern w:val="0"/>
                <w:sz w:val="24"/>
                <w:szCs w:val="24"/>
                <w:highlight w:val="none"/>
                <w:lang w:val="en-US" w:eastAsia="zh-CN"/>
              </w:rPr>
              <w:t xml:space="preserve">  RL</w:t>
            </w:r>
            <w:r>
              <w:rPr>
                <w:rFonts w:hint="eastAsia" w:asciiTheme="minorEastAsia" w:hAnsiTheme="minorEastAsia" w:eastAsiaTheme="minorEastAsia" w:cstheme="minorEastAsia"/>
                <w:color w:val="auto"/>
                <w:kern w:val="0"/>
                <w:sz w:val="24"/>
                <w:szCs w:val="24"/>
                <w:highlight w:val="none"/>
              </w:rPr>
              <w:t>识别相机</w:t>
            </w:r>
          </w:p>
        </w:tc>
        <w:tc>
          <w:tcPr>
            <w:tcW w:w="2855" w:type="dxa"/>
            <w:tcBorders>
              <w:top w:val="single" w:color="000000" w:sz="4" w:space="0"/>
              <w:left w:val="single" w:color="000000" w:sz="4" w:space="0"/>
              <w:bottom w:val="single" w:color="000000" w:sz="4" w:space="0"/>
              <w:right w:val="single" w:color="000000" w:sz="4" w:space="0"/>
            </w:tcBorders>
            <w:vAlign w:val="center"/>
          </w:tcPr>
          <w:p w14:paraId="555925E1">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6</w:t>
            </w:r>
          </w:p>
        </w:tc>
      </w:tr>
      <w:tr w14:paraId="375F8B97">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2816D882">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4</w:t>
            </w:r>
          </w:p>
        </w:tc>
        <w:tc>
          <w:tcPr>
            <w:tcW w:w="5905" w:type="dxa"/>
            <w:tcBorders>
              <w:top w:val="single" w:color="000000" w:sz="4" w:space="0"/>
              <w:left w:val="single" w:color="000000" w:sz="4" w:space="0"/>
              <w:bottom w:val="single" w:color="000000" w:sz="4" w:space="0"/>
              <w:right w:val="single" w:color="000000" w:sz="4" w:space="0"/>
            </w:tcBorders>
            <w:vAlign w:val="center"/>
          </w:tcPr>
          <w:p w14:paraId="6141D80F">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270°AR全景设备</w:t>
            </w:r>
          </w:p>
        </w:tc>
        <w:tc>
          <w:tcPr>
            <w:tcW w:w="2855" w:type="dxa"/>
            <w:tcBorders>
              <w:top w:val="single" w:color="000000" w:sz="4" w:space="0"/>
              <w:left w:val="single" w:color="000000" w:sz="4" w:space="0"/>
              <w:bottom w:val="single" w:color="000000" w:sz="4" w:space="0"/>
              <w:right w:val="single" w:color="000000" w:sz="4" w:space="0"/>
            </w:tcBorders>
            <w:vAlign w:val="center"/>
          </w:tcPr>
          <w:p w14:paraId="4A5BD645">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19</w:t>
            </w:r>
          </w:p>
        </w:tc>
      </w:tr>
      <w:tr w14:paraId="71B16545">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3A46369E">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5</w:t>
            </w:r>
          </w:p>
        </w:tc>
        <w:tc>
          <w:tcPr>
            <w:tcW w:w="5905" w:type="dxa"/>
            <w:tcBorders>
              <w:top w:val="single" w:color="000000" w:sz="4" w:space="0"/>
              <w:left w:val="single" w:color="000000" w:sz="4" w:space="0"/>
              <w:bottom w:val="single" w:color="000000" w:sz="4" w:space="0"/>
              <w:right w:val="single" w:color="000000" w:sz="4" w:space="0"/>
            </w:tcBorders>
            <w:vAlign w:val="center"/>
          </w:tcPr>
          <w:p w14:paraId="7B19F8B3">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1200W定焦四目拼接枪型网络摄像机</w:t>
            </w:r>
          </w:p>
        </w:tc>
        <w:tc>
          <w:tcPr>
            <w:tcW w:w="2855" w:type="dxa"/>
            <w:tcBorders>
              <w:top w:val="single" w:color="000000" w:sz="4" w:space="0"/>
              <w:left w:val="single" w:color="000000" w:sz="4" w:space="0"/>
              <w:bottom w:val="single" w:color="000000" w:sz="4" w:space="0"/>
              <w:right w:val="single" w:color="000000" w:sz="4" w:space="0"/>
            </w:tcBorders>
            <w:vAlign w:val="center"/>
          </w:tcPr>
          <w:p w14:paraId="6250CE88">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8</w:t>
            </w:r>
          </w:p>
        </w:tc>
      </w:tr>
      <w:tr w14:paraId="5C999246">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1407F458">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6</w:t>
            </w:r>
          </w:p>
        </w:tc>
        <w:tc>
          <w:tcPr>
            <w:tcW w:w="5905" w:type="dxa"/>
            <w:tcBorders>
              <w:top w:val="single" w:color="000000" w:sz="4" w:space="0"/>
              <w:left w:val="single" w:color="000000" w:sz="4" w:space="0"/>
              <w:bottom w:val="single" w:color="000000" w:sz="4" w:space="0"/>
              <w:right w:val="single" w:color="000000" w:sz="4" w:space="0"/>
            </w:tcBorders>
            <w:vAlign w:val="center"/>
          </w:tcPr>
          <w:p w14:paraId="6AA76AA2">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高清200W重载激光一体化云台</w:t>
            </w:r>
          </w:p>
        </w:tc>
        <w:tc>
          <w:tcPr>
            <w:tcW w:w="2855" w:type="dxa"/>
            <w:tcBorders>
              <w:top w:val="single" w:color="000000" w:sz="4" w:space="0"/>
              <w:left w:val="single" w:color="000000" w:sz="4" w:space="0"/>
              <w:bottom w:val="single" w:color="000000" w:sz="4" w:space="0"/>
              <w:right w:val="single" w:color="000000" w:sz="4" w:space="0"/>
            </w:tcBorders>
            <w:vAlign w:val="center"/>
          </w:tcPr>
          <w:p w14:paraId="5092F33C">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w:t>
            </w:r>
          </w:p>
        </w:tc>
      </w:tr>
      <w:tr w14:paraId="6A1DE70A">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62DB95F9">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7</w:t>
            </w:r>
          </w:p>
        </w:tc>
        <w:tc>
          <w:tcPr>
            <w:tcW w:w="5905" w:type="dxa"/>
            <w:tcBorders>
              <w:top w:val="single" w:color="000000" w:sz="4" w:space="0"/>
              <w:left w:val="single" w:color="000000" w:sz="4" w:space="0"/>
              <w:bottom w:val="single" w:color="000000" w:sz="4" w:space="0"/>
              <w:right w:val="single" w:color="000000" w:sz="4" w:space="0"/>
            </w:tcBorders>
            <w:vAlign w:val="center"/>
          </w:tcPr>
          <w:p w14:paraId="27067C5E">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前端设备箱（智能机箱）</w:t>
            </w:r>
          </w:p>
        </w:tc>
        <w:tc>
          <w:tcPr>
            <w:tcW w:w="2855" w:type="dxa"/>
            <w:tcBorders>
              <w:top w:val="single" w:color="000000" w:sz="4" w:space="0"/>
              <w:left w:val="single" w:color="000000" w:sz="4" w:space="0"/>
              <w:bottom w:val="single" w:color="000000" w:sz="4" w:space="0"/>
              <w:right w:val="single" w:color="000000" w:sz="4" w:space="0"/>
            </w:tcBorders>
            <w:vAlign w:val="center"/>
          </w:tcPr>
          <w:p w14:paraId="15727D81">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56</w:t>
            </w:r>
          </w:p>
        </w:tc>
      </w:tr>
      <w:tr w14:paraId="5AA6133F">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1A3D0F25">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8</w:t>
            </w:r>
          </w:p>
        </w:tc>
        <w:tc>
          <w:tcPr>
            <w:tcW w:w="5905" w:type="dxa"/>
            <w:tcBorders>
              <w:top w:val="single" w:color="000000" w:sz="4" w:space="0"/>
              <w:left w:val="single" w:color="000000" w:sz="4" w:space="0"/>
              <w:bottom w:val="single" w:color="000000" w:sz="4" w:space="0"/>
              <w:right w:val="single" w:color="000000" w:sz="4" w:space="0"/>
            </w:tcBorders>
            <w:vAlign w:val="center"/>
          </w:tcPr>
          <w:p w14:paraId="76B95E39">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音柱</w:t>
            </w:r>
          </w:p>
        </w:tc>
        <w:tc>
          <w:tcPr>
            <w:tcW w:w="2855" w:type="dxa"/>
            <w:tcBorders>
              <w:top w:val="single" w:color="000000" w:sz="4" w:space="0"/>
              <w:left w:val="single" w:color="000000" w:sz="4" w:space="0"/>
              <w:bottom w:val="single" w:color="000000" w:sz="4" w:space="0"/>
              <w:right w:val="single" w:color="000000" w:sz="4" w:space="0"/>
            </w:tcBorders>
            <w:vAlign w:val="center"/>
          </w:tcPr>
          <w:p w14:paraId="07461A0C">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16</w:t>
            </w:r>
          </w:p>
        </w:tc>
      </w:tr>
      <w:tr w14:paraId="2A73E1FF">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3CD7111A">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9</w:t>
            </w:r>
          </w:p>
        </w:tc>
        <w:tc>
          <w:tcPr>
            <w:tcW w:w="5905" w:type="dxa"/>
            <w:tcBorders>
              <w:top w:val="single" w:color="000000" w:sz="4" w:space="0"/>
              <w:left w:val="single" w:color="000000" w:sz="4" w:space="0"/>
              <w:bottom w:val="single" w:color="000000" w:sz="4" w:space="0"/>
              <w:right w:val="single" w:color="000000" w:sz="4" w:space="0"/>
            </w:tcBorders>
            <w:vAlign w:val="center"/>
          </w:tcPr>
          <w:p w14:paraId="2F0C5EDB">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毫米波雷达</w:t>
            </w:r>
          </w:p>
        </w:tc>
        <w:tc>
          <w:tcPr>
            <w:tcW w:w="2855" w:type="dxa"/>
            <w:tcBorders>
              <w:top w:val="single" w:color="000000" w:sz="4" w:space="0"/>
              <w:left w:val="single" w:color="000000" w:sz="4" w:space="0"/>
              <w:bottom w:val="single" w:color="000000" w:sz="4" w:space="0"/>
              <w:right w:val="single" w:color="000000" w:sz="4" w:space="0"/>
            </w:tcBorders>
            <w:vAlign w:val="center"/>
          </w:tcPr>
          <w:p w14:paraId="591F0CD4">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10</w:t>
            </w:r>
          </w:p>
        </w:tc>
      </w:tr>
      <w:tr w14:paraId="7E126E4F">
        <w:tblPrEx>
          <w:tblCellMar>
            <w:top w:w="0" w:type="dxa"/>
            <w:left w:w="108" w:type="dxa"/>
            <w:bottom w:w="0" w:type="dxa"/>
            <w:right w:w="108" w:type="dxa"/>
          </w:tblCellMar>
        </w:tblPrEx>
        <w:trPr>
          <w:trHeight w:val="567" w:hRule="exact"/>
          <w:jc w:val="center"/>
        </w:trPr>
        <w:tc>
          <w:tcPr>
            <w:tcW w:w="878" w:type="dxa"/>
            <w:tcBorders>
              <w:top w:val="single" w:color="000000" w:sz="4" w:space="0"/>
              <w:left w:val="single" w:color="000000" w:sz="4" w:space="0"/>
              <w:bottom w:val="single" w:color="000000" w:sz="4" w:space="0"/>
              <w:right w:val="single" w:color="000000" w:sz="4" w:space="0"/>
            </w:tcBorders>
            <w:vAlign w:val="center"/>
          </w:tcPr>
          <w:p w14:paraId="0EA46318">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10</w:t>
            </w:r>
          </w:p>
        </w:tc>
        <w:tc>
          <w:tcPr>
            <w:tcW w:w="5905" w:type="dxa"/>
            <w:tcBorders>
              <w:top w:val="single" w:color="000000" w:sz="4" w:space="0"/>
              <w:left w:val="single" w:color="000000" w:sz="4" w:space="0"/>
              <w:bottom w:val="single" w:color="000000" w:sz="4" w:space="0"/>
              <w:right w:val="single" w:color="000000" w:sz="4" w:space="0"/>
            </w:tcBorders>
            <w:vAlign w:val="center"/>
          </w:tcPr>
          <w:p w14:paraId="68A76D2A">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激光入侵探测器</w:t>
            </w:r>
          </w:p>
        </w:tc>
        <w:tc>
          <w:tcPr>
            <w:tcW w:w="2855" w:type="dxa"/>
            <w:tcBorders>
              <w:top w:val="single" w:color="000000" w:sz="4" w:space="0"/>
              <w:left w:val="single" w:color="000000" w:sz="4" w:space="0"/>
              <w:bottom w:val="single" w:color="000000" w:sz="4" w:space="0"/>
              <w:right w:val="single" w:color="000000" w:sz="4" w:space="0"/>
            </w:tcBorders>
            <w:vAlign w:val="center"/>
          </w:tcPr>
          <w:p w14:paraId="499DA0FB">
            <w:pPr>
              <w:widowControl/>
              <w:jc w:val="center"/>
              <w:textAlignment w:val="center"/>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8</w:t>
            </w:r>
          </w:p>
        </w:tc>
      </w:tr>
    </w:tbl>
    <w:p w14:paraId="07F3FF77">
      <w:pPr>
        <w:pStyle w:val="248"/>
        <w:keepNext w:val="0"/>
        <w:keepLines w:val="0"/>
        <w:pageBreakBefore w:val="0"/>
        <w:widowControl w:val="0"/>
        <w:kinsoku/>
        <w:wordWrap/>
        <w:overflowPunct/>
        <w:topLinePunct w:val="0"/>
        <w:autoSpaceDE/>
        <w:autoSpaceDN/>
        <w:bidi w:val="0"/>
        <w:adjustRightInd w:val="0"/>
        <w:snapToGrid/>
        <w:spacing w:line="5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投标人应为本项目提供常用产品的备品备件，保证设备运行状态良好，满足原设备功能，投标人应结合实际情况，充分考虑自行配置的备品备件数量。</w:t>
      </w:r>
    </w:p>
    <w:p w14:paraId="57CF6433">
      <w:pPr>
        <w:pStyle w:val="248"/>
        <w:keepNext w:val="0"/>
        <w:keepLines w:val="0"/>
        <w:pageBreakBefore w:val="0"/>
        <w:widowControl w:val="0"/>
        <w:kinsoku/>
        <w:wordWrap/>
        <w:overflowPunct/>
        <w:topLinePunct w:val="0"/>
        <w:autoSpaceDE/>
        <w:autoSpaceDN/>
        <w:bidi w:val="0"/>
        <w:adjustRightInd w:val="0"/>
        <w:snapToGrid/>
        <w:spacing w:line="50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更换后的废旧设备中标人提供场地储存，等待采购人确认处理方式后进行集中处理，备品备件在不超出更换数量上限的情况下费用由投标人自行承担，超出部分按照实际使用数量另由双方商议。</w:t>
      </w:r>
    </w:p>
    <w:p w14:paraId="728E61BA">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lang w:val="en-US" w:eastAsia="zh-CN"/>
        </w:rPr>
        <w:t>五</w:t>
      </w:r>
      <w:r>
        <w:rPr>
          <w:rFonts w:hint="eastAsia" w:asciiTheme="minorEastAsia" w:hAnsiTheme="minorEastAsia" w:eastAsiaTheme="minorEastAsia" w:cstheme="minorEastAsia"/>
          <w:b/>
          <w:color w:val="auto"/>
          <w:sz w:val="24"/>
          <w:szCs w:val="24"/>
          <w:highlight w:val="none"/>
        </w:rPr>
        <w:t>、踏勘现场</w:t>
      </w:r>
    </w:p>
    <w:p w14:paraId="4521DE1F">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b/>
          <w:color w:val="auto"/>
          <w:sz w:val="24"/>
          <w:szCs w:val="21"/>
          <w:highlight w:val="none"/>
        </w:rPr>
      </w:pPr>
      <w:r>
        <w:rPr>
          <w:rFonts w:hint="eastAsia" w:asciiTheme="minorEastAsia" w:hAnsiTheme="minorEastAsia" w:eastAsiaTheme="minorEastAsia" w:cstheme="minorEastAsia"/>
          <w:color w:val="auto"/>
          <w:sz w:val="24"/>
          <w:szCs w:val="24"/>
          <w:highlight w:val="none"/>
        </w:rPr>
        <w:t>因本项目报价需联系现场实际情况，所以各投标人投标前应踏勘现场以了解项目实际情况。现场踏勘联系人：</w:t>
      </w:r>
      <w:r>
        <w:rPr>
          <w:rFonts w:hint="eastAsia" w:asciiTheme="minorEastAsia" w:hAnsiTheme="minorEastAsia" w:eastAsiaTheme="minorEastAsia" w:cstheme="minorEastAsia"/>
          <w:color w:val="auto"/>
          <w:sz w:val="24"/>
          <w:szCs w:val="21"/>
          <w:highlight w:val="none"/>
          <w:u w:val="single"/>
        </w:rPr>
        <w:t>刘警官</w:t>
      </w:r>
      <w:r>
        <w:rPr>
          <w:rFonts w:hint="eastAsia" w:asciiTheme="minorEastAsia" w:hAnsiTheme="minorEastAsia" w:eastAsiaTheme="minorEastAsia" w:cstheme="minorEastAsia"/>
          <w:color w:val="auto"/>
          <w:sz w:val="24"/>
          <w:szCs w:val="24"/>
          <w:highlight w:val="none"/>
        </w:rPr>
        <w:t>，联系电话：0515-8322389</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；踏勘时间：202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点-下午</w:t>
      </w:r>
      <w:r>
        <w:rPr>
          <w:rFonts w:hint="eastAsia" w:asciiTheme="minorEastAsia" w:hAnsiTheme="minorEastAsia" w:cstheme="minorEastAsia"/>
          <w:color w:val="auto"/>
          <w:sz w:val="24"/>
          <w:szCs w:val="24"/>
          <w:highlight w:val="none"/>
          <w:lang w:val="en-US" w:eastAsia="zh-CN"/>
        </w:rPr>
        <w:t>17</w:t>
      </w:r>
      <w:r>
        <w:rPr>
          <w:rFonts w:hint="eastAsia" w:asciiTheme="minorEastAsia" w:hAnsiTheme="minorEastAsia" w:eastAsiaTheme="minorEastAsia" w:cstheme="minorEastAsia"/>
          <w:color w:val="auto"/>
          <w:sz w:val="24"/>
          <w:szCs w:val="24"/>
          <w:highlight w:val="none"/>
        </w:rPr>
        <w:t>点，现场踏勘时须确保完全了解项目情况，并充分了解项目</w:t>
      </w:r>
      <w:r>
        <w:rPr>
          <w:rFonts w:hint="eastAsia" w:asciiTheme="minorEastAsia" w:hAnsiTheme="minorEastAsia" w:cstheme="minorEastAsia"/>
          <w:color w:val="auto"/>
          <w:sz w:val="24"/>
          <w:szCs w:val="24"/>
          <w:highlight w:val="none"/>
          <w:lang w:val="en-US" w:eastAsia="zh-CN"/>
        </w:rPr>
        <w:t>各设备具体</w:t>
      </w:r>
      <w:r>
        <w:rPr>
          <w:rFonts w:hint="eastAsia" w:asciiTheme="minorEastAsia" w:hAnsiTheme="minorEastAsia" w:eastAsiaTheme="minorEastAsia" w:cstheme="minorEastAsia"/>
          <w:color w:val="auto"/>
          <w:sz w:val="24"/>
          <w:szCs w:val="24"/>
          <w:highlight w:val="none"/>
        </w:rPr>
        <w:t>位置、</w:t>
      </w:r>
      <w:r>
        <w:rPr>
          <w:rFonts w:hint="eastAsia" w:asciiTheme="minorEastAsia" w:hAnsiTheme="minorEastAsia" w:cstheme="minorEastAsia"/>
          <w:color w:val="auto"/>
          <w:sz w:val="24"/>
          <w:szCs w:val="24"/>
          <w:highlight w:val="none"/>
          <w:lang w:val="en-US" w:eastAsia="zh-CN"/>
        </w:rPr>
        <w:t>原设备功能参数</w:t>
      </w:r>
      <w:r>
        <w:rPr>
          <w:rFonts w:hint="eastAsia" w:asciiTheme="minorEastAsia" w:hAnsiTheme="minorEastAsia" w:eastAsiaTheme="minorEastAsia" w:cstheme="minorEastAsia"/>
          <w:color w:val="auto"/>
          <w:sz w:val="24"/>
          <w:szCs w:val="24"/>
          <w:highlight w:val="none"/>
        </w:rPr>
        <w:t>及任何其它足以影响报价的情况，并根据现场的实际情况将可预见的相关费用（包括地方矛盾）自行考虑到投标报价中。投标人的踏勘现场发生的费用自理，自行承担在踏勘现场中所发生的人员伤亡和财产损失。采购人向投标人提供的有关现场的数据和资料，是采购人现有的能够被投标供应商利用的资料，采购人对投标人做出的任何推论、理解和结论均不负责任。</w:t>
      </w:r>
    </w:p>
    <w:p w14:paraId="651469FD">
      <w:pPr>
        <w:keepNext w:val="0"/>
        <w:keepLines w:val="0"/>
        <w:pageBreakBefore w:val="0"/>
        <w:widowControl w:val="0"/>
        <w:kinsoku/>
        <w:wordWrap/>
        <w:overflowPunct/>
        <w:topLinePunct w:val="0"/>
        <w:autoSpaceDE/>
        <w:autoSpaceDN/>
        <w:bidi w:val="0"/>
        <w:spacing w:line="500" w:lineRule="exact"/>
        <w:textAlignment w:val="auto"/>
        <w:rPr>
          <w:rFonts w:hint="default" w:asciiTheme="minorEastAsia" w:hAnsiTheme="minorEastAsia" w:eastAsiaTheme="minorEastAsia" w:cstheme="minorEastAsia"/>
          <w:b/>
          <w:color w:val="auto"/>
          <w:sz w:val="24"/>
          <w:szCs w:val="21"/>
          <w:highlight w:val="none"/>
          <w:lang w:val="en-US" w:eastAsia="zh-CN"/>
        </w:rPr>
      </w:pPr>
      <w:r>
        <w:rPr>
          <w:rFonts w:hint="eastAsia" w:asciiTheme="minorEastAsia" w:hAnsiTheme="minorEastAsia" w:cstheme="minorEastAsia"/>
          <w:b/>
          <w:color w:val="auto"/>
          <w:sz w:val="24"/>
          <w:szCs w:val="21"/>
          <w:highlight w:val="none"/>
          <w:lang w:val="en-US" w:eastAsia="zh-CN"/>
        </w:rPr>
        <w:t>六</w:t>
      </w:r>
      <w:r>
        <w:rPr>
          <w:rFonts w:hint="eastAsia" w:asciiTheme="minorEastAsia" w:hAnsiTheme="minorEastAsia" w:eastAsiaTheme="minorEastAsia" w:cstheme="minorEastAsia"/>
          <w:b/>
          <w:color w:val="auto"/>
          <w:sz w:val="24"/>
          <w:szCs w:val="21"/>
          <w:highlight w:val="none"/>
        </w:rPr>
        <w:t>、</w:t>
      </w:r>
      <w:r>
        <w:rPr>
          <w:rFonts w:hint="eastAsia" w:asciiTheme="minorEastAsia" w:hAnsiTheme="minorEastAsia" w:cstheme="minorEastAsia"/>
          <w:b/>
          <w:color w:val="auto"/>
          <w:sz w:val="24"/>
          <w:szCs w:val="21"/>
          <w:highlight w:val="none"/>
          <w:lang w:val="en-US" w:eastAsia="zh-CN"/>
        </w:rPr>
        <w:t>项目要求</w:t>
      </w:r>
    </w:p>
    <w:p w14:paraId="711A1BAA">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1、投标人须提供具体维保服务方案，建立配套巡查机制，及时发现设备线路故障，主动恢复；对于采购人提供的设备线路故障申告，应快速修复，并为采购人提供7</w:t>
      </w:r>
      <w:r>
        <w:rPr>
          <w:rFonts w:hint="eastAsia" w:asciiTheme="minorEastAsia" w:hAnsiTheme="minorEastAsia" w:eastAsiaTheme="minorEastAsia" w:cstheme="minorEastAsia"/>
          <w:color w:val="auto"/>
          <w:sz w:val="24"/>
          <w:szCs w:val="21"/>
          <w:highlight w:val="none"/>
          <w:lang w:val="en-US" w:eastAsia="zh-CN"/>
        </w:rPr>
        <w:t>*</w:t>
      </w:r>
      <w:r>
        <w:rPr>
          <w:rFonts w:hint="eastAsia" w:asciiTheme="minorEastAsia" w:hAnsiTheme="minorEastAsia" w:eastAsiaTheme="minorEastAsia" w:cstheme="minorEastAsia"/>
          <w:color w:val="auto"/>
          <w:sz w:val="24"/>
          <w:szCs w:val="21"/>
          <w:highlight w:val="none"/>
        </w:rPr>
        <w:t>24小时的技术支持，且说明故障问题响应时间和保障措施。</w:t>
      </w:r>
    </w:p>
    <w:p w14:paraId="6BA60FEA">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2、采购人提出服务请求后，中标人应在1小时内响应，2小时内赶到现场，并保证在6小时内查明原因，一般问题在4小时内解决，重大故障启动应急备用方案，最长不超过24小时。</w:t>
      </w:r>
    </w:p>
    <w:p w14:paraId="4BE131F4">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3、中标人须确保每条专线年故障时间应低于10%（断线时间/当年总时间，从中标人接到采购人电话申告开始计时）。</w:t>
      </w:r>
    </w:p>
    <w:p w14:paraId="4B17E96E">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hint="eastAsia" w:asciiTheme="minorEastAsia" w:hAnsiTheme="minorEastAsia" w:eastAsiaTheme="minorEastAsia" w:cstheme="minorEastAsia"/>
          <w:b/>
          <w:bCs/>
          <w:i/>
          <w:iCs/>
          <w:color w:val="auto"/>
          <w:sz w:val="24"/>
          <w:szCs w:val="21"/>
          <w:highlight w:val="none"/>
          <w:u w:val="single"/>
          <w:lang w:eastAsia="zh-CN"/>
        </w:rPr>
      </w:pPr>
      <w:r>
        <w:rPr>
          <w:rFonts w:hint="eastAsia" w:asciiTheme="minorEastAsia" w:hAnsiTheme="minorEastAsia" w:eastAsiaTheme="minorEastAsia" w:cstheme="minorEastAsia"/>
          <w:b/>
          <w:bCs/>
          <w:i/>
          <w:iCs/>
          <w:color w:val="auto"/>
          <w:sz w:val="24"/>
          <w:szCs w:val="21"/>
          <w:highlight w:val="none"/>
          <w:u w:val="single"/>
        </w:rPr>
        <w:t>4、本次维保项目须提供不少于4人的维护团队（前端人员不少于3人，后台人员不少于1人）</w:t>
      </w:r>
      <w:r>
        <w:rPr>
          <w:rFonts w:hint="eastAsia" w:asciiTheme="minorEastAsia" w:hAnsiTheme="minorEastAsia" w:cstheme="minorEastAsia"/>
          <w:b/>
          <w:bCs/>
          <w:i/>
          <w:iCs/>
          <w:color w:val="auto"/>
          <w:sz w:val="24"/>
          <w:szCs w:val="21"/>
          <w:highlight w:val="none"/>
          <w:u w:val="single"/>
          <w:lang w:eastAsia="zh-CN"/>
        </w:rPr>
        <w:t>。</w:t>
      </w:r>
      <w:r>
        <w:rPr>
          <w:rFonts w:hint="eastAsia" w:asciiTheme="minorEastAsia" w:hAnsiTheme="minorEastAsia" w:eastAsiaTheme="minorEastAsia" w:cstheme="minorEastAsia"/>
          <w:b/>
          <w:bCs/>
          <w:i/>
          <w:iCs/>
          <w:color w:val="auto"/>
          <w:sz w:val="24"/>
          <w:szCs w:val="21"/>
          <w:highlight w:val="none"/>
          <w:u w:val="single"/>
        </w:rPr>
        <w:t>维护团队</w:t>
      </w:r>
      <w:r>
        <w:rPr>
          <w:rFonts w:hint="eastAsia" w:asciiTheme="minorEastAsia" w:hAnsiTheme="minorEastAsia" w:cstheme="minorEastAsia"/>
          <w:b/>
          <w:bCs/>
          <w:i/>
          <w:iCs/>
          <w:color w:val="auto"/>
          <w:sz w:val="24"/>
          <w:szCs w:val="21"/>
          <w:highlight w:val="none"/>
          <w:u w:val="single"/>
          <w:lang w:val="en-US" w:eastAsia="zh-CN"/>
        </w:rPr>
        <w:t>中至少</w:t>
      </w:r>
      <w:r>
        <w:rPr>
          <w:rFonts w:hint="eastAsia" w:asciiTheme="minorEastAsia" w:hAnsiTheme="minorEastAsia" w:eastAsiaTheme="minorEastAsia" w:cstheme="minorEastAsia"/>
          <w:b/>
          <w:bCs/>
          <w:i/>
          <w:iCs/>
          <w:color w:val="auto"/>
          <w:sz w:val="24"/>
          <w:szCs w:val="24"/>
          <w:highlight w:val="none"/>
          <w:u w:val="single"/>
        </w:rPr>
        <w:t>2人持有有效期内的</w:t>
      </w:r>
      <w:r>
        <w:rPr>
          <w:rFonts w:hint="eastAsia" w:asciiTheme="minorEastAsia" w:hAnsiTheme="minorEastAsia" w:cstheme="minorEastAsia"/>
          <w:b/>
          <w:bCs/>
          <w:i/>
          <w:iCs/>
          <w:color w:val="auto"/>
          <w:sz w:val="24"/>
          <w:szCs w:val="24"/>
          <w:highlight w:val="none"/>
          <w:u w:val="single"/>
          <w:lang w:val="en-US" w:eastAsia="zh-CN"/>
        </w:rPr>
        <w:t>特种作业操作证（电工作业）</w:t>
      </w:r>
      <w:r>
        <w:rPr>
          <w:rFonts w:hint="eastAsia" w:asciiTheme="minorEastAsia" w:hAnsiTheme="minorEastAsia" w:eastAsiaTheme="minorEastAsia" w:cstheme="minorEastAsia"/>
          <w:b/>
          <w:bCs/>
          <w:i/>
          <w:iCs/>
          <w:color w:val="auto"/>
          <w:sz w:val="24"/>
          <w:szCs w:val="21"/>
          <w:highlight w:val="none"/>
          <w:u w:val="single"/>
        </w:rPr>
        <w:t>。</w:t>
      </w:r>
      <w:r>
        <w:rPr>
          <w:rFonts w:hint="eastAsia" w:asciiTheme="minorEastAsia" w:hAnsiTheme="minorEastAsia" w:cstheme="minorEastAsia"/>
          <w:b/>
          <w:bCs/>
          <w:i/>
          <w:iCs/>
          <w:color w:val="auto"/>
          <w:sz w:val="24"/>
          <w:szCs w:val="21"/>
          <w:highlight w:val="none"/>
          <w:u w:val="single"/>
          <w:lang w:eastAsia="zh-CN"/>
        </w:rPr>
        <w:t>（</w:t>
      </w:r>
      <w:r>
        <w:rPr>
          <w:rFonts w:hint="eastAsia" w:asciiTheme="minorEastAsia" w:hAnsiTheme="minorEastAsia" w:cstheme="minorEastAsia"/>
          <w:b/>
          <w:bCs/>
          <w:i/>
          <w:iCs/>
          <w:color w:val="auto"/>
          <w:sz w:val="24"/>
          <w:szCs w:val="21"/>
          <w:highlight w:val="none"/>
          <w:u w:val="single"/>
          <w:lang w:val="en-US" w:eastAsia="zh-CN"/>
        </w:rPr>
        <w:t>本项目为</w:t>
      </w:r>
      <w:r>
        <w:rPr>
          <w:rFonts w:hint="eastAsia" w:asciiTheme="minorEastAsia" w:hAnsiTheme="minorEastAsia" w:cstheme="minorEastAsia"/>
          <w:b/>
          <w:bCs/>
          <w:i/>
          <w:iCs/>
          <w:color w:val="auto"/>
          <w:sz w:val="24"/>
          <w:szCs w:val="21"/>
          <w:highlight w:val="none"/>
          <w:u w:val="single"/>
          <w:lang w:eastAsia="zh-CN"/>
        </w:rPr>
        <w:t>实质性条款，不接受负偏离。</w:t>
      </w:r>
      <w:r>
        <w:rPr>
          <w:rFonts w:hint="eastAsia" w:asciiTheme="minorEastAsia" w:hAnsiTheme="minorEastAsia" w:cstheme="minorEastAsia"/>
          <w:b/>
          <w:bCs/>
          <w:i/>
          <w:iCs/>
          <w:color w:val="auto"/>
          <w:sz w:val="24"/>
          <w:szCs w:val="21"/>
          <w:highlight w:val="none"/>
          <w:u w:val="single"/>
          <w:lang w:val="en-US" w:eastAsia="zh-CN"/>
        </w:rPr>
        <w:t>投标时须提供《拟投入本项目服务人员一览表》、人员证书扫描件、</w:t>
      </w:r>
      <w:r>
        <w:rPr>
          <w:rFonts w:hint="eastAsia" w:asciiTheme="minorEastAsia" w:hAnsiTheme="minorEastAsia" w:eastAsiaTheme="minorEastAsia" w:cstheme="minorEastAsia"/>
          <w:b/>
          <w:bCs/>
          <w:i/>
          <w:iCs/>
          <w:color w:val="auto"/>
          <w:sz w:val="24"/>
          <w:szCs w:val="21"/>
          <w:highlight w:val="none"/>
          <w:u w:val="single"/>
        </w:rPr>
        <w:t>维护团队</w:t>
      </w:r>
      <w:r>
        <w:rPr>
          <w:rFonts w:hint="eastAsia" w:asciiTheme="minorEastAsia" w:hAnsiTheme="minorEastAsia" w:cstheme="minorEastAsia"/>
          <w:b/>
          <w:bCs/>
          <w:i/>
          <w:iCs/>
          <w:color w:val="auto"/>
          <w:sz w:val="24"/>
          <w:szCs w:val="21"/>
          <w:highlight w:val="none"/>
          <w:u w:val="single"/>
          <w:lang w:val="en-US" w:eastAsia="zh-CN"/>
        </w:rPr>
        <w:t>成员采购公告当月前1年内任意1个月在投标人单位缴纳社保的相关证明材料</w:t>
      </w:r>
      <w:r>
        <w:rPr>
          <w:rFonts w:hint="eastAsia" w:asciiTheme="minorEastAsia" w:hAnsiTheme="minorEastAsia" w:cstheme="minorEastAsia"/>
          <w:b/>
          <w:bCs/>
          <w:i/>
          <w:iCs/>
          <w:color w:val="auto"/>
          <w:sz w:val="24"/>
          <w:szCs w:val="21"/>
          <w:highlight w:val="none"/>
          <w:u w:val="single"/>
          <w:lang w:eastAsia="zh-CN"/>
        </w:rPr>
        <w:t>）</w:t>
      </w:r>
    </w:p>
    <w:p w14:paraId="58127196">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cstheme="minorEastAsia"/>
          <w:i w:val="0"/>
          <w:iCs w:val="0"/>
          <w:color w:val="auto"/>
          <w:sz w:val="24"/>
          <w:szCs w:val="21"/>
          <w:highlight w:val="none"/>
          <w:u w:val="none"/>
          <w:lang w:val="en-US" w:eastAsia="zh-CN"/>
        </w:rPr>
        <w:t>5、中标后</w:t>
      </w:r>
      <w:r>
        <w:rPr>
          <w:rFonts w:hint="eastAsia" w:asciiTheme="minorEastAsia" w:hAnsiTheme="minorEastAsia" w:eastAsiaTheme="minorEastAsia" w:cstheme="minorEastAsia"/>
          <w:i w:val="0"/>
          <w:iCs w:val="0"/>
          <w:color w:val="auto"/>
          <w:sz w:val="24"/>
          <w:szCs w:val="21"/>
          <w:highlight w:val="none"/>
          <w:u w:val="none"/>
        </w:rPr>
        <w:t>维保单位</w:t>
      </w:r>
      <w:r>
        <w:rPr>
          <w:rFonts w:hint="eastAsia" w:asciiTheme="minorEastAsia" w:hAnsiTheme="minorEastAsia" w:cstheme="minorEastAsia"/>
          <w:i w:val="0"/>
          <w:iCs w:val="0"/>
          <w:color w:val="auto"/>
          <w:sz w:val="24"/>
          <w:szCs w:val="21"/>
          <w:highlight w:val="none"/>
          <w:u w:val="none"/>
          <w:lang w:val="en-US" w:eastAsia="zh-CN"/>
        </w:rPr>
        <w:t>须为本项目配备1辆工程登高车辆，同时</w:t>
      </w:r>
      <w:r>
        <w:rPr>
          <w:rFonts w:hint="eastAsia" w:asciiTheme="minorEastAsia" w:hAnsiTheme="minorEastAsia" w:eastAsiaTheme="minorEastAsia" w:cstheme="minorEastAsia"/>
          <w:i w:val="0"/>
          <w:iCs w:val="0"/>
          <w:color w:val="auto"/>
          <w:sz w:val="24"/>
          <w:szCs w:val="21"/>
          <w:highlight w:val="none"/>
          <w:u w:val="none"/>
        </w:rPr>
        <w:t>制定健全信息安全制度和操作规范，维保人员</w:t>
      </w:r>
      <w:r>
        <w:rPr>
          <w:rFonts w:hint="eastAsia" w:asciiTheme="minorEastAsia" w:hAnsiTheme="minorEastAsia" w:cstheme="minorEastAsia"/>
          <w:i w:val="0"/>
          <w:iCs w:val="0"/>
          <w:color w:val="auto"/>
          <w:sz w:val="24"/>
          <w:szCs w:val="21"/>
          <w:highlight w:val="none"/>
          <w:u w:val="none"/>
          <w:lang w:val="en-US" w:eastAsia="zh-CN"/>
        </w:rPr>
        <w:t>具有</w:t>
      </w:r>
      <w:r>
        <w:rPr>
          <w:rFonts w:hint="eastAsia" w:asciiTheme="minorEastAsia" w:hAnsiTheme="minorEastAsia" w:eastAsiaTheme="minorEastAsia" w:cstheme="minorEastAsia"/>
          <w:i w:val="0"/>
          <w:iCs w:val="0"/>
          <w:color w:val="auto"/>
          <w:sz w:val="24"/>
          <w:szCs w:val="21"/>
          <w:highlight w:val="none"/>
          <w:u w:val="none"/>
        </w:rPr>
        <w:t>无犯罪记录证明</w:t>
      </w:r>
      <w:r>
        <w:rPr>
          <w:rFonts w:hint="eastAsia" w:asciiTheme="minorEastAsia" w:hAnsiTheme="minorEastAsia" w:cstheme="minorEastAsia"/>
          <w:i w:val="0"/>
          <w:iCs w:val="0"/>
          <w:color w:val="auto"/>
          <w:sz w:val="24"/>
          <w:szCs w:val="21"/>
          <w:highlight w:val="none"/>
          <w:u w:val="none"/>
          <w:lang w:eastAsia="zh-CN"/>
        </w:rPr>
        <w:t>，</w:t>
      </w:r>
      <w:r>
        <w:rPr>
          <w:rFonts w:hint="eastAsia" w:asciiTheme="minorEastAsia" w:hAnsiTheme="minorEastAsia" w:eastAsiaTheme="minorEastAsia" w:cstheme="minorEastAsia"/>
          <w:i w:val="0"/>
          <w:iCs w:val="0"/>
          <w:color w:val="auto"/>
          <w:sz w:val="24"/>
          <w:szCs w:val="21"/>
          <w:highlight w:val="none"/>
          <w:u w:val="none"/>
        </w:rPr>
        <w:t>维保单位、维保人员、市公安局</w:t>
      </w:r>
      <w:r>
        <w:rPr>
          <w:rFonts w:hint="eastAsia" w:asciiTheme="minorEastAsia" w:hAnsiTheme="minorEastAsia" w:cstheme="minorEastAsia"/>
          <w:i w:val="0"/>
          <w:iCs w:val="0"/>
          <w:color w:val="auto"/>
          <w:sz w:val="24"/>
          <w:szCs w:val="21"/>
          <w:highlight w:val="none"/>
          <w:u w:val="none"/>
          <w:lang w:eastAsia="zh-CN"/>
        </w:rPr>
        <w:t>三方签订</w:t>
      </w:r>
      <w:r>
        <w:rPr>
          <w:rFonts w:hint="eastAsia" w:asciiTheme="minorEastAsia" w:hAnsiTheme="minorEastAsia" w:eastAsiaTheme="minorEastAsia" w:cstheme="minorEastAsia"/>
          <w:i w:val="0"/>
          <w:iCs w:val="0"/>
          <w:color w:val="auto"/>
          <w:sz w:val="24"/>
          <w:szCs w:val="21"/>
          <w:highlight w:val="none"/>
          <w:u w:val="none"/>
        </w:rPr>
        <w:t>保密协议。</w:t>
      </w:r>
    </w:p>
    <w:p w14:paraId="2F0AD03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6</w:t>
      </w:r>
      <w:r>
        <w:rPr>
          <w:rFonts w:hint="eastAsia" w:asciiTheme="minorEastAsia" w:hAnsiTheme="minorEastAsia" w:eastAsiaTheme="minorEastAsia" w:cstheme="minorEastAsia"/>
          <w:color w:val="auto"/>
          <w:sz w:val="24"/>
          <w:szCs w:val="21"/>
          <w:highlight w:val="none"/>
        </w:rPr>
        <w:t>、本项目最高限价：</w:t>
      </w:r>
      <w:r>
        <w:rPr>
          <w:rFonts w:hint="eastAsia" w:asciiTheme="minorEastAsia" w:hAnsiTheme="minorEastAsia" w:eastAsiaTheme="minorEastAsia" w:cstheme="minorEastAsia"/>
          <w:color w:val="auto"/>
          <w:sz w:val="24"/>
          <w:szCs w:val="21"/>
          <w:highlight w:val="none"/>
          <w:lang w:val="en-US" w:eastAsia="zh-CN"/>
        </w:rPr>
        <w:t>132</w:t>
      </w:r>
      <w:r>
        <w:rPr>
          <w:rFonts w:hint="eastAsia" w:asciiTheme="minorEastAsia" w:hAnsiTheme="minorEastAsia" w:eastAsiaTheme="minorEastAsia" w:cstheme="minorEastAsia"/>
          <w:color w:val="auto"/>
          <w:sz w:val="24"/>
          <w:szCs w:val="21"/>
          <w:highlight w:val="none"/>
        </w:rPr>
        <w:t>万元</w:t>
      </w:r>
      <w:r>
        <w:rPr>
          <w:rFonts w:hint="eastAsia" w:asciiTheme="minorEastAsia" w:hAnsiTheme="minorEastAsia" w:eastAsiaTheme="minorEastAsia" w:cstheme="minorEastAsia"/>
          <w:color w:val="auto"/>
          <w:sz w:val="24"/>
          <w:szCs w:val="21"/>
          <w:highlight w:val="none"/>
          <w:lang w:val="en-US" w:eastAsia="zh-CN"/>
        </w:rPr>
        <w:t>/3年（每年服务费用不得超过44万元）。</w:t>
      </w:r>
      <w:r>
        <w:rPr>
          <w:rFonts w:hint="eastAsia" w:asciiTheme="minorEastAsia" w:hAnsiTheme="minorEastAsia" w:eastAsiaTheme="minorEastAsia" w:cstheme="minorEastAsia"/>
          <w:color w:val="auto"/>
          <w:sz w:val="24"/>
          <w:szCs w:val="21"/>
          <w:highlight w:val="none"/>
        </w:rPr>
        <w:t>报价超过最高限价的为无效报价，按照无效响应处理。</w:t>
      </w:r>
    </w:p>
    <w:p w14:paraId="1A852DA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7</w:t>
      </w:r>
      <w:r>
        <w:rPr>
          <w:rFonts w:hint="eastAsia" w:asciiTheme="minorEastAsia" w:hAnsiTheme="minorEastAsia" w:eastAsiaTheme="minorEastAsia" w:cstheme="minorEastAsia"/>
          <w:color w:val="auto"/>
          <w:sz w:val="24"/>
          <w:szCs w:val="21"/>
          <w:highlight w:val="none"/>
        </w:rPr>
        <w:t>、本项目费用报价采用固定总价报价的方式。服务费用主要包括（但不限于）：服务酬金（包含人员工资、社会福利费、公司管理费、利润等）、网络专线租赁费、</w:t>
      </w:r>
      <w:r>
        <w:rPr>
          <w:rFonts w:hint="eastAsia" w:asciiTheme="minorEastAsia" w:hAnsiTheme="minorEastAsia" w:eastAsiaTheme="minorEastAsia" w:cstheme="minorEastAsia"/>
          <w:color w:val="auto"/>
          <w:sz w:val="24"/>
          <w:szCs w:val="21"/>
          <w:highlight w:val="none"/>
          <w:lang w:eastAsia="zh-CN"/>
        </w:rPr>
        <w:t>铁塔</w:t>
      </w:r>
      <w:r>
        <w:rPr>
          <w:rFonts w:hint="eastAsia" w:asciiTheme="minorEastAsia" w:hAnsiTheme="minorEastAsia" w:eastAsiaTheme="minorEastAsia" w:cstheme="minorEastAsia"/>
          <w:color w:val="auto"/>
          <w:sz w:val="24"/>
          <w:szCs w:val="21"/>
          <w:highlight w:val="none"/>
        </w:rPr>
        <w:t>点位租赁</w:t>
      </w:r>
      <w:r>
        <w:rPr>
          <w:rFonts w:hint="eastAsia" w:asciiTheme="minorEastAsia" w:hAnsiTheme="minorEastAsia" w:cstheme="minorEastAsia"/>
          <w:color w:val="auto"/>
          <w:sz w:val="24"/>
          <w:szCs w:val="21"/>
          <w:highlight w:val="none"/>
          <w:lang w:val="en-US" w:eastAsia="zh-CN"/>
        </w:rPr>
        <w:t>费</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sz w:val="24"/>
          <w:szCs w:val="21"/>
          <w:highlight w:val="none"/>
        </w:rPr>
        <w:t>设备线路修复维护费、设备电费、租用特种车辆费、交通费、食宿费、通讯费、各种资料的编制、打印、复印和传递费、办公设备和用品费、不可预见费、材料费（含损耗、辅材费、专用工具、备品备件）、人工费、运输费、保险费、税金、安装调试费用、在执行本项目服务的过程中所发生的额外的其它所有费用。</w:t>
      </w:r>
    </w:p>
    <w:p w14:paraId="1521B7DF">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七</w:t>
      </w:r>
      <w:r>
        <w:rPr>
          <w:rFonts w:hint="eastAsia" w:asciiTheme="minorEastAsia" w:hAnsiTheme="minorEastAsia" w:eastAsiaTheme="minorEastAsia" w:cstheme="minorEastAsia"/>
          <w:b/>
          <w:bCs/>
          <w:color w:val="auto"/>
          <w:highlight w:val="none"/>
        </w:rPr>
        <w:t>、其他要求</w:t>
      </w:r>
    </w:p>
    <w:p w14:paraId="21CEAC6A">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宋体" w:hAnsi="宋体" w:eastAsia="宋体" w:cs="宋体"/>
          <w:b/>
          <w:bCs/>
          <w:sz w:val="24"/>
          <w:szCs w:val="24"/>
          <w:highlight w:val="none"/>
          <w:lang w:val="en-US" w:eastAsia="zh-CN"/>
        </w:rPr>
      </w:pPr>
      <w:r>
        <w:rPr>
          <w:rFonts w:hint="eastAsia" w:asciiTheme="minorEastAsia" w:hAnsiTheme="minorEastAsia" w:cstheme="minorEastAsia"/>
          <w:b/>
          <w:bCs/>
          <w:color w:val="auto"/>
          <w:highlight w:val="none"/>
          <w:lang w:val="en-US" w:eastAsia="zh-CN"/>
        </w:rPr>
        <w:t>1</w:t>
      </w:r>
      <w:r>
        <w:rPr>
          <w:rFonts w:hint="eastAsia" w:ascii="宋体" w:hAnsi="宋体" w:eastAsia="宋体" w:cs="宋体"/>
          <w:b/>
          <w:bCs/>
          <w:sz w:val="24"/>
          <w:szCs w:val="24"/>
          <w:highlight w:val="none"/>
          <w:lang w:val="en-US" w:eastAsia="zh-CN"/>
        </w:rPr>
        <w:t>、企业实力</w:t>
      </w:r>
    </w:p>
    <w:p w14:paraId="53BBF2D0">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为了择优选择中标人，体现企业实力，投标人具备质量管理体系认证证书、环境管理体系认证证书、职业健康安全管理体系认证证书的优先。</w:t>
      </w:r>
    </w:p>
    <w:p w14:paraId="67E78EDC">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2</w:t>
      </w:r>
      <w:r>
        <w:rPr>
          <w:rFonts w:hint="eastAsia" w:asciiTheme="minorEastAsia" w:hAnsiTheme="minorEastAsia" w:eastAsiaTheme="minorEastAsia" w:cstheme="minorEastAsia"/>
          <w:b/>
          <w:bCs/>
          <w:color w:val="auto"/>
          <w:highlight w:val="none"/>
          <w:lang w:val="en-US" w:eastAsia="zh-CN"/>
        </w:rPr>
        <w:t>、人员配置</w:t>
      </w:r>
    </w:p>
    <w:p w14:paraId="35AA6C62">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为了择优选择中标人</w:t>
      </w:r>
      <w:r>
        <w:rPr>
          <w:rFonts w:hint="eastAsia" w:asciiTheme="minorEastAsia" w:hAnsiTheme="minorEastAsia" w:eastAsiaTheme="minorEastAsia" w:cstheme="minorEastAsia"/>
          <w:b w:val="0"/>
          <w:bCs w:val="0"/>
          <w:color w:val="auto"/>
          <w:highlight w:val="none"/>
          <w:lang w:eastAsia="zh-CN"/>
        </w:rPr>
        <w:t>，</w:t>
      </w:r>
      <w:r>
        <w:rPr>
          <w:rFonts w:hint="eastAsia" w:asciiTheme="minorEastAsia" w:hAnsiTheme="minorEastAsia" w:eastAsiaTheme="minorEastAsia" w:cstheme="minorEastAsia"/>
          <w:b w:val="0"/>
          <w:bCs w:val="0"/>
          <w:color w:val="auto"/>
          <w:highlight w:val="none"/>
          <w:lang w:val="en-US" w:eastAsia="zh-CN"/>
        </w:rPr>
        <w:t>体现维保人员实力，</w:t>
      </w:r>
      <w:r>
        <w:rPr>
          <w:rFonts w:hint="eastAsia" w:asciiTheme="minorEastAsia" w:hAnsiTheme="minorEastAsia" w:eastAsiaTheme="minorEastAsia" w:cstheme="minorEastAsia"/>
          <w:b w:val="0"/>
          <w:bCs w:val="0"/>
          <w:color w:val="auto"/>
          <w:highlight w:val="none"/>
        </w:rPr>
        <w:t>项目团队成员</w:t>
      </w:r>
      <w:r>
        <w:rPr>
          <w:rFonts w:hint="eastAsia" w:asciiTheme="minorEastAsia" w:hAnsiTheme="minorEastAsia" w:cstheme="minorEastAsia"/>
          <w:b w:val="0"/>
          <w:bCs w:val="0"/>
          <w:color w:val="auto"/>
          <w:highlight w:val="none"/>
          <w:lang w:val="en-US" w:eastAsia="zh-CN"/>
        </w:rPr>
        <w:t>具有</w:t>
      </w:r>
      <w:r>
        <w:rPr>
          <w:rFonts w:hint="eastAsia" w:asciiTheme="minorEastAsia" w:hAnsiTheme="minorEastAsia" w:eastAsiaTheme="minorEastAsia" w:cstheme="minorEastAsia"/>
          <w:b w:val="0"/>
          <w:bCs w:val="0"/>
          <w:color w:val="auto"/>
          <w:highlight w:val="none"/>
        </w:rPr>
        <w:t>有效期内的信息系统项目管理师证书</w:t>
      </w:r>
      <w:r>
        <w:rPr>
          <w:rFonts w:hint="eastAsia" w:asciiTheme="minorEastAsia" w:hAnsiTheme="minorEastAsia" w:eastAsiaTheme="minorEastAsia" w:cstheme="minorEastAsia"/>
          <w:b w:val="0"/>
          <w:bCs w:val="0"/>
          <w:color w:val="auto"/>
          <w:highlight w:val="none"/>
          <w:lang w:val="en-US" w:eastAsia="zh-CN"/>
        </w:rPr>
        <w:t>的优先</w:t>
      </w:r>
      <w:r>
        <w:rPr>
          <w:rFonts w:hint="eastAsia" w:asciiTheme="minorEastAsia" w:hAnsiTheme="minorEastAsia" w:eastAsiaTheme="minorEastAsia" w:cstheme="minorEastAsia"/>
          <w:b w:val="0"/>
          <w:bCs w:val="0"/>
          <w:color w:val="auto"/>
          <w:highlight w:val="none"/>
        </w:rPr>
        <w:t>；</w:t>
      </w:r>
    </w:p>
    <w:p w14:paraId="0316FC17">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val="0"/>
          <w:bCs w:val="0"/>
          <w:color w:val="auto"/>
          <w:highlight w:val="none"/>
        </w:rPr>
        <w:t>项目团队成员中至少2人持有有效期内的</w:t>
      </w:r>
      <w:r>
        <w:rPr>
          <w:rFonts w:hint="eastAsia" w:asciiTheme="minorEastAsia" w:hAnsiTheme="minorEastAsia" w:cstheme="minorEastAsia"/>
          <w:b w:val="0"/>
          <w:bCs w:val="0"/>
          <w:color w:val="auto"/>
          <w:highlight w:val="none"/>
          <w:lang w:eastAsia="zh-CN"/>
        </w:rPr>
        <w:t>特种作业操作证（电工作业）</w:t>
      </w:r>
      <w:r>
        <w:rPr>
          <w:rFonts w:hint="eastAsia" w:asciiTheme="minorEastAsia" w:hAnsiTheme="minorEastAsia" w:eastAsiaTheme="minorEastAsia" w:cstheme="minorEastAsia"/>
          <w:b w:val="0"/>
          <w:bCs w:val="0"/>
          <w:color w:val="auto"/>
          <w:highlight w:val="none"/>
        </w:rPr>
        <w:t>，在此基础上，</w:t>
      </w:r>
      <w:r>
        <w:rPr>
          <w:rFonts w:hint="eastAsia" w:asciiTheme="minorEastAsia" w:hAnsiTheme="minorEastAsia" w:cstheme="minorEastAsia"/>
          <w:b w:val="0"/>
          <w:bCs w:val="0"/>
          <w:color w:val="auto"/>
          <w:highlight w:val="none"/>
          <w:lang w:val="en-US" w:eastAsia="zh-CN"/>
        </w:rPr>
        <w:t>增加提供</w:t>
      </w:r>
      <w:r>
        <w:rPr>
          <w:rFonts w:hint="eastAsia" w:asciiTheme="minorEastAsia" w:hAnsiTheme="minorEastAsia" w:eastAsiaTheme="minorEastAsia" w:cstheme="minorEastAsia"/>
          <w:b w:val="0"/>
          <w:bCs w:val="0"/>
          <w:color w:val="auto"/>
          <w:highlight w:val="none"/>
        </w:rPr>
        <w:t>有效期内的</w:t>
      </w:r>
      <w:r>
        <w:rPr>
          <w:rFonts w:hint="eastAsia" w:asciiTheme="minorEastAsia" w:hAnsiTheme="minorEastAsia" w:cstheme="minorEastAsia"/>
          <w:b w:val="0"/>
          <w:bCs w:val="0"/>
          <w:color w:val="auto"/>
          <w:highlight w:val="none"/>
          <w:lang w:eastAsia="zh-CN"/>
        </w:rPr>
        <w:t>特种作业操作证（电工作业）</w:t>
      </w:r>
      <w:r>
        <w:rPr>
          <w:rFonts w:hint="eastAsia" w:asciiTheme="minorEastAsia" w:hAnsiTheme="minorEastAsia" w:eastAsiaTheme="minorEastAsia" w:cstheme="minorEastAsia"/>
          <w:b w:val="0"/>
          <w:bCs w:val="0"/>
          <w:color w:val="auto"/>
          <w:highlight w:val="none"/>
          <w:lang w:val="en-US" w:eastAsia="zh-CN"/>
        </w:rPr>
        <w:t>的优先。</w:t>
      </w:r>
    </w:p>
    <w:p w14:paraId="7D6A3D06">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cstheme="minorEastAsia"/>
          <w:b/>
          <w:bCs/>
          <w:color w:val="auto"/>
          <w:highlight w:val="none"/>
          <w:lang w:val="en-US" w:eastAsia="zh-CN"/>
        </w:rPr>
        <w:t>3</w:t>
      </w:r>
      <w:r>
        <w:rPr>
          <w:rFonts w:hint="eastAsia" w:asciiTheme="minorEastAsia" w:hAnsiTheme="minorEastAsia" w:eastAsiaTheme="minorEastAsia" w:cstheme="minorEastAsia"/>
          <w:b/>
          <w:bCs/>
          <w:color w:val="auto"/>
          <w:highlight w:val="none"/>
        </w:rPr>
        <w:t>、业绩</w:t>
      </w:r>
    </w:p>
    <w:p w14:paraId="6A3C6C46">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为了确保项目的顺利实施，投标人需具备</w:t>
      </w:r>
      <w:r>
        <w:rPr>
          <w:rFonts w:hint="eastAsia" w:asciiTheme="minorEastAsia" w:hAnsiTheme="minorEastAsia" w:eastAsiaTheme="minorEastAsia" w:cstheme="minorEastAsia"/>
          <w:color w:val="auto"/>
          <w:highlight w:val="none"/>
          <w:lang w:val="en-US" w:eastAsia="zh-CN"/>
        </w:rPr>
        <w:t>维保服务能力</w:t>
      </w:r>
      <w:r>
        <w:rPr>
          <w:rFonts w:hint="eastAsia" w:asciiTheme="minorEastAsia" w:hAnsiTheme="minorEastAsia" w:eastAsiaTheme="minorEastAsia" w:cstheme="minorEastAsia"/>
          <w:color w:val="auto"/>
          <w:highlight w:val="none"/>
        </w:rPr>
        <w:t>，确保本项目的顺利实施，投标人提供自2023年1月1日</w:t>
      </w:r>
      <w:r>
        <w:rPr>
          <w:rFonts w:hint="eastAsia" w:asciiTheme="minorEastAsia" w:hAnsiTheme="minorEastAsia" w:eastAsiaTheme="minorEastAsia" w:cstheme="minorEastAsia"/>
          <w:color w:val="auto"/>
          <w:highlight w:val="none"/>
          <w:lang w:bidi="ar"/>
        </w:rPr>
        <w:t>（以合同签订时间为准）</w:t>
      </w:r>
      <w:r>
        <w:rPr>
          <w:rFonts w:hint="eastAsia" w:asciiTheme="minorEastAsia" w:hAnsiTheme="minorEastAsia" w:eastAsiaTheme="minorEastAsia" w:cstheme="minorEastAsia"/>
          <w:color w:val="auto"/>
          <w:highlight w:val="none"/>
        </w:rPr>
        <w:t>以来承担过类似维保服务项目业绩的优先。</w:t>
      </w:r>
    </w:p>
    <w:p w14:paraId="2334226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4</w:t>
      </w:r>
      <w:r>
        <w:rPr>
          <w:rFonts w:hint="eastAsia" w:asciiTheme="minorEastAsia" w:hAnsiTheme="minorEastAsia" w:eastAsiaTheme="minorEastAsia" w:cstheme="minorEastAsia"/>
          <w:b/>
          <w:bCs/>
          <w:color w:val="auto"/>
          <w:highlight w:val="none"/>
          <w:lang w:val="en-US" w:eastAsia="zh-CN"/>
        </w:rPr>
        <w:t>、维保服务方案</w:t>
      </w:r>
    </w:p>
    <w:p w14:paraId="26BF5B4C">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投标人应根据采购需求和本项目实际，制定相应的维保服务方案，方案至少包含以下内容：</w:t>
      </w:r>
    </w:p>
    <w:p w14:paraId="7C23827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en-US" w:eastAsia="zh-CN"/>
        </w:rPr>
        <w:t>.1维保服务内容</w:t>
      </w:r>
    </w:p>
    <w:p w14:paraId="0AF8229E">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本次维保覆盖水域感知前端各类采集设备、传输设备及配套附属设施。主要包含设备定期除尘防潮、点位巡检校准、运行参数检测、故障排查修复、软硬件漏洞补丁更新。同时涵盖数据传输链路调试、设备台账更新、汛期专项防护、备品备件更换及日常技术咨询，全程保障水域感知设备稳定在线、数据正常回传，消除设备运行安全隐患等内容。维保覆盖全部前端设备、IP网络专线及铁塔附属设施；保障设备平台在线率≥90%；每季度开展软硬件版本核查与漏洞补丁更新，同步更新版本台账；每年汛期开展不少于2次汛期专项防护排查；建立“一机一档”设备台账，完整记录点位编号、设备型号、维修及备件更换记录；提供7×24小时技术咨询服务。</w:t>
      </w:r>
    </w:p>
    <w:p w14:paraId="34E1E1E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en-US" w:eastAsia="zh-CN"/>
        </w:rPr>
        <w:t>.2维保服务流程</w:t>
      </w:r>
    </w:p>
    <w:p w14:paraId="63797C0E">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建立7*24小时响应服务机制，整体流程分为接报响应、现场核查、故障处置、调试验收、归档报备五步。接收故障工单或巡检异常后快速响应，按故障等级限时到场排查，完成设备维修、更换与调试，确认设备恢复正常运行。同步记录维保全过程，整理台账与维保报告，定期向公安主管部门报备，形成闭环维保管理。接报后5分钟内完成接单登记，1小时内完成故障研判；一般故障2小时抵达现场，6小时内查明故障原因，</w:t>
      </w:r>
      <w:r>
        <w:rPr>
          <w:rFonts w:hint="eastAsia" w:asciiTheme="minorEastAsia" w:hAnsiTheme="minorEastAsia" w:cstheme="minorEastAsia"/>
          <w:color w:val="auto"/>
          <w:highlight w:val="none"/>
          <w:lang w:val="en-US" w:eastAsia="zh-CN"/>
        </w:rPr>
        <w:t>查明后</w:t>
      </w:r>
      <w:r>
        <w:rPr>
          <w:rFonts w:hint="eastAsia" w:asciiTheme="minorEastAsia" w:hAnsiTheme="minorEastAsia" w:eastAsiaTheme="minorEastAsia" w:cstheme="minorEastAsia"/>
          <w:color w:val="auto"/>
          <w:highlight w:val="none"/>
          <w:lang w:val="en-US" w:eastAsia="zh-CN"/>
        </w:rPr>
        <w:t>4小时内排除；重大复杂故障24小时内完成恢复；故障处置完成24小时内完成工单闭环归档；每月5日前提交上月维保汇总报告；全部运维工单、影像资料留存不少于3年，接受</w:t>
      </w:r>
      <w:r>
        <w:rPr>
          <w:rFonts w:hint="eastAsia" w:asciiTheme="minorEastAsia" w:hAnsi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lang w:val="en-US" w:eastAsia="zh-CN"/>
        </w:rPr>
        <w:t>调阅核查。</w:t>
      </w:r>
    </w:p>
    <w:p w14:paraId="6DD2D6C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en-US" w:eastAsia="zh-CN"/>
        </w:rPr>
        <w:t>.3服务团队组织结构</w:t>
      </w:r>
    </w:p>
    <w:p w14:paraId="641718D0">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组建专项水域维保服务团队，人员均具备安防运维资质与水域设备维保经验，架构精简高效、分工层级清晰，可全方位保障日常维保、应急处置及专项保障等各项工作有序落地。项目团队总人数不少于4人，其中前端现场作业人员不少于3人，后台值守人员不少于1人</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人员更换需提前15个工作日书面报请采购人同意，替换人员资质不低于原岗位人员标准。</w:t>
      </w:r>
    </w:p>
    <w:p w14:paraId="291E033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val="en-US" w:eastAsia="zh-CN"/>
        </w:rPr>
        <w:t>.4团队分工及责任分配</w:t>
      </w:r>
    </w:p>
    <w:p w14:paraId="0E5566E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项目经理统筹整体维保工作、对接</w:t>
      </w:r>
      <w:r>
        <w:rPr>
          <w:rFonts w:hint="eastAsia" w:asciiTheme="minorEastAsia" w:hAnsi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lang w:val="en-US" w:eastAsia="zh-CN"/>
        </w:rPr>
        <w:t>、管控服务质量与进度。技术主管负责技术方案制定、疑难故障攻坚及人员技术指导。外场工程师承担设备巡检、现场故障修复、设备养护与点位调试工作。内勤专员负责台账更新、资料归档、报告报送、备件管理及日常咨询对接，全员落实保密制度，各司其职、协同联动。项目经理全职负责本项目，每月至少参加1次</w:t>
      </w:r>
      <w:r>
        <w:rPr>
          <w:rFonts w:hint="eastAsia" w:asciiTheme="minorEastAsia" w:hAnsi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lang w:val="en-US" w:eastAsia="zh-CN"/>
        </w:rPr>
        <w:t>维保工作例会，审核月度、季度维保报告；技术主管每季度组织不少于1次内部技术培训；外场工程师作业留存故障前、维修中、修复后对比影像资料；内勤专员7×24小时值守接报，每月5日前完成月报编制报送；所有关键岗位人员手机保持7×24小时通讯畅通。</w:t>
      </w:r>
    </w:p>
    <w:p w14:paraId="122E299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5</w:t>
      </w:r>
      <w:r>
        <w:rPr>
          <w:rFonts w:hint="eastAsia" w:asciiTheme="minorEastAsia" w:hAnsiTheme="minorEastAsia" w:eastAsiaTheme="minorEastAsia" w:cstheme="minorEastAsia"/>
          <w:b/>
          <w:bCs/>
          <w:color w:val="auto"/>
          <w:highlight w:val="none"/>
          <w:lang w:val="en-US" w:eastAsia="zh-CN"/>
        </w:rPr>
        <w:t>、备品</w:t>
      </w:r>
      <w:r>
        <w:rPr>
          <w:rFonts w:hint="eastAsia" w:asciiTheme="minorEastAsia" w:hAnsiTheme="minorEastAsia" w:cstheme="minorEastAsia"/>
          <w:b/>
          <w:bCs/>
          <w:color w:val="auto"/>
          <w:highlight w:val="none"/>
          <w:lang w:val="en-US" w:eastAsia="zh-CN"/>
        </w:rPr>
        <w:t>保障</w:t>
      </w:r>
      <w:r>
        <w:rPr>
          <w:rFonts w:hint="eastAsia" w:asciiTheme="minorEastAsia" w:hAnsiTheme="minorEastAsia" w:eastAsiaTheme="minorEastAsia" w:cstheme="minorEastAsia"/>
          <w:b/>
          <w:bCs/>
          <w:color w:val="auto"/>
          <w:highlight w:val="none"/>
          <w:lang w:val="en-US" w:eastAsia="zh-CN"/>
        </w:rPr>
        <w:t>及应急服务方案</w:t>
      </w:r>
    </w:p>
    <w:p w14:paraId="5646209E">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投标人应根据采购需求和本项目实际，制定相应的备品保障及应急服务方案，方案至少包含以下内容：</w:t>
      </w:r>
    </w:p>
    <w:p w14:paraId="4F492837">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lang w:val="en-US" w:eastAsia="zh-CN"/>
        </w:rPr>
        <w:t>.1巡检及保养措施</w:t>
      </w:r>
    </w:p>
    <w:p w14:paraId="7660C9E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实行分级定期巡检保养机制，结合水域户外潮湿、多风浪环境特点，制定日线上巡查、月度现场巡检、季度深度保养、汛期专项排查制度。重点对水域感知摄像头、雷达、采集终端、供电及传输设备开展清洁除尘、参数校准、防水防腐检测、线路紧固调试等工作，同步建立一机一档巡检台账，及时排查设备隐患，保障前端设备稳定在线运行。后台每日完成全部点位线上巡检1次；每月完成全部点位一轮现场普通巡查；每季度完成全部点位深度保养1次；每年汛期（5</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9月）开展不少于2次汛期专项排查；巡检台账、现场影像资料保存不少于3年，接受</w:t>
      </w:r>
      <w:r>
        <w:rPr>
          <w:rFonts w:hint="eastAsia" w:asciiTheme="minorEastAsia" w:hAnsiTheme="minorEastAsia" w:cstheme="minorEastAsia"/>
          <w:color w:val="auto"/>
          <w:highlight w:val="none"/>
          <w:lang w:val="en-US" w:eastAsia="zh-CN"/>
        </w:rPr>
        <w:t>采购人</w:t>
      </w:r>
      <w:r>
        <w:rPr>
          <w:rFonts w:hint="eastAsia" w:asciiTheme="minorEastAsia" w:hAnsiTheme="minorEastAsia" w:eastAsiaTheme="minorEastAsia" w:cstheme="minorEastAsia"/>
          <w:color w:val="auto"/>
          <w:highlight w:val="none"/>
          <w:lang w:val="en-US" w:eastAsia="zh-CN"/>
        </w:rPr>
        <w:t>随机抽查。</w:t>
      </w:r>
    </w:p>
    <w:p w14:paraId="5CB5FA9E">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lang w:val="en-US" w:eastAsia="zh-CN"/>
        </w:rPr>
        <w:t>.2备品备件保障措施</w:t>
      </w:r>
    </w:p>
    <w:p w14:paraId="3971AB0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建立专属备品备件储备库，按项目设备总量配比储备感知镜头、电源模块、收发器、防水配件等易损备件，核心设备备件足额常备。实行备件分类登记、出入库台账管理，定期盘点更新、轮换校准，确保备件完好可用。同时联动原厂建立应急备件调配通道，保障故障设备可快速替换，杜绝备件短缺导致的设备长时间停运问题。易损备件常备库存不低于年度更换上限的30%；每月开展1次备件盘点；原厂应急备件调配响应时限不大于48小时；废旧设备单独台账登记、集中存放，等待采购人指令处置；备件更换不超出招标文件规定每年更换数量上限。</w:t>
      </w:r>
    </w:p>
    <w:p w14:paraId="5B6DBEC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lang w:val="en-US" w:eastAsia="zh-CN"/>
        </w:rPr>
        <w:t>.3应急方案及措施</w:t>
      </w:r>
    </w:p>
    <w:p w14:paraId="3334967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针对水域设备离线、画面异常、传输中断、台风暴雨损毁、人为破坏等突发故障，制定专项应急处置预案。明确应急处置流程、责任分工及分级处置标准，遵循先抢通、后抢修原则，快速隔离故障、替换备件、恢复设备功能。定期开展应急演练，优化处置流程，全力缩短故障停机时长，保障水域安防感知系统全天候稳定履职。一般故障4小时处置完成；批量点位较大故障2小时人员到场，24小时内恢复；重大突发事件15分钟内向采购人电话报备，1小时内提交书面简报；每年组织不少于1次专项应急演练并提交演练总结报告。</w:t>
      </w:r>
    </w:p>
    <w:p w14:paraId="5514682E">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lang w:val="en-US" w:eastAsia="zh-CN"/>
        </w:rPr>
        <w:t>.4服务响应措施</w:t>
      </w:r>
    </w:p>
    <w:p w14:paraId="26B6A2D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搭建7×24小时全天候服务响应体系，设立专属服务热线及运维值守人员。接到故障报修后，5分钟内接单响应，1小时内研判故障，一般故障4小时内现场处置完毕，重大故障即刻赶赴现场、全程跟进处置。定期提交维保报表，接受公安部门监督考核，全程留存运维记录，保障维保服务高效、规范、闭环落地。保障每条IP网络专线年故障累计时间占比低于10%；每月5日前提交完整维保报表；运维记录保存不少于3年，无条件接受采购人月度考核及随机抽查。</w:t>
      </w:r>
    </w:p>
    <w:p w14:paraId="7F56105E">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八</w:t>
      </w:r>
      <w:r>
        <w:rPr>
          <w:rFonts w:hint="eastAsia" w:asciiTheme="minorEastAsia" w:hAnsiTheme="minorEastAsia" w:eastAsiaTheme="minorEastAsia" w:cstheme="minorEastAsia"/>
          <w:b/>
          <w:bCs/>
          <w:color w:val="auto"/>
          <w:highlight w:val="none"/>
        </w:rPr>
        <w:t>、采购标的对应的中小企业划分标准所属行业一览表</w:t>
      </w:r>
    </w:p>
    <w:tbl>
      <w:tblPr>
        <w:tblStyle w:val="34"/>
        <w:tblW w:w="8504" w:type="dxa"/>
        <w:jc w:val="center"/>
        <w:tblCellSpacing w:w="0" w:type="dxa"/>
        <w:tblLayout w:type="fixed"/>
        <w:tblCellMar>
          <w:top w:w="0" w:type="dxa"/>
          <w:left w:w="108" w:type="dxa"/>
          <w:bottom w:w="0" w:type="dxa"/>
          <w:right w:w="108" w:type="dxa"/>
        </w:tblCellMar>
      </w:tblPr>
      <w:tblGrid>
        <w:gridCol w:w="693"/>
        <w:gridCol w:w="4185"/>
        <w:gridCol w:w="3626"/>
      </w:tblGrid>
      <w:tr w14:paraId="514FAF17">
        <w:tblPrEx>
          <w:tblCellMar>
            <w:top w:w="0" w:type="dxa"/>
            <w:left w:w="108" w:type="dxa"/>
            <w:bottom w:w="0" w:type="dxa"/>
            <w:right w:w="108" w:type="dxa"/>
          </w:tblCellMar>
        </w:tblPrEx>
        <w:trPr>
          <w:trHeight w:val="902"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A24A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D982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采购标的</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560A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对应中小企业划分标准所属行业</w:t>
            </w:r>
          </w:p>
        </w:tc>
      </w:tr>
      <w:tr w14:paraId="5581CFDD">
        <w:tblPrEx>
          <w:tblCellMar>
            <w:top w:w="0" w:type="dxa"/>
            <w:left w:w="108" w:type="dxa"/>
            <w:bottom w:w="0" w:type="dxa"/>
            <w:right w:w="108" w:type="dxa"/>
          </w:tblCellMar>
        </w:tblPrEx>
        <w:trPr>
          <w:trHeight w:val="983"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EC4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3B668">
            <w:pPr>
              <w:pStyle w:val="31"/>
              <w:spacing w:beforeAutospacing="0" w:afterAutospacing="0" w:line="0" w:lineRule="atLeast"/>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盐城市公安局水域感知前端二期维保项目</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BBC1D">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租赁和商务服务业</w:t>
            </w:r>
          </w:p>
        </w:tc>
      </w:tr>
    </w:tbl>
    <w:p w14:paraId="392F2FEB">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r>
    </w:p>
    <w:p w14:paraId="4968D9EB">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第五章  评标方法与评标标准</w:t>
      </w:r>
    </w:p>
    <w:p w14:paraId="2A8F5A8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3C7A96F">
      <w:p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一、定标原则</w:t>
      </w:r>
    </w:p>
    <w:p w14:paraId="305A441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本项目采用</w:t>
      </w:r>
      <w:r>
        <w:rPr>
          <w:rFonts w:hint="eastAsia" w:asciiTheme="minorEastAsia" w:hAnsiTheme="minorEastAsia" w:eastAsiaTheme="minorEastAsia" w:cstheme="minorEastAsia"/>
          <w:bCs/>
          <w:color w:val="auto"/>
          <w:sz w:val="24"/>
          <w:highlight w:val="none"/>
          <w:u w:val="single"/>
        </w:rPr>
        <w:t xml:space="preserve"> 综合评分法</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CAA2BAA">
      <w:pPr>
        <w:pStyle w:val="31"/>
        <w:spacing w:beforeAutospacing="0" w:afterAutospacing="0" w:line="50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政府采购政策功能落实</w:t>
      </w:r>
    </w:p>
    <w:p w14:paraId="7B72DD80">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1、小微型企业价格扣除</w:t>
      </w:r>
    </w:p>
    <w:p w14:paraId="1AC1B578">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（1）本项目专门面向中小企业采购，不再对小型和微型企业报价给予价格扣除。 </w:t>
      </w:r>
    </w:p>
    <w:p w14:paraId="3816D49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（2）供应商需按照采购文件的要求提供相应的《中小企业声明函》。 </w:t>
      </w:r>
    </w:p>
    <w:p w14:paraId="0069D90C">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（3）企业标准请参照《关于印发中小企业划型标准规定的通知》（工信部联企业〔2011〕300号）文件规定自行填写。</w:t>
      </w:r>
    </w:p>
    <w:p w14:paraId="1288ED72">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2、残疾人福利单位价格扣除</w:t>
      </w:r>
    </w:p>
    <w:p w14:paraId="60A63E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（1）本项目对残疾人福利性单位视同小型、微型企业。 </w:t>
      </w:r>
    </w:p>
    <w:p w14:paraId="1DFC25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（2）残疾人福利单位需按照采购文件的要求提供《残疾人福利性单位声明函》。 </w:t>
      </w:r>
    </w:p>
    <w:p w14:paraId="66A5191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（3）残疾人福利单位标准请参照《关于促进残疾人就业政府采购政策的通知》（财库〔2017〕141号）。</w:t>
      </w:r>
    </w:p>
    <w:p w14:paraId="7AF942DC">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3、监狱和戒毒企业价格扣除</w:t>
      </w:r>
    </w:p>
    <w:p w14:paraId="6FEB54A7">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（1）本项目对监狱和戒毒企业（简称监狱企业）视同小型、微型企业。 </w:t>
      </w:r>
    </w:p>
    <w:p w14:paraId="3F6BBBD5">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p>
    <w:p w14:paraId="407103C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（3）监狱企业标准请参照《关于政府采购支持监狱企业发展有关问题的通知》 （财库〔2014〕68号）。</w:t>
      </w:r>
    </w:p>
    <w:p w14:paraId="578F1C1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4、残疾人福利单位、监狱企业属于小型、微型企业的，不重复享受政策。</w:t>
      </w:r>
    </w:p>
    <w:p w14:paraId="1F1B468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4337E4BF">
      <w:pPr>
        <w:pStyle w:val="31"/>
        <w:spacing w:beforeAutospacing="0" w:afterAutospacing="0" w:line="500" w:lineRule="exact"/>
        <w:ind w:firstLine="48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评标方法与评标标准</w:t>
      </w:r>
    </w:p>
    <w:tbl>
      <w:tblPr>
        <w:tblStyle w:val="34"/>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320"/>
        <w:gridCol w:w="765"/>
        <w:gridCol w:w="6777"/>
      </w:tblGrid>
      <w:tr w14:paraId="3A5C6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77" w:type="dxa"/>
            <w:noWrap w:val="0"/>
            <w:vAlign w:val="center"/>
          </w:tcPr>
          <w:p w14:paraId="2BF88109">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序号</w:t>
            </w:r>
          </w:p>
        </w:tc>
        <w:tc>
          <w:tcPr>
            <w:tcW w:w="1320" w:type="dxa"/>
            <w:noWrap w:val="0"/>
            <w:vAlign w:val="center"/>
          </w:tcPr>
          <w:p w14:paraId="0617AB9E">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评审项目</w:t>
            </w:r>
          </w:p>
        </w:tc>
        <w:tc>
          <w:tcPr>
            <w:tcW w:w="765" w:type="dxa"/>
            <w:noWrap w:val="0"/>
            <w:vAlign w:val="center"/>
          </w:tcPr>
          <w:p w14:paraId="4A579CA1">
            <w:pPr>
              <w:spacing w:line="400" w:lineRule="exact"/>
              <w:jc w:val="center"/>
              <w:rPr>
                <w:rFonts w:hint="eastAsia" w:asciiTheme="minorEastAsia" w:hAnsiTheme="minorEastAsia" w:eastAsiaTheme="minorEastAsia" w:cstheme="minorEastAsia"/>
                <w:b/>
                <w:bCs/>
                <w:color w:val="auto"/>
                <w:spacing w:val="-8"/>
                <w:sz w:val="24"/>
                <w:highlight w:val="none"/>
              </w:rPr>
            </w:pPr>
            <w:r>
              <w:rPr>
                <w:rFonts w:hint="eastAsia" w:asciiTheme="minorEastAsia" w:hAnsiTheme="minorEastAsia" w:eastAsiaTheme="minorEastAsia" w:cstheme="minorEastAsia"/>
                <w:b/>
                <w:bCs/>
                <w:color w:val="auto"/>
                <w:spacing w:val="-8"/>
                <w:sz w:val="24"/>
                <w:highlight w:val="none"/>
                <w:lang w:bidi="ar"/>
              </w:rPr>
              <w:t>分值</w:t>
            </w:r>
          </w:p>
        </w:tc>
        <w:tc>
          <w:tcPr>
            <w:tcW w:w="6777" w:type="dxa"/>
            <w:noWrap w:val="0"/>
            <w:vAlign w:val="center"/>
          </w:tcPr>
          <w:p w14:paraId="3D184361">
            <w:pPr>
              <w:widowControl/>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评分标准</w:t>
            </w:r>
          </w:p>
        </w:tc>
      </w:tr>
      <w:tr w14:paraId="7E4AC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7" w:type="dxa"/>
            <w:noWrap w:val="0"/>
            <w:vAlign w:val="center"/>
          </w:tcPr>
          <w:p w14:paraId="076AF68F">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1</w:t>
            </w:r>
          </w:p>
        </w:tc>
        <w:tc>
          <w:tcPr>
            <w:tcW w:w="1320" w:type="dxa"/>
            <w:noWrap w:val="0"/>
            <w:vAlign w:val="center"/>
          </w:tcPr>
          <w:p w14:paraId="7E8FAE94">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投标报价</w:t>
            </w:r>
          </w:p>
        </w:tc>
        <w:tc>
          <w:tcPr>
            <w:tcW w:w="765" w:type="dxa"/>
            <w:noWrap w:val="0"/>
            <w:vAlign w:val="center"/>
          </w:tcPr>
          <w:p w14:paraId="5EF98D66">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66</w:t>
            </w:r>
            <w:r>
              <w:rPr>
                <w:rFonts w:hint="eastAsia" w:asciiTheme="minorEastAsia" w:hAnsiTheme="minorEastAsia" w:eastAsiaTheme="minorEastAsia" w:cstheme="minorEastAsia"/>
                <w:color w:val="auto"/>
                <w:sz w:val="24"/>
                <w:highlight w:val="none"/>
                <w:lang w:bidi="ar"/>
              </w:rPr>
              <w:t>分</w:t>
            </w:r>
          </w:p>
        </w:tc>
        <w:tc>
          <w:tcPr>
            <w:tcW w:w="6777" w:type="dxa"/>
            <w:noWrap w:val="0"/>
          </w:tcPr>
          <w:p w14:paraId="10F6A610">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4"/>
                <w:highlight w:val="none"/>
                <w:lang w:val="en-US" w:eastAsia="zh-CN" w:bidi="ar"/>
              </w:rPr>
              <w:t>66</w:t>
            </w:r>
            <w:r>
              <w:rPr>
                <w:rFonts w:hint="eastAsia" w:asciiTheme="minorEastAsia" w:hAnsiTheme="minorEastAsia" w:eastAsiaTheme="minorEastAsia" w:cstheme="minorEastAsia"/>
                <w:color w:val="auto"/>
                <w:sz w:val="24"/>
                <w:highlight w:val="none"/>
                <w:lang w:bidi="ar"/>
              </w:rPr>
              <w:t>。因落实政府采购政策需进行价格扣除的，以扣除后的价格计算评标基准价和投标报价。（得分保留两位小数）</w:t>
            </w:r>
          </w:p>
        </w:tc>
      </w:tr>
      <w:tr w14:paraId="09466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7" w:type="dxa"/>
            <w:noWrap w:val="0"/>
            <w:vAlign w:val="center"/>
          </w:tcPr>
          <w:p w14:paraId="331A16EC">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2</w:t>
            </w:r>
          </w:p>
        </w:tc>
        <w:tc>
          <w:tcPr>
            <w:tcW w:w="1320" w:type="dxa"/>
            <w:shd w:val="clear" w:color="auto" w:fill="auto"/>
            <w:noWrap w:val="0"/>
            <w:vAlign w:val="center"/>
          </w:tcPr>
          <w:p w14:paraId="59F1AE65">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企业综合实力</w:t>
            </w:r>
          </w:p>
        </w:tc>
        <w:tc>
          <w:tcPr>
            <w:tcW w:w="765" w:type="dxa"/>
            <w:shd w:val="clear" w:color="auto" w:fill="auto"/>
            <w:noWrap w:val="0"/>
            <w:vAlign w:val="center"/>
          </w:tcPr>
          <w:p w14:paraId="032C1794">
            <w:pPr>
              <w:spacing w:line="36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highlight w:val="none"/>
                <w:lang w:bidi="ar"/>
              </w:rPr>
              <w:t>6分</w:t>
            </w:r>
          </w:p>
        </w:tc>
        <w:tc>
          <w:tcPr>
            <w:tcW w:w="6777" w:type="dxa"/>
            <w:shd w:val="clear" w:color="auto" w:fill="auto"/>
            <w:noWrap w:val="0"/>
            <w:vAlign w:val="center"/>
          </w:tcPr>
          <w:p w14:paraId="00D9BB8B">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投标人具有有效期内的质量管理体系认证证书、环境管理体系认证证书、职业健康安全管理体系认证证书的，每具有一个得2分，最多得6分。</w:t>
            </w:r>
          </w:p>
          <w:p w14:paraId="6A9562B6">
            <w:pPr>
              <w:spacing w:line="400" w:lineRule="exact"/>
              <w:ind w:firstLine="480" w:firstLineChars="0"/>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highlight w:val="none"/>
                <w:lang w:bidi="ar"/>
              </w:rPr>
              <w:t>注：认证证书须在“全国认证认可信息公共服务平台网站”可查（提供网站查询截屏加盖投标人公章、证书复印件加盖投标人公章为准，二个材料必须同时提供，未提供或提供不全的不得分）。</w:t>
            </w:r>
          </w:p>
        </w:tc>
      </w:tr>
      <w:tr w14:paraId="58286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7" w:type="dxa"/>
            <w:noWrap w:val="0"/>
            <w:vAlign w:val="center"/>
          </w:tcPr>
          <w:p w14:paraId="03330BD6">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3</w:t>
            </w:r>
          </w:p>
        </w:tc>
        <w:tc>
          <w:tcPr>
            <w:tcW w:w="1320" w:type="dxa"/>
            <w:noWrap w:val="0"/>
            <w:vAlign w:val="center"/>
          </w:tcPr>
          <w:p w14:paraId="36A1C9CA">
            <w:pPr>
              <w:spacing w:line="360" w:lineRule="exact"/>
              <w:jc w:val="cente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人员配置</w:t>
            </w:r>
          </w:p>
        </w:tc>
        <w:tc>
          <w:tcPr>
            <w:tcW w:w="765" w:type="dxa"/>
            <w:noWrap w:val="0"/>
            <w:vAlign w:val="center"/>
          </w:tcPr>
          <w:p w14:paraId="6D74B80F">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6</w:t>
            </w:r>
            <w:r>
              <w:rPr>
                <w:rFonts w:hint="eastAsia" w:asciiTheme="minorEastAsia" w:hAnsiTheme="minorEastAsia" w:eastAsiaTheme="minorEastAsia" w:cstheme="minorEastAsia"/>
                <w:color w:val="auto"/>
                <w:sz w:val="24"/>
                <w:highlight w:val="none"/>
                <w:lang w:val="en-US" w:eastAsia="zh-CN" w:bidi="ar"/>
              </w:rPr>
              <w:t>分</w:t>
            </w:r>
          </w:p>
        </w:tc>
        <w:tc>
          <w:tcPr>
            <w:tcW w:w="6777" w:type="dxa"/>
            <w:noWrap w:val="0"/>
          </w:tcPr>
          <w:p w14:paraId="11DD0970">
            <w:pPr>
              <w:widowControl/>
              <w:spacing w:line="360" w:lineRule="exact"/>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项目团队成员</w:t>
            </w:r>
            <w:r>
              <w:rPr>
                <w:rFonts w:hint="eastAsia" w:asciiTheme="minorEastAsia" w:hAnsiTheme="minorEastAsia" w:eastAsiaTheme="minorEastAsia" w:cstheme="minorEastAsia"/>
                <w:bCs/>
                <w:color w:val="auto"/>
                <w:sz w:val="24"/>
                <w:szCs w:val="24"/>
                <w:highlight w:val="none"/>
              </w:rPr>
              <w:t>中</w:t>
            </w:r>
            <w:r>
              <w:rPr>
                <w:rFonts w:hint="eastAsia" w:asciiTheme="minorEastAsia" w:hAnsiTheme="minorEastAsia" w:cstheme="minorEastAsia"/>
                <w:bCs/>
                <w:color w:val="auto"/>
                <w:sz w:val="24"/>
                <w:szCs w:val="24"/>
                <w:highlight w:val="none"/>
                <w:lang w:val="en-US" w:eastAsia="zh-CN"/>
              </w:rPr>
              <w:t>具有</w:t>
            </w:r>
            <w:r>
              <w:rPr>
                <w:rFonts w:hint="eastAsia" w:asciiTheme="minorEastAsia" w:hAnsiTheme="minorEastAsia" w:eastAsiaTheme="minorEastAsia" w:cstheme="minorEastAsia"/>
                <w:bCs/>
                <w:color w:val="auto"/>
                <w:sz w:val="24"/>
                <w:szCs w:val="24"/>
                <w:highlight w:val="none"/>
              </w:rPr>
              <w:t>有效期内的信息系统项目管理师证书</w:t>
            </w:r>
            <w:r>
              <w:rPr>
                <w:rFonts w:hint="eastAsia" w:asciiTheme="minorEastAsia" w:hAnsiTheme="minorEastAsia" w:cstheme="minorEastAsia"/>
                <w:bCs/>
                <w:color w:val="auto"/>
                <w:sz w:val="24"/>
                <w:szCs w:val="24"/>
                <w:highlight w:val="none"/>
                <w:lang w:val="en-US" w:eastAsia="zh-CN"/>
              </w:rPr>
              <w:t>的</w:t>
            </w:r>
            <w:r>
              <w:rPr>
                <w:rFonts w:hint="eastAsia" w:asciiTheme="minorEastAsia" w:hAnsiTheme="minorEastAsia" w:eastAsiaTheme="minorEastAsia" w:cstheme="minorEastAsia"/>
                <w:bCs/>
                <w:color w:val="auto"/>
                <w:sz w:val="24"/>
                <w:szCs w:val="24"/>
                <w:highlight w:val="none"/>
              </w:rPr>
              <w:t>得</w:t>
            </w:r>
            <w:r>
              <w:rPr>
                <w:rFonts w:hint="eastAsia" w:asciiTheme="minorEastAsia" w:hAnsi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分</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cstheme="minorEastAsia"/>
                <w:bCs/>
                <w:color w:val="auto"/>
                <w:sz w:val="24"/>
                <w:szCs w:val="24"/>
                <w:highlight w:val="none"/>
                <w:lang w:val="en-US" w:eastAsia="zh-CN"/>
              </w:rPr>
              <w:t>本条最多得2分。</w:t>
            </w:r>
          </w:p>
          <w:p w14:paraId="783D6357">
            <w:pPr>
              <w:widowControl/>
              <w:spacing w:line="360" w:lineRule="exact"/>
              <w:ind w:firstLine="480" w:firstLineChars="2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项目团队成员中</w:t>
            </w:r>
            <w:r>
              <w:rPr>
                <w:rFonts w:hint="eastAsia" w:asciiTheme="minorEastAsia" w:hAnsiTheme="minorEastAsia" w:eastAsiaTheme="minorEastAsia" w:cstheme="minorEastAsia"/>
                <w:bCs/>
                <w:color w:val="auto"/>
                <w:sz w:val="24"/>
                <w:szCs w:val="24"/>
                <w:highlight w:val="none"/>
              </w:rPr>
              <w:t>至少2人持有有效期内的特种作业操作证（电工作业）</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在此基础上，每增加1人持有有效期内的特种作业操作证（电工作业）得</w:t>
            </w:r>
            <w:r>
              <w:rPr>
                <w:rFonts w:hint="eastAsia" w:asciiTheme="minorEastAsia" w:hAnsi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分</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cstheme="minorEastAsia"/>
                <w:bCs/>
                <w:color w:val="auto"/>
                <w:sz w:val="24"/>
                <w:szCs w:val="24"/>
                <w:highlight w:val="none"/>
                <w:lang w:val="en-US" w:eastAsia="zh-CN"/>
              </w:rPr>
              <w:t>本条最多得4分。</w:t>
            </w:r>
          </w:p>
          <w:p w14:paraId="252B38BF">
            <w:pPr>
              <w:spacing w:line="400" w:lineRule="exact"/>
              <w:ind w:firstLine="480" w:firstLineChars="20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注：1、</w:t>
            </w:r>
            <w:r>
              <w:rPr>
                <w:rFonts w:hint="eastAsia" w:asciiTheme="minorEastAsia" w:hAnsiTheme="minorEastAsia" w:eastAsiaTheme="minorEastAsia" w:cstheme="minorEastAsia"/>
                <w:color w:val="auto"/>
                <w:kern w:val="0"/>
                <w:sz w:val="24"/>
                <w:szCs w:val="24"/>
                <w:highlight w:val="none"/>
              </w:rPr>
              <w:t>同一人持有</w:t>
            </w:r>
            <w:r>
              <w:rPr>
                <w:rFonts w:hint="eastAsia" w:asciiTheme="minorEastAsia" w:hAnsiTheme="minorEastAsia" w:cstheme="minorEastAsia"/>
                <w:color w:val="auto"/>
                <w:kern w:val="0"/>
                <w:sz w:val="24"/>
                <w:szCs w:val="24"/>
                <w:highlight w:val="none"/>
                <w:lang w:val="en-US" w:eastAsia="zh-CN"/>
              </w:rPr>
              <w:t>两种</w:t>
            </w:r>
            <w:r>
              <w:rPr>
                <w:rFonts w:hint="eastAsia" w:asciiTheme="minorEastAsia" w:hAnsiTheme="minorEastAsia" w:eastAsiaTheme="minorEastAsia" w:cstheme="minorEastAsia"/>
                <w:color w:val="auto"/>
                <w:kern w:val="0"/>
                <w:sz w:val="24"/>
                <w:szCs w:val="24"/>
                <w:highlight w:val="none"/>
              </w:rPr>
              <w:t>证书可累计</w:t>
            </w:r>
            <w:r>
              <w:rPr>
                <w:rFonts w:hint="eastAsia" w:asciiTheme="minorEastAsia" w:hAnsiTheme="minorEastAsia" w:cstheme="minorEastAsia"/>
                <w:color w:val="auto"/>
                <w:kern w:val="0"/>
                <w:sz w:val="24"/>
                <w:szCs w:val="24"/>
                <w:highlight w:val="none"/>
                <w:lang w:val="en-US" w:eastAsia="zh-CN"/>
              </w:rPr>
              <w:t>得分。</w:t>
            </w:r>
          </w:p>
          <w:p w14:paraId="67F2B3C7">
            <w:pPr>
              <w:spacing w:line="400" w:lineRule="exact"/>
              <w:ind w:firstLine="480"/>
              <w:rPr>
                <w:rFonts w:hint="eastAsia" w:asciiTheme="minorEastAsia" w:hAnsiTheme="minorEastAsia" w:eastAsiaTheme="minorEastAsia" w:cstheme="minorEastAsia"/>
                <w:color w:val="auto"/>
                <w:sz w:val="24"/>
                <w:highlight w:val="none"/>
                <w:lang w:eastAsia="zh-CN" w:bidi="ar"/>
              </w:rPr>
            </w:pPr>
            <w:r>
              <w:rPr>
                <w:rFonts w:hint="eastAsia" w:asciiTheme="minorEastAsia" w:hAnsi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提供有效期内证书彩色扫描件并加盖投标人公章，同时须提供持证人公告当月前1年内任意1个月在投标人单位缴纳社保的相关证明材料,不提供或提供不全的不得分</w:t>
            </w:r>
            <w:r>
              <w:rPr>
                <w:rFonts w:hint="eastAsia" w:asciiTheme="minorEastAsia" w:hAnsiTheme="minorEastAsia" w:cstheme="minorEastAsia"/>
                <w:color w:val="auto"/>
                <w:kern w:val="0"/>
                <w:sz w:val="24"/>
                <w:szCs w:val="24"/>
                <w:highlight w:val="none"/>
                <w:lang w:eastAsia="zh-CN"/>
              </w:rPr>
              <w:t>。</w:t>
            </w:r>
          </w:p>
        </w:tc>
      </w:tr>
      <w:tr w14:paraId="5808F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noWrap w:val="0"/>
            <w:vAlign w:val="center"/>
          </w:tcPr>
          <w:p w14:paraId="6A44D11A">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4</w:t>
            </w:r>
          </w:p>
        </w:tc>
        <w:tc>
          <w:tcPr>
            <w:tcW w:w="1320" w:type="dxa"/>
            <w:noWrap w:val="0"/>
            <w:vAlign w:val="center"/>
          </w:tcPr>
          <w:p w14:paraId="5F47C9B7">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类似业绩</w:t>
            </w:r>
          </w:p>
        </w:tc>
        <w:tc>
          <w:tcPr>
            <w:tcW w:w="765" w:type="dxa"/>
            <w:noWrap w:val="0"/>
            <w:vAlign w:val="center"/>
          </w:tcPr>
          <w:p w14:paraId="34BCDFCA">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12</w:t>
            </w:r>
            <w:r>
              <w:rPr>
                <w:rFonts w:hint="eastAsia" w:asciiTheme="minorEastAsia" w:hAnsiTheme="minorEastAsia" w:eastAsiaTheme="minorEastAsia" w:cstheme="minorEastAsia"/>
                <w:color w:val="auto"/>
                <w:sz w:val="24"/>
                <w:highlight w:val="none"/>
                <w:lang w:bidi="ar"/>
              </w:rPr>
              <w:t>分</w:t>
            </w:r>
          </w:p>
        </w:tc>
        <w:tc>
          <w:tcPr>
            <w:tcW w:w="6777" w:type="dxa"/>
            <w:noWrap w:val="0"/>
            <w:vAlign w:val="center"/>
          </w:tcPr>
          <w:p w14:paraId="1372A3BF">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投标人自2023年1月1日以来（以合同签订时间为准）具有类似维保服务项目业绩的，每提供1个得</w:t>
            </w:r>
            <w:r>
              <w:rPr>
                <w:rFonts w:hint="eastAsia" w:asciiTheme="minorEastAsia" w:hAnsiTheme="minorEastAsia" w:eastAsiaTheme="minorEastAsia" w:cstheme="minorEastAsia"/>
                <w:color w:val="auto"/>
                <w:sz w:val="24"/>
                <w:highlight w:val="none"/>
                <w:lang w:val="en-US" w:eastAsia="zh-CN" w:bidi="ar"/>
              </w:rPr>
              <w:t>3</w:t>
            </w:r>
            <w:r>
              <w:rPr>
                <w:rFonts w:hint="eastAsia" w:asciiTheme="minorEastAsia" w:hAnsiTheme="minorEastAsia" w:eastAsiaTheme="minorEastAsia" w:cstheme="minorEastAsia"/>
                <w:color w:val="auto"/>
                <w:sz w:val="24"/>
                <w:highlight w:val="none"/>
                <w:lang w:bidi="ar"/>
              </w:rPr>
              <w:t>分，最多得</w:t>
            </w:r>
            <w:r>
              <w:rPr>
                <w:rFonts w:hint="eastAsia" w:asciiTheme="minorEastAsia" w:hAnsiTheme="minorEastAsia" w:cstheme="minorEastAsia"/>
                <w:color w:val="auto"/>
                <w:sz w:val="24"/>
                <w:highlight w:val="none"/>
                <w:lang w:val="en-US" w:eastAsia="zh-CN" w:bidi="ar"/>
              </w:rPr>
              <w:t>12</w:t>
            </w:r>
            <w:r>
              <w:rPr>
                <w:rFonts w:hint="eastAsia" w:asciiTheme="minorEastAsia" w:hAnsiTheme="minorEastAsia" w:eastAsiaTheme="minorEastAsia" w:cstheme="minorEastAsia"/>
                <w:color w:val="auto"/>
                <w:sz w:val="24"/>
                <w:highlight w:val="none"/>
                <w:lang w:bidi="ar"/>
              </w:rPr>
              <w:t>分。</w:t>
            </w:r>
          </w:p>
          <w:p w14:paraId="45F89761">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注:提供合同原件扫描件，合同须能反映项目名称、主要标的物、签订时间、单位公章或专用合同章,如不能反映的，另须提供盖有原委托单位公章的证明，否则不予认可。</w:t>
            </w:r>
          </w:p>
        </w:tc>
      </w:tr>
      <w:tr w14:paraId="7B82C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noWrap w:val="0"/>
            <w:vAlign w:val="center"/>
          </w:tcPr>
          <w:p w14:paraId="12FD9B8F">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5</w:t>
            </w:r>
          </w:p>
        </w:tc>
        <w:tc>
          <w:tcPr>
            <w:tcW w:w="1320" w:type="dxa"/>
            <w:noWrap w:val="0"/>
            <w:vAlign w:val="center"/>
          </w:tcPr>
          <w:p w14:paraId="2F9D5305">
            <w:pPr>
              <w:spacing w:line="360" w:lineRule="exact"/>
              <w:jc w:val="center"/>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rPr>
              <w:t>维保服务方案</w:t>
            </w:r>
          </w:p>
        </w:tc>
        <w:tc>
          <w:tcPr>
            <w:tcW w:w="765" w:type="dxa"/>
            <w:noWrap w:val="0"/>
            <w:vAlign w:val="center"/>
          </w:tcPr>
          <w:p w14:paraId="25844F5C">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5分</w:t>
            </w:r>
          </w:p>
        </w:tc>
        <w:tc>
          <w:tcPr>
            <w:tcW w:w="6777" w:type="dxa"/>
            <w:noWrap w:val="0"/>
          </w:tcPr>
          <w:p w14:paraId="3620457D">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投标人根据本项目第四章“</w:t>
            </w:r>
            <w:r>
              <w:rPr>
                <w:rFonts w:hint="eastAsia" w:asciiTheme="minorEastAsia" w:hAnsiTheme="minorEastAsia" w:eastAsiaTheme="minorEastAsia" w:cstheme="minorEastAsia"/>
                <w:color w:val="auto"/>
                <w:sz w:val="24"/>
                <w:highlight w:val="none"/>
                <w:lang w:val="en-US" w:eastAsia="zh-CN" w:bidi="ar"/>
              </w:rPr>
              <w:t>八</w:t>
            </w:r>
            <w:r>
              <w:rPr>
                <w:rFonts w:hint="eastAsia" w:asciiTheme="minorEastAsia" w:hAnsiTheme="minorEastAsia" w:eastAsiaTheme="minorEastAsia" w:cstheme="minorEastAsia"/>
                <w:color w:val="auto"/>
                <w:sz w:val="24"/>
                <w:highlight w:val="none"/>
                <w:lang w:bidi="ar"/>
              </w:rPr>
              <w:t>、其他要求中：</w:t>
            </w:r>
            <w:r>
              <w:rPr>
                <w:rFonts w:hint="eastAsia" w:asciiTheme="minorEastAsia" w:hAnsiTheme="minorEastAsia" w:eastAsiaTheme="minorEastAsia" w:cstheme="minorEastAsia"/>
                <w:b w:val="0"/>
                <w:bCs/>
                <w:color w:val="auto"/>
                <w:sz w:val="24"/>
                <w:highlight w:val="none"/>
              </w:rPr>
              <w:t>维保服务方案</w:t>
            </w:r>
            <w:r>
              <w:rPr>
                <w:rFonts w:hint="eastAsia" w:asciiTheme="minorEastAsia" w:hAnsiTheme="minorEastAsia" w:eastAsiaTheme="minorEastAsia" w:cstheme="minorEastAsia"/>
                <w:color w:val="auto"/>
                <w:sz w:val="24"/>
                <w:highlight w:val="none"/>
                <w:lang w:bidi="ar"/>
              </w:rPr>
              <w:t>”要求提供明确、详细、规范、全面、可操作性强的项目实施方案，至少包含：①维保服务内容；②维保服务流程；</w:t>
            </w:r>
            <w:r>
              <w:rPr>
                <w:rFonts w:hint="eastAsia" w:asciiTheme="minorEastAsia" w:hAnsiTheme="minorEastAsia" w:eastAsiaTheme="minorEastAsia" w:cstheme="minorEastAsia"/>
                <w:color w:val="auto"/>
                <w:sz w:val="24"/>
                <w:highlight w:val="none"/>
                <w:lang w:val="en-US" w:eastAsia="zh-CN" w:bidi="ar"/>
              </w:rPr>
              <w:t>③服务团队组织结构；④团队分工及责任分配</w:t>
            </w:r>
            <w:r>
              <w:rPr>
                <w:rFonts w:hint="eastAsia" w:asciiTheme="minorEastAsia" w:hAnsiTheme="minorEastAsia" w:eastAsiaTheme="minorEastAsia" w:cstheme="minorEastAsia"/>
                <w:color w:val="auto"/>
                <w:sz w:val="24"/>
                <w:highlight w:val="none"/>
                <w:lang w:bidi="ar"/>
              </w:rPr>
              <w:t>等方面内容。方案优于要求的得5分，符合要求得3分，不符合要求或未提供的不得分。</w:t>
            </w:r>
          </w:p>
          <w:p w14:paraId="73D71C69">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BC7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noWrap w:val="0"/>
            <w:vAlign w:val="center"/>
          </w:tcPr>
          <w:p w14:paraId="7C7A765D">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6</w:t>
            </w:r>
          </w:p>
        </w:tc>
        <w:tc>
          <w:tcPr>
            <w:tcW w:w="1320" w:type="dxa"/>
            <w:noWrap w:val="0"/>
            <w:vAlign w:val="center"/>
          </w:tcPr>
          <w:p w14:paraId="72CB8EF2">
            <w:pPr>
              <w:spacing w:line="360" w:lineRule="exact"/>
              <w:jc w:val="center"/>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highlight w:val="none"/>
                <w:lang w:val="en-US" w:eastAsia="zh-CN"/>
              </w:rPr>
              <w:t>备品</w:t>
            </w:r>
            <w:r>
              <w:rPr>
                <w:rFonts w:hint="eastAsia" w:asciiTheme="minorEastAsia" w:hAnsiTheme="minorEastAsia" w:cstheme="minorEastAsia"/>
                <w:b w:val="0"/>
                <w:bCs/>
                <w:color w:val="auto"/>
                <w:sz w:val="24"/>
                <w:highlight w:val="none"/>
                <w:lang w:val="en-US" w:eastAsia="zh-CN"/>
              </w:rPr>
              <w:t>保障</w:t>
            </w:r>
            <w:r>
              <w:rPr>
                <w:rFonts w:hint="eastAsia" w:asciiTheme="minorEastAsia" w:hAnsiTheme="minorEastAsia" w:eastAsiaTheme="minorEastAsia" w:cstheme="minorEastAsia"/>
                <w:b w:val="0"/>
                <w:bCs/>
                <w:color w:val="auto"/>
                <w:sz w:val="24"/>
                <w:highlight w:val="none"/>
                <w:lang w:val="en-US" w:eastAsia="zh-CN"/>
              </w:rPr>
              <w:t>及应急服务方案</w:t>
            </w:r>
          </w:p>
        </w:tc>
        <w:tc>
          <w:tcPr>
            <w:tcW w:w="765" w:type="dxa"/>
            <w:noWrap w:val="0"/>
            <w:vAlign w:val="center"/>
          </w:tcPr>
          <w:p w14:paraId="6DA0933B">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5分</w:t>
            </w:r>
          </w:p>
        </w:tc>
        <w:tc>
          <w:tcPr>
            <w:tcW w:w="6777" w:type="dxa"/>
            <w:noWrap w:val="0"/>
            <w:vAlign w:val="center"/>
          </w:tcPr>
          <w:p w14:paraId="0249B4F4">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投标人根据本项目第四章“</w:t>
            </w:r>
            <w:r>
              <w:rPr>
                <w:rFonts w:hint="eastAsia" w:asciiTheme="minorEastAsia" w:hAnsiTheme="minorEastAsia" w:eastAsiaTheme="minorEastAsia" w:cstheme="minorEastAsia"/>
                <w:color w:val="auto"/>
                <w:sz w:val="24"/>
                <w:highlight w:val="none"/>
                <w:lang w:val="en-US" w:eastAsia="zh-CN" w:bidi="ar"/>
              </w:rPr>
              <w:t>八</w:t>
            </w:r>
            <w:r>
              <w:rPr>
                <w:rFonts w:hint="eastAsia" w:asciiTheme="minorEastAsia" w:hAnsiTheme="minorEastAsia" w:eastAsiaTheme="minorEastAsia" w:cstheme="minorEastAsia"/>
                <w:color w:val="auto"/>
                <w:sz w:val="24"/>
                <w:highlight w:val="none"/>
                <w:lang w:bidi="ar"/>
              </w:rPr>
              <w:t>、其他要求中：</w:t>
            </w:r>
            <w:r>
              <w:rPr>
                <w:rFonts w:hint="eastAsia" w:asciiTheme="minorEastAsia" w:hAnsiTheme="minorEastAsia" w:eastAsiaTheme="minorEastAsia" w:cstheme="minorEastAsia"/>
                <w:b w:val="0"/>
                <w:bCs/>
                <w:color w:val="auto"/>
                <w:sz w:val="24"/>
                <w:highlight w:val="none"/>
                <w:lang w:val="en-US" w:eastAsia="zh-CN"/>
              </w:rPr>
              <w:t>备品</w:t>
            </w:r>
            <w:r>
              <w:rPr>
                <w:rFonts w:hint="eastAsia" w:asciiTheme="minorEastAsia" w:hAnsiTheme="minorEastAsia" w:cstheme="minorEastAsia"/>
                <w:b w:val="0"/>
                <w:bCs/>
                <w:color w:val="auto"/>
                <w:sz w:val="24"/>
                <w:highlight w:val="none"/>
                <w:lang w:val="en-US" w:eastAsia="zh-CN"/>
              </w:rPr>
              <w:t>保障</w:t>
            </w:r>
            <w:r>
              <w:rPr>
                <w:rFonts w:hint="eastAsia" w:asciiTheme="minorEastAsia" w:hAnsiTheme="minorEastAsia" w:eastAsiaTheme="minorEastAsia" w:cstheme="minorEastAsia"/>
                <w:b w:val="0"/>
                <w:bCs/>
                <w:color w:val="auto"/>
                <w:sz w:val="24"/>
                <w:highlight w:val="none"/>
                <w:lang w:val="en-US" w:eastAsia="zh-CN"/>
              </w:rPr>
              <w:t>及应急服务方案</w:t>
            </w:r>
            <w:r>
              <w:rPr>
                <w:rFonts w:hint="eastAsia" w:asciiTheme="minorEastAsia" w:hAnsiTheme="minorEastAsia" w:eastAsiaTheme="minorEastAsia" w:cstheme="minorEastAsia"/>
                <w:color w:val="auto"/>
                <w:sz w:val="24"/>
                <w:highlight w:val="none"/>
                <w:lang w:bidi="ar"/>
              </w:rPr>
              <w:t>”要求提供明确、详细、规范、全面、可操作性强的售后服务方案，至少包含：①</w:t>
            </w:r>
            <w:r>
              <w:rPr>
                <w:rFonts w:hint="eastAsia" w:asciiTheme="minorEastAsia" w:hAnsiTheme="minorEastAsia" w:eastAsiaTheme="minorEastAsia" w:cstheme="minorEastAsia"/>
                <w:color w:val="auto"/>
                <w:kern w:val="0"/>
                <w:sz w:val="24"/>
                <w:szCs w:val="24"/>
                <w:highlight w:val="none"/>
              </w:rPr>
              <w:t>巡检及保养</w:t>
            </w:r>
            <w:r>
              <w:rPr>
                <w:rFonts w:hint="eastAsia" w:asciiTheme="minorEastAsia" w:hAnsiTheme="minorEastAsia" w:eastAsiaTheme="minorEastAsia" w:cstheme="minorEastAsia"/>
                <w:color w:val="auto"/>
                <w:kern w:val="0"/>
                <w:sz w:val="24"/>
                <w:szCs w:val="24"/>
                <w:highlight w:val="none"/>
                <w:lang w:val="en-US" w:eastAsia="zh-CN"/>
              </w:rPr>
              <w:t>措施</w:t>
            </w:r>
            <w:r>
              <w:rPr>
                <w:rFonts w:hint="eastAsia" w:asciiTheme="minorEastAsia" w:hAnsiTheme="minorEastAsia" w:eastAsiaTheme="minorEastAsia" w:cstheme="minorEastAsia"/>
                <w:color w:val="auto"/>
                <w:sz w:val="24"/>
                <w:highlight w:val="none"/>
                <w:lang w:bidi="ar"/>
              </w:rPr>
              <w:t>；②</w:t>
            </w:r>
            <w:r>
              <w:rPr>
                <w:rFonts w:hint="eastAsia" w:asciiTheme="minorEastAsia" w:hAnsiTheme="minorEastAsia" w:eastAsiaTheme="minorEastAsia" w:cstheme="minorEastAsia"/>
                <w:color w:val="auto"/>
                <w:sz w:val="24"/>
                <w:highlight w:val="none"/>
                <w:lang w:val="en-US" w:eastAsia="zh-CN" w:bidi="ar"/>
              </w:rPr>
              <w:t>备品备件保障措施</w:t>
            </w:r>
            <w:r>
              <w:rPr>
                <w:rFonts w:hint="eastAsia" w:asciiTheme="minorEastAsia" w:hAnsiTheme="minorEastAsia" w:eastAsiaTheme="minorEastAsia" w:cstheme="minorEastAsia"/>
                <w:color w:val="auto"/>
                <w:sz w:val="24"/>
                <w:highlight w:val="none"/>
                <w:lang w:bidi="ar"/>
              </w:rPr>
              <w:t>；③</w:t>
            </w:r>
            <w:r>
              <w:rPr>
                <w:rFonts w:hint="eastAsia" w:asciiTheme="minorEastAsia" w:hAnsiTheme="minorEastAsia" w:eastAsiaTheme="minorEastAsia" w:cstheme="minorEastAsia"/>
                <w:color w:val="auto"/>
                <w:sz w:val="24"/>
                <w:highlight w:val="none"/>
                <w:lang w:val="en-US" w:eastAsia="zh-CN" w:bidi="ar"/>
              </w:rPr>
              <w:t>应急</w:t>
            </w:r>
            <w:r>
              <w:rPr>
                <w:rFonts w:hint="eastAsia" w:asciiTheme="minorEastAsia" w:hAnsiTheme="minorEastAsia" w:eastAsiaTheme="minorEastAsia" w:cstheme="minorEastAsia"/>
                <w:color w:val="auto"/>
                <w:sz w:val="24"/>
                <w:highlight w:val="none"/>
                <w:lang w:bidi="ar"/>
              </w:rPr>
              <w:t>方案</w:t>
            </w:r>
            <w:r>
              <w:rPr>
                <w:rFonts w:hint="eastAsia" w:asciiTheme="minorEastAsia" w:hAnsiTheme="minorEastAsia" w:eastAsiaTheme="minorEastAsia" w:cstheme="minorEastAsia"/>
                <w:color w:val="auto"/>
                <w:sz w:val="24"/>
                <w:highlight w:val="none"/>
                <w:lang w:val="en-US" w:eastAsia="zh-CN" w:bidi="ar"/>
              </w:rPr>
              <w:t>及措施</w:t>
            </w:r>
            <w:r>
              <w:rPr>
                <w:rFonts w:hint="eastAsia" w:asciiTheme="minorEastAsia" w:hAnsiTheme="minorEastAsia" w:eastAsiaTheme="minorEastAsia" w:cstheme="minorEastAsia"/>
                <w:color w:val="auto"/>
                <w:sz w:val="24"/>
                <w:highlight w:val="none"/>
                <w:lang w:bidi="ar"/>
              </w:rPr>
              <w:t>；④</w:t>
            </w:r>
            <w:r>
              <w:rPr>
                <w:rFonts w:hint="eastAsia" w:asciiTheme="minorEastAsia" w:hAnsiTheme="minorEastAsia" w:eastAsiaTheme="minorEastAsia" w:cstheme="minorEastAsia"/>
                <w:color w:val="auto"/>
                <w:kern w:val="0"/>
                <w:sz w:val="24"/>
                <w:szCs w:val="24"/>
                <w:highlight w:val="none"/>
              </w:rPr>
              <w:t>服务响应</w:t>
            </w:r>
            <w:r>
              <w:rPr>
                <w:rFonts w:hint="eastAsia" w:asciiTheme="minorEastAsia" w:hAnsiTheme="minorEastAsia" w:eastAsiaTheme="minorEastAsia" w:cstheme="minorEastAsia"/>
                <w:color w:val="auto"/>
                <w:kern w:val="0"/>
                <w:sz w:val="24"/>
                <w:szCs w:val="24"/>
                <w:highlight w:val="none"/>
                <w:lang w:val="en-US" w:eastAsia="zh-CN"/>
              </w:rPr>
              <w:t>措施</w:t>
            </w:r>
            <w:r>
              <w:rPr>
                <w:rFonts w:hint="eastAsia" w:asciiTheme="minorEastAsia" w:hAnsiTheme="minorEastAsia" w:eastAsiaTheme="minorEastAsia" w:cstheme="minorEastAsia"/>
                <w:color w:val="auto"/>
                <w:sz w:val="24"/>
                <w:highlight w:val="none"/>
                <w:lang w:bidi="ar"/>
              </w:rPr>
              <w:t>等方面内容。方案优于要求的得5分，符合要求得3分，不符合要求或未提供的不得分。</w:t>
            </w:r>
          </w:p>
          <w:p w14:paraId="734D0980">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4CB9A783">
      <w:pPr>
        <w:pStyle w:val="31"/>
        <w:keepNext/>
        <w:spacing w:beforeAutospacing="0" w:afterAutospacing="0"/>
        <w:jc w:val="center"/>
        <w:rPr>
          <w:rFonts w:hint="eastAsia" w:asciiTheme="minorEastAsia" w:hAnsiTheme="minorEastAsia" w:eastAsiaTheme="minorEastAsia" w:cstheme="minorEastAsia"/>
          <w:color w:val="auto"/>
          <w:sz w:val="44"/>
          <w:szCs w:val="44"/>
          <w:highlight w:val="none"/>
        </w:rPr>
      </w:pPr>
    </w:p>
    <w:p w14:paraId="21C225CF">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51ECA410">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p>
    <w:p w14:paraId="2F465AD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bookmarkStart w:id="146" w:name="_Toc120614282"/>
      <w:bookmarkEnd w:id="146"/>
      <w:bookmarkStart w:id="147" w:name="_Toc49090576"/>
      <w:bookmarkEnd w:id="147"/>
    </w:p>
    <w:p w14:paraId="7F4E7897">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3F1F505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69E4ED0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投  标  文  件</w:t>
      </w:r>
    </w:p>
    <w:p w14:paraId="728A10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582D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572BA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69563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44C345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623297F">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名 称：</w:t>
      </w:r>
      <w:r>
        <w:rPr>
          <w:rFonts w:hint="eastAsia" w:asciiTheme="minorEastAsia" w:hAnsiTheme="minorEastAsia" w:eastAsiaTheme="minorEastAsia" w:cstheme="minorEastAsia"/>
          <w:b/>
          <w:color w:val="auto"/>
          <w:sz w:val="36"/>
          <w:szCs w:val="36"/>
          <w:highlight w:val="none"/>
          <w:u w:val="single"/>
        </w:rPr>
        <w:t>             </w:t>
      </w:r>
    </w:p>
    <w:p w14:paraId="107F1122">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编 号：</w:t>
      </w:r>
      <w:r>
        <w:rPr>
          <w:rFonts w:hint="eastAsia" w:asciiTheme="minorEastAsia" w:hAnsiTheme="minorEastAsia" w:eastAsiaTheme="minorEastAsia" w:cstheme="minorEastAsia"/>
          <w:b/>
          <w:color w:val="auto"/>
          <w:sz w:val="36"/>
          <w:szCs w:val="36"/>
          <w:highlight w:val="none"/>
          <w:u w:val="single"/>
        </w:rPr>
        <w:t>             </w:t>
      </w:r>
    </w:p>
    <w:p w14:paraId="196C7522">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投标人名称 ：</w:t>
      </w:r>
      <w:r>
        <w:rPr>
          <w:rFonts w:hint="eastAsia" w:asciiTheme="minorEastAsia" w:hAnsiTheme="minorEastAsia" w:eastAsiaTheme="minorEastAsia" w:cstheme="minorEastAsia"/>
          <w:b/>
          <w:color w:val="auto"/>
          <w:sz w:val="36"/>
          <w:szCs w:val="36"/>
          <w:highlight w:val="none"/>
          <w:u w:val="single"/>
        </w:rPr>
        <w:t>（加盖CA电子公章）</w:t>
      </w:r>
    </w:p>
    <w:p w14:paraId="43BFE3E4">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日   期 ：</w:t>
      </w:r>
      <w:r>
        <w:rPr>
          <w:rFonts w:hint="eastAsia" w:asciiTheme="minorEastAsia" w:hAnsiTheme="minorEastAsia" w:eastAsiaTheme="minorEastAsia" w:cstheme="minorEastAsia"/>
          <w:b/>
          <w:color w:val="auto"/>
          <w:sz w:val="36"/>
          <w:szCs w:val="36"/>
          <w:highlight w:val="none"/>
          <w:u w:val="single"/>
        </w:rPr>
        <w:t>             </w:t>
      </w:r>
    </w:p>
    <w:p w14:paraId="13A543A8">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26A619B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3702FCE0">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4281FB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AB6738">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70E3BBD1">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p>
    <w:p w14:paraId="0184A94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A2EBB8">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一、法人或者其他组织的营业执照等证明文件，自然人的身份证明</w:t>
      </w:r>
    </w:p>
    <w:p w14:paraId="2D7B663E">
      <w:pPr>
        <w:tabs>
          <w:tab w:val="left" w:pos="1331"/>
        </w:tabs>
        <w:ind w:firstLine="480"/>
        <w:jc w:val="lef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二、上一年度的财务状况报告（至少提供资产负债表、利润表、现金流量表，</w:t>
      </w:r>
      <w:r>
        <w:rPr>
          <w:rFonts w:hint="eastAsia" w:asciiTheme="minorEastAsia" w:hAnsiTheme="minorEastAsia" w:eastAsiaTheme="minorEastAsia" w:cstheme="minorEastAsia"/>
          <w:iCs/>
          <w:color w:val="auto"/>
          <w:highlight w:val="none"/>
        </w:rPr>
        <w:t>投标人成立不满一年无需提供）</w:t>
      </w:r>
    </w:p>
    <w:p w14:paraId="5481BD04">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三、具备履行合同所必需的设备和专业技术能力的书面声明</w:t>
      </w:r>
    </w:p>
    <w:p w14:paraId="58CFF74C">
      <w:pPr>
        <w:pStyle w:val="31"/>
        <w:spacing w:beforeAutospacing="0" w:afterAutospacing="0"/>
        <w:ind w:firstLine="480" w:firstLineChars="20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59E6BD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五、参加政府采购活动前 3 年内在经营活动中没有重大违法记录的书面声明</w:t>
      </w:r>
    </w:p>
    <w:p w14:paraId="5791A390">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六、特定资格要求的证明文件（如果本项目设置特定资格要求，则需要提供）</w:t>
      </w:r>
    </w:p>
    <w:p w14:paraId="2BF85D1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七、法人授权书</w:t>
      </w:r>
    </w:p>
    <w:p w14:paraId="584D4801">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八、投标函</w:t>
      </w:r>
    </w:p>
    <w:p w14:paraId="33479737">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九、中小企业声明函</w:t>
      </w:r>
    </w:p>
    <w:p w14:paraId="5DC54EF5">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十、残疾人福利性单位声明函</w:t>
      </w:r>
    </w:p>
    <w:p w14:paraId="0A7E513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highlight w:val="none"/>
          <w:lang w:val="en-US" w:eastAsia="zh-CN"/>
        </w:rPr>
        <w:t>一</w:t>
      </w:r>
      <w:r>
        <w:rPr>
          <w:rFonts w:hint="eastAsia" w:asciiTheme="minorEastAsia" w:hAnsiTheme="minorEastAsia" w:eastAsiaTheme="minorEastAsia" w:cstheme="minorEastAsia"/>
          <w:iCs/>
          <w:color w:val="auto"/>
          <w:highlight w:val="none"/>
        </w:rPr>
        <w:t>、投标分项报价表</w:t>
      </w:r>
    </w:p>
    <w:p w14:paraId="0E1C7B6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十二、技术要求响应及偏离表</w:t>
      </w:r>
    </w:p>
    <w:p w14:paraId="0402142F">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十三、商务要求响应及偏离表</w:t>
      </w:r>
    </w:p>
    <w:p w14:paraId="077C77AA">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十四、开标一览表</w:t>
      </w:r>
    </w:p>
    <w:p w14:paraId="2879BF41">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十</w:t>
      </w:r>
      <w:r>
        <w:rPr>
          <w:rFonts w:hint="eastAsia" w:asciiTheme="minorEastAsia" w:hAnsiTheme="minorEastAsia" w:eastAsiaTheme="minorEastAsia" w:cstheme="minorEastAsia"/>
          <w:iCs/>
          <w:color w:val="auto"/>
          <w:highlight w:val="none"/>
        </w:rPr>
        <w:t>五</w:t>
      </w:r>
      <w:r>
        <w:rPr>
          <w:rFonts w:hint="eastAsia" w:asciiTheme="minorEastAsia" w:hAnsiTheme="minorEastAsia" w:eastAsiaTheme="minorEastAsia" w:cstheme="minorEastAsia"/>
          <w:iCs/>
          <w:color w:val="auto"/>
          <w:sz w:val="24"/>
          <w:highlight w:val="none"/>
        </w:rPr>
        <w:t>、拟投入本项目服务人员一览表</w:t>
      </w:r>
    </w:p>
    <w:p w14:paraId="5C03AA76">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rPr>
        <w:t>六</w:t>
      </w:r>
      <w:r>
        <w:rPr>
          <w:rFonts w:hint="eastAsia" w:asciiTheme="minorEastAsia" w:hAnsiTheme="minorEastAsia" w:eastAsiaTheme="minorEastAsia" w:cstheme="minorEastAsia"/>
          <w:iCs/>
          <w:color w:val="auto"/>
          <w:sz w:val="24"/>
          <w:highlight w:val="none"/>
          <w:lang w:eastAsia="zh-CN"/>
        </w:rPr>
        <w:t>、维保服务方案、备品</w:t>
      </w:r>
      <w:r>
        <w:rPr>
          <w:rFonts w:hint="eastAsia" w:asciiTheme="minorEastAsia" w:hAnsiTheme="minorEastAsia" w:cstheme="minorEastAsia"/>
          <w:iCs/>
          <w:color w:val="auto"/>
          <w:sz w:val="24"/>
          <w:highlight w:val="none"/>
          <w:lang w:val="en-US" w:eastAsia="zh-CN"/>
        </w:rPr>
        <w:t>保障</w:t>
      </w:r>
      <w:r>
        <w:rPr>
          <w:rFonts w:hint="eastAsia" w:asciiTheme="minorEastAsia" w:hAnsiTheme="minorEastAsia" w:eastAsiaTheme="minorEastAsia" w:cstheme="minorEastAsia"/>
          <w:iCs/>
          <w:color w:val="auto"/>
          <w:sz w:val="24"/>
          <w:highlight w:val="none"/>
          <w:lang w:eastAsia="zh-CN"/>
        </w:rPr>
        <w:t>及应急服务方案</w:t>
      </w:r>
      <w:r>
        <w:rPr>
          <w:rFonts w:hint="eastAsia" w:asciiTheme="minorEastAsia" w:hAnsiTheme="minorEastAsia" w:eastAsiaTheme="minorEastAsia" w:cstheme="minorEastAsia"/>
          <w:iCs/>
          <w:color w:val="auto"/>
          <w:sz w:val="24"/>
          <w:highlight w:val="none"/>
        </w:rPr>
        <w:t>等</w:t>
      </w:r>
    </w:p>
    <w:p w14:paraId="59612D10">
      <w:pPr>
        <w:pStyle w:val="31"/>
        <w:spacing w:beforeAutospacing="0" w:afterAutospacing="0" w:line="360" w:lineRule="auto"/>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lang w:val="en-US" w:eastAsia="zh-CN"/>
        </w:rPr>
        <w:t>七</w:t>
      </w:r>
      <w:r>
        <w:rPr>
          <w:rFonts w:hint="eastAsia" w:asciiTheme="minorEastAsia" w:hAnsiTheme="minorEastAsia" w:eastAsiaTheme="minorEastAsia" w:cstheme="minorEastAsia"/>
          <w:iCs/>
          <w:color w:val="auto"/>
          <w:highlight w:val="none"/>
        </w:rPr>
        <w:t>、盐城市政府采购事前信用承诺书</w:t>
      </w:r>
    </w:p>
    <w:p w14:paraId="641DEDA3">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9414BA6">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64B1A228">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31809C">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6DDFD27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一、法人或者其他组织的营业执照等证明文件，自然人的身份证明</w:t>
      </w:r>
    </w:p>
    <w:p w14:paraId="3F7DF44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9D0B3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二、上一年度的财务状况报告</w:t>
      </w:r>
    </w:p>
    <w:p w14:paraId="7E575F25">
      <w:pPr>
        <w:tabs>
          <w:tab w:val="left" w:pos="1331"/>
        </w:tabs>
        <w:ind w:firstLine="480"/>
        <w:jc w:val="lef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（至少提供资产负债表、利润表、现金流量表，</w:t>
      </w:r>
      <w:r>
        <w:rPr>
          <w:rFonts w:hint="eastAsia" w:asciiTheme="minorEastAsia" w:hAnsiTheme="minorEastAsia" w:eastAsiaTheme="minorEastAsia" w:cstheme="minorEastAsia"/>
          <w:iCs/>
          <w:color w:val="auto"/>
          <w:highlight w:val="none"/>
        </w:rPr>
        <w:t>投标人成立不满一年无需提供）</w:t>
      </w:r>
    </w:p>
    <w:p w14:paraId="5081E9A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12923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三、具备履行合同所必需的设备和专业技术能力的书面声明</w:t>
      </w:r>
    </w:p>
    <w:p w14:paraId="0EF38189">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我单位郑重声明：我单位具备履行本项采购合同所必需的设备和专业技术能力，为履行本项采购合同我公司具备如下主要设备和主要专业技术能力：</w:t>
      </w:r>
    </w:p>
    <w:p w14:paraId="79BF852D">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348FE3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BF686D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四、依法缴纳税收和社会保障资金的相关材料</w:t>
      </w:r>
    </w:p>
    <w:p w14:paraId="57A199BF">
      <w:pPr>
        <w:pStyle w:val="31"/>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提供提交投标文件截止时间前一年内至少一个月依法缴纳税收及缴纳社会保障资金的证明材料。投标人依法享受缓缴、免缴税收、社会保障资金的提供证明材料。</w:t>
      </w:r>
    </w:p>
    <w:p w14:paraId="789C317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7A255C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五、参加政府采购活动前 3 年内在经营活动中没有重大违法记录的书面声明</w:t>
      </w:r>
    </w:p>
    <w:p w14:paraId="2D667F3E">
      <w:pPr>
        <w:pStyle w:val="31"/>
        <w:spacing w:beforeAutospacing="0" w:afterAutospacing="0" w:line="0" w:lineRule="atLeast"/>
        <w:jc w:val="both"/>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w:t>
      </w:r>
    </w:p>
    <w:p w14:paraId="7803E260">
      <w:pPr>
        <w:pStyle w:val="31"/>
        <w:spacing w:beforeAutospacing="0" w:afterAutospacing="0" w:line="0" w:lineRule="atLeast"/>
        <w:ind w:firstLine="30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p>
    <w:p w14:paraId="756EEF8D">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BA0D37">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F88C73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六、特定资格要求的证明文件</w:t>
      </w:r>
    </w:p>
    <w:p w14:paraId="30F2A3E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如果本项目申请人的特定资格要求中要求提供的，必须提供。</w:t>
      </w:r>
    </w:p>
    <w:p w14:paraId="62CC4FBD">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59267804">
      <w:pPr>
        <w:pStyle w:val="31"/>
        <w:spacing w:beforeAutospacing="0" w:afterAutospacing="0"/>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七、法人授权书</w:t>
      </w:r>
    </w:p>
    <w:p w14:paraId="73461A88">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p>
    <w:p w14:paraId="2A8F7AE0">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号项目采购活动的合法代理人，以本单位名义全权处理一切与该项目采购有关的事务。</w:t>
      </w:r>
    </w:p>
    <w:p w14:paraId="3B6CCF34">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本授权书于______年____月____日起生效，特此声明。</w:t>
      </w:r>
    </w:p>
    <w:p w14:paraId="0AC83EFC">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被授权人身份证号码：</w:t>
      </w:r>
      <w:r>
        <w:rPr>
          <w:rFonts w:hint="eastAsia" w:asciiTheme="minorEastAsia" w:hAnsiTheme="minorEastAsia" w:eastAsiaTheme="minorEastAsia" w:cstheme="minorEastAsia"/>
          <w:color w:val="auto"/>
          <w:highlight w:val="none"/>
          <w:u w:val="single"/>
        </w:rPr>
        <w:t xml:space="preserve">        </w:t>
      </w:r>
    </w:p>
    <w:p w14:paraId="04987382">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被授权人联系电话：（手机）</w:t>
      </w:r>
      <w:r>
        <w:rPr>
          <w:rFonts w:hint="eastAsia" w:asciiTheme="minorEastAsia" w:hAnsiTheme="minorEastAsia" w:eastAsiaTheme="minorEastAsia" w:cstheme="minorEastAsia"/>
          <w:color w:val="auto"/>
          <w:highlight w:val="none"/>
          <w:u w:val="single"/>
        </w:rPr>
        <w:t xml:space="preserve">           </w:t>
      </w:r>
    </w:p>
    <w:p w14:paraId="70A82F1C">
      <w:pPr>
        <w:pStyle w:val="31"/>
        <w:tabs>
          <w:tab w:val="left" w:pos="360"/>
        </w:tabs>
        <w:spacing w:beforeAutospacing="0" w:afterAutospacing="0"/>
        <w:ind w:firstLine="12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授权单位名称：</w:t>
      </w:r>
      <w:r>
        <w:rPr>
          <w:rFonts w:hint="eastAsia" w:asciiTheme="minorEastAsia" w:hAnsiTheme="minorEastAsia" w:eastAsiaTheme="minorEastAsia" w:cstheme="minorEastAsia"/>
          <w:color w:val="auto"/>
          <w:highlight w:val="none"/>
          <w:u w:val="single"/>
        </w:rPr>
        <w:t>（加盖CA电子公章）</w:t>
      </w:r>
    </w:p>
    <w:p w14:paraId="07368935">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单位地址：</w:t>
      </w:r>
      <w:r>
        <w:rPr>
          <w:rFonts w:hint="eastAsia" w:asciiTheme="minorEastAsia" w:hAnsiTheme="minorEastAsia" w:eastAsiaTheme="minorEastAsia" w:cstheme="minorEastAsia"/>
          <w:color w:val="auto"/>
          <w:highlight w:val="none"/>
          <w:u w:val="single"/>
        </w:rPr>
        <w:t xml:space="preserve">           </w:t>
      </w:r>
    </w:p>
    <w:p w14:paraId="60F6FC1B">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日期：</w:t>
      </w:r>
      <w:r>
        <w:rPr>
          <w:rFonts w:hint="eastAsia" w:asciiTheme="minorEastAsia" w:hAnsiTheme="minorEastAsia" w:eastAsiaTheme="minorEastAsia" w:cstheme="minorEastAsia"/>
          <w:color w:val="auto"/>
          <w:highlight w:val="none"/>
          <w:u w:val="single"/>
        </w:rPr>
        <w:t xml:space="preserve">           </w:t>
      </w:r>
    </w:p>
    <w:p w14:paraId="3DF94212">
      <w:pPr>
        <w:pStyle w:val="31"/>
        <w:spacing w:beforeAutospacing="0" w:afterAutospacing="0"/>
        <w:ind w:firstLine="4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527AD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982DACA">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6290A9">
      <w:pPr>
        <w:pStyle w:val="31"/>
        <w:keepNext/>
        <w:keepLines/>
        <w:spacing w:before="260" w:beforeAutospacing="0" w:after="260" w:afterAutospacing="0" w:line="415" w:lineRule="auto"/>
        <w:ind w:firstLine="339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br w:type="page"/>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b/>
          <w:i/>
          <w:color w:val="auto"/>
          <w:sz w:val="32"/>
          <w:szCs w:val="32"/>
          <w:highlight w:val="none"/>
          <w:u w:val="single"/>
        </w:rPr>
        <w:t>八、投标函</w:t>
      </w:r>
    </w:p>
    <w:p w14:paraId="13864812">
      <w:pPr>
        <w:pStyle w:val="31"/>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致：盐城市公安局</w:t>
      </w:r>
    </w:p>
    <w:p w14:paraId="6C556D78">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号招标文件，正式授权下述签字人_________________(姓名)代表我方______________（投标人的名称），全权处理本次项目投标的有关事宜。</w:t>
      </w:r>
    </w:p>
    <w:p w14:paraId="0E180F47">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据此函，__________签字人兹宣布同意如下：</w:t>
      </w:r>
    </w:p>
    <w:p w14:paraId="0730F91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1.按招标文件规定的各项要求，向买方提供所需</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（包含与</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相关的</w:t>
      </w:r>
      <w:r>
        <w:rPr>
          <w:rFonts w:hint="eastAsia" w:asciiTheme="minorEastAsia" w:hAnsiTheme="minorEastAsia" w:cstheme="minorEastAsia"/>
          <w:color w:val="auto"/>
          <w:highlight w:val="none"/>
          <w:lang w:val="en-US" w:eastAsia="zh-CN"/>
        </w:rPr>
        <w:t>货物</w:t>
      </w:r>
      <w:r>
        <w:rPr>
          <w:rFonts w:hint="eastAsia" w:asciiTheme="minorEastAsia" w:hAnsiTheme="minorEastAsia" w:eastAsiaTheme="minorEastAsia" w:cstheme="minorEastAsia"/>
          <w:color w:val="auto"/>
          <w:highlight w:val="none"/>
        </w:rPr>
        <w:t>）。</w:t>
      </w:r>
    </w:p>
    <w:p w14:paraId="748DEBF1">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2.我们完全理解贵方不一定将合同授予最低报价的投标人。</w:t>
      </w:r>
    </w:p>
    <w:p w14:paraId="42A062BA">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3.我们已详细审核全部招标文件及其有效补充文件，我们知道必须放弃提出含糊不清或误解问题的权利。</w:t>
      </w:r>
    </w:p>
    <w:p w14:paraId="002983BC">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4.我们同意从规定的开标日期起遵循本投标文件，并在规定的投标有效期期满之前均具有约束力。</w:t>
      </w:r>
    </w:p>
    <w:p w14:paraId="1ADBED3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5.同意向贵方提供贵方可能另外要求的与投标有关的任何证据或资料，并保证我方已提供和将要提供的文件是真实的、准确的。</w:t>
      </w:r>
    </w:p>
    <w:p w14:paraId="47BF30CF">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6.一旦我方中标,我方将根据招标文件的规定，严格履行合同的责任和义务,并保证在招标文件规定的时间完成项目，交付买方验收、使用。</w:t>
      </w:r>
    </w:p>
    <w:p w14:paraId="67F01EE4">
      <w:pPr>
        <w:pStyle w:val="31"/>
        <w:spacing w:beforeAutospacing="0" w:afterAutospacing="0" w:line="0" w:lineRule="atLeast"/>
        <w:ind w:left="42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7.与本投标有关的正式通讯地址为：</w:t>
      </w:r>
    </w:p>
    <w:p w14:paraId="4B96739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14:paraId="1A50CA02">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14:paraId="6513DDD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w:t>
      </w:r>
    </w:p>
    <w:p w14:paraId="1B157BF9">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          真：</w:t>
      </w:r>
    </w:p>
    <w:p w14:paraId="3DF02EF4">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投标人开户行：</w:t>
      </w:r>
    </w:p>
    <w:p w14:paraId="2361944F">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p>
    <w:p w14:paraId="2F78AD35">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期：________年____月____日</w:t>
      </w:r>
    </w:p>
    <w:p w14:paraId="52EBA570">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4FD53C5">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2973D6">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DA281F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九、中小企业声明函（服务）（分包号：**）</w:t>
      </w:r>
    </w:p>
    <w:p w14:paraId="32644B09">
      <w:pPr>
        <w:spacing w:line="500" w:lineRule="exact"/>
        <w:ind w:firstLine="480"/>
        <w:rPr>
          <w:rFonts w:hint="eastAsia" w:asciiTheme="minorEastAsia" w:hAnsiTheme="minorEastAsia" w:eastAsiaTheme="minorEastAsia" w:cstheme="minorEastAsia"/>
          <w:color w:val="auto"/>
          <w:sz w:val="24"/>
          <w:highlight w:val="none"/>
        </w:rPr>
      </w:pPr>
    </w:p>
    <w:p w14:paraId="315618F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4"/>
          <w:highlight w:val="none"/>
          <w:u w:val="single"/>
          <w:lang w:val="en-US" w:eastAsia="zh-CN"/>
        </w:rPr>
        <w:t>盐城市公安局</w:t>
      </w:r>
      <w:r>
        <w:rPr>
          <w:rFonts w:hint="eastAsia" w:asciiTheme="minorEastAsia" w:hAnsiTheme="minorEastAsia" w:eastAsiaTheme="minorEastAsia" w:cstheme="minorEastAsia"/>
          <w:color w:val="auto"/>
          <w:sz w:val="24"/>
          <w:highlight w:val="none"/>
        </w:rPr>
        <w:t>组织的，采购编号为</w:t>
      </w:r>
      <w:r>
        <w:rPr>
          <w:rFonts w:hint="eastAsia" w:asciiTheme="minorEastAsia" w:hAnsiTheme="minorEastAsia" w:cstheme="minorEastAsia"/>
          <w:color w:val="auto"/>
          <w:sz w:val="24"/>
          <w:highlight w:val="none"/>
          <w:u w:val="single"/>
          <w:lang w:eastAsia="zh-CN"/>
        </w:rPr>
        <w:t>JSZC-320900-JCJS-G2026-0015</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u w:val="single"/>
          <w:lang w:eastAsia="zh-CN"/>
        </w:rPr>
        <w:t>盐城市公安局水域感知前端二期维保项目</w:t>
      </w:r>
      <w:r>
        <w:rPr>
          <w:rFonts w:hint="eastAsia" w:asciiTheme="minorEastAsia" w:hAnsiTheme="minorEastAsia" w:eastAsiaTheme="minorEastAsia" w:cstheme="minorEastAsia"/>
          <w:color w:val="auto"/>
          <w:sz w:val="24"/>
          <w:highlight w:val="none"/>
        </w:rPr>
        <w:t>的采购活动，服务全部由符合政策要求的中小企业承接。相关企业（含联合体中的中小企业、签订分包意向协议的中小企业）的具体情况如下：</w:t>
      </w:r>
    </w:p>
    <w:p w14:paraId="4BF12881">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1501CB26">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24EC88FA">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25818BDE">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3B5B2DAB">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60D3D93F">
      <w:pPr>
        <w:pStyle w:val="31"/>
        <w:spacing w:beforeAutospacing="0" w:afterAutospacing="0" w:line="360" w:lineRule="auto"/>
        <w:ind w:right="7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8DECF79">
      <w:pPr>
        <w:pStyle w:val="31"/>
        <w:spacing w:beforeAutospacing="0" w:afterAutospacing="0" w:line="360" w:lineRule="auto"/>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企业名称（加盖CA电子公章）：</w:t>
      </w:r>
    </w:p>
    <w:p w14:paraId="0BBD4F66">
      <w:pPr>
        <w:pStyle w:val="31"/>
        <w:spacing w:beforeAutospacing="0" w:afterAutospacing="0" w:line="360" w:lineRule="auto"/>
        <w:ind w:right="480" w:firstLine="54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45BD90D7">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B1D47C">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备注1：从业人员、营业收入、资产总额填报上一年度数据，无上一年度数据的新成立企业可不填报。</w:t>
      </w:r>
    </w:p>
    <w:p w14:paraId="7404CD03">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备注2：供应商如不提供此声明函，价格将不做相应扣除（如项目全面面向中小企业，则资格审查不通过）。</w:t>
      </w:r>
    </w:p>
    <w:p w14:paraId="4FF77660">
      <w:pPr>
        <w:pStyle w:val="31"/>
        <w:spacing w:beforeAutospacing="0" w:afterAutospacing="0" w:line="0" w:lineRule="atLeast"/>
        <w:jc w:val="center"/>
        <w:rPr>
          <w:rFonts w:hint="eastAsia" w:asciiTheme="minorEastAsia" w:hAnsiTheme="minorEastAsia" w:eastAsiaTheme="minorEastAsia" w:cstheme="minorEastAsia"/>
          <w:b/>
          <w:color w:val="auto"/>
          <w:sz w:val="32"/>
          <w:szCs w:val="32"/>
          <w:highlight w:val="none"/>
        </w:rPr>
      </w:pPr>
    </w:p>
    <w:p w14:paraId="0FCB0F2C">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1A9FD8D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十、残疾人福利性单位声明函（分包号：**）</w:t>
      </w:r>
    </w:p>
    <w:p w14:paraId="19EC8CC4">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highlight w:val="none"/>
          <w:u w:val="single"/>
        </w:rPr>
        <w:t>盐城市公安局</w:t>
      </w:r>
      <w:r>
        <w:rPr>
          <w:rFonts w:hint="eastAsia" w:asciiTheme="minorEastAsia" w:hAnsiTheme="minorEastAsia" w:eastAsiaTheme="minorEastAsia" w:cstheme="minorEastAsia"/>
          <w:color w:val="auto"/>
          <w:highlight w:val="none"/>
        </w:rPr>
        <w:t>的采购文件编号为</w:t>
      </w:r>
      <w:r>
        <w:rPr>
          <w:rFonts w:hint="eastAsia" w:asciiTheme="minorEastAsia" w:hAnsiTheme="minorEastAsia" w:cstheme="minorEastAsia"/>
          <w:color w:val="auto"/>
          <w:highlight w:val="none"/>
          <w:u w:val="single"/>
          <w:lang w:eastAsia="zh-CN"/>
        </w:rPr>
        <w:t>JSZC-320900-JCJS-G2026-0015</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lang w:eastAsia="zh-CN"/>
        </w:rPr>
        <w:t>盐城市公安局水域感知前端二期维保项目</w:t>
      </w:r>
      <w:r>
        <w:rPr>
          <w:rFonts w:hint="eastAsia" w:asciiTheme="minorEastAsia" w:hAnsiTheme="minorEastAsia" w:eastAsiaTheme="minorEastAsia" w:cstheme="minorEastAsia"/>
          <w:color w:val="auto"/>
          <w:highlight w:val="none"/>
        </w:rPr>
        <w:t>（分包号：**）</w:t>
      </w:r>
      <w:r>
        <w:rPr>
          <w:rFonts w:hint="eastAsia" w:ascii="宋体" w:hAnsi="宋体" w:eastAsia="宋体" w:cs="宋体"/>
        </w:rPr>
        <w:t>采购活动由本单位提供服务。</w:t>
      </w:r>
    </w:p>
    <w:p w14:paraId="1E0A172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4577B1D1">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72D716A">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3C94DF39">
      <w:pPr>
        <w:pStyle w:val="31"/>
        <w:spacing w:beforeAutospacing="0" w:afterAutospacing="0" w:line="0" w:lineRule="atLeast"/>
        <w:ind w:firstLine="62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8A99C7F">
      <w:pPr>
        <w:pStyle w:val="31"/>
        <w:tabs>
          <w:tab w:val="left" w:pos="4864"/>
        </w:tabs>
        <w:spacing w:beforeAutospacing="0" w:afterAutospacing="0" w:line="0" w:lineRule="atLeast"/>
        <w:ind w:right="1560" w:firstLine="62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             </w:t>
      </w:r>
      <w:r>
        <w:rPr>
          <w:rFonts w:hint="eastAsia" w:asciiTheme="minorEastAsia" w:hAnsiTheme="minorEastAsia" w:eastAsiaTheme="minorEastAsia" w:cstheme="minorEastAsia"/>
          <w:color w:val="auto"/>
          <w:highlight w:val="none"/>
        </w:rPr>
        <w:t>          供应商全称（加盖CA电子公章）：</w:t>
      </w:r>
    </w:p>
    <w:p w14:paraId="51A2D434">
      <w:pPr>
        <w:pStyle w:val="31"/>
        <w:tabs>
          <w:tab w:val="left" w:pos="4864"/>
        </w:tabs>
        <w:spacing w:beforeAutospacing="0" w:afterAutospacing="0" w:line="0" w:lineRule="atLeast"/>
        <w:ind w:right="1560"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  期：</w:t>
      </w:r>
    </w:p>
    <w:p w14:paraId="297DA2A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BBA6D1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1793E1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E26AB9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626218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0F3D2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44CCB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6D31099">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37273EB">
      <w:pPr>
        <w:rPr>
          <w:rFonts w:hint="eastAsia" w:asciiTheme="minorEastAsia" w:hAnsiTheme="minorEastAsia" w:eastAsiaTheme="minorEastAsia" w:cstheme="minorEastAsia"/>
          <w:color w:val="auto"/>
          <w:spacing w:val="27"/>
          <w:sz w:val="39"/>
          <w:szCs w:val="39"/>
          <w:highlight w:val="none"/>
        </w:rPr>
      </w:pPr>
      <w:r>
        <w:rPr>
          <w:rFonts w:hint="eastAsia" w:asciiTheme="minorEastAsia" w:hAnsiTheme="minorEastAsia" w:eastAsiaTheme="minorEastAsia" w:cstheme="minorEastAsia"/>
          <w:color w:val="auto"/>
          <w:spacing w:val="27"/>
          <w:sz w:val="39"/>
          <w:szCs w:val="39"/>
          <w:highlight w:val="none"/>
        </w:rPr>
        <w:br w:type="page"/>
      </w:r>
    </w:p>
    <w:p w14:paraId="16481605">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lang w:val="en-US" w:eastAsia="zh-CN"/>
        </w:rPr>
        <w:t>十一</w:t>
      </w:r>
      <w:r>
        <w:rPr>
          <w:rFonts w:hint="eastAsia" w:asciiTheme="minorEastAsia" w:hAnsiTheme="minorEastAsia" w:eastAsiaTheme="minorEastAsia" w:cstheme="minorEastAsia"/>
          <w:b/>
          <w:color w:val="auto"/>
          <w:sz w:val="32"/>
          <w:szCs w:val="32"/>
          <w:highlight w:val="none"/>
        </w:rPr>
        <w:t>、投标分项报价表（分包号：***）</w:t>
      </w:r>
    </w:p>
    <w:tbl>
      <w:tblPr>
        <w:tblStyle w:val="34"/>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0"/>
        <w:gridCol w:w="1475"/>
        <w:gridCol w:w="3277"/>
        <w:gridCol w:w="712"/>
        <w:gridCol w:w="749"/>
        <w:gridCol w:w="951"/>
        <w:gridCol w:w="988"/>
        <w:gridCol w:w="716"/>
      </w:tblGrid>
      <w:tr w14:paraId="2CC0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661DA3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475" w:type="dxa"/>
            <w:tcBorders>
              <w:top w:val="single" w:color="000000" w:sz="4" w:space="0"/>
              <w:left w:val="single" w:color="000000" w:sz="4" w:space="0"/>
              <w:bottom w:val="single" w:color="000000" w:sz="4" w:space="0"/>
              <w:right w:val="single" w:color="000000" w:sz="4" w:space="0"/>
            </w:tcBorders>
            <w:vAlign w:val="center"/>
          </w:tcPr>
          <w:p w14:paraId="6FC64C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3277" w:type="dxa"/>
            <w:tcBorders>
              <w:top w:val="single" w:color="000000" w:sz="4" w:space="0"/>
              <w:left w:val="single" w:color="000000" w:sz="4" w:space="0"/>
              <w:bottom w:val="single" w:color="000000" w:sz="4" w:space="0"/>
              <w:right w:val="single" w:color="000000" w:sz="4" w:space="0"/>
            </w:tcBorders>
            <w:vAlign w:val="center"/>
          </w:tcPr>
          <w:p w14:paraId="41FF1DF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详细参数</w:t>
            </w:r>
          </w:p>
        </w:tc>
        <w:tc>
          <w:tcPr>
            <w:tcW w:w="712" w:type="dxa"/>
            <w:tcBorders>
              <w:top w:val="single" w:color="000000" w:sz="4" w:space="0"/>
              <w:left w:val="single" w:color="000000" w:sz="4" w:space="0"/>
              <w:bottom w:val="single" w:color="000000" w:sz="4" w:space="0"/>
              <w:right w:val="single" w:color="000000" w:sz="4" w:space="0"/>
            </w:tcBorders>
            <w:vAlign w:val="center"/>
          </w:tcPr>
          <w:p w14:paraId="20F610F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w:t>
            </w:r>
          </w:p>
        </w:tc>
        <w:tc>
          <w:tcPr>
            <w:tcW w:w="749" w:type="dxa"/>
            <w:tcBorders>
              <w:top w:val="single" w:color="000000" w:sz="4" w:space="0"/>
              <w:left w:val="single" w:color="000000" w:sz="4" w:space="0"/>
              <w:bottom w:val="single" w:color="000000" w:sz="4" w:space="0"/>
              <w:right w:val="single" w:color="000000" w:sz="4" w:space="0"/>
            </w:tcBorders>
            <w:vAlign w:val="center"/>
          </w:tcPr>
          <w:p w14:paraId="42C0259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951" w:type="dxa"/>
            <w:tcBorders>
              <w:top w:val="single" w:color="000000" w:sz="4" w:space="0"/>
              <w:left w:val="single" w:color="000000" w:sz="4" w:space="0"/>
              <w:bottom w:val="single" w:color="000000" w:sz="4" w:space="0"/>
              <w:right w:val="single" w:color="000000" w:sz="4" w:space="0"/>
            </w:tcBorders>
            <w:vAlign w:val="center"/>
          </w:tcPr>
          <w:p w14:paraId="1ECF841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单价（元/年）</w:t>
            </w:r>
          </w:p>
        </w:tc>
        <w:tc>
          <w:tcPr>
            <w:tcW w:w="988" w:type="dxa"/>
            <w:tcBorders>
              <w:top w:val="single" w:color="000000" w:sz="4" w:space="0"/>
              <w:left w:val="single" w:color="000000" w:sz="4" w:space="0"/>
              <w:bottom w:val="single" w:color="000000" w:sz="4" w:space="0"/>
              <w:right w:val="single" w:color="000000" w:sz="4" w:space="0"/>
            </w:tcBorders>
            <w:vAlign w:val="center"/>
          </w:tcPr>
          <w:p w14:paraId="7A166AE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合价（元/年）</w:t>
            </w:r>
          </w:p>
        </w:tc>
        <w:tc>
          <w:tcPr>
            <w:tcW w:w="716" w:type="dxa"/>
            <w:tcBorders>
              <w:top w:val="single" w:color="000000" w:sz="4" w:space="0"/>
              <w:left w:val="single" w:color="000000" w:sz="4" w:space="0"/>
              <w:bottom w:val="single" w:color="000000" w:sz="4" w:space="0"/>
              <w:right w:val="single" w:color="000000" w:sz="4" w:space="0"/>
            </w:tcBorders>
            <w:vAlign w:val="center"/>
          </w:tcPr>
          <w:p w14:paraId="39E1AB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r>
      <w:tr w14:paraId="39595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2A01C96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475" w:type="dxa"/>
            <w:tcBorders>
              <w:top w:val="single" w:color="000000" w:sz="4" w:space="0"/>
              <w:left w:val="single" w:color="000000" w:sz="4" w:space="0"/>
              <w:bottom w:val="single" w:color="000000" w:sz="4" w:space="0"/>
              <w:right w:val="single" w:color="000000" w:sz="4" w:space="0"/>
            </w:tcBorders>
            <w:vAlign w:val="center"/>
          </w:tcPr>
          <w:p w14:paraId="724CC3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IP</w:t>
            </w:r>
            <w:r>
              <w:rPr>
                <w:rFonts w:hint="eastAsia" w:asciiTheme="minorEastAsia" w:hAnsiTheme="minorEastAsia" w:eastAsiaTheme="minorEastAsia" w:cstheme="minorEastAsia"/>
                <w:color w:val="auto"/>
                <w:sz w:val="24"/>
                <w:highlight w:val="none"/>
              </w:rPr>
              <w:t>网络专线</w:t>
            </w:r>
          </w:p>
        </w:tc>
        <w:tc>
          <w:tcPr>
            <w:tcW w:w="3277" w:type="dxa"/>
            <w:tcBorders>
              <w:top w:val="single" w:color="000000" w:sz="4" w:space="0"/>
              <w:left w:val="single" w:color="000000" w:sz="4" w:space="0"/>
              <w:bottom w:val="single" w:color="000000" w:sz="4" w:space="0"/>
              <w:right w:val="single" w:color="000000" w:sz="4" w:space="0"/>
            </w:tcBorders>
            <w:vAlign w:val="center"/>
          </w:tcPr>
          <w:p w14:paraId="26A039A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w:t>
            </w:r>
            <w:r>
              <w:rPr>
                <w:rFonts w:hint="eastAsia" w:asciiTheme="minorEastAsia" w:hAnsiTheme="minorEastAsia" w:eastAsiaTheme="minorEastAsia" w:cstheme="minorEastAsia"/>
                <w:color w:val="auto"/>
                <w:sz w:val="24"/>
                <w:highlight w:val="none"/>
              </w:rPr>
              <w:t>前端设备至市局机房的链路网络传输</w:t>
            </w:r>
            <w:r>
              <w:rPr>
                <w:rFonts w:hint="eastAsia" w:asciiTheme="minorEastAsia" w:hAnsiTheme="minorEastAsia" w:eastAsiaTheme="minorEastAsia" w:cstheme="minorEastAsia"/>
                <w:color w:val="auto"/>
                <w:sz w:val="24"/>
                <w:highlight w:val="none"/>
                <w:lang w:val="en-US" w:eastAsia="zh-CN"/>
              </w:rPr>
              <w:t>及支付租赁网络专线费用。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5DF88EA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条</w:t>
            </w:r>
          </w:p>
        </w:tc>
        <w:tc>
          <w:tcPr>
            <w:tcW w:w="749" w:type="dxa"/>
            <w:tcBorders>
              <w:top w:val="single" w:color="000000" w:sz="4" w:space="0"/>
              <w:left w:val="single" w:color="000000" w:sz="4" w:space="0"/>
              <w:bottom w:val="single" w:color="000000" w:sz="4" w:space="0"/>
              <w:right w:val="single" w:color="000000" w:sz="4" w:space="0"/>
            </w:tcBorders>
            <w:vAlign w:val="center"/>
          </w:tcPr>
          <w:p w14:paraId="741FD64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73</w:t>
            </w:r>
          </w:p>
        </w:tc>
        <w:tc>
          <w:tcPr>
            <w:tcW w:w="951" w:type="dxa"/>
            <w:tcBorders>
              <w:top w:val="single" w:color="000000" w:sz="4" w:space="0"/>
              <w:left w:val="single" w:color="000000" w:sz="4" w:space="0"/>
              <w:bottom w:val="single" w:color="000000" w:sz="4" w:space="0"/>
              <w:right w:val="single" w:color="000000" w:sz="4" w:space="0"/>
            </w:tcBorders>
            <w:vAlign w:val="center"/>
          </w:tcPr>
          <w:p w14:paraId="258741A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781D36A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6DBF2E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584B6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20A8BA8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475" w:type="dxa"/>
            <w:tcBorders>
              <w:top w:val="single" w:color="000000" w:sz="4" w:space="0"/>
              <w:left w:val="single" w:color="000000" w:sz="4" w:space="0"/>
              <w:bottom w:val="single" w:color="000000" w:sz="4" w:space="0"/>
              <w:right w:val="single" w:color="000000" w:sz="4" w:space="0"/>
            </w:tcBorders>
            <w:vAlign w:val="center"/>
          </w:tcPr>
          <w:p w14:paraId="34CADAE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铁塔租赁服务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5571F01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含铁塔监控点位租赁、登高排故服务。</w:t>
            </w:r>
          </w:p>
        </w:tc>
        <w:tc>
          <w:tcPr>
            <w:tcW w:w="712" w:type="dxa"/>
            <w:tcBorders>
              <w:top w:val="single" w:color="000000" w:sz="4" w:space="0"/>
              <w:left w:val="single" w:color="000000" w:sz="4" w:space="0"/>
              <w:bottom w:val="single" w:color="000000" w:sz="4" w:space="0"/>
              <w:right w:val="single" w:color="000000" w:sz="4" w:space="0"/>
            </w:tcBorders>
            <w:vAlign w:val="center"/>
          </w:tcPr>
          <w:p w14:paraId="367FA50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座</w:t>
            </w:r>
          </w:p>
        </w:tc>
        <w:tc>
          <w:tcPr>
            <w:tcW w:w="749" w:type="dxa"/>
            <w:tcBorders>
              <w:top w:val="single" w:color="000000" w:sz="4" w:space="0"/>
              <w:left w:val="single" w:color="000000" w:sz="4" w:space="0"/>
              <w:bottom w:val="single" w:color="000000" w:sz="4" w:space="0"/>
              <w:right w:val="single" w:color="000000" w:sz="4" w:space="0"/>
            </w:tcBorders>
            <w:vAlign w:val="center"/>
          </w:tcPr>
          <w:p w14:paraId="335ACBB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16</w:t>
            </w:r>
          </w:p>
        </w:tc>
        <w:tc>
          <w:tcPr>
            <w:tcW w:w="951" w:type="dxa"/>
            <w:tcBorders>
              <w:top w:val="single" w:color="000000" w:sz="4" w:space="0"/>
              <w:left w:val="single" w:color="000000" w:sz="4" w:space="0"/>
              <w:bottom w:val="single" w:color="000000" w:sz="4" w:space="0"/>
              <w:right w:val="single" w:color="000000" w:sz="4" w:space="0"/>
            </w:tcBorders>
            <w:vAlign w:val="center"/>
          </w:tcPr>
          <w:p w14:paraId="230011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0C77D0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505256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6C630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15B885C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475" w:type="dxa"/>
            <w:tcBorders>
              <w:top w:val="single" w:color="000000" w:sz="4" w:space="0"/>
              <w:left w:val="single" w:color="000000" w:sz="4" w:space="0"/>
              <w:bottom w:val="single" w:color="000000" w:sz="4" w:space="0"/>
              <w:right w:val="single" w:color="000000" w:sz="4" w:space="0"/>
            </w:tcBorders>
            <w:vAlign w:val="center"/>
          </w:tcPr>
          <w:p w14:paraId="547F24F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接电服务</w:t>
            </w:r>
          </w:p>
        </w:tc>
        <w:tc>
          <w:tcPr>
            <w:tcW w:w="3277" w:type="dxa"/>
            <w:tcBorders>
              <w:top w:val="single" w:color="000000" w:sz="4" w:space="0"/>
              <w:left w:val="single" w:color="000000" w:sz="4" w:space="0"/>
              <w:bottom w:val="single" w:color="000000" w:sz="4" w:space="0"/>
              <w:right w:val="single" w:color="000000" w:sz="4" w:space="0"/>
            </w:tcBorders>
            <w:vAlign w:val="center"/>
          </w:tcPr>
          <w:p w14:paraId="777741B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保障视频监控、雷达、激光、桥梁音柱、智能电箱设备等</w:t>
            </w:r>
            <w:r>
              <w:rPr>
                <w:rFonts w:hint="eastAsia" w:asciiTheme="minorEastAsia" w:hAnsiTheme="minorEastAsia" w:cstheme="minorEastAsia"/>
                <w:color w:val="auto"/>
                <w:sz w:val="24"/>
                <w:highlight w:val="none"/>
                <w:lang w:val="en-US" w:eastAsia="zh-CN"/>
              </w:rPr>
              <w:t>150</w:t>
            </w:r>
            <w:r>
              <w:rPr>
                <w:rFonts w:hint="eastAsia" w:asciiTheme="minorEastAsia" w:hAnsiTheme="minorEastAsia" w:eastAsiaTheme="minorEastAsia" w:cstheme="minorEastAsia"/>
                <w:color w:val="auto"/>
                <w:sz w:val="24"/>
                <w:highlight w:val="none"/>
                <w:lang w:val="en-US" w:eastAsia="zh-CN"/>
              </w:rPr>
              <w:t>台（套）设备供电及支付设备用电费用。</w:t>
            </w:r>
          </w:p>
        </w:tc>
        <w:tc>
          <w:tcPr>
            <w:tcW w:w="712" w:type="dxa"/>
            <w:tcBorders>
              <w:top w:val="single" w:color="000000" w:sz="4" w:space="0"/>
              <w:left w:val="single" w:color="000000" w:sz="4" w:space="0"/>
              <w:bottom w:val="single" w:color="000000" w:sz="4" w:space="0"/>
              <w:right w:val="single" w:color="000000" w:sz="4" w:space="0"/>
            </w:tcBorders>
            <w:vAlign w:val="center"/>
          </w:tcPr>
          <w:p w14:paraId="72F6AA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台（套）</w:t>
            </w:r>
          </w:p>
        </w:tc>
        <w:tc>
          <w:tcPr>
            <w:tcW w:w="749" w:type="dxa"/>
            <w:tcBorders>
              <w:top w:val="single" w:color="000000" w:sz="4" w:space="0"/>
              <w:left w:val="single" w:color="000000" w:sz="4" w:space="0"/>
              <w:bottom w:val="single" w:color="000000" w:sz="4" w:space="0"/>
              <w:right w:val="single" w:color="000000" w:sz="4" w:space="0"/>
            </w:tcBorders>
            <w:vAlign w:val="center"/>
          </w:tcPr>
          <w:p w14:paraId="2073BE5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150</w:t>
            </w:r>
          </w:p>
        </w:tc>
        <w:tc>
          <w:tcPr>
            <w:tcW w:w="951" w:type="dxa"/>
            <w:tcBorders>
              <w:top w:val="single" w:color="000000" w:sz="4" w:space="0"/>
              <w:left w:val="single" w:color="000000" w:sz="4" w:space="0"/>
              <w:bottom w:val="single" w:color="000000" w:sz="4" w:space="0"/>
              <w:right w:val="single" w:color="000000" w:sz="4" w:space="0"/>
            </w:tcBorders>
            <w:vAlign w:val="center"/>
          </w:tcPr>
          <w:p w14:paraId="454D2AE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0129A09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402554C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5DDF8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0"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514B489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4</w:t>
            </w:r>
          </w:p>
        </w:tc>
        <w:tc>
          <w:tcPr>
            <w:tcW w:w="1475" w:type="dxa"/>
            <w:tcBorders>
              <w:top w:val="single" w:color="000000" w:sz="4" w:space="0"/>
              <w:left w:val="single" w:color="000000" w:sz="4" w:space="0"/>
              <w:bottom w:val="single" w:color="000000" w:sz="4" w:space="0"/>
              <w:right w:val="single" w:color="000000" w:sz="4" w:space="0"/>
            </w:tcBorders>
            <w:vAlign w:val="center"/>
          </w:tcPr>
          <w:p w14:paraId="63EE872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eastAsia="zh-CN"/>
              </w:rPr>
              <w:t>维保</w:t>
            </w:r>
            <w:r>
              <w:rPr>
                <w:rFonts w:hint="eastAsia" w:asciiTheme="minorEastAsia" w:hAnsiTheme="minorEastAsia" w:eastAsiaTheme="minorEastAsia" w:cstheme="minorEastAsia"/>
                <w:color w:val="auto"/>
                <w:sz w:val="24"/>
                <w:highlight w:val="none"/>
                <w:lang w:val="en-US" w:eastAsia="zh-CN"/>
              </w:rPr>
              <w:t>内容</w:t>
            </w:r>
          </w:p>
        </w:tc>
        <w:tc>
          <w:tcPr>
            <w:tcW w:w="3277" w:type="dxa"/>
            <w:tcBorders>
              <w:top w:val="single" w:color="000000" w:sz="4" w:space="0"/>
              <w:left w:val="single" w:color="000000" w:sz="4" w:space="0"/>
              <w:bottom w:val="single" w:color="000000" w:sz="4" w:space="0"/>
              <w:right w:val="single" w:color="000000" w:sz="4" w:space="0"/>
            </w:tcBorders>
            <w:vAlign w:val="center"/>
          </w:tcPr>
          <w:p w14:paraId="1FD7B30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设备线路的故障排查，保证设备平台在线率90%以上，其中一般故障在4小时内排除，其他复杂故障在24小时内排除，并提供7*24小时响应保障；（2）每月完成一次全点位巡检，包含点位视频区域遮挡物清除、设备维护及线路安全巡查等工作，每月出具一份巡检报告；（3）提供不超过6个点位的免费迁移服务；（4）供应急备件临时替换，对无法修复的设备由</w:t>
            </w:r>
            <w:r>
              <w:rPr>
                <w:rFonts w:hint="eastAsia" w:asciiTheme="minorEastAsia" w:hAnsiTheme="minorEastAsia" w:cstheme="minorEastAsia"/>
                <w:color w:val="auto"/>
                <w:sz w:val="24"/>
                <w:highlight w:val="none"/>
                <w:lang w:val="en-US" w:eastAsia="zh-CN"/>
              </w:rPr>
              <w:t>市公安局另行</w:t>
            </w:r>
            <w:r>
              <w:rPr>
                <w:rFonts w:hint="eastAsia" w:asciiTheme="minorEastAsia" w:hAnsiTheme="minorEastAsia" w:eastAsiaTheme="minorEastAsia" w:cstheme="minorEastAsia"/>
                <w:color w:val="auto"/>
                <w:sz w:val="24"/>
                <w:highlight w:val="none"/>
                <w:lang w:val="en-US" w:eastAsia="zh-CN"/>
              </w:rPr>
              <w:t>采购后更换。</w:t>
            </w:r>
          </w:p>
        </w:tc>
        <w:tc>
          <w:tcPr>
            <w:tcW w:w="712" w:type="dxa"/>
            <w:tcBorders>
              <w:top w:val="single" w:color="000000" w:sz="4" w:space="0"/>
              <w:left w:val="single" w:color="000000" w:sz="4" w:space="0"/>
              <w:bottom w:val="single" w:color="000000" w:sz="4" w:space="0"/>
              <w:right w:val="single" w:color="000000" w:sz="4" w:space="0"/>
            </w:tcBorders>
            <w:vAlign w:val="center"/>
          </w:tcPr>
          <w:p w14:paraId="10B44C6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7173FCD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60A0B23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351BF29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E1A827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p>
        </w:tc>
      </w:tr>
      <w:tr w14:paraId="18542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770" w:type="dxa"/>
            <w:tcBorders>
              <w:top w:val="single" w:color="000000" w:sz="4" w:space="0"/>
              <w:left w:val="single" w:color="000000" w:sz="4" w:space="0"/>
              <w:bottom w:val="single" w:color="000000" w:sz="4" w:space="0"/>
              <w:right w:val="single" w:color="000000" w:sz="4" w:space="0"/>
            </w:tcBorders>
            <w:vAlign w:val="center"/>
          </w:tcPr>
          <w:p w14:paraId="286F1F9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5</w:t>
            </w:r>
          </w:p>
        </w:tc>
        <w:tc>
          <w:tcPr>
            <w:tcW w:w="1475" w:type="dxa"/>
            <w:tcBorders>
              <w:top w:val="single" w:color="000000" w:sz="4" w:space="0"/>
              <w:left w:val="single" w:color="000000" w:sz="4" w:space="0"/>
              <w:bottom w:val="single" w:color="000000" w:sz="4" w:space="0"/>
              <w:right w:val="single" w:color="000000" w:sz="4" w:space="0"/>
            </w:tcBorders>
            <w:vAlign w:val="center"/>
          </w:tcPr>
          <w:p w14:paraId="616061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辅材</w:t>
            </w:r>
          </w:p>
        </w:tc>
        <w:tc>
          <w:tcPr>
            <w:tcW w:w="3277" w:type="dxa"/>
            <w:tcBorders>
              <w:top w:val="single" w:color="000000" w:sz="4" w:space="0"/>
              <w:left w:val="single" w:color="000000" w:sz="4" w:space="0"/>
              <w:bottom w:val="single" w:color="000000" w:sz="4" w:space="0"/>
              <w:right w:val="single" w:color="000000" w:sz="4" w:space="0"/>
            </w:tcBorders>
            <w:vAlign w:val="center"/>
          </w:tcPr>
          <w:p w14:paraId="5CF662B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自行保障使用</w:t>
            </w:r>
          </w:p>
        </w:tc>
        <w:tc>
          <w:tcPr>
            <w:tcW w:w="712" w:type="dxa"/>
            <w:tcBorders>
              <w:top w:val="single" w:color="000000" w:sz="4" w:space="0"/>
              <w:left w:val="single" w:color="000000" w:sz="4" w:space="0"/>
              <w:bottom w:val="single" w:color="000000" w:sz="4" w:space="0"/>
              <w:right w:val="single" w:color="000000" w:sz="4" w:space="0"/>
            </w:tcBorders>
            <w:vAlign w:val="center"/>
          </w:tcPr>
          <w:p w14:paraId="3164EDE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项</w:t>
            </w:r>
          </w:p>
        </w:tc>
        <w:tc>
          <w:tcPr>
            <w:tcW w:w="749" w:type="dxa"/>
            <w:tcBorders>
              <w:top w:val="single" w:color="000000" w:sz="4" w:space="0"/>
              <w:left w:val="single" w:color="000000" w:sz="4" w:space="0"/>
              <w:bottom w:val="single" w:color="000000" w:sz="4" w:space="0"/>
              <w:right w:val="single" w:color="000000" w:sz="4" w:space="0"/>
            </w:tcBorders>
            <w:vAlign w:val="center"/>
          </w:tcPr>
          <w:p w14:paraId="7ABA6B9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951" w:type="dxa"/>
            <w:tcBorders>
              <w:top w:val="single" w:color="000000" w:sz="4" w:space="0"/>
              <w:left w:val="single" w:color="000000" w:sz="4" w:space="0"/>
              <w:bottom w:val="single" w:color="000000" w:sz="4" w:space="0"/>
              <w:right w:val="single" w:color="000000" w:sz="4" w:space="0"/>
            </w:tcBorders>
            <w:vAlign w:val="center"/>
          </w:tcPr>
          <w:p w14:paraId="2DF3AD9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988" w:type="dxa"/>
            <w:tcBorders>
              <w:top w:val="single" w:color="000000" w:sz="4" w:space="0"/>
              <w:left w:val="single" w:color="000000" w:sz="4" w:space="0"/>
              <w:bottom w:val="single" w:color="000000" w:sz="4" w:space="0"/>
              <w:right w:val="single" w:color="000000" w:sz="4" w:space="0"/>
            </w:tcBorders>
            <w:vAlign w:val="center"/>
          </w:tcPr>
          <w:p w14:paraId="55E17C0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c>
          <w:tcPr>
            <w:tcW w:w="716" w:type="dxa"/>
            <w:tcBorders>
              <w:top w:val="single" w:color="000000" w:sz="4" w:space="0"/>
              <w:left w:val="single" w:color="000000" w:sz="4" w:space="0"/>
              <w:bottom w:val="single" w:color="000000" w:sz="4" w:space="0"/>
              <w:right w:val="single" w:color="000000" w:sz="4" w:space="0"/>
            </w:tcBorders>
            <w:vAlign w:val="center"/>
          </w:tcPr>
          <w:p w14:paraId="5C7949F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p>
        </w:tc>
      </w:tr>
      <w:tr w14:paraId="4F071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1D5630A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一年总价：  元/年</w:t>
            </w:r>
          </w:p>
        </w:tc>
      </w:tr>
      <w:tr w14:paraId="3EF3A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9638" w:type="dxa"/>
            <w:gridSpan w:val="8"/>
            <w:tcBorders>
              <w:top w:val="single" w:color="000000" w:sz="4" w:space="0"/>
              <w:left w:val="single" w:color="000000" w:sz="4" w:space="0"/>
              <w:bottom w:val="single" w:color="000000" w:sz="4" w:space="0"/>
              <w:right w:val="single" w:color="000000" w:sz="4" w:space="0"/>
            </w:tcBorders>
            <w:vAlign w:val="center"/>
          </w:tcPr>
          <w:p w14:paraId="31C75D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总价：  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一年</w:t>
            </w:r>
            <w:r>
              <w:rPr>
                <w:rFonts w:hint="eastAsia" w:asciiTheme="minorEastAsia" w:hAnsiTheme="minorEastAsia" w:eastAsiaTheme="minorEastAsia" w:cstheme="minorEastAsia"/>
                <w:color w:val="auto"/>
                <w:sz w:val="24"/>
                <w:szCs w:val="24"/>
                <w:highlight w:val="none"/>
              </w:rPr>
              <w:t>总价</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p>
        </w:tc>
      </w:tr>
    </w:tbl>
    <w:p w14:paraId="353A2993">
      <w:pPr>
        <w:spacing w:line="520" w:lineRule="exact"/>
        <w:jc w:val="right"/>
        <w:rPr>
          <w:rFonts w:hint="eastAsia" w:asciiTheme="minorEastAsia" w:hAnsiTheme="minorEastAsia" w:eastAsiaTheme="minorEastAsia" w:cstheme="minorEastAsia"/>
          <w:color w:val="auto"/>
          <w:szCs w:val="21"/>
          <w:highlight w:val="none"/>
        </w:rPr>
      </w:pPr>
    </w:p>
    <w:p w14:paraId="65AFE321">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供应商名称：</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（盖章或电子签章）</w:t>
      </w:r>
    </w:p>
    <w:p w14:paraId="47DDAA64">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法定代表人或授权委托人：</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（签字或电子签章）</w:t>
      </w:r>
    </w:p>
    <w:p w14:paraId="67E972CD">
      <w:pPr>
        <w:spacing w:line="52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年   月   日</w:t>
      </w:r>
    </w:p>
    <w:p w14:paraId="0AE464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1F9AEB0">
      <w:pPr>
        <w:spacing w:line="520" w:lineRule="exact"/>
        <w:ind w:firstLine="5250"/>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highlight w:val="none"/>
        </w:rPr>
        <w:br w:type="page"/>
      </w:r>
    </w:p>
    <w:p w14:paraId="56BB752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eastAsiaTheme="minorEastAsia" w:cstheme="minorEastAsia"/>
          <w:b/>
          <w:color w:val="auto"/>
          <w:sz w:val="32"/>
          <w:szCs w:val="32"/>
          <w:highlight w:val="none"/>
          <w:lang w:val="en-US" w:eastAsia="zh-CN"/>
        </w:rPr>
        <w:t>二</w:t>
      </w:r>
      <w:r>
        <w:rPr>
          <w:rFonts w:hint="eastAsia" w:asciiTheme="minorEastAsia" w:hAnsiTheme="minorEastAsia" w:eastAsiaTheme="minorEastAsia" w:cstheme="minorEastAsia"/>
          <w:b/>
          <w:color w:val="auto"/>
          <w:sz w:val="32"/>
          <w:szCs w:val="32"/>
          <w:highlight w:val="none"/>
        </w:rPr>
        <w:t>、技术要求响应及偏离表（分包号：**）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A63B48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F9B4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8BF2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68E8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B4F6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A0F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38CC31A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660DF1F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605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FDC4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6D4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ED4B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C65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6FEE2B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5850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4577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DC07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16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AE4C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BCF7E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14AF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378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378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A0E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4CF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53873B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A46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A3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3C6F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8B55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76FB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53AE66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DF8C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8CD1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E869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4360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620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BDA3E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85A2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540B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203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5AC8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56B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2784D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FC14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F242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F81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A8A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4712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1EE860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0CE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CE17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CF0E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0FD5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137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52F9DA9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6DBB7F01">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6EFB61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0DABA0A">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B654A4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eastAsiaTheme="minorEastAsia" w:cstheme="minorEastAsia"/>
          <w:b/>
          <w:color w:val="auto"/>
          <w:sz w:val="32"/>
          <w:szCs w:val="32"/>
          <w:highlight w:val="none"/>
          <w:lang w:val="en-US" w:eastAsia="zh-CN"/>
        </w:rPr>
        <w:t>三</w:t>
      </w:r>
      <w:r>
        <w:rPr>
          <w:rFonts w:hint="eastAsia" w:asciiTheme="minorEastAsia" w:hAnsiTheme="minorEastAsia" w:eastAsiaTheme="minorEastAsia" w:cstheme="minorEastAsia"/>
          <w:b/>
          <w:color w:val="auto"/>
          <w:sz w:val="32"/>
          <w:szCs w:val="32"/>
          <w:highlight w:val="none"/>
        </w:rPr>
        <w:t>、商务要求响应及偏离表（分包号：**）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480F26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25D4F">
            <w:pPr>
              <w:pStyle w:val="31"/>
              <w:spacing w:beforeAutospacing="0" w:afterAutospacing="0"/>
              <w:jc w:val="center"/>
              <w:rPr>
                <w:rFonts w:hint="eastAsia" w:asciiTheme="minorEastAsia" w:hAnsiTheme="minorEastAsia" w:eastAsiaTheme="minorEastAsia" w:cstheme="minorEastAsia"/>
                <w:color w:val="auto"/>
                <w:highlight w:val="none"/>
              </w:rPr>
            </w:pPr>
            <w:bookmarkStart w:id="148" w:name="_Hlt26609391"/>
            <w:bookmarkStart w:id="149" w:name="_Hlt26782999"/>
            <w:bookmarkStart w:id="150" w:name="_Hlt26671343"/>
            <w:bookmarkStart w:id="151" w:name="_Hlt26955064"/>
            <w:bookmarkStart w:id="152" w:name="_Hlt26580838"/>
            <w:bookmarkStart w:id="153" w:name="_Hlt26671372"/>
            <w:bookmarkStart w:id="154" w:name="_Hlt24879081"/>
            <w:bookmarkStart w:id="155" w:name="_Hlt26955056"/>
            <w:r>
              <w:rPr>
                <w:rFonts w:hint="eastAsia" w:asciiTheme="minorEastAsia" w:hAnsiTheme="minorEastAsia" w:eastAsiaTheme="minorEastAsia" w:cstheme="minorEastAsia"/>
                <w:color w:val="auto"/>
                <w:highlight w:val="none"/>
              </w:rPr>
              <w:t>序号</w:t>
            </w:r>
            <w:bookmarkEnd w:id="148"/>
            <w:bookmarkEnd w:id="149"/>
            <w:bookmarkEnd w:id="150"/>
            <w:bookmarkEnd w:id="151"/>
            <w:bookmarkEnd w:id="152"/>
            <w:bookmarkEnd w:id="153"/>
            <w:bookmarkEnd w:id="154"/>
            <w:bookmarkEnd w:id="15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30AF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8A01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9CDF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61A7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5E1119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6B6082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D538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9D2A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0033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CE8B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16F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6A7563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B323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8FF1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7E1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1AE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C86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B8B6BA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2278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B85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2A8B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BD51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EDF7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F7737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E9D4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9E4E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94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44B0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E38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C18648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FC0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8F37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F736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18DD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7527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5AE3F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C7A6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0DC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652D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E674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FB42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4E8D3D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77F1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CA14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0087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583E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01FF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CB13D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1B4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0E01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15EA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09BD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75EB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03C3E76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4016C671">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C9795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A0965AC">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01FAA613">
      <w:pPr>
        <w:pStyle w:val="2"/>
        <w:pBdr>
          <w:top w:val="none" w:color="auto" w:sz="0" w:space="0"/>
          <w:left w:val="none" w:color="auto" w:sz="0" w:space="0"/>
          <w:bottom w:val="none" w:color="auto" w:sz="0" w:space="0"/>
          <w:right w:val="none" w:color="auto" w:sz="0" w:space="0"/>
        </w:pBdr>
        <w:spacing w:before="322" w:after="322"/>
        <w:jc w:val="center"/>
        <w:rPr>
          <w:rFonts w:hint="eastAsia" w:asciiTheme="minorEastAsia" w:hAnsiTheme="minorEastAsia" w:eastAsiaTheme="minorEastAsia" w:cstheme="minorEastAsia"/>
          <w:bCs w:val="0"/>
          <w:i/>
          <w:color w:val="auto"/>
          <w:sz w:val="32"/>
          <w:szCs w:val="32"/>
          <w:highlight w:val="none"/>
          <w:u w:val="single"/>
        </w:rPr>
      </w:pPr>
      <w:r>
        <w:rPr>
          <w:rFonts w:hint="eastAsia" w:asciiTheme="minorEastAsia" w:hAnsiTheme="minorEastAsia" w:eastAsiaTheme="minorEastAsia" w:cstheme="minorEastAsia"/>
          <w:bCs w:val="0"/>
          <w:i/>
          <w:color w:val="auto"/>
          <w:sz w:val="32"/>
          <w:szCs w:val="32"/>
          <w:highlight w:val="none"/>
          <w:u w:val="single"/>
        </w:rPr>
        <w:t>十</w:t>
      </w:r>
      <w:r>
        <w:rPr>
          <w:rFonts w:hint="eastAsia" w:asciiTheme="minorEastAsia" w:hAnsiTheme="minorEastAsia" w:eastAsiaTheme="minorEastAsia" w:cstheme="minorEastAsia"/>
          <w:bCs w:val="0"/>
          <w:i/>
          <w:color w:val="auto"/>
          <w:sz w:val="32"/>
          <w:szCs w:val="32"/>
          <w:highlight w:val="none"/>
          <w:u w:val="single"/>
          <w:lang w:val="en-US" w:eastAsia="zh-CN"/>
        </w:rPr>
        <w:t>四</w:t>
      </w:r>
      <w:r>
        <w:rPr>
          <w:rFonts w:hint="eastAsia" w:asciiTheme="minorEastAsia" w:hAnsiTheme="minorEastAsia" w:eastAsiaTheme="minorEastAsia" w:cstheme="minorEastAsia"/>
          <w:bCs w:val="0"/>
          <w:i/>
          <w:color w:val="auto"/>
          <w:sz w:val="32"/>
          <w:szCs w:val="32"/>
          <w:highlight w:val="none"/>
          <w:u w:val="single"/>
        </w:rPr>
        <w:t>、开标一览表</w:t>
      </w:r>
    </w:p>
    <w:p w14:paraId="5C708920">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项目编号：</w:t>
      </w:r>
      <w:r>
        <w:rPr>
          <w:rFonts w:hint="eastAsia" w:asciiTheme="minorEastAsia" w:hAnsiTheme="minorEastAsia" w:cstheme="minorEastAsia"/>
          <w:color w:val="auto"/>
          <w:sz w:val="24"/>
          <w:highlight w:val="none"/>
          <w:lang w:eastAsia="zh-CN"/>
        </w:rPr>
        <w:t>JSZC-320900-JCJS-G2026-0015</w:t>
      </w:r>
      <w:r>
        <w:rPr>
          <w:rFonts w:hint="eastAsia" w:asciiTheme="minorEastAsia" w:hAnsiTheme="minorEastAsia" w:eastAsiaTheme="minorEastAsia" w:cstheme="minorEastAsia"/>
          <w:color w:val="auto"/>
          <w:sz w:val="24"/>
          <w:highlight w:val="none"/>
        </w:rPr>
        <w:t> </w:t>
      </w:r>
    </w:p>
    <w:p w14:paraId="3220721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货币单位：人民币元</w:t>
      </w: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04"/>
        <w:gridCol w:w="2466"/>
        <w:gridCol w:w="3136"/>
      </w:tblGrid>
      <w:tr w14:paraId="36999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47F9367">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项目名称</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0A8440A">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项目内容</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9117E48">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总价（小写）</w:t>
            </w:r>
          </w:p>
        </w:tc>
      </w:tr>
      <w:tr w14:paraId="3DE5D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8C07C6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lang w:eastAsia="zh-CN"/>
              </w:rPr>
              <w:t>盐城市公安局水域感知前端二期维保项目</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29C1DB3">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详见投标文件</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4594FA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元</w:t>
            </w:r>
          </w:p>
        </w:tc>
      </w:tr>
      <w:tr w14:paraId="2ED36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606D1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总价（大写）：</w:t>
            </w:r>
          </w:p>
        </w:tc>
        <w:tc>
          <w:tcPr>
            <w:tcW w:w="6344"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53B70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金额大写  </w:t>
            </w:r>
          </w:p>
        </w:tc>
      </w:tr>
    </w:tbl>
    <w:p w14:paraId="0BE5B2A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5A9F409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投标人公章：（电子签章）</w:t>
      </w:r>
    </w:p>
    <w:p w14:paraId="32FEE976">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0424340">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56FC0C4">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日期： 年 月 日</w:t>
      </w:r>
    </w:p>
    <w:p w14:paraId="0189804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13CA14D2">
      <w:pPr>
        <w:pStyle w:val="31"/>
        <w:jc w:val="right"/>
        <w:rPr>
          <w:rFonts w:hint="eastAsia" w:asciiTheme="minorEastAsia" w:hAnsiTheme="minorEastAsia" w:eastAsiaTheme="minorEastAsia" w:cstheme="minorEastAsia"/>
          <w:color w:val="auto"/>
          <w:highlight w:val="none"/>
        </w:rPr>
      </w:pPr>
    </w:p>
    <w:p w14:paraId="1D75AAB8">
      <w:pPr>
        <w:pStyle w:val="31"/>
        <w:spacing w:beforeAutospacing="0" w:afterAutospacing="0"/>
        <w:ind w:firstLine="480"/>
        <w:jc w:val="both"/>
        <w:rPr>
          <w:rFonts w:hint="eastAsia" w:asciiTheme="minorEastAsia" w:hAnsiTheme="minorEastAsia" w:eastAsiaTheme="minorEastAsia" w:cstheme="minorEastAsia"/>
          <w:color w:val="auto"/>
          <w:highlight w:val="none"/>
        </w:rPr>
      </w:pPr>
    </w:p>
    <w:p w14:paraId="06E3060F">
      <w:pPr>
        <w:pStyle w:val="31"/>
        <w:spacing w:beforeAutospacing="0" w:afterAutospacing="0"/>
        <w:ind w:firstLine="480"/>
        <w:jc w:val="both"/>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highlight w:val="none"/>
        </w:rPr>
        <w:t> </w:t>
      </w:r>
    </w:p>
    <w:p w14:paraId="54C6CA8D">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394DCF2C">
      <w:pPr>
        <w:widowControl/>
        <w:spacing w:before="50" w:after="50"/>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五</w:t>
      </w:r>
      <w:r>
        <w:rPr>
          <w:rFonts w:hint="eastAsia" w:asciiTheme="minorEastAsia" w:hAnsiTheme="minorEastAsia" w:eastAsiaTheme="minorEastAsia" w:cstheme="minorEastAsia"/>
          <w:color w:val="auto"/>
          <w:sz w:val="32"/>
          <w:szCs w:val="32"/>
          <w:highlight w:val="none"/>
        </w:rPr>
        <w:t>、拟投入本项目服务人员一览表</w:t>
      </w:r>
    </w:p>
    <w:tbl>
      <w:tblPr>
        <w:tblStyle w:val="34"/>
        <w:tblW w:w="9060" w:type="dxa"/>
        <w:jc w:val="center"/>
        <w:tblLayout w:type="fixed"/>
        <w:tblCellMar>
          <w:top w:w="0" w:type="dxa"/>
          <w:left w:w="108" w:type="dxa"/>
          <w:bottom w:w="0" w:type="dxa"/>
          <w:right w:w="108" w:type="dxa"/>
        </w:tblCellMar>
      </w:tblPr>
      <w:tblGrid>
        <w:gridCol w:w="751"/>
        <w:gridCol w:w="753"/>
        <w:gridCol w:w="728"/>
        <w:gridCol w:w="807"/>
        <w:gridCol w:w="1251"/>
        <w:gridCol w:w="1307"/>
        <w:gridCol w:w="893"/>
        <w:gridCol w:w="2570"/>
      </w:tblGrid>
      <w:tr w14:paraId="58E6E7F3">
        <w:tblPrEx>
          <w:tblCellMar>
            <w:top w:w="0" w:type="dxa"/>
            <w:left w:w="108" w:type="dxa"/>
            <w:bottom w:w="0" w:type="dxa"/>
            <w:right w:w="108" w:type="dxa"/>
          </w:tblCellMar>
        </w:tblPrEx>
        <w:trPr>
          <w:trHeight w:val="929" w:hRule="atLeast"/>
          <w:jc w:val="center"/>
        </w:trPr>
        <w:tc>
          <w:tcPr>
            <w:tcW w:w="9060" w:type="dxa"/>
            <w:gridSpan w:val="8"/>
            <w:tcBorders>
              <w:top w:val="single" w:color="auto" w:sz="4" w:space="0"/>
              <w:left w:val="single" w:color="auto" w:sz="4" w:space="0"/>
              <w:bottom w:val="single" w:color="auto" w:sz="4" w:space="0"/>
              <w:right w:val="single" w:color="auto" w:sz="4" w:space="0"/>
            </w:tcBorders>
            <w:vAlign w:val="center"/>
          </w:tcPr>
          <w:p w14:paraId="469E7459">
            <w:pPr>
              <w:adjustRightInd w:val="0"/>
              <w:spacing w:line="360" w:lineRule="auto"/>
              <w:jc w:val="center"/>
              <w:textAlignment w:val="baseline"/>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服务人员</w:t>
            </w:r>
          </w:p>
        </w:tc>
      </w:tr>
      <w:tr w14:paraId="7EBB4C9F">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279C23B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序号</w:t>
            </w:r>
          </w:p>
        </w:tc>
        <w:tc>
          <w:tcPr>
            <w:tcW w:w="753" w:type="dxa"/>
            <w:tcBorders>
              <w:top w:val="single" w:color="auto" w:sz="4" w:space="0"/>
              <w:left w:val="single" w:color="auto" w:sz="4" w:space="0"/>
              <w:bottom w:val="single" w:color="auto" w:sz="4" w:space="0"/>
              <w:right w:val="single" w:color="auto" w:sz="4" w:space="0"/>
            </w:tcBorders>
            <w:vAlign w:val="center"/>
          </w:tcPr>
          <w:p w14:paraId="2CA4A7F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姓名</w:t>
            </w:r>
          </w:p>
        </w:tc>
        <w:tc>
          <w:tcPr>
            <w:tcW w:w="728" w:type="dxa"/>
            <w:tcBorders>
              <w:top w:val="single" w:color="auto" w:sz="4" w:space="0"/>
              <w:left w:val="nil"/>
              <w:bottom w:val="single" w:color="auto" w:sz="4" w:space="0"/>
              <w:right w:val="single" w:color="auto" w:sz="4" w:space="0"/>
            </w:tcBorders>
            <w:vAlign w:val="center"/>
          </w:tcPr>
          <w:p w14:paraId="6337C6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性别</w:t>
            </w:r>
          </w:p>
        </w:tc>
        <w:tc>
          <w:tcPr>
            <w:tcW w:w="807" w:type="dxa"/>
            <w:tcBorders>
              <w:top w:val="single" w:color="auto" w:sz="4" w:space="0"/>
              <w:left w:val="nil"/>
              <w:bottom w:val="single" w:color="auto" w:sz="4" w:space="0"/>
              <w:right w:val="single" w:color="auto" w:sz="4" w:space="0"/>
            </w:tcBorders>
            <w:vAlign w:val="center"/>
          </w:tcPr>
          <w:p w14:paraId="010B37D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年龄</w:t>
            </w:r>
          </w:p>
        </w:tc>
        <w:tc>
          <w:tcPr>
            <w:tcW w:w="1251" w:type="dxa"/>
            <w:tcBorders>
              <w:top w:val="single" w:color="auto" w:sz="4" w:space="0"/>
              <w:left w:val="nil"/>
              <w:bottom w:val="single" w:color="auto" w:sz="4" w:space="0"/>
              <w:right w:val="single" w:color="auto" w:sz="4" w:space="0"/>
            </w:tcBorders>
            <w:vAlign w:val="center"/>
          </w:tcPr>
          <w:p w14:paraId="46B2799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职务职称</w:t>
            </w:r>
          </w:p>
        </w:tc>
        <w:tc>
          <w:tcPr>
            <w:tcW w:w="1307" w:type="dxa"/>
            <w:tcBorders>
              <w:top w:val="single" w:color="auto" w:sz="4" w:space="0"/>
              <w:left w:val="nil"/>
              <w:bottom w:val="single" w:color="auto" w:sz="4" w:space="0"/>
              <w:right w:val="single" w:color="auto" w:sz="4" w:space="0"/>
            </w:tcBorders>
            <w:vAlign w:val="center"/>
          </w:tcPr>
          <w:p w14:paraId="768CE9B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业务专业</w:t>
            </w:r>
          </w:p>
        </w:tc>
        <w:tc>
          <w:tcPr>
            <w:tcW w:w="893" w:type="dxa"/>
            <w:tcBorders>
              <w:top w:val="single" w:color="auto" w:sz="4" w:space="0"/>
              <w:left w:val="nil"/>
              <w:bottom w:val="single" w:color="auto" w:sz="4" w:space="0"/>
              <w:right w:val="single" w:color="auto" w:sz="4" w:space="0"/>
            </w:tcBorders>
            <w:vAlign w:val="center"/>
          </w:tcPr>
          <w:p w14:paraId="181A1CC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学历</w:t>
            </w:r>
          </w:p>
        </w:tc>
        <w:tc>
          <w:tcPr>
            <w:tcW w:w="2570" w:type="dxa"/>
            <w:tcBorders>
              <w:top w:val="single" w:color="auto" w:sz="4" w:space="0"/>
              <w:left w:val="nil"/>
              <w:bottom w:val="single" w:color="auto" w:sz="4" w:space="0"/>
              <w:right w:val="single" w:color="auto" w:sz="4" w:space="0"/>
            </w:tcBorders>
            <w:vAlign w:val="center"/>
          </w:tcPr>
          <w:p w14:paraId="5008E98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备注</w:t>
            </w:r>
          </w:p>
        </w:tc>
      </w:tr>
      <w:tr w14:paraId="78049533">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6F996FA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p>
        </w:tc>
        <w:tc>
          <w:tcPr>
            <w:tcW w:w="753" w:type="dxa"/>
            <w:tcBorders>
              <w:top w:val="single" w:color="auto" w:sz="4" w:space="0"/>
              <w:left w:val="single" w:color="auto" w:sz="4" w:space="0"/>
              <w:bottom w:val="single" w:color="auto" w:sz="4" w:space="0"/>
              <w:right w:val="single" w:color="auto" w:sz="4" w:space="0"/>
            </w:tcBorders>
            <w:vAlign w:val="center"/>
          </w:tcPr>
          <w:p w14:paraId="27361BC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7CDA883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0A1C44F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B792E3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7A07D73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A16BA2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F6FE98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5A2B6D37">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506E7C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p>
        </w:tc>
        <w:tc>
          <w:tcPr>
            <w:tcW w:w="753" w:type="dxa"/>
            <w:tcBorders>
              <w:top w:val="single" w:color="auto" w:sz="4" w:space="0"/>
              <w:left w:val="single" w:color="auto" w:sz="4" w:space="0"/>
              <w:bottom w:val="single" w:color="auto" w:sz="4" w:space="0"/>
              <w:right w:val="single" w:color="auto" w:sz="4" w:space="0"/>
            </w:tcBorders>
            <w:vAlign w:val="center"/>
          </w:tcPr>
          <w:p w14:paraId="0112A59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30ACE78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512D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480406E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A9611C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5AC0A0E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C2D0D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3CCC36B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5BC055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p>
        </w:tc>
        <w:tc>
          <w:tcPr>
            <w:tcW w:w="753" w:type="dxa"/>
            <w:tcBorders>
              <w:top w:val="single" w:color="auto" w:sz="4" w:space="0"/>
              <w:left w:val="single" w:color="auto" w:sz="4" w:space="0"/>
              <w:bottom w:val="single" w:color="auto" w:sz="4" w:space="0"/>
              <w:right w:val="single" w:color="auto" w:sz="4" w:space="0"/>
            </w:tcBorders>
            <w:vAlign w:val="center"/>
          </w:tcPr>
          <w:p w14:paraId="12C36AE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0BB662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60C507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E720A3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2B453B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07EA8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19EDE0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5E18CB30">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5918041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w:t>
            </w:r>
          </w:p>
        </w:tc>
        <w:tc>
          <w:tcPr>
            <w:tcW w:w="753" w:type="dxa"/>
            <w:tcBorders>
              <w:top w:val="single" w:color="auto" w:sz="4" w:space="0"/>
              <w:left w:val="single" w:color="auto" w:sz="4" w:space="0"/>
              <w:bottom w:val="single" w:color="auto" w:sz="4" w:space="0"/>
              <w:right w:val="single" w:color="auto" w:sz="4" w:space="0"/>
            </w:tcBorders>
            <w:vAlign w:val="center"/>
          </w:tcPr>
          <w:p w14:paraId="35C3F96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4125433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766653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293942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1E693AD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68409AF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2776563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05C2EE13">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2D8F28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w:t>
            </w:r>
          </w:p>
        </w:tc>
        <w:tc>
          <w:tcPr>
            <w:tcW w:w="753" w:type="dxa"/>
            <w:tcBorders>
              <w:top w:val="single" w:color="auto" w:sz="4" w:space="0"/>
              <w:left w:val="single" w:color="auto" w:sz="4" w:space="0"/>
              <w:bottom w:val="single" w:color="auto" w:sz="4" w:space="0"/>
              <w:right w:val="single" w:color="auto" w:sz="4" w:space="0"/>
            </w:tcBorders>
            <w:vAlign w:val="center"/>
          </w:tcPr>
          <w:p w14:paraId="4FD1737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1B7C97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05C2F5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7E7987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04D6D34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28DA71A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953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294FB3AB">
        <w:tblPrEx>
          <w:tblCellMar>
            <w:top w:w="0" w:type="dxa"/>
            <w:left w:w="108" w:type="dxa"/>
            <w:bottom w:w="0" w:type="dxa"/>
            <w:right w:w="108" w:type="dxa"/>
          </w:tblCellMar>
        </w:tblPrEx>
        <w:trPr>
          <w:trHeight w:val="984"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E6B6C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w:t>
            </w:r>
          </w:p>
        </w:tc>
        <w:tc>
          <w:tcPr>
            <w:tcW w:w="753" w:type="dxa"/>
            <w:tcBorders>
              <w:top w:val="single" w:color="auto" w:sz="4" w:space="0"/>
              <w:left w:val="single" w:color="auto" w:sz="4" w:space="0"/>
              <w:bottom w:val="single" w:color="auto" w:sz="4" w:space="0"/>
              <w:right w:val="single" w:color="auto" w:sz="4" w:space="0"/>
            </w:tcBorders>
            <w:vAlign w:val="center"/>
          </w:tcPr>
          <w:p w14:paraId="56DFDFB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6F593F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AFC80B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245D0F0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9C525B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05E08F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87EA86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bl>
    <w:p w14:paraId="0854D47A">
      <w:pPr>
        <w:spacing w:line="520" w:lineRule="exact"/>
        <w:jc w:val="right"/>
        <w:rPr>
          <w:rFonts w:hint="eastAsia" w:asciiTheme="minorEastAsia" w:hAnsiTheme="minorEastAsia" w:eastAsiaTheme="minorEastAsia" w:cstheme="minorEastAsia"/>
          <w:color w:val="auto"/>
          <w:szCs w:val="21"/>
          <w:highlight w:val="none"/>
        </w:rPr>
      </w:pPr>
    </w:p>
    <w:p w14:paraId="1AD23C1C">
      <w:pPr>
        <w:spacing w:line="520" w:lineRule="exact"/>
        <w:jc w:val="right"/>
        <w:rPr>
          <w:rFonts w:hint="eastAsia" w:asciiTheme="minorEastAsia" w:hAnsiTheme="minorEastAsia" w:eastAsiaTheme="minorEastAsia" w:cstheme="minorEastAsia"/>
          <w:color w:val="auto"/>
          <w:szCs w:val="21"/>
          <w:highlight w:val="none"/>
        </w:rPr>
      </w:pPr>
    </w:p>
    <w:p w14:paraId="4479F76A">
      <w:pPr>
        <w:spacing w:line="520" w:lineRule="exact"/>
        <w:jc w:val="righ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（盖章或电子签章）</w:t>
      </w:r>
    </w:p>
    <w:p w14:paraId="2B5549AC">
      <w:pPr>
        <w:spacing w:line="520" w:lineRule="exact"/>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法定代表人或授权委托人：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（签字或电子签章）</w:t>
      </w:r>
    </w:p>
    <w:p w14:paraId="44F1A269">
      <w:pPr>
        <w:widowControl/>
        <w:spacing w:before="50" w:after="50"/>
        <w:jc w:val="center"/>
        <w:rPr>
          <w:rFonts w:hint="eastAsia" w:asciiTheme="minorEastAsia" w:hAnsiTheme="minorEastAsia" w:eastAsiaTheme="minorEastAsia" w:cstheme="minorEastAsia"/>
          <w:color w:val="auto"/>
          <w:sz w:val="32"/>
          <w:szCs w:val="32"/>
          <w:highlight w:val="none"/>
          <w:lang w:eastAsia="zh-CN"/>
        </w:rPr>
        <w:sectPr>
          <w:headerReference r:id="rId9" w:type="first"/>
          <w:headerReference r:id="rId7" w:type="default"/>
          <w:headerReference r:id="rId8"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szCs w:val="21"/>
          <w:highlight w:val="none"/>
        </w:rPr>
        <w:t xml:space="preserve">                       年   月   日</w:t>
      </w:r>
    </w:p>
    <w:p w14:paraId="2914A22E">
      <w:pPr>
        <w:widowControl/>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color w:val="auto"/>
          <w:sz w:val="32"/>
          <w:szCs w:val="32"/>
          <w:highlight w:val="none"/>
          <w:lang w:eastAsia="zh-CN"/>
        </w:rPr>
        <w:t>维保服务方案、备品</w:t>
      </w:r>
      <w:r>
        <w:rPr>
          <w:rFonts w:hint="eastAsia" w:asciiTheme="minorEastAsia" w:hAnsiTheme="minorEastAsia" w:cstheme="minorEastAsia"/>
          <w:color w:val="auto"/>
          <w:sz w:val="32"/>
          <w:szCs w:val="32"/>
          <w:highlight w:val="none"/>
          <w:lang w:val="en-US" w:eastAsia="zh-CN"/>
        </w:rPr>
        <w:t>保障</w:t>
      </w:r>
      <w:r>
        <w:rPr>
          <w:rFonts w:hint="eastAsia" w:asciiTheme="minorEastAsia" w:hAnsiTheme="minorEastAsia" w:eastAsiaTheme="minorEastAsia" w:cstheme="minorEastAsia"/>
          <w:color w:val="auto"/>
          <w:sz w:val="32"/>
          <w:szCs w:val="32"/>
          <w:highlight w:val="none"/>
          <w:lang w:eastAsia="zh-CN"/>
        </w:rPr>
        <w:t>及应急服务方案</w:t>
      </w:r>
      <w:r>
        <w:rPr>
          <w:rFonts w:hint="eastAsia" w:asciiTheme="minorEastAsia" w:hAnsiTheme="minorEastAsia" w:eastAsiaTheme="minorEastAsia" w:cstheme="minorEastAsia"/>
          <w:color w:val="auto"/>
          <w:sz w:val="32"/>
          <w:szCs w:val="32"/>
          <w:highlight w:val="none"/>
        </w:rPr>
        <w:t>等</w:t>
      </w:r>
    </w:p>
    <w:p w14:paraId="517BC002">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4520CD9">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1D82DC8B">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7702E1E">
      <w:pPr>
        <w:widowControl/>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A8E5F0F">
      <w:pPr>
        <w:widowControl/>
        <w:spacing w:line="499" w:lineRule="atLeast"/>
        <w:ind w:firstLine="16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rPr>
        <w:t>、盐城市政府采购事前信用承诺书</w:t>
      </w:r>
    </w:p>
    <w:p w14:paraId="3C410AEA">
      <w:pPr>
        <w:widowControl/>
        <w:spacing w:line="499" w:lineRule="atLeast"/>
        <w:ind w:firstLine="64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w:t>
      </w:r>
    </w:p>
    <w:p w14:paraId="6502B6FB">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10BAE66E">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B444D3E">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03BEA4">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p>
    <w:p w14:paraId="71015DE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（四）严格遵守即时信息公示规定，及时维护和更新盐城市政府采购网中与本单位相关的信息；</w:t>
      </w:r>
    </w:p>
    <w:p w14:paraId="5185EBA0">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05E04A5">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（六）自觉接受政府、行业组织、社会公众、新闻舆论的监督；</w:t>
      </w:r>
    </w:p>
    <w:p w14:paraId="1F09BE02">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E2F43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（八）本人已认真阅读了上述承诺，并向本单位员工作了宣传教育。</w:t>
      </w:r>
    </w:p>
    <w:p w14:paraId="11891DA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2B1B232D">
      <w:pPr>
        <w:widowControl/>
        <w:spacing w:line="499" w:lineRule="atLeast"/>
        <w:ind w:firstLine="5280" w:firstLineChars="2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法定代表人签名：</w:t>
      </w:r>
    </w:p>
    <w:p w14:paraId="38707788">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单位名称（盖章）：</w:t>
      </w:r>
    </w:p>
    <w:p w14:paraId="37E4842B">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日</w:t>
      </w:r>
    </w:p>
    <w:p w14:paraId="4E6B99D7">
      <w:pPr>
        <w:pStyle w:val="31"/>
        <w:spacing w:beforeAutospacing="0" w:afterAutospacing="0"/>
        <w:jc w:val="center"/>
        <w:rPr>
          <w:rFonts w:hint="eastAsia" w:asciiTheme="minorEastAsia" w:hAnsiTheme="minorEastAsia" w:eastAsiaTheme="minorEastAsia" w:cstheme="minorEastAsia"/>
          <w:color w:val="auto"/>
          <w:highlight w:val="none"/>
        </w:rPr>
      </w:pPr>
    </w:p>
    <w:p w14:paraId="38DA3E8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036030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27E66C7B">
      <w:pPr>
        <w:pStyle w:val="31"/>
        <w:spacing w:before="290"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16C36AF0">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03E998A">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3FA1E7B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7ED55EB">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A2E5C17">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252E3CE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6ECF39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65C0586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56D4B3E6">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29366895">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1F43E15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5C937F8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7C64147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4731D3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6F48EB2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0D53A62D">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5A97E2BB">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42A4EFEF">
      <w:pPr>
        <w:pStyle w:val="31"/>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7E0FA6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1B484D4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48AAAA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101DDC3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4D5A7202">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745E79BC">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377CB1D1">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3D6A68A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1.供应商提出质疑时，应提交质疑函和必要的证明材料。</w:t>
      </w:r>
    </w:p>
    <w:p w14:paraId="3C612B0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CCC0D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3.质疑供应商若对项目的某一分包进行质疑，质疑函中应列明具体分包号。</w:t>
      </w:r>
    </w:p>
    <w:p w14:paraId="4280B4F8">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79017DD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551A687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6.质疑供应商为自然人的，质疑函应由本人签字；质疑供应商为法人或者其他组织的，质疑函应由法定代表人、主要负责人，或者其授权代表签字或者盖章，并加盖公章。</w:t>
      </w:r>
    </w:p>
    <w:p w14:paraId="5124C826">
      <w:pPr>
        <w:pStyle w:val="31"/>
        <w:spacing w:beforeAutospacing="0" w:afterAutospacing="0"/>
        <w:rPr>
          <w:rFonts w:hint="eastAsia" w:asciiTheme="minorEastAsia" w:hAnsiTheme="minorEastAsia" w:eastAsiaTheme="minorEastAsia" w:cstheme="minorEastAsia"/>
          <w:color w:val="auto"/>
          <w:highlight w:val="none"/>
        </w:rPr>
      </w:pPr>
    </w:p>
    <w:sectPr>
      <w:headerReference r:id="rId12" w:type="first"/>
      <w:headerReference r:id="rId10" w:type="default"/>
      <w:headerReference r:id="rId11" w:type="even"/>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84CD">
    <w:pPr>
      <w:pStyle w:val="22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C3DFC4">
                          <w:pPr>
                            <w:pStyle w:val="2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9IsAgAAVg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j6Nf0iwCAABWBAAADgAAAAAAAAABACAAAAAfAQAAZHJzL2Uyb0RvYy54bWxQSwUGAAAAAAYA&#10;BgBZAQAAvQUAAAAA&#10;">
              <v:fill on="f" focussize="0,0"/>
              <v:stroke on="f" weight="0.5pt"/>
              <v:imagedata o:title=""/>
              <o:lock v:ext="edit" aspectratio="f"/>
              <v:textbox inset="0mm,0mm,0mm,0mm" style="mso-fit-shape-to-text:t;">
                <w:txbxContent>
                  <w:p w14:paraId="05C3DFC4">
                    <w:pPr>
                      <w:pStyle w:val="2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BA776"/>
  <w:p w14:paraId="79A8D25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A06B">
    <w:r>
      <mc:AlternateContent>
        <mc:Choice Requires="wps">
          <w:drawing>
            <wp:anchor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2" name="矩形 42"/>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7C44CAB6">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700224;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BGtdI3HQ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Qe2sdQAAAAKAQAA&#10;DwAAAAAAAAABACAAAAAiAAAAZHJzL2Rvd25yZXYueG1sUEsBAhQAFAAAAAgAh07iQEa10jc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7C44CAB6">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3" name="矩形 43"/>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C71D404">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701248;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cKb+0gAAAAoBAAAP&#10;AAAAAAAAAAEAIAAAACIAAABkcnMvZG93bnJldi54bWxQSwECFAAUAAAACACHTuJASxgu6R4CAAA/&#10;BAAADgAAAAAAAAABACAAAAAh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6C71D404">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4" name="矩形 44"/>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1A9815D">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702272;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CrUUqcHQ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R9HDdQAAAAMAQAA&#10;DwAAAAAAAAABACAAAAAiAAAAZHJzL2Rvd25yZXYueG1sUEsBAhQAFAAAAAgAh07iQKtRSpw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41A9815D">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p>
  <w:p w14:paraId="1D97DD12">
    <w:r>
      <w:pict>
        <v:shape id="_x0000_s4109" o:spid="_x0000_s4109"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0" o:spid="_x0000_s4110"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1" o:spid="_x0000_s4111"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2" o:spid="_x0000_s4112"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3" o:spid="_x0000_s4113"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4" o:spid="_x0000_s4114"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B564E">
    <w:r>
      <mc:AlternateContent>
        <mc:Choice Requires="wps">
          <w:drawing>
            <wp:anchor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5" name="矩形 45"/>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2A07570">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200pt;height:35pt;width:400pt;rotation:-1638402f;z-index:251697152;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Qe2sdQAAAAKAQAA&#10;DwAAAAAAAAABACAAAAAiAAAAZHJzL2Rvd25yZXYueG1sUEsBAhQAFAAAAAgAh07iQKb8tkIdAgAA&#10;Pw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62A07570">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6" name="矩形 46"/>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DA17CC2">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400pt;height:35pt;width:400pt;rotation:-1638402f;z-index:251698176;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cKb+0gAAAAoBAAAP&#10;AAAAAAAAAAEAIAAAACIAAABkcnMvZG93bnJldi54bWxQSwECFAAUAAAACACHTuJA8A3C+h4CAAA/&#10;BAAADgAAAAAAAAABACAAAAAh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4DA17CC2">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7" name="矩形 47"/>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673402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_x0000_s1026" o:spid="_x0000_s1026" o:spt="136" type="#_x0000_t136" style="position:absolute;left:0pt;margin-left:30pt;margin-top:600pt;height:35pt;width:400pt;rotation:-1638402f;z-index:251699200;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UfRw3UAAAADAEA&#10;AA8AAAAAAAAAAQAgAAAAIgAAAGRycy9kb3ducmV2LnhtbFBLAQIUABQAAAAIAIdO4kD9oD4kHgIA&#10;AD8EAAAOAAAAAAAAAAEAIAAAACMBAABkcnMvZTJvRG9jLnhtbFBLBQYAAAAABgAGAFkBAACzBQAA&#10;AAA=&#10;" adj="10800">
              <v:fill on="f" focussize="0,0"/>
              <v:stroke on="f" weight="1pt"/>
              <v:imagedata o:title=""/>
              <o:lock v:ext="edit" aspectratio="f"/>
              <v:textpath on="f" fitpath="t" trim="t" xscale="f" string="" style="font-size:36pt;v-text-align:center;"/>
              <v:textbox inset="0mm,0mm,0mm,0mm">
                <w:txbxContent>
                  <w:p w14:paraId="66734028">
                    <w:pPr>
                      <w:jc w:val="center"/>
                      <w:rPr>
                        <w:rFonts w:ascii="宋体" w:hAnsi="宋体"/>
                        <w:color w:val="D9D9D9"/>
                        <w:sz w:val="72"/>
                        <w:szCs w:val="72"/>
                        <w14:textOutline w14:w="12700">
                          <w14:solidFill>
                            <w14:srgbClr w14:val="000000"/>
                          </w14:solidFill>
                          <w14:bevel/>
                        </w14:textOutline>
                      </w:rPr>
                    </w:pPr>
                    <w:r>
                      <w:rPr>
                        <w:rFonts w:ascii="宋体" w:hAnsi="宋体"/>
                        <w:color w:val="D9D9D9"/>
                        <w:sz w:val="72"/>
                        <w:szCs w:val="72"/>
                        <w14:textOutline w14:w="12700">
                          <w14:solidFill>
                            <w14:srgbClr w14:val="000000"/>
                          </w14:solidFill>
                          <w14:bevel/>
                        </w14:textOutline>
                      </w:rPr>
                      <w:t>盐城市公安局辅警服装更新配发采购项目</w:t>
                    </w:r>
                  </w:p>
                </w:txbxContent>
              </v:textbox>
            </v:shape>
          </w:pict>
        </mc:Fallback>
      </mc:AlternateContent>
    </w:r>
  </w:p>
  <w:p w14:paraId="3FDC6272">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8" o:spid="_x0000_s4098"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9" o:spid="_x0000_s4099"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0" o:spid="_x0000_s4100"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1" o:spid="_x0000_s4101"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2" o:spid="_x0000_s4102"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034EF"/>
  <w:p w14:paraId="055099B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255FC">
    <w:r>
      <w:pict>
        <v:shape id="_x0000_s4127" o:spid="_x0000_s4127" o:spt="136" type="#_x0000_t136" style="position:absolute;left:0pt;margin-left:30pt;margin-top:100pt;height:25pt;width:200pt;rotation:-1638400f;z-index:25167872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8" o:spid="_x0000_s4128" o:spt="136" type="#_x0000_t136" style="position:absolute;left:0pt;margin-left:30pt;margin-top:300pt;height:25pt;width:200pt;rotation:-1638400f;z-index:25167974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9" o:spid="_x0000_s4129" o:spt="136" type="#_x0000_t136" style="position:absolute;left:0pt;margin-left:30pt;margin-top:500pt;height:25pt;width:200pt;rotation:-1638400f;z-index:25168076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0" o:spid="_x0000_s4130" o:spt="136" type="#_x0000_t136" style="position:absolute;left:0pt;margin-left:230pt;margin-top:100pt;height:25pt;width:200pt;rotation:-1638400f;z-index:25168179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1" o:spid="_x0000_s4131" o:spt="136" type="#_x0000_t136" style="position:absolute;left:0pt;margin-left:230pt;margin-top:300pt;height:25pt;width:200pt;rotation:-1638400f;z-index:25168281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2" o:spid="_x0000_s4132" o:spt="136" type="#_x0000_t136" style="position:absolute;left:0pt;margin-left:230pt;margin-top:500pt;height:25pt;width:200pt;rotation:-1638400f;z-index:25168384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845E2">
    <w:r>
      <w:pict>
        <v:shape id="_x0000_s4115" o:spid="_x0000_s4115" o:spt="136" type="#_x0000_t136" style="position:absolute;left:0pt;margin-left:30pt;margin-top:100pt;height:25pt;width:200pt;rotation:-1638400f;z-index:25167257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6" o:spid="_x0000_s4116" o:spt="136" type="#_x0000_t136" style="position:absolute;left:0pt;margin-left:30pt;margin-top:300pt;height:25pt;width:200pt;rotation:-1638400f;z-index:25167360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7" o:spid="_x0000_s4117" o:spt="136" type="#_x0000_t136" style="position:absolute;left:0pt;margin-left:30pt;margin-top:500pt;height:25pt;width:200pt;rotation:-1638400f;z-index:25167462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8" o:spid="_x0000_s4118" o:spt="136" type="#_x0000_t136" style="position:absolute;left:0pt;margin-left:230pt;margin-top:100pt;height:25pt;width:200pt;rotation:-1638400f;z-index:25167564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9" o:spid="_x0000_s4119" o:spt="136" type="#_x0000_t136" style="position:absolute;left:0pt;margin-left:230pt;margin-top:300pt;height:25pt;width:200pt;rotation:-1638400f;z-index:25167667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0" o:spid="_x0000_s4120" o:spt="136" type="#_x0000_t136" style="position:absolute;left:0pt;margin-left:230pt;margin-top:500pt;height:25pt;width:200pt;rotation:-1638400f;z-index:25167769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3F8D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F7CD">
    <w:r>
      <w:pict>
        <v:shape id="_x0000_s4145" o:spid="_x0000_s4145" o:spt="136" type="#_x0000_t136" style="position:absolute;left:0pt;margin-left:30pt;margin-top:100pt;height:25pt;width:200pt;rotation:-1638400f;z-index:25169100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46" o:spid="_x0000_s4146" o:spt="136" type="#_x0000_t136" style="position:absolute;left:0pt;margin-left:30pt;margin-top:300pt;height:25pt;width:200pt;rotation:-1638400f;z-index:2516920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47" o:spid="_x0000_s4147" o:spt="136" type="#_x0000_t136" style="position:absolute;left:0pt;margin-left:30pt;margin-top:500pt;height:25pt;width:200pt;rotation:-1638400f;z-index:2516930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48" o:spid="_x0000_s4148" o:spt="136" type="#_x0000_t136" style="position:absolute;left:0pt;margin-left:230pt;margin-top:100pt;height:25pt;width:200pt;rotation:-1638400f;z-index:2516940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49" o:spid="_x0000_s4149" o:spt="136" type="#_x0000_t136" style="position:absolute;left:0pt;margin-left:230pt;margin-top:300pt;height:25pt;width:200pt;rotation:-1638400f;z-index:2516951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50" o:spid="_x0000_s4150" o:spt="136" type="#_x0000_t136" style="position:absolute;left:0pt;margin-left:230pt;margin-top:500pt;height:25pt;width:200pt;rotation:-1638400f;z-index:2516961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B6141">
    <w:r>
      <w:pict>
        <v:shape id="_x0000_s4133" o:spid="_x0000_s4133" o:spt="136" type="#_x0000_t136" style="position:absolute;left:0pt;margin-left:30pt;margin-top:100pt;height:25pt;width:200pt;rotation:-1638400f;z-index:2516848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4" o:spid="_x0000_s4134" o:spt="136" type="#_x0000_t136" style="position:absolute;left:0pt;margin-left:30pt;margin-top:300pt;height:25pt;width:200pt;rotation:-1638400f;z-index:2516858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5" o:spid="_x0000_s4135" o:spt="136" type="#_x0000_t136" style="position:absolute;left:0pt;margin-left:30pt;margin-top:500pt;height:25pt;width:200pt;rotation:-1638400f;z-index:2516869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6" o:spid="_x0000_s4136" o:spt="136" type="#_x0000_t136" style="position:absolute;left:0pt;margin-left:230pt;margin-top:100pt;height:25pt;width:200pt;rotation:-1638400f;z-index:2516879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7" o:spid="_x0000_s4137" o:spt="136" type="#_x0000_t136" style="position:absolute;left:0pt;margin-left:230pt;margin-top:300pt;height:25pt;width:200pt;rotation:-1638400f;z-index:2516889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8" o:spid="_x0000_s4138" o:spt="136" type="#_x0000_t136" style="position:absolute;left:0pt;margin-left:230pt;margin-top:500pt;height:25pt;width:200pt;rotation:-1638400f;z-index:2516899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hdrShapeDefaults>
    <o:shapelayout v:ext="edit">
      <o:idmap v:ext="edit" data="3,4"/>
    </o:shapelayout>
  </w:hdrShapeDefault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0A667F"/>
    <w:rsid w:val="0257765C"/>
    <w:rsid w:val="02EF1E8A"/>
    <w:rsid w:val="04FF538E"/>
    <w:rsid w:val="05D76C05"/>
    <w:rsid w:val="060F6BA3"/>
    <w:rsid w:val="08EE6404"/>
    <w:rsid w:val="0B3F7B9A"/>
    <w:rsid w:val="0CBC15B4"/>
    <w:rsid w:val="0D9E68BF"/>
    <w:rsid w:val="11B01E08"/>
    <w:rsid w:val="155525BF"/>
    <w:rsid w:val="15EF5B3F"/>
    <w:rsid w:val="164717FA"/>
    <w:rsid w:val="1AE51C6E"/>
    <w:rsid w:val="1C506260"/>
    <w:rsid w:val="1DC01148"/>
    <w:rsid w:val="1E5779A7"/>
    <w:rsid w:val="1EA83700"/>
    <w:rsid w:val="1EC75D27"/>
    <w:rsid w:val="1ED015A4"/>
    <w:rsid w:val="217F6D76"/>
    <w:rsid w:val="22A06A5E"/>
    <w:rsid w:val="245E4EEC"/>
    <w:rsid w:val="25D97DD2"/>
    <w:rsid w:val="2622341B"/>
    <w:rsid w:val="26675075"/>
    <w:rsid w:val="27585706"/>
    <w:rsid w:val="27BA5D13"/>
    <w:rsid w:val="29C946E1"/>
    <w:rsid w:val="2B93301D"/>
    <w:rsid w:val="2E776F89"/>
    <w:rsid w:val="2F1A2EE6"/>
    <w:rsid w:val="2F6D7D8D"/>
    <w:rsid w:val="30C14F41"/>
    <w:rsid w:val="319933F9"/>
    <w:rsid w:val="31E962F9"/>
    <w:rsid w:val="32BC65DB"/>
    <w:rsid w:val="33405DBE"/>
    <w:rsid w:val="341D30E4"/>
    <w:rsid w:val="34642CF3"/>
    <w:rsid w:val="351705A2"/>
    <w:rsid w:val="36C81DE9"/>
    <w:rsid w:val="36D5760B"/>
    <w:rsid w:val="37542097"/>
    <w:rsid w:val="379829BA"/>
    <w:rsid w:val="379F04AB"/>
    <w:rsid w:val="38796AD2"/>
    <w:rsid w:val="39AF5291"/>
    <w:rsid w:val="3A530E77"/>
    <w:rsid w:val="3B450A85"/>
    <w:rsid w:val="3C340332"/>
    <w:rsid w:val="3C8C7164"/>
    <w:rsid w:val="3CE20F03"/>
    <w:rsid w:val="3D0E6600"/>
    <w:rsid w:val="3F4C1107"/>
    <w:rsid w:val="3F773477"/>
    <w:rsid w:val="408D1B3A"/>
    <w:rsid w:val="428047AF"/>
    <w:rsid w:val="438658C4"/>
    <w:rsid w:val="44863BD7"/>
    <w:rsid w:val="454A22B8"/>
    <w:rsid w:val="4A4D18A8"/>
    <w:rsid w:val="4AA21F98"/>
    <w:rsid w:val="4AC92DCE"/>
    <w:rsid w:val="4B4C7C18"/>
    <w:rsid w:val="4BC40805"/>
    <w:rsid w:val="4C441BBB"/>
    <w:rsid w:val="4E3D0491"/>
    <w:rsid w:val="4EEA2134"/>
    <w:rsid w:val="4EEF75F4"/>
    <w:rsid w:val="4F5F2EEE"/>
    <w:rsid w:val="4FF65A37"/>
    <w:rsid w:val="513879CA"/>
    <w:rsid w:val="52B9590A"/>
    <w:rsid w:val="56D15A6E"/>
    <w:rsid w:val="56D27CC5"/>
    <w:rsid w:val="573B1F39"/>
    <w:rsid w:val="573C74B5"/>
    <w:rsid w:val="57611C71"/>
    <w:rsid w:val="58232EFA"/>
    <w:rsid w:val="583C03BC"/>
    <w:rsid w:val="59247E56"/>
    <w:rsid w:val="593376EE"/>
    <w:rsid w:val="5A0537AD"/>
    <w:rsid w:val="5A92474A"/>
    <w:rsid w:val="5C826EB6"/>
    <w:rsid w:val="5D3E4715"/>
    <w:rsid w:val="6147532E"/>
    <w:rsid w:val="616C004B"/>
    <w:rsid w:val="62201C8F"/>
    <w:rsid w:val="62CD4DDC"/>
    <w:rsid w:val="65534217"/>
    <w:rsid w:val="65776CA6"/>
    <w:rsid w:val="6767750A"/>
    <w:rsid w:val="69243F4E"/>
    <w:rsid w:val="6C6F4FFD"/>
    <w:rsid w:val="705E35A2"/>
    <w:rsid w:val="70F21646"/>
    <w:rsid w:val="719733DC"/>
    <w:rsid w:val="71DE58E2"/>
    <w:rsid w:val="738C3C7F"/>
    <w:rsid w:val="74E77E59"/>
    <w:rsid w:val="75BF1D13"/>
    <w:rsid w:val="79940E9D"/>
    <w:rsid w:val="79EA1A55"/>
    <w:rsid w:val="7C812A86"/>
    <w:rsid w:val="7E4E5754"/>
    <w:rsid w:val="7F886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40"/>
    <w:qFormat/>
    <w:uiPriority w:val="0"/>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7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sz w:val="24"/>
    </w:rPr>
  </w:style>
  <w:style w:type="paragraph" w:styleId="6">
    <w:name w:val="heading 5"/>
    <w:basedOn w:val="1"/>
    <w:next w:val="1"/>
    <w:link w:val="8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ody Text Indent"/>
    <w:basedOn w:val="1"/>
    <w:link w:val="234"/>
    <w:qFormat/>
    <w:uiPriority w:val="0"/>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unhideWhenUsed/>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222"/>
    <w:semiHidden/>
    <w:unhideWhenUsed/>
    <w:qFormat/>
    <w:uiPriority w:val="99"/>
    <w:rPr>
      <w:sz w:val="20"/>
    </w:rPr>
  </w:style>
  <w:style w:type="paragraph" w:styleId="21">
    <w:name w:val="footer"/>
    <w:basedOn w:val="1"/>
    <w:link w:val="227"/>
    <w:qFormat/>
    <w:uiPriority w:val="0"/>
    <w:pPr>
      <w:tabs>
        <w:tab w:val="center" w:pos="4153"/>
        <w:tab w:val="right" w:pos="8306"/>
      </w:tabs>
      <w:jc w:val="left"/>
    </w:pPr>
    <w:rPr>
      <w:sz w:val="18"/>
      <w:szCs w:val="18"/>
    </w:rPr>
  </w:style>
  <w:style w:type="paragraph" w:styleId="22">
    <w:name w:val="header"/>
    <w:basedOn w:val="1"/>
    <w:link w:val="226"/>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link w:val="88"/>
    <w:qFormat/>
    <w:uiPriority w:val="11"/>
    <w:pPr>
      <w:spacing w:before="200" w:after="200"/>
    </w:pPr>
    <w:rPr>
      <w:sz w:val="24"/>
    </w:rPr>
  </w:style>
  <w:style w:type="paragraph" w:styleId="26">
    <w:name w:val="footnote text"/>
    <w:basedOn w:val="1"/>
    <w:link w:val="221"/>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link w:val="233"/>
    <w:qFormat/>
    <w:uiPriority w:val="0"/>
    <w:pPr>
      <w:spacing w:beforeAutospacing="1" w:afterAutospacing="1"/>
      <w:jc w:val="left"/>
    </w:pPr>
    <w:rPr>
      <w:rFonts w:cs="Times New Roman"/>
      <w:sz w:val="24"/>
    </w:rPr>
  </w:style>
  <w:style w:type="paragraph" w:styleId="32">
    <w:name w:val="Title"/>
    <w:basedOn w:val="1"/>
    <w:link w:val="87"/>
    <w:qFormat/>
    <w:uiPriority w:val="10"/>
    <w:pPr>
      <w:spacing w:before="300" w:after="200"/>
      <w:contextualSpacing/>
    </w:pPr>
    <w:rPr>
      <w:sz w:val="48"/>
      <w:szCs w:val="48"/>
    </w:rPr>
  </w:style>
  <w:style w:type="paragraph" w:styleId="33">
    <w:name w:val="Body Text First Indent 2"/>
    <w:basedOn w:val="15"/>
    <w:link w:val="235"/>
    <w:qFormat/>
    <w:uiPriority w:val="99"/>
    <w:pPr>
      <w:ind w:firstLine="420"/>
    </w:p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6"/>
    <w:unhideWhenUsed/>
    <w:qFormat/>
    <w:uiPriority w:val="99"/>
    <w:rPr>
      <w:vertAlign w:val="superscript"/>
    </w:rPr>
  </w:style>
  <w:style w:type="paragraph" w:customStyle="1" w:styleId="42">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character" w:customStyle="1" w:styleId="43">
    <w:name w:val="Heading 3 Char"/>
    <w:basedOn w:val="36"/>
    <w:qFormat/>
    <w:uiPriority w:val="9"/>
    <w:rPr>
      <w:rFonts w:ascii="Arial" w:hAnsi="Arial" w:eastAsia="Arial" w:cs="Arial"/>
      <w:sz w:val="30"/>
      <w:szCs w:val="30"/>
    </w:rPr>
  </w:style>
  <w:style w:type="character" w:customStyle="1" w:styleId="44">
    <w:name w:val="Heading 5 Char"/>
    <w:basedOn w:val="36"/>
    <w:qFormat/>
    <w:uiPriority w:val="9"/>
    <w:rPr>
      <w:rFonts w:ascii="Arial" w:hAnsi="Arial" w:eastAsia="Arial" w:cs="Arial"/>
      <w:b/>
      <w:bCs/>
      <w:sz w:val="24"/>
      <w:szCs w:val="24"/>
    </w:rPr>
  </w:style>
  <w:style w:type="character" w:customStyle="1" w:styleId="45">
    <w:name w:val="Heading 6 Char"/>
    <w:basedOn w:val="36"/>
    <w:qFormat/>
    <w:uiPriority w:val="9"/>
    <w:rPr>
      <w:rFonts w:ascii="Arial" w:hAnsi="Arial" w:eastAsia="Arial" w:cs="Arial"/>
      <w:b/>
      <w:bCs/>
      <w:sz w:val="22"/>
      <w:szCs w:val="22"/>
    </w:rPr>
  </w:style>
  <w:style w:type="character" w:customStyle="1" w:styleId="46">
    <w:name w:val="Heading 7 Char"/>
    <w:basedOn w:val="36"/>
    <w:qFormat/>
    <w:uiPriority w:val="9"/>
    <w:rPr>
      <w:rFonts w:ascii="Arial" w:hAnsi="Arial" w:eastAsia="Arial" w:cs="Arial"/>
      <w:b/>
      <w:bCs/>
      <w:i/>
      <w:iCs/>
      <w:sz w:val="22"/>
      <w:szCs w:val="22"/>
    </w:rPr>
  </w:style>
  <w:style w:type="character" w:customStyle="1" w:styleId="47">
    <w:name w:val="Heading 8 Char"/>
    <w:basedOn w:val="36"/>
    <w:qFormat/>
    <w:uiPriority w:val="9"/>
    <w:rPr>
      <w:rFonts w:ascii="Arial" w:hAnsi="Arial" w:eastAsia="Arial" w:cs="Arial"/>
      <w:i/>
      <w:iCs/>
      <w:sz w:val="22"/>
      <w:szCs w:val="22"/>
    </w:rPr>
  </w:style>
  <w:style w:type="character" w:customStyle="1" w:styleId="48">
    <w:name w:val="Heading 9 Char"/>
    <w:basedOn w:val="36"/>
    <w:qFormat/>
    <w:uiPriority w:val="9"/>
    <w:rPr>
      <w:rFonts w:ascii="Arial" w:hAnsi="Arial" w:eastAsia="Arial" w:cs="Arial"/>
      <w:i/>
      <w:iCs/>
      <w:sz w:val="21"/>
      <w:szCs w:val="21"/>
    </w:rPr>
  </w:style>
  <w:style w:type="character" w:customStyle="1" w:styleId="49">
    <w:name w:val="Title Char"/>
    <w:basedOn w:val="36"/>
    <w:qFormat/>
    <w:uiPriority w:val="10"/>
    <w:rPr>
      <w:sz w:val="48"/>
      <w:szCs w:val="48"/>
    </w:rPr>
  </w:style>
  <w:style w:type="character" w:customStyle="1" w:styleId="50">
    <w:name w:val="Subtitle Char"/>
    <w:basedOn w:val="36"/>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table" w:customStyle="1" w:styleId="53">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4"/>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lang w:val="en-US" w:eastAsia="en-US" w:bidi="ar-SA"/>
    </w:rPr>
  </w:style>
  <w:style w:type="paragraph" w:customStyle="1" w:styleId="75">
    <w:name w:val="正文首行缩进11"/>
    <w:basedOn w:val="76"/>
    <w:unhideWhenUsed/>
    <w:qFormat/>
    <w:uiPriority w:val="99"/>
    <w:pPr>
      <w:ind w:firstLine="420"/>
    </w:pPr>
    <w:rPr>
      <w:rFonts w:ascii="Times New Roman" w:hAnsi="Times New Roman"/>
    </w:rPr>
  </w:style>
  <w:style w:type="paragraph" w:customStyle="1" w:styleId="76">
    <w:name w:val="正文文本11"/>
    <w:basedOn w:val="1"/>
    <w:qFormat/>
    <w:uiPriority w:val="0"/>
    <w:rPr>
      <w:rFonts w:ascii="楷体_GB2312" w:hAnsi="Arial" w:eastAsia="楷体_GB2312"/>
      <w:sz w:val="28"/>
      <w:szCs w:val="28"/>
      <w:lang w:eastAsia="en-US"/>
    </w:rPr>
  </w:style>
  <w:style w:type="character" w:customStyle="1" w:styleId="77">
    <w:name w:val="Heading 1 Char"/>
    <w:basedOn w:val="36"/>
    <w:qFormat/>
    <w:uiPriority w:val="9"/>
    <w:rPr>
      <w:rFonts w:ascii="Arial" w:hAnsi="Arial" w:eastAsia="Arial" w:cs="Arial"/>
      <w:sz w:val="40"/>
      <w:szCs w:val="40"/>
    </w:rPr>
  </w:style>
  <w:style w:type="character" w:customStyle="1" w:styleId="78">
    <w:name w:val="Heading 2 Char"/>
    <w:basedOn w:val="36"/>
    <w:qFormat/>
    <w:uiPriority w:val="9"/>
    <w:rPr>
      <w:rFonts w:ascii="Arial" w:hAnsi="Arial" w:eastAsia="Arial" w:cs="Arial"/>
      <w:sz w:val="34"/>
    </w:rPr>
  </w:style>
  <w:style w:type="character" w:customStyle="1" w:styleId="79">
    <w:name w:val="标题 3 Char"/>
    <w:basedOn w:val="36"/>
    <w:link w:val="4"/>
    <w:qFormat/>
    <w:uiPriority w:val="9"/>
    <w:rPr>
      <w:rFonts w:ascii="Arial" w:hAnsi="Arial" w:eastAsia="Arial" w:cs="Arial"/>
      <w:sz w:val="30"/>
      <w:szCs w:val="30"/>
    </w:rPr>
  </w:style>
  <w:style w:type="character" w:customStyle="1" w:styleId="80">
    <w:name w:val="Heading 4 Char"/>
    <w:basedOn w:val="36"/>
    <w:qFormat/>
    <w:uiPriority w:val="9"/>
    <w:rPr>
      <w:rFonts w:ascii="Arial" w:hAnsi="Arial" w:eastAsia="Arial" w:cs="Arial"/>
      <w:b/>
      <w:bCs/>
      <w:sz w:val="26"/>
      <w:szCs w:val="26"/>
    </w:rPr>
  </w:style>
  <w:style w:type="character" w:customStyle="1" w:styleId="81">
    <w:name w:val="标题 5 Char"/>
    <w:basedOn w:val="36"/>
    <w:link w:val="6"/>
    <w:qFormat/>
    <w:uiPriority w:val="9"/>
    <w:rPr>
      <w:rFonts w:ascii="Arial" w:hAnsi="Arial" w:eastAsia="Arial" w:cs="Arial"/>
      <w:b/>
      <w:bCs/>
      <w:sz w:val="24"/>
      <w:szCs w:val="24"/>
    </w:rPr>
  </w:style>
  <w:style w:type="character" w:customStyle="1" w:styleId="82">
    <w:name w:val="标题 6 Char"/>
    <w:basedOn w:val="36"/>
    <w:link w:val="7"/>
    <w:qFormat/>
    <w:uiPriority w:val="9"/>
    <w:rPr>
      <w:rFonts w:ascii="Arial" w:hAnsi="Arial" w:eastAsia="Arial" w:cs="Arial"/>
      <w:b/>
      <w:bCs/>
      <w:sz w:val="22"/>
      <w:szCs w:val="22"/>
    </w:rPr>
  </w:style>
  <w:style w:type="character" w:customStyle="1" w:styleId="83">
    <w:name w:val="标题 7 Char"/>
    <w:basedOn w:val="36"/>
    <w:link w:val="8"/>
    <w:qFormat/>
    <w:uiPriority w:val="9"/>
    <w:rPr>
      <w:rFonts w:ascii="Arial" w:hAnsi="Arial" w:eastAsia="Arial" w:cs="Arial"/>
      <w:b/>
      <w:bCs/>
      <w:i/>
      <w:iCs/>
      <w:sz w:val="22"/>
      <w:szCs w:val="22"/>
    </w:rPr>
  </w:style>
  <w:style w:type="character" w:customStyle="1" w:styleId="84">
    <w:name w:val="标题 8 Char"/>
    <w:basedOn w:val="36"/>
    <w:link w:val="9"/>
    <w:qFormat/>
    <w:uiPriority w:val="9"/>
    <w:rPr>
      <w:rFonts w:ascii="Arial" w:hAnsi="Arial" w:eastAsia="Arial" w:cs="Arial"/>
      <w:i/>
      <w:iCs/>
      <w:sz w:val="22"/>
      <w:szCs w:val="22"/>
    </w:rPr>
  </w:style>
  <w:style w:type="character" w:customStyle="1" w:styleId="85">
    <w:name w:val="标题 9 Char"/>
    <w:basedOn w:val="36"/>
    <w:link w:val="10"/>
    <w:qFormat/>
    <w:uiPriority w:val="9"/>
    <w:rPr>
      <w:rFonts w:ascii="Arial" w:hAnsi="Arial" w:eastAsia="Arial" w:cs="Arial"/>
      <w:i/>
      <w:iCs/>
      <w:sz w:val="21"/>
      <w:szCs w:val="21"/>
    </w:rPr>
  </w:style>
  <w:style w:type="paragraph" w:styleId="86">
    <w:name w:val="No Spacing"/>
    <w:qFormat/>
    <w:uiPriority w:val="1"/>
    <w:rPr>
      <w:rFonts w:hint="default" w:ascii="Times New Roman" w:hAnsi="Times New Roman" w:eastAsia="宋体" w:cs="Times New Roman"/>
      <w:lang w:val="en-US" w:eastAsia="zh-CN" w:bidi="ar-SA"/>
    </w:rPr>
  </w:style>
  <w:style w:type="character" w:customStyle="1" w:styleId="87">
    <w:name w:val="标题 Char"/>
    <w:basedOn w:val="36"/>
    <w:link w:val="32"/>
    <w:qFormat/>
    <w:uiPriority w:val="10"/>
    <w:rPr>
      <w:sz w:val="48"/>
      <w:szCs w:val="48"/>
    </w:rPr>
  </w:style>
  <w:style w:type="character" w:customStyle="1" w:styleId="88">
    <w:name w:val="副标题 Char"/>
    <w:basedOn w:val="36"/>
    <w:link w:val="25"/>
    <w:qFormat/>
    <w:uiPriority w:val="11"/>
    <w:rPr>
      <w:sz w:val="24"/>
      <w:szCs w:val="24"/>
    </w:rPr>
  </w:style>
  <w:style w:type="paragraph" w:styleId="89">
    <w:name w:val="Quote"/>
    <w:basedOn w:val="1"/>
    <w:link w:val="90"/>
    <w:qFormat/>
    <w:uiPriority w:val="29"/>
    <w:pPr>
      <w:ind w:left="720" w:right="720"/>
    </w:pPr>
    <w:rPr>
      <w:i/>
    </w:rPr>
  </w:style>
  <w:style w:type="character" w:customStyle="1" w:styleId="90">
    <w:name w:val="引用 Char"/>
    <w:link w:val="89"/>
    <w:qFormat/>
    <w:uiPriority w:val="29"/>
    <w:rPr>
      <w:i/>
    </w:rPr>
  </w:style>
  <w:style w:type="paragraph" w:styleId="91">
    <w:name w:val="Intense Quote"/>
    <w:basedOn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Char"/>
    <w:link w:val="91"/>
    <w:qFormat/>
    <w:uiPriority w:val="30"/>
    <w:rPr>
      <w:i/>
    </w:rPr>
  </w:style>
  <w:style w:type="character" w:customStyle="1" w:styleId="93">
    <w:name w:val="Header Char"/>
    <w:basedOn w:val="36"/>
    <w:qFormat/>
    <w:uiPriority w:val="99"/>
  </w:style>
  <w:style w:type="character" w:customStyle="1" w:styleId="94">
    <w:name w:val="Footer Char"/>
    <w:basedOn w:val="36"/>
    <w:qFormat/>
    <w:uiPriority w:val="99"/>
  </w:style>
  <w:style w:type="character" w:customStyle="1" w:styleId="95">
    <w:name w:val="Caption Char"/>
    <w:qFormat/>
    <w:uiPriority w:val="99"/>
  </w:style>
  <w:style w:type="table" w:customStyle="1" w:styleId="96">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7">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8">
    <w:name w:val="无格式表格 21"/>
    <w:basedOn w:val="34"/>
    <w:qFormat/>
    <w:uiPriority w:val="59"/>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9">
    <w:name w:val="无格式表格 31"/>
    <w:basedOn w:val="3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41"/>
    <w:basedOn w:val="3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51"/>
    <w:basedOn w:val="3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3">
    <w:name w:val="Grid Table 1 Light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4">
    <w:name w:val="Grid Table 1 Light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5">
    <w:name w:val="Grid Table 1 Light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6">
    <w:name w:val="Grid Table 1 Light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7">
    <w:name w:val="Grid Table 1 Light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8">
    <w:name w:val="Grid Table 1 Light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9">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2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1">
    <w:name w:val="Grid Table 2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2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2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2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5">
    <w:name w:val="Grid Table 2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3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8">
    <w:name w:val="Grid Table 3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9">
    <w:name w:val="Grid Table 3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0">
    <w:name w:val="Grid Table 3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1">
    <w:name w:val="Grid Table 3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2">
    <w:name w:val="Grid Table 3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3">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4 - Accent 1"/>
    <w:basedOn w:val="3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5">
    <w:name w:val="Grid Table 4 - Accent 2"/>
    <w:basedOn w:val="3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4 - Accent 3"/>
    <w:basedOn w:val="3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4 - Accent 4"/>
    <w:basedOn w:val="3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4 - Accent 5"/>
    <w:basedOn w:val="3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9">
    <w:name w:val="Grid Table 4 - Accent 6"/>
    <w:basedOn w:val="3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1">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2">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3">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4">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5">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6">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7">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6 Colorful - Accent 1"/>
    <w:basedOn w:val="3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9">
    <w:name w:val="Grid Table 6 Colorful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0">
    <w:name w:val="Grid Table 6 Colorful - Accent 3"/>
    <w:basedOn w:val="3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1">
    <w:name w:val="Grid Table 6 Colorful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2">
    <w:name w:val="Grid Table 6 Colorful - Accent 5"/>
    <w:basedOn w:val="3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3">
    <w:name w:val="Grid Table 6 Colorful - Accent 6"/>
    <w:basedOn w:val="3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4">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7 Colorful - Accent 1"/>
    <w:basedOn w:val="3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6">
    <w:name w:val="Grid Table 7 Colorful - Accent 2"/>
    <w:basedOn w:val="3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7">
    <w:name w:val="Grid Table 7 Colorful - Accent 3"/>
    <w:basedOn w:val="3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8">
    <w:name w:val="Grid Table 7 Colorful - Accent 4"/>
    <w:basedOn w:val="3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9">
    <w:name w:val="Grid Table 7 Colorful - Accent 5"/>
    <w:basedOn w:val="3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0">
    <w:name w:val="Grid Table 7 Colorful - Accent 6"/>
    <w:basedOn w:val="3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1">
    <w:name w:val="清单表 1 浅色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2">
    <w:name w:val="List Table 1 Light - Accent 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3">
    <w:name w:val="List Table 1 Light - Accent 2"/>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4">
    <w:name w:val="List Table 1 Light - Accent 3"/>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5">
    <w:name w:val="List Table 1 Light - Accent 4"/>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6">
    <w:name w:val="List Table 1 Light - Accent 5"/>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7">
    <w:name w:val="List Table 1 Light - Accent 6"/>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8">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2 - Accent 1"/>
    <w:basedOn w:val="3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0">
    <w:name w:val="List Table 2 - Accent 2"/>
    <w:basedOn w:val="3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1">
    <w:name w:val="List Table 2 - Accent 3"/>
    <w:basedOn w:val="3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2">
    <w:name w:val="List Table 2 - Accent 4"/>
    <w:basedOn w:val="3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3">
    <w:name w:val="List Table 2 - Accent 5"/>
    <w:basedOn w:val="3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4">
    <w:name w:val="List Table 2 - Accent 6"/>
    <w:basedOn w:val="3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5">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6">
    <w:name w:val="List Table 3 - Accent 1"/>
    <w:basedOn w:val="3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7">
    <w:name w:val="List Table 3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8">
    <w:name w:val="List Table 3 - Accent 3"/>
    <w:basedOn w:val="3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9">
    <w:name w:val="List Table 3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0">
    <w:name w:val="List Table 3 - Accent 5"/>
    <w:basedOn w:val="3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1">
    <w:name w:val="List Table 3 - Accent 6"/>
    <w:basedOn w:val="3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2">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4 - Accent 1"/>
    <w:basedOn w:val="3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4">
    <w:name w:val="List Table 4 - Accent 2"/>
    <w:basedOn w:val="3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5">
    <w:name w:val="List Table 4 - Accent 3"/>
    <w:basedOn w:val="3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6">
    <w:name w:val="List Table 4 - Accent 4"/>
    <w:basedOn w:val="3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7">
    <w:name w:val="List Table 4 - Accent 5"/>
    <w:basedOn w:val="3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8">
    <w:name w:val="List Table 4 - Accent 6"/>
    <w:basedOn w:val="3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9">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0">
    <w:name w:val="List Table 5 Dark - Accent 1"/>
    <w:basedOn w:val="3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1">
    <w:name w:val="List Table 5 Dark - Accent 2"/>
    <w:basedOn w:val="3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2">
    <w:name w:val="List Table 5 Dark - Accent 3"/>
    <w:basedOn w:val="3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3">
    <w:name w:val="List Table 5 Dark - Accent 4"/>
    <w:basedOn w:val="3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4">
    <w:name w:val="List Table 5 Dark - Accent 5"/>
    <w:basedOn w:val="3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5">
    <w:name w:val="List Table 5 Dark - Accent 6"/>
    <w:basedOn w:val="3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6">
    <w:name w:val="清单表 6 彩色1"/>
    <w:basedOn w:val="3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7">
    <w:name w:val="List Table 6 Colorful - Accent 1"/>
    <w:basedOn w:val="34"/>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8">
    <w:name w:val="List Table 6 Colorful - Accent 2"/>
    <w:basedOn w:val="34"/>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9">
    <w:name w:val="List Table 6 Colorful - Accent 3"/>
    <w:basedOn w:val="34"/>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0">
    <w:name w:val="List Table 6 Colorful - Accent 4"/>
    <w:basedOn w:val="34"/>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1">
    <w:name w:val="List Table 6 Colorful - Accent 5"/>
    <w:basedOn w:val="34"/>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2">
    <w:name w:val="List Table 6 Colorful - Accent 6"/>
    <w:basedOn w:val="34"/>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3">
    <w:name w:val="清单表 7 彩色1"/>
    <w:basedOn w:val="3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4">
    <w:name w:val="List Table 7 Colorful - Accent 1"/>
    <w:basedOn w:val="34"/>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5">
    <w:name w:val="List Table 7 Colorful - Accent 2"/>
    <w:basedOn w:val="34"/>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34"/>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34"/>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34"/>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34"/>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2">
    <w:name w:val="Lined - Accent 2"/>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3">
    <w:name w:val="Lined - Accent 3"/>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4">
    <w:name w:val="Lined - Accent 4"/>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5">
    <w:name w:val="Lined - Accent 5"/>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6">
    <w:name w:val="Lined - Accent 6"/>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7">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3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9">
    <w:name w:val="Bordered &amp; Lined - Accent 2"/>
    <w:basedOn w:val="3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0">
    <w:name w:val="Bordered &amp; Lined - Accent 3"/>
    <w:basedOn w:val="3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1">
    <w:name w:val="Bordered &amp; Lined - Accent 4"/>
    <w:basedOn w:val="3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2">
    <w:name w:val="Bordered &amp; Lined - Accent 5"/>
    <w:basedOn w:val="3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3">
    <w:name w:val="Bordered &amp; Lined - Accent 6"/>
    <w:basedOn w:val="3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4">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6">
    <w:name w:val="Bordered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7">
    <w:name w:val="Bordered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8">
    <w:name w:val="Bordered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9">
    <w:name w:val="Bordered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0">
    <w:name w:val="Bordered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1">
    <w:name w:val="脚注文本 Char"/>
    <w:link w:val="26"/>
    <w:qFormat/>
    <w:uiPriority w:val="99"/>
    <w:rPr>
      <w:sz w:val="18"/>
    </w:rPr>
  </w:style>
  <w:style w:type="character" w:customStyle="1" w:styleId="222">
    <w:name w:val="尾注文本 Char"/>
    <w:link w:val="20"/>
    <w:qFormat/>
    <w:uiPriority w:val="99"/>
    <w:rPr>
      <w:sz w:val="20"/>
    </w:rPr>
  </w:style>
  <w:style w:type="paragraph" w:customStyle="1" w:styleId="223">
    <w:name w:val="TOC 标题1"/>
    <w:unhideWhenUsed/>
    <w:qFormat/>
    <w:uiPriority w:val="39"/>
    <w:rPr>
      <w:rFonts w:hint="default" w:ascii="Times New Roman" w:hAnsi="Times New Roman" w:eastAsia="宋体" w:cs="Times New Roman"/>
      <w:lang w:val="en-US" w:eastAsia="zh-CN" w:bidi="ar-SA"/>
    </w:rPr>
  </w:style>
  <w:style w:type="paragraph" w:customStyle="1" w:styleId="224">
    <w:name w:val="正文缩进1"/>
    <w:basedOn w:val="1"/>
    <w:qFormat/>
    <w:uiPriority w:val="0"/>
    <w:pPr>
      <w:ind w:firstLine="420"/>
    </w:pPr>
  </w:style>
  <w:style w:type="paragraph" w:customStyle="1" w:styleId="225">
    <w:name w:val="Default"/>
    <w:basedOn w:val="1"/>
    <w:semiHidden/>
    <w:qFormat/>
    <w:uiPriority w:val="0"/>
    <w:pPr>
      <w:jc w:val="left"/>
    </w:pPr>
    <w:rPr>
      <w:rFonts w:ascii="宋体" w:hAnsi="Calibri" w:cs="宋体"/>
      <w:color w:val="000000"/>
      <w:sz w:val="24"/>
    </w:rPr>
  </w:style>
  <w:style w:type="character" w:customStyle="1" w:styleId="226">
    <w:name w:val="页眉 Char"/>
    <w:basedOn w:val="36"/>
    <w:link w:val="22"/>
    <w:qFormat/>
    <w:uiPriority w:val="0"/>
    <w:rPr>
      <w:rFonts w:asciiTheme="minorHAnsi" w:hAnsiTheme="minorHAnsi" w:eastAsiaTheme="minorEastAsia" w:cstheme="minorBidi"/>
      <w:sz w:val="18"/>
      <w:szCs w:val="18"/>
    </w:rPr>
  </w:style>
  <w:style w:type="character" w:customStyle="1" w:styleId="227">
    <w:name w:val="页脚 Char"/>
    <w:basedOn w:val="36"/>
    <w:link w:val="21"/>
    <w:qFormat/>
    <w:uiPriority w:val="0"/>
    <w:rPr>
      <w:rFonts w:asciiTheme="minorHAnsi" w:hAnsiTheme="minorHAnsi" w:eastAsiaTheme="minorEastAsia" w:cstheme="minorBidi"/>
      <w:sz w:val="18"/>
      <w:szCs w:val="18"/>
    </w:rPr>
  </w:style>
  <w:style w:type="paragraph" w:customStyle="1" w:styleId="22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9">
    <w:name w:val="页脚1"/>
    <w:basedOn w:val="1"/>
    <w:unhideWhenUsed/>
    <w:qFormat/>
    <w:uiPriority w:val="99"/>
    <w:pPr>
      <w:tabs>
        <w:tab w:val="center" w:pos="4153"/>
        <w:tab w:val="right" w:pos="8306"/>
      </w:tabs>
      <w:jc w:val="left"/>
    </w:pPr>
    <w:rPr>
      <w:sz w:val="18"/>
      <w:szCs w:val="18"/>
    </w:rPr>
  </w:style>
  <w:style w:type="paragraph" w:customStyle="1" w:styleId="230">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31">
    <w:name w:val="正文首行缩进 21"/>
    <w:basedOn w:val="232"/>
    <w:qFormat/>
    <w:uiPriority w:val="0"/>
    <w:pPr>
      <w:ind w:firstLine="420"/>
    </w:pPr>
  </w:style>
  <w:style w:type="paragraph" w:customStyle="1" w:styleId="232">
    <w:name w:val="正文文本缩进1"/>
    <w:basedOn w:val="1"/>
    <w:qFormat/>
    <w:uiPriority w:val="0"/>
    <w:pPr>
      <w:spacing w:after="120"/>
      <w:ind w:left="420"/>
    </w:pPr>
  </w:style>
  <w:style w:type="character" w:customStyle="1" w:styleId="233">
    <w:name w:val="普通(网站) Char"/>
    <w:link w:val="31"/>
    <w:qFormat/>
    <w:uiPriority w:val="0"/>
    <w:rPr>
      <w:rFonts w:asciiTheme="minorHAnsi" w:hAnsiTheme="minorHAnsi" w:eastAsiaTheme="minorEastAsia"/>
      <w:sz w:val="24"/>
      <w:szCs w:val="24"/>
    </w:rPr>
  </w:style>
  <w:style w:type="character" w:customStyle="1" w:styleId="234">
    <w:name w:val="正文文本缩进 Char"/>
    <w:basedOn w:val="36"/>
    <w:link w:val="15"/>
    <w:qFormat/>
    <w:uiPriority w:val="0"/>
    <w:rPr>
      <w:rFonts w:asciiTheme="minorHAnsi" w:hAnsiTheme="minorHAnsi" w:eastAsiaTheme="minorEastAsia" w:cstheme="minorBidi"/>
      <w:sz w:val="21"/>
      <w:szCs w:val="24"/>
    </w:rPr>
  </w:style>
  <w:style w:type="character" w:customStyle="1" w:styleId="235">
    <w:name w:val="正文首行缩进 2 Char"/>
    <w:basedOn w:val="234"/>
    <w:link w:val="33"/>
    <w:qFormat/>
    <w:uiPriority w:val="99"/>
    <w:rPr>
      <w:rFonts w:asciiTheme="minorHAnsi" w:hAnsiTheme="minorHAnsi" w:eastAsiaTheme="minorEastAsia" w:cstheme="minorBidi"/>
      <w:sz w:val="21"/>
      <w:szCs w:val="24"/>
    </w:rPr>
  </w:style>
  <w:style w:type="paragraph" w:styleId="236">
    <w:name w:val="List Paragraph"/>
    <w:basedOn w:val="1"/>
    <w:qFormat/>
    <w:uiPriority w:val="34"/>
    <w:pPr>
      <w:ind w:left="720"/>
      <w:contextualSpacing/>
    </w:pPr>
    <w:rPr>
      <w:rFonts w:ascii="Times New Roman" w:hAnsi="Times New Roman" w:eastAsia="宋体" w:cs="Times New Roman"/>
    </w:rPr>
  </w:style>
  <w:style w:type="paragraph" w:customStyle="1" w:styleId="237">
    <w:name w:val="09正文_wh"/>
    <w:qFormat/>
    <w:uiPriority w:val="0"/>
    <w:pPr>
      <w:spacing w:line="300" w:lineRule="auto"/>
      <w:ind w:firstLine="200"/>
      <w:jc w:val="both"/>
    </w:pPr>
    <w:rPr>
      <w:rFonts w:hint="default" w:ascii="Calibri" w:hAnsi="Calibri" w:eastAsia="宋体" w:cs="Times New Roman"/>
      <w:sz w:val="28"/>
      <w:szCs w:val="22"/>
      <w:lang w:val="en-US" w:eastAsia="zh-CN" w:bidi="ar-SA"/>
    </w:rPr>
  </w:style>
  <w:style w:type="paragraph" w:customStyle="1" w:styleId="238">
    <w:name w:val="Table Text"/>
    <w:basedOn w:val="1"/>
    <w:qFormat/>
    <w:uiPriority w:val="0"/>
    <w:pPr>
      <w:widowControl/>
      <w:jc w:val="left"/>
    </w:pPr>
    <w:rPr>
      <w:rFonts w:ascii="仿宋" w:hAnsi="仿宋" w:eastAsia="仿宋" w:cs="仿宋"/>
      <w:color w:val="000000"/>
      <w:sz w:val="24"/>
      <w:lang w:eastAsia="en-US"/>
    </w:rPr>
  </w:style>
  <w:style w:type="paragraph" w:customStyle="1" w:styleId="239">
    <w:name w:val="正文文本1"/>
    <w:basedOn w:val="1"/>
    <w:qFormat/>
    <w:uiPriority w:val="0"/>
    <w:pPr>
      <w:spacing w:after="120"/>
    </w:pPr>
    <w:rPr>
      <w:rFonts w:ascii="Times New Roman" w:hAnsi="Times New Roman" w:eastAsia="宋体" w:cs="Times New Roman"/>
      <w:szCs w:val="21"/>
    </w:rPr>
  </w:style>
  <w:style w:type="character" w:customStyle="1" w:styleId="240">
    <w:name w:val="标题 1 Char"/>
    <w:basedOn w:val="36"/>
    <w:link w:val="2"/>
    <w:qFormat/>
    <w:uiPriority w:val="0"/>
    <w:rPr>
      <w:rFonts w:asciiTheme="minorHAnsi" w:hAnsiTheme="minorHAnsi" w:eastAsiaTheme="minorEastAsia" w:cstheme="minorBidi"/>
      <w:b/>
      <w:bCs/>
      <w:sz w:val="44"/>
      <w:szCs w:val="44"/>
    </w:rPr>
  </w:style>
  <w:style w:type="character" w:customStyle="1" w:styleId="241">
    <w:name w:val="custom-tag-placeholder-class"/>
    <w:basedOn w:val="36"/>
    <w:qFormat/>
    <w:uiPriority w:val="0"/>
  </w:style>
  <w:style w:type="character" w:customStyle="1" w:styleId="242">
    <w:name w:val="NormalCharacter12"/>
    <w:semiHidden/>
    <w:qFormat/>
    <w:uiPriority w:val="0"/>
    <w:rPr>
      <w:rFonts w:asciiTheme="minorHAnsi" w:hAnsiTheme="minorHAnsi" w:eastAsiaTheme="minorEastAsia" w:cstheme="minorBidi"/>
      <w:sz w:val="21"/>
      <w:szCs w:val="24"/>
      <w:lang w:val="en-US" w:eastAsia="zh-CN" w:bidi="ar-SA"/>
    </w:rPr>
  </w:style>
  <w:style w:type="paragraph" w:customStyle="1" w:styleId="243">
    <w:name w:val="纯文本1"/>
    <w:basedOn w:val="1"/>
    <w:unhideWhenUsed/>
    <w:qFormat/>
    <w:uiPriority w:val="0"/>
    <w:rPr>
      <w:rFonts w:hint="eastAsia" w:ascii="宋体" w:hAnsi="Courier New" w:cs="Times New Roman"/>
      <w:szCs w:val="21"/>
    </w:rPr>
  </w:style>
  <w:style w:type="paragraph" w:customStyle="1" w:styleId="244">
    <w:name w:val="列出段落1"/>
    <w:basedOn w:val="1"/>
    <w:qFormat/>
    <w:uiPriority w:val="34"/>
    <w:pPr>
      <w:ind w:firstLine="420"/>
    </w:pPr>
    <w:rPr>
      <w:rFonts w:ascii="Calibri" w:hAnsi="Calibri" w:eastAsia="宋体" w:cs="Times New Roman"/>
      <w:szCs w:val="20"/>
    </w:rPr>
  </w:style>
  <w:style w:type="paragraph" w:customStyle="1" w:styleId="245">
    <w:name w:val="批注文字1"/>
    <w:basedOn w:val="1"/>
    <w:qFormat/>
    <w:uiPriority w:val="0"/>
    <w:pPr>
      <w:jc w:val="left"/>
    </w:pPr>
    <w:rPr>
      <w:rFonts w:ascii="Times New Roman" w:hAnsi="Times New Roman" w:eastAsia="宋体" w:cs="Times New Roman"/>
    </w:rPr>
  </w:style>
  <w:style w:type="paragraph" w:customStyle="1" w:styleId="246">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247">
    <w:name w:val="普通(网站)11"/>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paragraph" w:customStyle="1" w:styleId="248">
    <w:name w:val="列表段落1"/>
    <w:basedOn w:val="1"/>
    <w:qFormat/>
    <w:uiPriority w:val="34"/>
    <w:pPr>
      <w:ind w:firstLine="420" w:firstLineChars="200"/>
    </w:pPr>
  </w:style>
  <w:style w:type="paragraph" w:customStyle="1" w:styleId="249">
    <w:name w:val="正文1"/>
    <w:basedOn w:val="1"/>
    <w:next w:val="1"/>
    <w:unhideWhenUsed/>
    <w:qFormat/>
    <w:uiPriority w:val="0"/>
    <w:pPr>
      <w:spacing w:before="0" w:line="360" w:lineRule="auto"/>
      <w:ind w:firstLine="200" w:firstLineChars="200"/>
    </w:pPr>
    <w:rPr>
      <w:rFonts w:hint="eastAsia" w:ascii="Calibri" w:hAnsi="Calibri" w:eastAsia="Calibri"/>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Info spid="_x0000_s4127"/>
    <customShpInfo spid="_x0000_s4128"/>
    <customShpInfo spid="_x0000_s4129"/>
    <customShpInfo spid="_x0000_s4130"/>
    <customShpInfo spid="_x0000_s4131"/>
    <customShpInfo spid="_x0000_s4132"/>
    <customShpInfo spid="_x0000_s4115"/>
    <customShpInfo spid="_x0000_s4116"/>
    <customShpInfo spid="_x0000_s4117"/>
    <customShpInfo spid="_x0000_s4118"/>
    <customShpInfo spid="_x0000_s4119"/>
    <customShpInfo spid="_x0000_s4120"/>
    <customShpInfo spid="_x0000_s4145"/>
    <customShpInfo spid="_x0000_s4146"/>
    <customShpInfo spid="_x0000_s4147"/>
    <customShpInfo spid="_x0000_s4148"/>
    <customShpInfo spid="_x0000_s4149"/>
    <customShpInfo spid="_x0000_s4150"/>
    <customShpInfo spid="_x0000_s4133"/>
    <customShpInfo spid="_x0000_s4134"/>
    <customShpInfo spid="_x0000_s4135"/>
    <customShpInfo spid="_x0000_s4136"/>
    <customShpInfo spid="_x0000_s4137"/>
    <customShpInfo spid="_x0000_s41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65</Pages>
  <Words>2659</Words>
  <Characters>2925</Characters>
  <Lines>0</Lines>
  <Paragraphs>0</Paragraphs>
  <TotalTime>0</TotalTime>
  <ScaleCrop>false</ScaleCrop>
  <LinksUpToDate>false</LinksUpToDate>
  <CharactersWithSpaces>3035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吉胜1418378764</cp:lastModifiedBy>
  <dcterms:modified xsi:type="dcterms:W3CDTF">2026-10-14T03:44:51Z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D0F82E2DAAEF4AE7999ADE136E3BE498_13</vt:lpwstr>
  </property>
  <property fmtid="{D5CDD505-2E9C-101B-9397-08002B2CF9AE}" pid="3" name="KSOProductBuildVer">
    <vt:lpwstr>2052-12.1.0.29161</vt:lpwstr>
  </property>
  <property fmtid="{D5CDD505-2E9C-101B-9397-08002B2CF9AE}" pid="4" name="KSOTemplateDocerSaveRecord">
    <vt:lpwstr>eyJoZGlkIjoiZDExZWQzYzZjNWM3OWE2OWM5ZDI4ZmVjYzA3NTA2NzQiLCJ1c2VySWQiOiIyNjY5ODk2MiJ9</vt:lpwstr>
  </property>
</Properties>
</file>