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jc w:val="center"/>
        <w:rPr>
          <w:rFonts w:ascii="宋体" w:hAnsi="宋体" w:cs="宋体"/>
          <w:b/>
          <w:spacing w:val="76"/>
          <w:sz w:val="24"/>
        </w:rPr>
      </w:pPr>
      <w:r>
        <w:rPr>
          <w:rFonts w:ascii="宋体" w:hAnsi="宋体" w:cs="宋体"/>
          <w:b/>
          <w:spacing w:val="76"/>
          <w:sz w:val="24"/>
        </w:rPr>
      </w:r>
      <w:r/>
    </w:p>
    <w:p>
      <w:pPr>
        <w:pStyle w:val="687"/>
        <w:rPr>
          <w:rFonts w:ascii="宋体" w:hAnsi="宋体" w:cs="宋体"/>
          <w:b/>
          <w:spacing w:val="76"/>
          <w:sz w:val="24"/>
        </w:rPr>
      </w:pPr>
      <w:r>
        <w:rPr>
          <w:rFonts w:ascii="宋体" w:hAnsi="宋体" w:cs="宋体"/>
          <w:b/>
          <w:spacing w:val="76"/>
          <w:sz w:val="24"/>
        </w:rPr>
      </w:r>
      <w:r/>
    </w:p>
    <w:p>
      <w:pPr>
        <w:pStyle w:val="687"/>
        <w:jc w:val="center"/>
        <w:rPr>
          <w:rFonts w:ascii="宋体" w:hAnsi="宋体" w:cs="宋体"/>
          <w:b/>
          <w:spacing w:val="76"/>
          <w:sz w:val="24"/>
        </w:rPr>
      </w:pPr>
      <w:r>
        <w:rPr>
          <w:rFonts w:ascii="宋体" w:hAnsi="宋体" w:cs="宋体"/>
          <w:b/>
          <w:spacing w:val="76"/>
          <w:sz w:val="24"/>
        </w:rPr>
      </w:r>
      <w:r/>
    </w:p>
    <w:p>
      <w:pPr>
        <w:pStyle w:val="886"/>
        <w:ind w:firstLine="0"/>
        <w:rPr>
          <w:rFonts w:ascii="宋体" w:hAnsi="宋体" w:cs="宋体"/>
          <w:b/>
          <w:spacing w:val="76"/>
          <w:sz w:val="24"/>
        </w:rPr>
      </w:pPr>
      <w:r>
        <w:rPr>
          <w:rFonts w:ascii="宋体" w:hAnsi="宋体" w:cs="宋体"/>
          <w:b/>
          <w:spacing w:val="76"/>
          <w:sz w:val="24"/>
        </w:rPr>
      </w:r>
      <w:r/>
    </w:p>
    <w:p>
      <w:pPr>
        <w:pStyle w:val="886"/>
        <w:rPr>
          <w:rFonts w:ascii="宋体" w:hAnsi="宋体" w:cs="宋体"/>
          <w:b/>
          <w:spacing w:val="76"/>
          <w:sz w:val="24"/>
        </w:rPr>
      </w:pPr>
      <w:r>
        <w:rPr>
          <w:rFonts w:ascii="宋体" w:hAnsi="宋体" w:cs="宋体"/>
          <w:b/>
          <w:spacing w:val="76"/>
          <w:sz w:val="24"/>
        </w:rPr>
      </w:r>
      <w:r/>
    </w:p>
    <w:p>
      <w:pPr>
        <w:pStyle w:val="687"/>
        <w:jc w:val="center"/>
        <w:rPr>
          <w:rFonts w:ascii="宋体" w:hAnsi="宋体" w:cs="宋体"/>
          <w:b/>
          <w:spacing w:val="76"/>
          <w:sz w:val="156"/>
        </w:rPr>
      </w:pPr>
      <w:r>
        <w:rPr>
          <w:rFonts w:hint="eastAsia" w:ascii="宋体" w:hAnsi="宋体" w:cs="宋体"/>
          <w:b/>
          <w:spacing w:val="76"/>
          <w:sz w:val="156"/>
        </w:rPr>
        <w:t xml:space="preserve">招标文件</w:t>
      </w:r>
      <w:r>
        <w:rPr>
          <w:rFonts w:ascii="宋体" w:hAnsi="宋体" w:cs="宋体"/>
          <w:b/>
          <w:spacing w:val="76"/>
          <w:sz w:val="156"/>
        </w:rPr>
      </w:r>
      <w:r/>
    </w:p>
    <w:p>
      <w:pPr>
        <w:pStyle w:val="687"/>
        <w:rPr>
          <w:rFonts w:ascii="宋体" w:hAnsi="宋体" w:cs="宋体"/>
          <w:b/>
          <w:sz w:val="24"/>
        </w:rPr>
      </w:pPr>
      <w:r>
        <w:rPr>
          <w:rFonts w:ascii="宋体" w:hAnsi="宋体" w:cs="宋体"/>
          <w:b/>
          <w:sz w:val="24"/>
        </w:rPr>
      </w:r>
      <w:r/>
    </w:p>
    <w:p>
      <w:pPr>
        <w:pStyle w:val="687"/>
        <w:rPr>
          <w:rFonts w:ascii="宋体" w:hAnsi="宋体" w:cs="宋体"/>
          <w:b/>
          <w:sz w:val="24"/>
        </w:rPr>
      </w:pPr>
      <w:r>
        <w:rPr>
          <w:rFonts w:ascii="宋体" w:hAnsi="宋体" w:cs="宋体"/>
          <w:b/>
          <w:sz w:val="24"/>
        </w:rPr>
      </w:r>
      <w:r/>
    </w:p>
    <w:p>
      <w:pPr>
        <w:pStyle w:val="687"/>
        <w:jc w:val="center"/>
        <w:rPr>
          <w:rFonts w:ascii="宋体" w:hAnsi="宋体" w:cs="宋体"/>
          <w:b/>
          <w:bCs/>
          <w:sz w:val="40"/>
          <w:szCs w:val="32"/>
        </w:rPr>
      </w:pPr>
      <w:r>
        <w:rPr>
          <w:rFonts w:ascii="宋体" w:hAnsi="宋体" w:cs="宋体"/>
          <w:b/>
          <w:bCs/>
          <w:sz w:val="40"/>
          <w:szCs w:val="32"/>
        </w:rPr>
      </w:r>
      <w:r/>
    </w:p>
    <w:p>
      <w:pPr>
        <w:pStyle w:val="886"/>
        <w:ind w:firstLine="0"/>
        <w:rPr>
          <w:rFonts w:ascii="宋体" w:hAnsi="宋体" w:cs="宋体"/>
          <w:sz w:val="32"/>
        </w:rPr>
      </w:pPr>
      <w:r>
        <w:rPr>
          <w:rFonts w:ascii="宋体" w:hAnsi="宋体" w:cs="宋体"/>
          <w:sz w:val="32"/>
        </w:rPr>
      </w:r>
      <w:r/>
    </w:p>
    <w:p>
      <w:pPr>
        <w:pStyle w:val="687"/>
        <w:ind w:firstLine="320"/>
        <w:spacing w:line="360" w:lineRule="auto"/>
        <w:rPr>
          <w:rFonts w:hint="eastAsia" w:ascii="宋体" w:hAnsi="宋体" w:cs="宋体"/>
          <w:sz w:val="32"/>
        </w:rPr>
      </w:pPr>
      <w:r>
        <w:rPr>
          <w:rFonts w:hint="eastAsia" w:ascii="宋体" w:hAnsi="宋体" w:cs="宋体"/>
          <w:sz w:val="32"/>
        </w:rPr>
        <w:t xml:space="preserve">项目编号：JSZC-320303-TTDL-G2026-0004</w:t>
      </w:r>
      <w:r>
        <w:rPr>
          <w:rFonts w:hint="eastAsia" w:ascii="宋体" w:hAnsi="宋体" w:cs="宋体"/>
          <w:sz w:val="32"/>
        </w:rPr>
      </w:r>
      <w:r/>
    </w:p>
    <w:p>
      <w:pPr>
        <w:pStyle w:val="687"/>
        <w:ind w:firstLine="960"/>
        <w:spacing w:line="600" w:lineRule="exact"/>
        <w:rPr>
          <w:rFonts w:ascii="宋体" w:hAnsi="宋体" w:cs="宋体"/>
          <w:sz w:val="32"/>
        </w:rPr>
      </w:pPr>
      <w:r>
        <w:rPr>
          <w:rFonts w:ascii="宋体" w:hAnsi="宋体" w:cs="宋体"/>
          <w:sz w:val="32"/>
        </w:rPr>
      </w:r>
      <w:r/>
    </w:p>
    <w:p>
      <w:pPr>
        <w:pStyle w:val="687"/>
        <w:ind w:firstLine="320"/>
        <w:spacing w:line="600" w:lineRule="exact"/>
        <w:rPr>
          <w:rFonts w:hint="eastAsia" w:ascii="宋体" w:hAnsi="宋体" w:cs="宋体"/>
          <w:sz w:val="32"/>
        </w:rPr>
      </w:pPr>
      <w:r>
        <w:rPr>
          <w:rFonts w:hint="eastAsia" w:ascii="宋体" w:hAnsi="宋体" w:cs="宋体"/>
          <w:sz w:val="32"/>
        </w:rPr>
        <w:t xml:space="preserve">项目名称：徐州市云龙区行政中心能源费用托管服务项目</w:t>
      </w:r>
      <w:r>
        <w:rPr>
          <w:rFonts w:hint="eastAsia" w:ascii="宋体" w:hAnsi="宋体" w:cs="宋体"/>
          <w:sz w:val="32"/>
        </w:rPr>
      </w:r>
      <w:r/>
    </w:p>
    <w:p>
      <w:pPr>
        <w:pStyle w:val="687"/>
        <w:ind w:firstLine="960"/>
        <w:spacing w:line="600" w:lineRule="exact"/>
        <w:rPr>
          <w:rFonts w:ascii="宋体" w:hAnsi="宋体" w:cs="宋体"/>
          <w:sz w:val="32"/>
        </w:rPr>
      </w:pPr>
      <w:r>
        <w:rPr>
          <w:rFonts w:ascii="宋体" w:hAnsi="宋体" w:cs="宋体"/>
          <w:sz w:val="32"/>
        </w:rPr>
      </w:r>
      <w:r/>
    </w:p>
    <w:p>
      <w:pPr>
        <w:pStyle w:val="687"/>
        <w:ind w:firstLine="320"/>
        <w:spacing w:line="600" w:lineRule="exact"/>
        <w:rPr>
          <w:rFonts w:ascii="宋体" w:hAnsi="宋体" w:cs="宋体"/>
          <w:sz w:val="32"/>
        </w:rPr>
      </w:pPr>
      <w:r>
        <w:rPr>
          <w:rFonts w:hint="eastAsia" w:ascii="宋体" w:hAnsi="宋体" w:cs="宋体"/>
          <w:sz w:val="32"/>
        </w:rPr>
        <w:t xml:space="preserve">采 购 人：徐州市云龙区机关事务服务中心</w:t>
      </w:r>
      <w:r>
        <w:rPr>
          <w:rFonts w:ascii="宋体" w:hAnsi="宋体" w:cs="宋体"/>
          <w:sz w:val="32"/>
        </w:rPr>
      </w:r>
      <w:r/>
    </w:p>
    <w:p>
      <w:pPr>
        <w:pStyle w:val="687"/>
        <w:ind w:right="-159" w:firstLine="2112"/>
        <w:spacing w:line="300" w:lineRule="auto"/>
        <w:rPr>
          <w:rFonts w:ascii="宋体" w:hAnsi="宋体" w:cs="宋体"/>
          <w:sz w:val="44"/>
        </w:rPr>
      </w:pPr>
      <w:r>
        <w:rPr>
          <w:rFonts w:ascii="宋体" w:hAnsi="宋体" w:cs="宋体"/>
          <w:sz w:val="44"/>
        </w:rPr>
      </w:r>
      <w:r/>
    </w:p>
    <w:p>
      <w:pPr>
        <w:pStyle w:val="687"/>
        <w:rPr>
          <w:rFonts w:ascii="宋体" w:hAnsi="宋体" w:cs="宋体"/>
        </w:rPr>
      </w:pPr>
      <w:r>
        <w:rPr>
          <w:rFonts w:ascii="宋体" w:hAnsi="宋体" w:cs="宋体"/>
        </w:rPr>
      </w:r>
      <w:r/>
    </w:p>
    <w:p>
      <w:pPr>
        <w:pStyle w:val="883"/>
        <w:ind w:firstLine="0"/>
        <w:rPr>
          <w:rFonts w:hAnsi="宋体" w:cs="宋体"/>
        </w:rPr>
      </w:pPr>
      <w:r>
        <w:rPr>
          <w:rFonts w:hAnsi="宋体" w:cs="宋体"/>
        </w:rPr>
      </w:r>
      <w:r/>
    </w:p>
    <w:p>
      <w:pPr>
        <w:pStyle w:val="687"/>
        <w:rPr>
          <w:rFonts w:ascii="宋体" w:hAnsi="宋体" w:cs="宋体"/>
        </w:rPr>
      </w:pPr>
      <w:r>
        <w:rPr>
          <w:rFonts w:ascii="宋体" w:hAnsi="宋体" w:cs="宋体"/>
        </w:rPr>
      </w:r>
      <w:r/>
    </w:p>
    <w:p>
      <w:pPr>
        <w:pStyle w:val="687"/>
        <w:ind w:right="-159" w:firstLine="2112"/>
        <w:spacing w:line="300" w:lineRule="auto"/>
        <w:rPr>
          <w:rFonts w:ascii="宋体" w:hAnsi="宋体" w:cs="宋体"/>
          <w:sz w:val="44"/>
        </w:rPr>
      </w:pPr>
      <w:r>
        <w:rPr>
          <w:rFonts w:ascii="宋体" w:hAnsi="宋体" w:cs="宋体"/>
          <w:sz w:val="44"/>
        </w:rPr>
      </w:r>
      <w:r/>
    </w:p>
    <w:p>
      <w:pPr>
        <w:pStyle w:val="687"/>
        <w:jc w:val="center"/>
        <w:spacing w:line="360" w:lineRule="auto"/>
        <w:rPr>
          <w:rFonts w:eastAsia="仿宋_GB2312"/>
          <w:sz w:val="32"/>
          <w:szCs w:val="32"/>
        </w:rPr>
      </w:pPr>
      <w:r>
        <w:rPr>
          <w:rFonts w:hint="eastAsia" w:ascii="宋体" w:hAnsi="宋体" w:cs="宋体"/>
          <w:sz w:val="30"/>
        </w:rPr>
        <w:t xml:space="preserve">采购代理机构：江苏天同工程咨询有限公司</w:t>
      </w:r>
      <w:r>
        <w:rPr>
          <w:rFonts w:eastAsia="仿宋_GB2312"/>
          <w:sz w:val="32"/>
          <w:szCs w:val="32"/>
        </w:rPr>
      </w:r>
      <w:r/>
    </w:p>
    <w:p>
      <w:pPr>
        <w:pStyle w:val="687"/>
        <w:jc w:val="center"/>
        <w:spacing w:line="360" w:lineRule="auto"/>
        <w:rPr>
          <w:rFonts w:ascii="宋体" w:hAnsi="宋体" w:cs="宋体"/>
          <w:sz w:val="32"/>
          <w:szCs w:val="32"/>
        </w:rPr>
      </w:pPr>
      <w:r>
        <w:rPr>
          <w:rFonts w:hint="eastAsia" w:ascii="宋体" w:hAnsi="宋体" w:cs="宋体"/>
          <w:bCs/>
          <w:sz w:val="30"/>
        </w:rPr>
        <w:t xml:space="preserve">二〇二六年</w:t>
      </w:r>
      <w:r>
        <w:rPr>
          <w:rFonts w:hint="eastAsia" w:ascii="宋体" w:hAnsi="宋体" w:cs="宋体"/>
          <w:bCs/>
          <w:sz w:val="30"/>
          <w:lang w:val="en-US" w:eastAsia="zh-CN"/>
        </w:rPr>
        <w:t xml:space="preserve">八</w:t>
      </w:r>
      <w:r>
        <w:rPr>
          <w:rFonts w:hint="eastAsia" w:ascii="宋体" w:hAnsi="宋体" w:cs="宋体"/>
          <w:bCs/>
          <w:sz w:val="30"/>
        </w:rPr>
        <w:t xml:space="preserve">月</w:t>
      </w:r>
      <w:r>
        <w:rPr>
          <w:rFonts w:ascii="宋体" w:hAnsi="宋体" w:cs="宋体"/>
          <w:sz w:val="32"/>
          <w:szCs w:val="32"/>
        </w:rPr>
      </w:r>
      <w:r/>
    </w:p>
    <w:p>
      <w:pPr>
        <w:pStyle w:val="687"/>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757" w:bottom="1440" w:left="1757" w:header="851" w:footer="624" w:gutter="0"/>
          <w:pgNumType w:start="1"/>
          <w:cols w:num="1" w:sep="0" w:space="1701" w:equalWidth="1"/>
          <w:docGrid w:linePitch="360"/>
        </w:sectPr>
      </w:pPr>
      <w:r>
        <w:rPr>
          <w:rFonts w:ascii="宋体" w:hAnsi="宋体" w:cs="宋体"/>
          <w:b/>
          <w:sz w:val="44"/>
        </w:rPr>
      </w:r>
      <w:r/>
    </w:p>
    <w:p>
      <w:pPr>
        <w:pStyle w:val="687"/>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rPr>
      </w:r>
      <w:r/>
    </w:p>
    <w:p>
      <w:pPr>
        <w:pStyle w:val="687"/>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45"/>
          <w:rFonts w:hint="eastAsia" w:ascii="宋体" w:hAnsi="宋体" w:cs="宋体"/>
          <w:color w:val="000000"/>
          <w:sz w:val="30"/>
          <w:u w:val="none"/>
        </w:rPr>
        <w:t xml:space="preserve">第一章  投标邀请</w:t>
      </w:r>
      <w:r>
        <w:rPr>
          <w:rStyle w:val="845"/>
          <w:rFonts w:hint="eastAsia" w:ascii="宋体" w:hAnsi="宋体" w:cs="宋体"/>
          <w:color w:val="000000"/>
          <w:sz w:val="30"/>
          <w:u w:val="none"/>
        </w:rPr>
        <w:fldChar w:fldCharType="end"/>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45"/>
          <w:rFonts w:hint="eastAsia" w:ascii="宋体" w:hAnsi="宋体" w:cs="宋体"/>
          <w:color w:val="000000"/>
          <w:sz w:val="30"/>
          <w:u w:val="none"/>
        </w:rPr>
        <w:t xml:space="preserve">第二章  投标人须知</w:t>
      </w:r>
      <w:r>
        <w:rPr>
          <w:rStyle w:val="845"/>
          <w:rFonts w:hint="eastAsia" w:ascii="宋体" w:hAnsi="宋体" w:cs="宋体"/>
          <w:color w:val="000000"/>
          <w:sz w:val="30"/>
          <w:u w:val="none"/>
        </w:rPr>
        <w:fldChar w:fldCharType="end"/>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45"/>
          <w:rFonts w:hint="eastAsia" w:ascii="宋体" w:hAnsi="宋体" w:cs="宋体"/>
          <w:color w:val="000000"/>
          <w:sz w:val="30"/>
          <w:u w:val="none"/>
        </w:rPr>
        <w:t xml:space="preserve">第三章  投标资料表</w:t>
      </w:r>
      <w:r>
        <w:rPr>
          <w:rStyle w:val="845"/>
          <w:rFonts w:hint="eastAsia" w:ascii="宋体" w:hAnsi="宋体" w:cs="宋体"/>
          <w:color w:val="000000"/>
          <w:sz w:val="30"/>
          <w:u w:val="none"/>
        </w:rPr>
        <w:fldChar w:fldCharType="end"/>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45"/>
          <w:rFonts w:hint="eastAsia" w:ascii="宋体" w:hAnsi="宋体" w:cs="宋体"/>
          <w:color w:val="000000"/>
          <w:sz w:val="30"/>
          <w:u w:val="none"/>
        </w:rPr>
        <w:t xml:space="preserve">第四章  评标标准</w:t>
      </w:r>
      <w:r>
        <w:rPr>
          <w:rStyle w:val="845"/>
          <w:rFonts w:hint="eastAsia" w:ascii="宋体" w:hAnsi="宋体" w:cs="宋体"/>
          <w:color w:val="000000"/>
          <w:sz w:val="30"/>
          <w:u w:val="none"/>
        </w:rPr>
        <w:fldChar w:fldCharType="end"/>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45"/>
          <w:rFonts w:hint="eastAsia" w:ascii="宋体" w:hAnsi="宋体" w:cs="宋体"/>
          <w:color w:val="000000"/>
          <w:sz w:val="30"/>
          <w:u w:val="none"/>
        </w:rPr>
        <w:t xml:space="preserve">第五章  拟签订的合同文本</w:t>
      </w:r>
      <w:r>
        <w:rPr>
          <w:rStyle w:val="845"/>
          <w:rFonts w:hint="eastAsia" w:ascii="宋体" w:hAnsi="宋体" w:cs="宋体"/>
          <w:color w:val="000000"/>
          <w:sz w:val="30"/>
          <w:u w:val="none"/>
        </w:rPr>
        <w:fldChar w:fldCharType="end"/>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45"/>
          <w:rFonts w:hint="eastAsia" w:ascii="宋体" w:hAnsi="宋体" w:cs="宋体"/>
          <w:color w:val="000000"/>
          <w:sz w:val="30"/>
          <w:u w:val="none"/>
        </w:rPr>
        <w:t xml:space="preserve">第六章  采购需求</w:t>
      </w:r>
      <w:r>
        <w:rPr>
          <w:rStyle w:val="845"/>
          <w:rFonts w:hint="eastAsia" w:ascii="宋体" w:hAnsi="宋体" w:cs="宋体"/>
          <w:color w:val="000000"/>
          <w:sz w:val="30"/>
          <w:u w:val="none"/>
        </w:rPr>
        <w:fldChar w:fldCharType="end"/>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45"/>
          <w:rFonts w:hint="eastAsia" w:ascii="宋体" w:hAnsi="宋体" w:cs="宋体"/>
          <w:color w:val="000000"/>
          <w:sz w:val="30"/>
          <w:u w:val="none"/>
        </w:rPr>
        <w:t xml:space="preserve">第七章  投标文件相关格式</w:t>
      </w:r>
      <w:r>
        <w:rPr>
          <w:rStyle w:val="845"/>
          <w:rFonts w:hint="eastAsia" w:ascii="宋体" w:hAnsi="宋体" w:cs="宋体"/>
          <w:color w:val="000000"/>
          <w:sz w:val="30"/>
          <w:u w:val="none"/>
        </w:rPr>
        <w:fldChar w:fldCharType="end"/>
      </w:r>
      <w:r>
        <w:rPr>
          <w:rFonts w:ascii="宋体" w:hAnsi="宋体" w:cs="宋体"/>
        </w:rPr>
      </w:r>
      <w:r/>
    </w:p>
    <w:p>
      <w:pPr>
        <w:pStyle w:val="687"/>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680" w:gutter="0"/>
          <w:pgNumType w:start="1"/>
          <w:cols w:num="1" w:sep="0" w:space="1701" w:equalWidth="1"/>
          <w:docGrid w:linePitch="360"/>
        </w:sectPr>
      </w:pPr>
      <w:r>
        <w:rPr>
          <w:rFonts w:ascii="宋体" w:hAnsi="宋体" w:cs="宋体"/>
          <w:b/>
          <w:sz w:val="44"/>
        </w:rPr>
      </w:r>
      <w:r/>
    </w:p>
    <w:p>
      <w:pPr>
        <w:pStyle w:val="687"/>
        <w:jc w:val="center"/>
        <w:spacing w:line="560" w:lineRule="exact"/>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 xml:space="preserve">徐州市云龙区机关事务服务中心</w:t>
      </w:r>
      <w:r>
        <w:rPr>
          <w:rFonts w:hint="eastAsia" w:ascii="仿宋_GB2312" w:hAnsi="仿宋_GB2312" w:eastAsia="仿宋_GB2312" w:cs="仿宋_GB2312"/>
          <w:sz w:val="32"/>
          <w:szCs w:val="32"/>
        </w:rPr>
      </w:r>
      <w:r/>
    </w:p>
    <w:p>
      <w:pPr>
        <w:pStyle w:val="687"/>
        <w:jc w:val="center"/>
        <w:spacing w:line="560" w:lineRule="exac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bCs/>
          <w:sz w:val="32"/>
          <w:szCs w:val="32"/>
        </w:rPr>
        <w:t xml:space="preserve">《徐州市云龙区行政中心能源费用托管服务项目》</w:t>
      </w:r>
      <w:r>
        <w:rPr>
          <w:rFonts w:hint="eastAsia" w:ascii="方正小标宋简体" w:hAnsi="方正小标宋简体" w:eastAsia="方正小标宋简体" w:cs="方正小标宋简体"/>
          <w:sz w:val="32"/>
          <w:szCs w:val="32"/>
        </w:rPr>
      </w:r>
      <w:r/>
    </w:p>
    <w:p>
      <w:pPr>
        <w:pStyle w:val="687"/>
        <w:jc w:val="center"/>
        <w:spacing w:line="560" w:lineRule="exact"/>
        <w:rPr>
          <w:rFonts w:hint="eastAsia" w:ascii="方正小标宋简体" w:hAnsi="方正小标宋简体" w:eastAsia="方正小标宋简体" w:cs="方正小标宋简体"/>
          <w:sz w:val="32"/>
          <w:szCs w:val="32"/>
        </w:rPr>
        <w:pBdr>
          <w:top w:val="none" w:color="000000" w:sz="0" w:space="0"/>
          <w:left w:val="none" w:color="000000" w:sz="0" w:space="0"/>
          <w:bottom w:val="none" w:color="000000" w:sz="0" w:space="0"/>
          <w:right w:val="none" w:color="000000" w:sz="0" w:space="0"/>
        </w:pBdr>
      </w:pPr>
      <w:r>
        <w:rPr>
          <w:rFonts w:hint="eastAsia" w:ascii="方正小标宋简体" w:hAnsi="方正小标宋简体" w:eastAsia="方正小标宋简体" w:cs="方正小标宋简体"/>
          <w:bCs/>
          <w:sz w:val="32"/>
          <w:szCs w:val="32"/>
        </w:rPr>
        <w:t xml:space="preserve">招标文件</w:t>
      </w:r>
      <w:r>
        <w:rPr>
          <w:rFonts w:hint="eastAsia" w:ascii="方正小标宋简体" w:hAnsi="方正小标宋简体" w:eastAsia="方正小标宋简体" w:cs="方正小标宋简体"/>
          <w:sz w:val="32"/>
          <w:szCs w:val="32"/>
        </w:rPr>
      </w:r>
      <w:r/>
    </w:p>
    <w:p>
      <w:pPr>
        <w:pStyle w:val="687"/>
        <w:ind w:firstLine="600"/>
        <w:spacing w:line="560" w:lineRule="exact"/>
        <w:rPr>
          <w:rFonts w:hint="eastAsia" w:ascii="仿宋_GB2312" w:hAnsi="仿宋_GB2312" w:eastAsia="仿宋_GB2312" w:cs="仿宋_GB2312"/>
          <w:b/>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_GB2312" w:hAnsi="仿宋_GB2312" w:eastAsia="仿宋_GB2312" w:cs="仿宋_GB2312"/>
          <w:b/>
          <w:sz w:val="32"/>
          <w:szCs w:val="32"/>
        </w:rPr>
      </w:r>
      <w:r/>
    </w:p>
    <w:p>
      <w:pPr>
        <w:pStyle w:val="687"/>
        <w:jc w:val="center"/>
        <w:spacing w:line="560" w:lineRule="exact"/>
        <w:rPr>
          <w:rFonts w:hint="eastAsia" w:ascii="黑体" w:hAnsi="黑体" w:eastAsia="黑体" w:cs="黑体"/>
          <w:bCs/>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Cs/>
          <w:sz w:val="32"/>
          <w:szCs w:val="32"/>
        </w:rPr>
        <w:t xml:space="preserve">第一章  投标邀请</w:t>
      </w:r>
      <w:r>
        <w:rPr>
          <w:rFonts w:hint="eastAsia" w:ascii="黑体" w:hAnsi="黑体" w:eastAsia="黑体" w:cs="黑体"/>
          <w:bCs/>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eastAsia="仿宋_GB2312"/>
          <w:sz w:val="32"/>
          <w:szCs w:val="32"/>
          <w:u w:val="single"/>
        </w:rPr>
        <w:t xml:space="preserve">江苏天同工程咨询有限公司</w:t>
      </w:r>
      <w:r>
        <w:rPr>
          <w:rFonts w:hint="eastAsia" w:ascii="仿宋_GB2312" w:hAnsi="仿宋_GB2312" w:eastAsia="仿宋_GB2312" w:cs="仿宋_GB2312"/>
          <w:sz w:val="32"/>
          <w:szCs w:val="32"/>
        </w:rPr>
        <w:t xml:space="preserve">对</w:t>
      </w:r>
      <w:r>
        <w:rPr>
          <w:rFonts w:hint="eastAsia" w:eastAsia="仿宋_GB2312"/>
          <w:sz w:val="32"/>
          <w:szCs w:val="32"/>
          <w:u w:val="single"/>
        </w:rPr>
        <w:t xml:space="preserve">徐州市云龙区行政中心能源费用托管服务项目</w:t>
      </w:r>
      <w:r>
        <w:rPr>
          <w:rFonts w:hint="eastAsia" w:eastAsia="仿宋_GB2312"/>
          <w:sz w:val="32"/>
          <w:szCs w:val="32"/>
        </w:rPr>
        <w:t xml:space="preserve">进行公开</w:t>
      </w:r>
      <w:r>
        <w:rPr>
          <w:rFonts w:hint="eastAsia" w:ascii="仿宋_GB2312" w:hAnsi="仿宋_GB2312" w:eastAsia="仿宋_GB2312" w:cs="仿宋_GB2312"/>
          <w:sz w:val="32"/>
          <w:szCs w:val="32"/>
        </w:rPr>
        <w:t xml:space="preserve">招标采购，现邀请符合相关条件的投标人投标。</w:t>
      </w:r>
      <w:r>
        <w:rPr>
          <w:rFonts w:hint="eastAsia"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一、项目名称和项目编号</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(一)项目名称：</w:t>
      </w:r>
      <w:r>
        <w:rPr>
          <w:rFonts w:hint="eastAsia" w:eastAsia="仿宋_GB2312"/>
          <w:sz w:val="32"/>
          <w:szCs w:val="32"/>
        </w:rPr>
        <w:t xml:space="preserve">徐州市云龙区行政中心能源费用托管服务</w:t>
      </w:r>
      <w:r>
        <w:rPr>
          <w:rFonts w:hint="eastAsia" w:ascii="仿宋_GB2312" w:hAnsi="仿宋_GB2312" w:eastAsia="仿宋_GB2312" w:cs="仿宋_GB2312"/>
          <w:sz w:val="32"/>
          <w:szCs w:val="32"/>
        </w:rPr>
      </w:r>
      <w:r/>
    </w:p>
    <w:p>
      <w:pPr>
        <w:pStyle w:val="687"/>
        <w:ind w:firstLine="640"/>
        <w:spacing w:line="560" w:lineRule="exact"/>
        <w:rPr>
          <w:rFonts w:hint="eastAsia" w:ascii="Times New Roman" w:hAnsi="Times New Roman" w:eastAsia="仿宋_GB2312" w:cs="Times New Roman"/>
          <w:sz w:val="32"/>
          <w:szCs w:val="32"/>
        </w:rPr>
        <w:pBdr>
          <w:top w:val="none" w:color="000000" w:sz="0" w:space="0"/>
          <w:left w:val="none" w:color="000000" w:sz="0" w:space="0"/>
          <w:bottom w:val="none" w:color="000000" w:sz="0" w:space="0"/>
          <w:right w:val="none" w:color="000000" w:sz="0" w:space="0"/>
        </w:pBdr>
      </w:pPr>
      <w:r>
        <w:rPr>
          <w:rFonts w:hint="eastAsia" w:ascii="Times New Roman" w:hAnsi="Times New Roman" w:eastAsia="仿宋_GB2312" w:cs="Times New Roman"/>
          <w:sz w:val="32"/>
          <w:szCs w:val="32"/>
        </w:rPr>
        <w:t xml:space="preserve">(二)项目编号：JSZC-320303-TTDL-G2026-0004</w:t>
      </w:r>
      <w:r>
        <w:rPr>
          <w:rFonts w:hint="eastAsia" w:ascii="Times New Roman" w:hAnsi="Times New Roman" w:eastAsia="仿宋_GB2312" w:cs="Times New Roman"/>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二、对投标人的资格要求</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详见本项目公开招标公告。</w:t>
      </w:r>
      <w:r>
        <w:rPr>
          <w:rFonts w:hint="eastAsia"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三、获取招标文件</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（一）潜在投标人访问电子招标投标交易平台的网络地址和方法：</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_GB2312" w:hAnsi="仿宋_GB2312" w:eastAsia="仿宋_GB2312" w:cs="仿宋_GB2312"/>
          <w:sz w:val="32"/>
          <w:szCs w:val="32"/>
        </w:rPr>
      </w:r>
      <w:r/>
    </w:p>
    <w:p>
      <w:pPr>
        <w:pStyle w:val="687"/>
        <w:ind w:firstLine="640"/>
        <w:jc w:val="left"/>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（2）潜在投标人访问“苏采云”系统的网络地址和方法：“苏采云”系统的网址：</w:t>
      </w:r>
      <w:r>
        <w:rPr>
          <w:rFonts w:hint="eastAsia" w:ascii="仿宋_GB2312" w:hAnsi="仿宋_GB2312" w:eastAsia="仿宋_GB2312" w:cs="仿宋_GB2312"/>
          <w:spacing w:val="-20"/>
          <w:sz w:val="32"/>
          <w:szCs w:val="32"/>
        </w:rPr>
        <w:t xml:space="preserve">http：//jszfcg.jsczt.cn/；</w:t>
      </w:r>
      <w:r>
        <w:rPr>
          <w:rFonts w:hint="eastAsia" w:ascii="仿宋_GB2312" w:hAnsi="仿宋_GB2312" w:eastAsia="仿宋_GB2312" w:cs="仿宋_GB2312"/>
          <w:sz w:val="32"/>
          <w:szCs w:val="32"/>
        </w:rPr>
        <w:t xml:space="preserve">或进入徐州政府采购网</w:t>
      </w:r>
      <w:r>
        <w:rPr>
          <w:rFonts w:hint="eastAsia" w:ascii="仿宋_GB2312" w:hAnsi="仿宋_GB2312" w:eastAsia="仿宋_GB2312" w:cs="仿宋_GB2312"/>
          <w:spacing w:val="-28"/>
          <w:sz w:val="32"/>
          <w:szCs w:val="32"/>
        </w:rPr>
        <w:t xml:space="preserve">（网址：http：//czj.xz.gov.cn/Home/HomeIndex）</w:t>
      </w:r>
      <w:r>
        <w:rPr>
          <w:rFonts w:hint="eastAsia" w:ascii="仿宋_GB2312" w:hAnsi="仿宋_GB2312" w:eastAsia="仿宋_GB2312" w:cs="仿宋_GB2312"/>
          <w:sz w:val="32"/>
          <w:szCs w:val="32"/>
        </w:rPr>
        <w:t xml:space="preserve">--业务工作--用户登录，点击“苏采云”进入系统。</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（3）“CA数字证书”的获取：</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（二）采购代理机构将数据电文形式的招标文件加载至电子招标投标交易平台，供潜在投标人下载或者查阅。</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（三）售价：免费。</w:t>
      </w:r>
      <w:r>
        <w:rPr>
          <w:rFonts w:hint="eastAsia"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highlight w:val="none"/>
        </w:rPr>
        <w:t xml:space="preserve">四、投标有关信息</w:t>
      </w:r>
      <w:r>
        <w:rPr>
          <w:rFonts w:hint="eastAsia" w:ascii="楷体_GB2312" w:hAnsi="楷体_GB2312" w:eastAsia="楷体_GB2312" w:cs="楷体_GB2312"/>
          <w:sz w:val="32"/>
          <w:szCs w:val="32"/>
          <w:highlight w:val="none"/>
        </w:rPr>
      </w:r>
      <w:r/>
    </w:p>
    <w:p>
      <w:pPr>
        <w:pStyle w:val="687"/>
        <w:ind w:firstLine="32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（一）投标截止时间：</w:t>
      </w:r>
      <w:r>
        <w:rPr>
          <w:rFonts w:hint="eastAsia" w:ascii="仿宋_GB2312" w:hAnsi="仿宋_GB2312" w:eastAsia="仿宋_GB2312" w:cs="仿宋_GB2312"/>
          <w:b/>
          <w:color w:val="ff0000"/>
          <w:sz w:val="32"/>
          <w:szCs w:val="32"/>
          <w:highlight w:val="none"/>
        </w:rPr>
        <w:t xml:space="preserve">2026年</w:t>
      </w:r>
      <w:r>
        <w:rPr>
          <w:rFonts w:hint="eastAsia" w:ascii="仿宋_GB2312" w:hAnsi="仿宋_GB2312" w:eastAsia="仿宋_GB2312" w:cs="仿宋_GB2312"/>
          <w:b/>
          <w:color w:val="ff0000"/>
          <w:sz w:val="32"/>
          <w:szCs w:val="32"/>
          <w:highlight w:val="none"/>
          <w:u w:val="none"/>
          <w:lang w:val="en-US" w:eastAsia="zh-CN"/>
        </w:rPr>
        <w:t xml:space="preserve">9</w:t>
      </w:r>
      <w:r>
        <w:rPr>
          <w:rFonts w:hint="eastAsia" w:ascii="仿宋_GB2312" w:hAnsi="仿宋_GB2312" w:eastAsia="仿宋_GB2312" w:cs="仿宋_GB2312"/>
          <w:b/>
          <w:color w:val="ff0000"/>
          <w:sz w:val="32"/>
          <w:szCs w:val="32"/>
          <w:highlight w:val="none"/>
        </w:rPr>
        <w:t xml:space="preserve">月</w:t>
      </w:r>
      <w:r>
        <w:rPr>
          <w:rFonts w:hint="eastAsia" w:ascii="仿宋_GB2312" w:hAnsi="仿宋_GB2312" w:eastAsia="仿宋_GB2312" w:cs="仿宋_GB2312"/>
          <w:b/>
          <w:color w:val="ff0000"/>
          <w:sz w:val="32"/>
          <w:szCs w:val="32"/>
          <w:highlight w:val="none"/>
          <w:lang w:val="en-US" w:eastAsia="zh-CN"/>
        </w:rPr>
        <w:t xml:space="preserve">30</w:t>
      </w:r>
      <w:r>
        <w:rPr>
          <w:rFonts w:hint="eastAsia" w:ascii="仿宋_GB2312" w:hAnsi="仿宋_GB2312" w:eastAsia="仿宋_GB2312" w:cs="仿宋_GB2312"/>
          <w:b/>
          <w:color w:val="ff0000"/>
          <w:sz w:val="32"/>
          <w:szCs w:val="32"/>
          <w:highlight w:val="none"/>
        </w:rPr>
        <w:t xml:space="preserve">日</w:t>
      </w:r>
      <w:r>
        <w:rPr>
          <w:rFonts w:hint="eastAsia" w:ascii="仿宋_GB2312" w:hAnsi="仿宋_GB2312" w:eastAsia="仿宋_GB2312" w:cs="仿宋_GB2312"/>
          <w:b/>
          <w:sz w:val="32"/>
          <w:szCs w:val="32"/>
          <w:highlight w:val="none"/>
        </w:rPr>
        <w:t xml:space="preserve">北京时间09：30</w:t>
      </w:r>
      <w:r>
        <w:rPr>
          <w:rFonts w:hint="eastAsia" w:ascii="仿宋_GB2312" w:hAnsi="仿宋_GB2312" w:eastAsia="仿宋_GB2312" w:cs="仿宋_GB2312"/>
          <w:sz w:val="32"/>
          <w:szCs w:val="32"/>
          <w:highlight w:val="none"/>
        </w:rPr>
        <w:t xml:space="preserve">。</w:t>
      </w:r>
      <w:r>
        <w:rPr>
          <w:rFonts w:hint="eastAsia" w:ascii="仿宋_GB2312" w:hAnsi="仿宋_GB2312" w:eastAsia="仿宋_GB2312" w:cs="仿宋_GB2312"/>
          <w:sz w:val="32"/>
          <w:szCs w:val="32"/>
          <w:highlight w:val="none"/>
        </w:rPr>
      </w:r>
      <w:r/>
    </w:p>
    <w:p>
      <w:pPr>
        <w:pStyle w:val="687"/>
        <w:ind w:firstLine="30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（二）开标时间：</w:t>
      </w:r>
      <w:r>
        <w:rPr>
          <w:rFonts w:hint="eastAsia" w:ascii="仿宋_GB2312" w:hAnsi="仿宋_GB2312" w:eastAsia="仿宋_GB2312" w:cs="仿宋_GB2312"/>
          <w:b/>
          <w:color w:val="ff0000"/>
          <w:sz w:val="32"/>
          <w:szCs w:val="32"/>
          <w:highlight w:val="none"/>
        </w:rPr>
        <w:t xml:space="preserve">2026年</w:t>
      </w:r>
      <w:r>
        <w:rPr>
          <w:rFonts w:hint="eastAsia" w:ascii="仿宋_GB2312" w:hAnsi="仿宋_GB2312" w:eastAsia="仿宋_GB2312" w:cs="仿宋_GB2312"/>
          <w:b/>
          <w:color w:val="ff0000"/>
          <w:sz w:val="32"/>
          <w:szCs w:val="32"/>
          <w:highlight w:val="none"/>
          <w:u w:val="none"/>
          <w:lang w:val="en-US" w:eastAsia="zh-CN"/>
        </w:rPr>
        <w:t xml:space="preserve">9</w:t>
      </w:r>
      <w:r>
        <w:rPr>
          <w:rFonts w:hint="eastAsia" w:ascii="仿宋_GB2312" w:hAnsi="仿宋_GB2312" w:eastAsia="仿宋_GB2312" w:cs="仿宋_GB2312"/>
          <w:b/>
          <w:color w:val="ff0000"/>
          <w:sz w:val="32"/>
          <w:szCs w:val="32"/>
          <w:highlight w:val="none"/>
          <w:u w:val="none"/>
        </w:rPr>
        <w:t xml:space="preserve">月</w:t>
      </w:r>
      <w:r>
        <w:rPr>
          <w:rFonts w:hint="eastAsia" w:ascii="仿宋_GB2312" w:hAnsi="仿宋_GB2312" w:eastAsia="仿宋_GB2312" w:cs="仿宋_GB2312"/>
          <w:b/>
          <w:color w:val="ff0000"/>
          <w:sz w:val="32"/>
          <w:szCs w:val="32"/>
          <w:highlight w:val="none"/>
          <w:u w:val="none"/>
          <w:lang w:val="en-US" w:eastAsia="zh-CN"/>
        </w:rPr>
        <w:t xml:space="preserve">30</w:t>
      </w:r>
      <w:r>
        <w:rPr>
          <w:rFonts w:hint="eastAsia" w:ascii="仿宋_GB2312" w:hAnsi="仿宋_GB2312" w:eastAsia="仿宋_GB2312" w:cs="仿宋_GB2312"/>
          <w:b/>
          <w:color w:val="ff0000"/>
          <w:sz w:val="32"/>
          <w:szCs w:val="32"/>
          <w:highlight w:val="none"/>
        </w:rPr>
        <w:t xml:space="preserve">日</w:t>
      </w:r>
      <w:r>
        <w:rPr>
          <w:rFonts w:hint="eastAsia" w:ascii="仿宋_GB2312" w:hAnsi="仿宋_GB2312" w:eastAsia="仿宋_GB2312" w:cs="仿宋_GB2312"/>
          <w:b/>
          <w:sz w:val="32"/>
          <w:szCs w:val="32"/>
          <w:highlight w:val="none"/>
        </w:rPr>
        <w:t xml:space="preserve">北京时间09：30</w:t>
      </w:r>
      <w:r>
        <w:rPr>
          <w:rFonts w:hint="eastAsia" w:ascii="仿宋_GB2312" w:hAnsi="仿宋_GB2312" w:eastAsia="仿宋_GB2312" w:cs="仿宋_GB2312"/>
          <w:sz w:val="32"/>
          <w:szCs w:val="32"/>
          <w:highlight w:val="none"/>
        </w:rPr>
        <w:t xml:space="preserve">。</w:t>
      </w:r>
      <w:r>
        <w:rPr>
          <w:rFonts w:hint="eastAsia" w:ascii="仿宋_GB2312" w:hAnsi="仿宋_GB2312" w:eastAsia="仿宋_GB2312" w:cs="仿宋_GB2312"/>
          <w:sz w:val="32"/>
          <w:szCs w:val="32"/>
          <w:highlight w:val="none"/>
        </w:rPr>
      </w:r>
      <w:r/>
    </w:p>
    <w:p>
      <w:pPr>
        <w:pStyle w:val="687"/>
        <w:ind w:firstLine="30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（三）开标地点：“苏采云”系统“开标大厅”或进入徐州政府采购网--业务工作--用户登录，点击“苏采云”进入系统“开标大厅”。</w:t>
      </w:r>
      <w:r>
        <w:rPr>
          <w:rFonts w:hint="eastAsia" w:ascii="仿宋_GB2312" w:hAnsi="仿宋_GB2312" w:eastAsia="仿宋_GB2312" w:cs="仿宋_GB2312"/>
          <w:sz w:val="32"/>
          <w:szCs w:val="32"/>
          <w:highlight w:val="none"/>
        </w:rPr>
      </w:r>
      <w:r/>
    </w:p>
    <w:p>
      <w:pPr>
        <w:pStyle w:val="687"/>
        <w:ind w:firstLine="640"/>
        <w:spacing w:line="560" w:lineRule="exact"/>
        <w:rPr>
          <w:rFonts w:hint="eastAsia" w:ascii="楷体_GB2312" w:hAnsi="楷体_GB2312" w:eastAsia="楷体_GB2312" w:cs="楷体_GB2312"/>
          <w:sz w:val="32"/>
          <w:szCs w:val="32"/>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highlight w:val="none"/>
        </w:rPr>
        <w:t xml:space="preserve">五、采购人</w:t>
      </w:r>
      <w:r>
        <w:rPr>
          <w:rFonts w:hint="eastAsia" w:ascii="楷体_GB2312" w:hAnsi="楷体_GB2312" w:eastAsia="楷体_GB2312" w:cs="楷体_GB2312"/>
          <w:sz w:val="32"/>
          <w:szCs w:val="32"/>
          <w:highlight w:val="none"/>
        </w:rPr>
      </w:r>
      <w:r/>
    </w:p>
    <w:p>
      <w:pPr>
        <w:pStyle w:val="687"/>
        <w:ind w:firstLine="640"/>
        <w:spacing w:line="560" w:lineRule="exact"/>
        <w:rPr>
          <w:rFonts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（一）名称：徐州市云龙区机关事务服务中心</w:t>
      </w:r>
      <w:r>
        <w:rPr>
          <w:rFonts w:ascii="仿宋_GB2312" w:hAnsi="仿宋_GB2312" w:eastAsia="仿宋_GB2312" w:cs="仿宋_GB2312"/>
          <w:sz w:val="32"/>
          <w:szCs w:val="32"/>
          <w:highlight w:val="none"/>
        </w:rPr>
      </w:r>
      <w:r/>
    </w:p>
    <w:p>
      <w:pPr>
        <w:pStyle w:val="687"/>
        <w:ind w:firstLine="64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（二）地址：徐州市和平大道66号</w:t>
      </w:r>
      <w:r>
        <w:rPr>
          <w:rFonts w:hint="eastAsia" w:ascii="仿宋_GB2312" w:hAnsi="仿宋_GB2312" w:eastAsia="仿宋_GB2312" w:cs="仿宋_GB2312"/>
          <w:sz w:val="32"/>
          <w:szCs w:val="32"/>
          <w:highlight w:val="none"/>
        </w:rPr>
      </w:r>
      <w:r/>
    </w:p>
    <w:p>
      <w:pPr>
        <w:pStyle w:val="687"/>
        <w:ind w:firstLine="640"/>
        <w:spacing w:line="560" w:lineRule="exact"/>
        <w:rPr>
          <w:rFonts w:hint="eastAsia" w:ascii="仿宋_GB2312" w:hAnsi="仿宋_GB2312" w:eastAsia="仿宋_GB2312" w:cs="仿宋_GB2312"/>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（三）采购项目联系人：</w:t>
      </w:r>
      <w:r>
        <w:rPr>
          <w:rFonts w:hint="eastAsia" w:ascii="仿宋_GB2312" w:hAnsi="仿宋_GB2312" w:eastAsia="仿宋_GB2312" w:cs="仿宋_GB2312"/>
          <w:sz w:val="32"/>
          <w:szCs w:val="32"/>
          <w:highlight w:val="none"/>
          <w:lang w:eastAsia="zh-CN"/>
        </w:rPr>
        <w:t xml:space="preserve">王方</w:t>
      </w:r>
      <w:r>
        <w:rPr>
          <w:rFonts w:hint="eastAsia" w:ascii="仿宋_GB2312" w:hAnsi="仿宋_GB2312" w:eastAsia="仿宋_GB2312" w:cs="仿宋_GB2312"/>
          <w:sz w:val="32"/>
          <w:szCs w:val="32"/>
          <w:highlight w:val="none"/>
          <w:lang w:val="en-US" w:eastAsia="zh-CN"/>
        </w:rPr>
      </w:r>
      <w:r/>
    </w:p>
    <w:p>
      <w:pPr>
        <w:pStyle w:val="687"/>
        <w:ind w:firstLine="640"/>
        <w:spacing w:line="560" w:lineRule="exact"/>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（四）联系方式：0516-8080319</w:t>
      </w:r>
      <w:r>
        <w:rPr>
          <w:rFonts w:hint="eastAsia" w:ascii="仿宋_GB2312" w:hAnsi="仿宋_GB2312" w:eastAsia="仿宋_GB2312" w:cs="仿宋_GB2312"/>
          <w:sz w:val="32"/>
          <w:szCs w:val="32"/>
        </w:rPr>
        <w:t xml:space="preserve">3</w:t>
      </w:r>
      <w:r>
        <w:rPr>
          <w:rFonts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六、采购代理机构</w:t>
      </w:r>
      <w:r>
        <w:rPr>
          <w:rFonts w:hint="eastAsia" w:ascii="楷体_GB2312" w:hAnsi="楷体_GB2312" w:eastAsia="楷体_GB2312" w:cs="楷体_GB2312"/>
          <w:sz w:val="32"/>
          <w:szCs w:val="32"/>
        </w:rPr>
      </w:r>
      <w:r/>
    </w:p>
    <w:p>
      <w:pPr>
        <w:pStyle w:val="687"/>
        <w:ind w:left="638"/>
        <w:spacing w:line="560" w:lineRule="exact"/>
        <w:rPr>
          <w:rFonts w:hint="eastAsia" w:eastAsia="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（一）名称：</w:t>
      </w:r>
      <w:r>
        <w:rPr>
          <w:rFonts w:hint="eastAsia" w:eastAsia="仿宋_GB2312"/>
          <w:sz w:val="32"/>
          <w:szCs w:val="32"/>
        </w:rPr>
        <w:t xml:space="preserve">江苏天同工程咨询有限公司</w:t>
      </w:r>
      <w:r>
        <w:rPr>
          <w:rFonts w:hint="eastAsia" w:eastAsia="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（二）地址：徐州市泉山区荣盛未来广场商业街S1-135</w:t>
      </w:r>
      <w:r>
        <w:rPr>
          <w:rFonts w:hint="eastAsia" w:ascii="仿宋_GB2312" w:hAnsi="仿宋_GB2312" w:eastAsia="仿宋_GB2312" w:cs="仿宋_GB2312"/>
          <w:sz w:val="32"/>
          <w:szCs w:val="32"/>
        </w:rPr>
      </w:r>
      <w:r/>
    </w:p>
    <w:p>
      <w:pPr>
        <w:pStyle w:val="687"/>
        <w:ind w:firstLine="640"/>
        <w:spacing w:line="560" w:lineRule="exact"/>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（三）采购项目联系人：陈胜男</w:t>
      </w:r>
      <w:r>
        <w:rPr>
          <w:rFonts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（四）联系方式：0516-83799962</w:t>
      </w:r>
      <w:r>
        <w:rPr>
          <w:rFonts w:hint="eastAsia" w:ascii="仿宋_GB2312" w:hAnsi="仿宋_GB2312" w:eastAsia="仿宋_GB2312" w:cs="仿宋_GB2312"/>
          <w:sz w:val="32"/>
          <w:szCs w:val="32"/>
        </w:rPr>
      </w:r>
      <w:r/>
    </w:p>
    <w:p>
      <w:pPr>
        <w:pStyle w:val="687"/>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2041" w:right="1531" w:bottom="1928" w:left="1531" w:header="851" w:footer="680" w:gutter="0"/>
          <w:cols w:num="1" w:sep="0" w:space="1701" w:equalWidth="1"/>
          <w:docGrid w:linePitch="360"/>
        </w:sectPr>
        <w:outlineLvl w:val="0"/>
      </w:pPr>
      <w:r>
        <w:rPr>
          <w:rFonts w:ascii="宋体" w:hAnsi="宋体" w:cs="宋体"/>
          <w:b/>
          <w:sz w:val="30"/>
        </w:rPr>
      </w:r>
      <w:r/>
    </w:p>
    <w:p>
      <w:pPr>
        <w:pStyle w:val="687"/>
        <w:jc w:val="center"/>
        <w:spacing w:line="560" w:lineRule="exact"/>
        <w:rPr>
          <w:rFonts w:hint="eastAsia" w:ascii="黑体" w:hAnsi="黑体" w:eastAsia="黑体" w:cs="黑体"/>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szCs w:val="32"/>
        </w:rPr>
        <w:t xml:space="preserve">第二章 投标人须知</w:t>
      </w:r>
      <w:r>
        <w:rPr>
          <w:rFonts w:hint="eastAsia" w:ascii="黑体" w:hAnsi="黑体" w:eastAsia="黑体" w:cs="黑体"/>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一、总则</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（一）采购人。采购人即指依法进行政府采购的国家机关、事业单位和团体组织。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（二）政府招标采购方式。政府采购货物或服务（以下简称“货物服务”）的招标方式，分为公开招标和邀请招标。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（三）采购人在采购货物服务的招标投标活动中，应当贯彻落实“节约能源、保护环境、扶持不发达地区和少数民族地区和促进中小企业发展”等政府采购政策。</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（五）采购人委托采购代理机构代理招标的，采购代理机构必须在采购人委托的范围内依法开展采购活动。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（六）投标人的资格条件：</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1.参加“政府采购货物服务投标活动”的投标人（以下简称投标人），应当是能够提供本国货物服务的本国投标人，但法律、行政法规规定的外国投标人可以参加货物服务招标投标活动的除外。</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投标人是指响应招标、参加投标竞争的法人、其他组织或者自然人。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2.投标人授权代表系指法定代表人或受法人委托的受托人。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（七）投标费用：投标人应承担所有与准备和参加投标有关的费用。无论投标的结果如何，采购代理机构对上述费用不承担任何责任和义务。</w:t>
      </w:r>
      <w:r>
        <w:rPr>
          <w:rFonts w:hint="eastAsia"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二、招标</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（八）招标文件应包括以下内容：</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第一章，投标邀请；</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第二章，投标人须知；</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第三章，投标资料表；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第四章，评标标准；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第五章，拟签订的合同文本；</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第六章，采购需求；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第七章，投标文件相关格式。</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（九）招标文件澄清或者修改：</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澄清或者修改的内容可能影响投标文件编制的，采购代理机构应当在投标截止时间不少于15日前，以书面形式通知所有获取招标文件的潜在投标人；不足15日的，采购代理机构应当顺延提交投标文件的截止时间。</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2.现场考察以本文件第三章《投标资料表》中的要求为准。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3.开标前答疑会以本文件第三章《投标资料表》中的要求为准。</w:t>
      </w:r>
      <w:r>
        <w:rPr>
          <w:rFonts w:hint="eastAsia"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三、投标</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（十）投标人应当按照招标文件的要求编制投标文件。投标文件应对招标文件提出的要求和条件作出实质性响应。</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（十一）投标文件的语言。投标文件以及投标人与采购代理机构就有关投标的往来函电均应使用本文件第三章《投标资料表》规定的语言书写，否则无效。</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（十二）投标文件的构成：</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1.投标文件的构成以本文件第三章《投标资料表》中的要求为准。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2.投标人应当提交的资格、资信证明文件，以本文件第三章《投标资料表》中的所提要求为准。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（十三）投标函和价格表、商务条件、交货和提供服务的时间：</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1.投标函和价格表的要求见本章（十二）、（十三），格式见本文件第七章《投标文件相关格式》中《投标函》和《开标一览表》。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2.商务条件以本文件第三章《投标资料表》中的要求为准。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3.交货和提供服务的时间，以本文件第三章《投标资料表》中所提要求为准。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（十四）投标报价要求：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1.投标人应按照招标文件的要求报出分项价格和总价。</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2.投标人应按照招标文件的要求进行报价，如投标人作出偏离，应在《偏离表》中列出。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3.采购人不支付报价以外的任何费用。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4.投标人所报的价格，在合同执行过程中是固定的，不得以任何理由予以变更。投标人提交滑动价格的投标文件，在资格性、符合性检查时按照无效投标处理。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5.投标人只能提交一个投标价格，投标人提交多个价格的投标文件，在资格性、符合性检查时按照无效投标处理。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（十五）投标货币。以本文件第三章《投标资料表》中所提要求为准。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（十六）投标有效期：</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1.投标有效期为开标之日后90天。采购人可以要求对投标有效期延长一次，但该延长期最长不得超过30天。</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3.如果采购人发出要求延长投标有效期的通知，并在投标有效期届满前，没有收到投标人同意的书面通知，则视为该投标人不接受上述延期的要求。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（十七）投标文件的编制要求和签署要求：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（1）投标人应由其法定代表人或法定代表人授权代表在规定的网上投标时间，凭 CA 证书登录“苏采云”系统在线编制投标文件（电子数据），并在投标截止时间之前上传投标文件。</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（2）投标人应对 CA 证书妥善保管，如被他人盗用投标，因此带来的结果均由投标人自行承担。</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（3）投标人应当对招标文件提出的要求和条件作出实质性响应，并在电子投标系统逐条应答。</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（4）投标人应对要求提供的资格证明文件（如资质证书、资格证书）、技术资料（如白皮书、彩页、手册、检测报告等）扫描上传至投标系统。</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（十八）投标文件的盖章要求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1.投标文件的盖章要求以招标文件第三章《投标资料表》中的要求为准。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（十九）提交投标文件的截止时间和收到投标文件后注意事项。投标人应在招标文件要求的提交投标文件的截止时间前，将投标文件提交至“苏采云”系统。</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（二十）凡在招标文件要求提交投标文件的截止时间之后送达的投标文件，均为无效投标文件，“苏采云”系统将自动拒收。各投标人应在规定时间内通过 CA 证书进行网上解密。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（二十二）本项目不允许分包。</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（二十三）投标人应当遵循公平竞争的原则，不得恶意串通，不得妨碍其他投标人的竞争行为，不得损害采购人或者其他投标人的合法权益。</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在评标过程中发现投标人有上述情形的，评标委员会应当认定其投标无效，并书面报告本级财政部门。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（二十四）有下列情形之一的，其投标无效。</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1.不同投标人的投标文件，由同一单位或者个人编制；</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2.不同投标人委托同一单位或者个人办理投标事宜；</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3.不同投标人的投标文件中，所载明的项目管理成员或联系人为同一人；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4.不同投标人的投标文件，异常一致或者投标报价呈规律性差异；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5.不同投标人的投标文件相互混装；</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6.不同投标人投标文件内容存在非正常一致、项目组成员出现同一人、投标文件中错误（或异常）一致或雷同、电子文档信息一致或雷同的、投标报价呈规律性差异的；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7.电子投标文件未按规定期限投标的；</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8.电子投标文件未按招标文件要求签章的；</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9.投标人未在规定时间内解密电子投标文件的；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10.投标文件未按招标文件规定的内容和要求填写的；没有在投标系统指定位置上传对应文件、材料的。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11.纸质投标文件未按招标文件要求签署、盖章的；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12.不具备招标文件中规定的资格要求的；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13.报价超过招标文件中规定的预算金额或者最高限价的；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14.投标文件含有采购人不能接受的附加条件的；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15.法律法规和招标文件规定的其他无效情形。</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四、开标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（二十五）开标：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1.所有投标单位凭 CA 证书在到达开标时间时，解密各自投标文件，由工作人员操作系统进行开标、并宣读各投标人的《开标一览表》。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2.投标人不足3家的，不得开标。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3.开标过程由采购代理机构负责记录。</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4.投标人代表对开标过程和开标记录有疑义的，或者认为采购人、采购代理机构相关工作人员有需要回避情形的，应当场提出询问或者提出回避申请。</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5.投标人未参加开标的，视同认可开标结果。</w:t>
      </w:r>
      <w:r>
        <w:rPr>
          <w:rFonts w:hint="eastAsia" w:ascii="仿宋_GB2312" w:hAnsi="仿宋_GB2312" w:eastAsia="仿宋_GB2312" w:cs="仿宋_GB2312"/>
          <w:sz w:val="32"/>
          <w:szCs w:val="32"/>
        </w:rPr>
      </w:r>
      <w:r/>
    </w:p>
    <w:p>
      <w:pPr>
        <w:pStyle w:val="687"/>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五、评标</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（二十六）公开招标采购项目开标结束后，采购人依法对投标人的资格进行审查。合格投标人不足3家的，不得评标。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1.评标工作由采购代理机构负责组织，并履行下列职责：</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（1）核对评审专家身份和采购人代表授权函，对评审专家在政府采购活动中的职责履行情况予以记录，并及时将有关违法违规行为向财政部门报告；</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（2）宣布评标纪律；</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（3）公布投标人名单，告知评审专家应当回避的情形；</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（4）组织评标委员会推选评标组长（采购人代表不得担任组长）；</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（5）在评标期间采取必要的通讯管理措施，保证评标活动不受外界干扰；</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（6）根据评标委员会的要求介绍政府采购相关政策法规、招标文件；</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（7）维护评标秩序，监督评标委员会依照招标文件规定的评标程序、方法和标准进行独立评审。及时制止和纠正采购人代表、评审专家的倾向性言论或者违法违规行为；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（8）核对评标结果，对有《</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"http://www.caigou2003.com/" \o "http://www.caigou2003.com/"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政府采购</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货物和服务招标投标管理办法》第六十四条规定情形的，应要求评标委员会复核或者书面说明理由，评标委员会拒绝的，应予记录并向本级财政部门报告；</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（9）评审工作完成后，按照规定向评审专家支付劳务报酬和异地评审差旅费，不得向评审专家以外的其他人员支付评审劳务报酬； </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（10）处理与评标有关的其他事项。</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2.评标委员会负责具体评标事务，并独立履行下列职责：</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（1）审查、评价投标文件是否符合招标文件的商务、技术等实质性要求；</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（2）要求投标人对投标文件有关事项作出澄清或者说明；</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（3）对投标文件进行比较和评价；</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（4）确定中标候选人名单，以及根据采购人委托直接确定中标投标人；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（5）向采购人、采购代理机构或有关部门报告评标中发现的违法行为。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（二十七）评标方法分为最低评标价法和综合评分法。</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（二十八）评标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1.评标工作程序：</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（1）投标文件初审。</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资格审查。</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符合性审查。</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（2）澄清有关问题。</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（3）比较与评价。</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（4）推荐中标候选投标人名单。</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（5）编写评审报告（评标报告）。</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2.在评标中，不得改变招标文件中规定的评标标准、方法和中标条件。评标委员会对投标文件响应性的判定，要基于投标文件本身的内容，而不得寻求外部的证据。</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3.采用</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"http://lilun.caigou2003.com/recijiedu/2365668.html" \o "http://lilun.caigou2003.com/recijiedu/2365668.html"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最低评标价法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采用</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"http://lilun.caigou2003.com/recijiedu/2365667.html" \o "http://lilun.caigou2003.com/recijiedu/2365667.html"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综合评分法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非单一产品采购项目，多家投标人提供的核心产品品牌相同的，按前两款规定处理。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（二十九）投标文件报价出现前后不一致的，按照下列规定修正：</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1.投标文件中开标一览表（报价表）内容与投标文件中相应内容不一致的，以开标一览表（报价表）为准；</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2.大写金额和小写金额不一致的，以大写金额为准；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3.单价金额小数点或者百分比有明显错位的，以开标一览表的总价为准，并修改单价；</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4.总价金额与按单价合计金额不一致的，以单价金额计算结果为准。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（三十二）废标条款：</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出现下列情形之一的，应予废标。</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1.符合专业条件的投标人或者对招标文件作实质响应的投标人不足三家的；</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2.出现影响采购公正的违法、违规行为的；</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3.投标人的报价均超过了采购预算，采购人不能支付的；</w:t>
      </w:r>
      <w:r>
        <w:rPr>
          <w:rFonts w:hint="eastAsia" w:ascii="仿宋_GB2312" w:hAnsi="仿宋_GB2312" w:eastAsia="仿宋_GB2312" w:cs="仿宋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4.因重大变故，采购任务取消的。</w:t>
      </w:r>
      <w:r>
        <w:rPr>
          <w:rFonts w:hint="eastAsia" w:ascii="仿宋_GB2312" w:hAnsi="仿宋_GB2312" w:eastAsia="仿宋_GB2312" w:cs="仿宋_GB2312"/>
          <w:sz w:val="32"/>
          <w:szCs w:val="32"/>
        </w:rPr>
      </w:r>
      <w:r/>
    </w:p>
    <w:p>
      <w:pPr>
        <w:pStyle w:val="687"/>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六、定标</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（三十三）采购代理机构应当在评标结束后2个工作日内将评标报告送采购人。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（三十四）采购人应当自收到评标报告之日起5个工作日内，在评标报告确定的中标候选人名单中按顺序确定中标人。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（三十五）采购人有权对投标人投标文件的真实性进行核实，如果投标人不能在采购人规定的时间内向采购人提供有效的证明文件，将被采购人视为放弃中标资格。</w:t>
      </w:r>
      <w:r>
        <w:rPr>
          <w:rFonts w:hint="eastAsia" w:ascii="仿宋_GB2312" w:hAnsi="仿宋_GB2312" w:eastAsia="仿宋_GB2312" w:cs="仿宋_GB2312"/>
          <w:sz w:val="32"/>
          <w:szCs w:val="32"/>
        </w:rPr>
      </w:r>
      <w:r/>
    </w:p>
    <w:p>
      <w:pPr>
        <w:pStyle w:val="687"/>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七、政府采购合同</w:t>
      </w:r>
      <w:r>
        <w:rPr>
          <w:rFonts w:hint="eastAsia" w:ascii="楷体_GB2312" w:hAnsi="楷体_GB2312" w:eastAsia="楷体_GB2312" w:cs="楷体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（三十六）签订政府采购合同（合同签订方式）：</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采购人不得向中标人提出任何不合理的要求作为签订合同的条件。</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2.中标人拒绝与采购人签订合同的，采购人可以按照评审报告推荐的中标或者成交候选人名单排序，确定下一个候选人为中标人，也可以重新开展政府采购活动。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（三十七）采购人与中标人应当根据合同的约定依法履行合同义务。政府采购合同的履行、违约责任和解决争议的方法等，按《中华人民共和国民法典》相关条款执行。</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（三十八）履约保证金：详见《第三章 投标资料表》。</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（三十九）腐败和欺诈行为：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1.采购代理机构、采购人、投标人等参与招投标的各方，均应在招标、采购、合同执行等过程中保持廉洁和最高的道德水准。</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（1）腐败和欺诈行为的含义：</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“腐败行为”系指在招标、采购和合同执行等过程中，为了谋求私利，影响相关人员提供、给予、接受或索取有价物品，并导致损害买方、卖方、采购代理机构和他人利益的行为。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“欺诈行为”系指为了影响招标、采购和合同执行等过程，隐瞒事实真相，给买方、卖方、采购代理机构及他人造成损害的行为，其中包括投标人之间的串通行为。</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（2）如果被推荐的中标人有腐败和欺诈行为，将取消其中标资格。</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（3）如果投标人在任何时候，被法院及政府有关管理部门认定为有腐败和欺诈行为，采购代理机构有权拒绝其投标、取消其中标资格和撤销其已签署的合同。</w:t>
      </w:r>
      <w:r>
        <w:rPr>
          <w:rFonts w:hint="eastAsia" w:ascii="仿宋_GB2312" w:hAnsi="仿宋_GB2312" w:eastAsia="仿宋_GB2312" w:cs="仿宋_GB2312"/>
          <w:sz w:val="32"/>
          <w:szCs w:val="32"/>
        </w:rPr>
      </w:r>
      <w:r/>
    </w:p>
    <w:p>
      <w:pPr>
        <w:pStyle w:val="687"/>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八、询问和质疑</w:t>
      </w:r>
      <w:r>
        <w:rPr>
          <w:rFonts w:hint="eastAsia" w:ascii="楷体_GB2312" w:hAnsi="楷体_GB2312" w:eastAsia="楷体_GB2312" w:cs="楷体_GB2312"/>
          <w:sz w:val="32"/>
          <w:szCs w:val="32"/>
        </w:rPr>
      </w:r>
      <w:r/>
    </w:p>
    <w:p>
      <w:pPr>
        <w:pStyle w:val="687"/>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（四十）询问和质疑</w:t>
      </w:r>
      <w:r>
        <w:rPr>
          <w:rFonts w:hint="eastAsia" w:ascii="仿宋_GB2312" w:hAnsi="仿宋_GB2312" w:eastAsia="仿宋_GB2312" w:cs="仿宋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 </w:t>
      </w:r>
      <w:r>
        <w:rPr>
          <w:rFonts w:hint="eastAsia" w:ascii="仿宋_GB2312" w:hAnsi="仿宋_GB2312" w:eastAsia="仿宋_GB2312" w:cs="仿宋_GB2312"/>
          <w:sz w:val="32"/>
          <w:szCs w:val="32"/>
        </w:rPr>
      </w:r>
      <w:r/>
    </w:p>
    <w:p>
      <w:pPr>
        <w:pStyle w:val="687"/>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九、电子招标投标交易平台</w:t>
      </w:r>
      <w:r>
        <w:rPr>
          <w:rFonts w:hint="eastAsia" w:ascii="楷体_GB2312" w:hAnsi="楷体_GB2312" w:eastAsia="楷体_GB2312" w:cs="楷体_GB2312"/>
          <w:sz w:val="32"/>
          <w:szCs w:val="32"/>
        </w:rPr>
      </w:r>
      <w:r/>
    </w:p>
    <w:p>
      <w:pPr>
        <w:pStyle w:val="687"/>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（四十一）电子招标投标交易平台（即“苏采云”系统，网址：http：//jszfcg.jsczt.cn/）相关要求是本招标文件的组成部分。</w:t>
      </w:r>
      <w:r>
        <w:rPr>
          <w:rFonts w:hint="eastAsia" w:ascii="仿宋_GB2312" w:hAnsi="仿宋_GB2312" w:eastAsia="仿宋_GB2312" w:cs="仿宋_GB2312"/>
          <w:sz w:val="32"/>
          <w:szCs w:val="32"/>
        </w:rPr>
      </w:r>
      <w:r/>
    </w:p>
    <w:p>
      <w:pPr>
        <w:pStyle w:val="687"/>
        <w:jc w:val="both"/>
        <w:spacing w:line="720"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cs="宋体"/>
          <w:lang w:val="en-US" w:eastAsia="zh-CN"/>
        </w:rPr>
        <w:t xml:space="preserve">                    </w:t>
      </w:r>
      <w:r>
        <w:rPr>
          <w:rFonts w:hint="eastAsia" w:ascii="宋体" w:hAnsi="宋体" w:cs="宋体"/>
          <w:b/>
          <w:sz w:val="30"/>
        </w:rPr>
        <w:t xml:space="preserve">第三章 投标资料表</w:t>
      </w:r>
      <w:r>
        <w:rPr>
          <w:rFonts w:hint="eastAsia" w:ascii="宋体" w:hAnsi="宋体" w:cs="宋体"/>
        </w:rPr>
      </w:r>
      <w:r/>
    </w:p>
    <w:p>
      <w:pPr>
        <w:pStyle w:val="687"/>
        <w:spacing w:line="3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687"/>
        <w:ind w:firstLine="6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该资料表的条款项号是与《</w:t>
      </w:r>
      <w:r>
        <w:rPr>
          <w:rFonts w:hint="eastAsia" w:ascii="宋体" w:hAnsi="宋体" w:cs="宋体"/>
          <w:sz w:val="30"/>
        </w:rPr>
        <w:t xml:space="preserve">投标人</w:t>
      </w:r>
      <w:r>
        <w:rPr>
          <w:rFonts w:hint="eastAsia" w:ascii="宋体" w:hAnsi="宋体" w:cs="宋体"/>
          <w:sz w:val="28"/>
          <w:szCs w:val="28"/>
        </w:rPr>
        <w:t xml:space="preserve">须知》的条款项号相对应的，若有增加的条款，是对《</w:t>
      </w:r>
      <w:r>
        <w:rPr>
          <w:rFonts w:hint="eastAsia" w:ascii="宋体" w:hAnsi="宋体" w:cs="宋体"/>
          <w:sz w:val="30"/>
        </w:rPr>
        <w:t xml:space="preserve">投标人</w:t>
      </w:r>
      <w:r>
        <w:rPr>
          <w:rFonts w:hint="eastAsia" w:ascii="宋体" w:hAnsi="宋体" w:cs="宋体"/>
          <w:sz w:val="28"/>
          <w:szCs w:val="28"/>
        </w:rPr>
        <w:t xml:space="preserve">须知》的补充、修改和完善，如果因此而造成矛盾时，应以本资料表为准。</w:t>
      </w:r>
      <w:r>
        <w:rPr>
          <w:rFonts w:hint="eastAsia" w:ascii="宋体" w:hAnsi="宋体" w:cs="宋体"/>
        </w:rPr>
      </w:r>
      <w:r/>
    </w:p>
    <w:tbl>
      <w:tblPr>
        <w:tblW w:w="86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6996"/>
      </w:tblGrid>
      <w:tr>
        <w:trPr/>
        <w:tc>
          <w:tcPr>
            <w:tcW w:w="1669" w:type="dxa"/>
            <w:vAlign w:val="top"/>
            <w:textDirection w:val="lrTb"/>
            <w:noWrap w:val="false"/>
          </w:tcPr>
          <w:p>
            <w:pPr>
              <w:pStyle w:val="790"/>
              <w:jc w:val="center"/>
              <w:spacing w:line="400" w:lineRule="exact"/>
              <w:rPr>
                <w:rFonts w:ascii="宋体" w:hAnsi="宋体"/>
                <w:b/>
                <w:sz w:val="24"/>
              </w:rPr>
            </w:pPr>
            <w:r>
              <w:rPr>
                <w:rFonts w:ascii="宋体" w:hAnsi="宋体"/>
                <w:b/>
                <w:sz w:val="24"/>
              </w:rPr>
              <w:t xml:space="preserve">条款项号</w:t>
            </w:r>
            <w:r>
              <w:rPr>
                <w:rFonts w:ascii="宋体" w:hAnsi="宋体"/>
                <w:b/>
                <w:sz w:val="24"/>
              </w:rPr>
            </w:r>
            <w:r/>
          </w:p>
        </w:tc>
        <w:tc>
          <w:tcPr>
            <w:tcW w:w="6996" w:type="dxa"/>
            <w:vAlign w:val="top"/>
            <w:textDirection w:val="lrTb"/>
            <w:noWrap w:val="false"/>
          </w:tcPr>
          <w:p>
            <w:pPr>
              <w:pStyle w:val="790"/>
              <w:jc w:val="center"/>
              <w:spacing w:line="400" w:lineRule="exact"/>
              <w:rPr>
                <w:rFonts w:ascii="宋体" w:hAnsi="宋体"/>
                <w:b/>
                <w:sz w:val="24"/>
              </w:rPr>
            </w:pPr>
            <w:r>
              <w:rPr>
                <w:rFonts w:ascii="宋体" w:hAnsi="宋体"/>
                <w:b/>
                <w:sz w:val="24"/>
              </w:rPr>
              <w:t xml:space="preserve">内    容</w:t>
            </w:r>
            <w:r>
              <w:rPr>
                <w:rFonts w:ascii="宋体" w:hAnsi="宋体"/>
                <w:b/>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一</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总则</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本项目采购人：</w:t>
            </w:r>
            <w:r>
              <w:rPr>
                <w:rFonts w:hint="eastAsia" w:ascii="宋体" w:hAnsi="宋体"/>
                <w:sz w:val="24"/>
              </w:rPr>
              <w:t xml:space="preserve">徐州市云龙区机关事务服务中心</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三</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本次采购采用的政府采购方式：公开招标。</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(四)</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采购人确定的采购项目属性：</w:t>
            </w:r>
            <w:r>
              <w:rPr>
                <w:rFonts w:hint="eastAsia" w:ascii="宋体" w:hAnsi="宋体"/>
                <w:sz w:val="24"/>
              </w:rPr>
              <w:t xml:space="preserve">服务</w:t>
            </w:r>
            <w:r>
              <w:rPr>
                <w:rFonts w:ascii="宋体" w:hAnsi="宋体"/>
                <w:sz w:val="24"/>
              </w:rPr>
              <w:t xml:space="preserve">。</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(五)</w:t>
            </w:r>
            <w:r>
              <w:rPr>
                <w:rFonts w:ascii="宋体" w:hAnsi="宋体"/>
                <w:sz w:val="24"/>
              </w:rPr>
            </w:r>
            <w:r/>
          </w:p>
        </w:tc>
        <w:tc>
          <w:tcPr>
            <w:tcW w:w="6996" w:type="dxa"/>
            <w:vAlign w:val="top"/>
            <w:textDirection w:val="lrTb"/>
            <w:noWrap w:val="false"/>
          </w:tcPr>
          <w:p>
            <w:pPr>
              <w:pStyle w:val="790"/>
              <w:spacing w:line="360" w:lineRule="auto"/>
              <w:rPr>
                <w:rFonts w:ascii="宋体" w:hAnsi="宋体"/>
                <w:sz w:val="24"/>
              </w:rPr>
            </w:pPr>
            <w:r>
              <w:rPr>
                <w:rFonts w:ascii="宋体" w:hAnsi="宋体"/>
                <w:sz w:val="24"/>
              </w:rPr>
              <w:t xml:space="preserve">本项目采购代理机构：</w:t>
            </w:r>
            <w:r>
              <w:rPr>
                <w:rFonts w:hint="eastAsia" w:ascii="宋体" w:hAnsi="宋体"/>
                <w:sz w:val="24"/>
              </w:rPr>
              <w:t xml:space="preserve">江苏天同工程咨询有限公司</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(六)</w:t>
            </w:r>
            <w:r>
              <w:rPr>
                <w:rFonts w:ascii="宋体" w:hAnsi="宋体"/>
                <w:sz w:val="24"/>
              </w:rPr>
            </w:r>
            <w:r/>
          </w:p>
        </w:tc>
        <w:tc>
          <w:tcPr>
            <w:tcW w:w="6996" w:type="dxa"/>
            <w:vAlign w:val="top"/>
            <w:textDirection w:val="lrTb"/>
            <w:noWrap w:val="false"/>
          </w:tcPr>
          <w:p>
            <w:pPr>
              <w:pStyle w:val="791"/>
              <w:spacing w:line="360" w:lineRule="auto"/>
              <w:rPr>
                <w:rFonts w:hAnsi="宋体" w:cs="宋体"/>
                <w:bCs/>
                <w:szCs w:val="24"/>
              </w:rPr>
            </w:pPr>
            <w:r>
              <w:rPr>
                <w:rFonts w:hint="eastAsia" w:hAnsi="宋体" w:cs="宋体"/>
                <w:bCs/>
                <w:szCs w:val="24"/>
              </w:rPr>
              <w:t xml:space="preserve">投标人的资格条件：</w:t>
            </w:r>
            <w:r>
              <w:rPr>
                <w:rFonts w:hAnsi="宋体" w:cs="宋体"/>
                <w:bCs/>
                <w:szCs w:val="24"/>
              </w:rPr>
            </w:r>
            <w:r/>
          </w:p>
          <w:p>
            <w:pPr>
              <w:pStyle w:val="791"/>
              <w:spacing w:line="360" w:lineRule="auto"/>
              <w:rPr>
                <w:rFonts w:hAnsi="宋体" w:cs="宋体"/>
                <w:bCs/>
                <w:szCs w:val="24"/>
              </w:rPr>
            </w:pPr>
            <w:r>
              <w:rPr>
                <w:rFonts w:hint="eastAsia" w:hAnsi="宋体" w:cs="宋体"/>
                <w:bCs/>
                <w:szCs w:val="24"/>
              </w:rPr>
              <w:t xml:space="preserve">一、符合《中华人民共和国政府采购法》第二十二条的规定；</w:t>
            </w:r>
            <w:r>
              <w:rPr>
                <w:rFonts w:hAnsi="宋体" w:cs="宋体"/>
                <w:bCs/>
                <w:szCs w:val="24"/>
              </w:rPr>
            </w:r>
            <w:r/>
          </w:p>
          <w:p>
            <w:pPr>
              <w:pStyle w:val="791"/>
              <w:spacing w:line="360" w:lineRule="auto"/>
              <w:rPr>
                <w:rFonts w:hAnsi="宋体" w:cs="宋体"/>
                <w:bCs/>
                <w:szCs w:val="24"/>
              </w:rPr>
            </w:pPr>
            <w:r>
              <w:rPr>
                <w:rFonts w:hint="eastAsia" w:hAnsi="宋体" w:cs="宋体"/>
                <w:bCs/>
                <w:szCs w:val="24"/>
              </w:rPr>
              <w:t xml:space="preserve">二、此项目不属于专门面向中小微企业采购的项目。</w:t>
            </w:r>
            <w:r>
              <w:rPr>
                <w:rFonts w:hAnsi="宋体" w:cs="宋体"/>
                <w:bCs/>
                <w:szCs w:val="24"/>
              </w:rPr>
            </w:r>
            <w:r/>
          </w:p>
          <w:p>
            <w:pPr>
              <w:pStyle w:val="791"/>
              <w:spacing w:line="360" w:lineRule="auto"/>
              <w:rPr>
                <w:rFonts w:hAnsi="宋体" w:cs="宋体"/>
                <w:bCs/>
                <w:szCs w:val="24"/>
              </w:rPr>
            </w:pPr>
            <w:r>
              <w:rPr>
                <w:rFonts w:hint="eastAsia" w:hAnsi="宋体" w:cs="宋体"/>
                <w:bCs/>
                <w:szCs w:val="24"/>
              </w:rPr>
              <w:t xml:space="preserve">三、本项目的特定资格要求：</w:t>
            </w:r>
            <w:r>
              <w:rPr>
                <w:rFonts w:hAnsi="宋体" w:cs="宋体"/>
                <w:bCs/>
                <w:szCs w:val="24"/>
              </w:rPr>
            </w:r>
            <w:r/>
          </w:p>
          <w:p>
            <w:pPr>
              <w:pStyle w:val="791"/>
              <w:spacing w:line="360" w:lineRule="auto"/>
              <w:rPr>
                <w:rFonts w:hAnsi="宋体" w:cs="宋体"/>
                <w:bCs/>
                <w:color w:val="000000"/>
                <w:szCs w:val="24"/>
                <w:highlight w:val="none"/>
              </w:rPr>
            </w:pPr>
            <w:r>
              <w:rPr>
                <w:rFonts w:hint="eastAsia" w:hAnsi="宋体" w:cs="宋体"/>
                <w:bCs/>
                <w:szCs w:val="24"/>
              </w:rPr>
              <w:t xml:space="preserve">具有机电工程施工总承包贰级及以上专业资质或具有建筑机电安装工</w:t>
            </w:r>
            <w:r>
              <w:rPr>
                <w:rFonts w:hint="eastAsia" w:hAnsi="宋体" w:cs="宋体"/>
                <w:bCs/>
                <w:color w:val="000000"/>
                <w:szCs w:val="24"/>
                <w:highlight w:val="none"/>
              </w:rPr>
              <w:t xml:space="preserve">程专业承包贰级及以上资质，同时具备建筑施工安全生产许可证</w:t>
            </w:r>
            <w:r>
              <w:rPr>
                <w:rFonts w:hint="eastAsia" w:hAnsi="宋体" w:cs="宋体"/>
                <w:bCs/>
                <w:color w:val="000000"/>
                <w:szCs w:val="24"/>
                <w:highlight w:val="none"/>
                <w:lang w:eastAsia="zh-CN"/>
              </w:rPr>
              <w:t xml:space="preserve">。（</w:t>
            </w:r>
            <w:r>
              <w:rPr>
                <w:rFonts w:hint="eastAsia" w:hAnsi="宋体" w:cs="宋体"/>
                <w:bCs/>
                <w:color w:val="000000"/>
                <w:szCs w:val="24"/>
                <w:highlight w:val="none"/>
              </w:rPr>
              <w:t xml:space="preserve">以联合体形式参加投标的，联合体应当满足采购项目的特定资格全部要求，并在联合协议中载明联合体各方承担的工作和义务。联合体中有同类资质的供应商按照联合体分工承担相同工作的，应当按照资质等级较低的供应商确定联合体资质等级。</w:t>
            </w:r>
            <w:r>
              <w:rPr>
                <w:rFonts w:hint="eastAsia" w:hAnsi="宋体" w:cs="宋体"/>
                <w:bCs/>
                <w:color w:val="000000"/>
                <w:szCs w:val="24"/>
                <w:highlight w:val="none"/>
                <w:lang w:eastAsia="zh-CN"/>
              </w:rPr>
              <w:t xml:space="preserve">）</w:t>
            </w:r>
            <w:r>
              <w:rPr>
                <w:rFonts w:hAnsi="宋体" w:cs="宋体"/>
                <w:bCs/>
                <w:color w:val="000000"/>
                <w:szCs w:val="24"/>
                <w:highlight w:val="none"/>
              </w:rPr>
            </w:r>
            <w:r/>
          </w:p>
          <w:p>
            <w:pPr>
              <w:pStyle w:val="790"/>
              <w:spacing w:line="400" w:lineRule="exact"/>
              <w:rPr>
                <w:rFonts w:ascii="宋体" w:hAnsi="宋体"/>
                <w:color w:val="000000"/>
                <w:sz w:val="24"/>
                <w:highlight w:val="none"/>
              </w:rPr>
            </w:pPr>
            <w:r>
              <w:rPr>
                <w:rFonts w:ascii="宋体" w:hAnsi="宋体"/>
                <w:color w:val="000000"/>
                <w:sz w:val="24"/>
                <w:highlight w:val="none"/>
              </w:rPr>
              <w:t xml:space="preserve">同时明确相关事项如下：</w:t>
            </w:r>
            <w:r>
              <w:rPr>
                <w:rFonts w:ascii="宋体" w:hAnsi="宋体"/>
                <w:color w:val="000000"/>
                <w:sz w:val="24"/>
                <w:highlight w:val="none"/>
              </w:rPr>
            </w:r>
            <w:r/>
          </w:p>
          <w:p>
            <w:pPr>
              <w:pStyle w:val="790"/>
              <w:numPr>
                <w:ilvl w:val="0"/>
                <w:numId w:val="3"/>
              </w:numPr>
              <w:spacing w:line="400" w:lineRule="exact"/>
              <w:rPr>
                <w:rFonts w:cs="宋体"/>
                <w:sz w:val="24"/>
              </w:rPr>
            </w:pPr>
            <w:r>
              <w:rPr>
                <w:rFonts w:ascii="宋体" w:hAnsi="宋体"/>
                <w:color w:val="000000"/>
                <w:sz w:val="24"/>
                <w:highlight w:val="none"/>
              </w:rPr>
              <w:t xml:space="preserve">本项目接受联合体参与采购活动。</w:t>
            </w:r>
            <w:r>
              <w:rPr>
                <w:rFonts w:cs="宋体"/>
                <w:color w:val="000000"/>
                <w:sz w:val="24"/>
                <w:highlight w:val="none"/>
              </w:rPr>
              <w:t xml:space="preserve">联合体最多由两家单位组成，必须提供联合体协议，联合体协议中需明确牵头方，载明各方责任，联合体牵头方代表联</w:t>
            </w:r>
            <w:r>
              <w:rPr>
                <w:rFonts w:cs="宋体"/>
                <w:sz w:val="24"/>
              </w:rPr>
              <w:t xml:space="preserve">合体成员承担责任和接受采购人的指令、指示和通知，并且在整个合同实施过程中的全部事宜(包括付款方式)均由联合体牵头方负责。</w:t>
            </w:r>
            <w:r>
              <w:rPr>
                <w:rFonts w:cs="宋体"/>
                <w:sz w:val="24"/>
              </w:rPr>
            </w:r>
            <w:r/>
          </w:p>
          <w:p>
            <w:pPr>
              <w:pStyle w:val="1019"/>
              <w:spacing w:line="440" w:lineRule="exact"/>
              <w:rPr>
                <w:rFonts w:cs="宋体"/>
                <w:color w:val="000000"/>
              </w:rPr>
            </w:pPr>
            <w:r>
              <w:rPr>
                <w:rFonts w:cs="宋体"/>
                <w:color w:val="000000"/>
              </w:rPr>
              <w:t xml:space="preserve">联合体投标时，还应符合以下规定要求：</w:t>
            </w:r>
            <w:r>
              <w:rPr>
                <w:rFonts w:cs="宋体"/>
                <w:color w:val="000000"/>
              </w:rPr>
            </w:r>
            <w:r/>
          </w:p>
          <w:p>
            <w:pPr>
              <w:pStyle w:val="1019"/>
              <w:spacing w:line="440" w:lineRule="exact"/>
              <w:rPr>
                <w:rFonts w:cs="宋体"/>
                <w:color w:val="000000"/>
              </w:rPr>
            </w:pPr>
            <w:r>
              <w:rPr>
                <w:rFonts w:cs="宋体"/>
                <w:color w:val="000000"/>
              </w:rPr>
              <w:t xml:space="preserve">①以联合体形式进行政府采购的，联合体各成员之间应签订《联合体协议书》见《</w:t>
            </w:r>
            <w:r>
              <w:rPr>
                <w:rFonts w:hint="eastAsia" w:cs="宋体"/>
                <w:color w:val="000000"/>
              </w:rPr>
              <w:t xml:space="preserve">招标</w:t>
            </w:r>
            <w:r>
              <w:rPr>
                <w:rFonts w:cs="宋体"/>
                <w:color w:val="000000"/>
              </w:rPr>
              <w:t xml:space="preserve">文件》</w:t>
            </w:r>
            <w:r>
              <w:rPr>
                <w:rFonts w:hAnsi="宋体"/>
                <w:color w:val="000000"/>
              </w:rPr>
              <w:t xml:space="preserve">第七章 投标文件相关格式</w:t>
            </w:r>
            <w:r>
              <w:rPr>
                <w:rFonts w:hint="eastAsia" w:hAnsi="宋体"/>
                <w:color w:val="000000"/>
              </w:rPr>
              <w:t xml:space="preserve">十一</w:t>
            </w:r>
            <w:r>
              <w:rPr>
                <w:rFonts w:hint="eastAsia" w:cs="宋体"/>
                <w:color w:val="000000"/>
              </w:rPr>
              <w:t xml:space="preserve">《联合体协议书（格式）》</w:t>
            </w:r>
            <w:r>
              <w:rPr>
                <w:rFonts w:cs="宋体"/>
                <w:color w:val="000000"/>
              </w:rPr>
              <w:t xml:space="preserve">，供应商的</w:t>
            </w:r>
            <w:r>
              <w:rPr>
                <w:rFonts w:hint="eastAsia" w:cs="宋体"/>
                <w:color w:val="000000"/>
              </w:rPr>
              <w:t xml:space="preserve">投标文件</w:t>
            </w:r>
            <w:r>
              <w:rPr>
                <w:rFonts w:cs="宋体"/>
                <w:color w:val="000000"/>
              </w:rPr>
              <w:t xml:space="preserve">及成交后签署的合同，对联合体的每一成员均有法律约束力；</w:t>
            </w:r>
            <w:r>
              <w:rPr>
                <w:rFonts w:cs="宋体"/>
                <w:color w:val="000000"/>
              </w:rPr>
            </w:r>
            <w:r/>
          </w:p>
          <w:p>
            <w:pPr>
              <w:pStyle w:val="1019"/>
              <w:spacing w:line="440" w:lineRule="exact"/>
              <w:rPr>
                <w:rFonts w:cs="宋体"/>
                <w:color w:val="000000"/>
              </w:rPr>
            </w:pPr>
            <w:r>
              <w:rPr>
                <w:rFonts w:cs="宋体"/>
                <w:color w:val="000000"/>
              </w:rPr>
              <w:t xml:space="preserve">②联合体各方应当共同与采购人签订采购合同，就采购合同约定的事项对采购人承担连带责任；</w:t>
            </w:r>
            <w:r>
              <w:rPr>
                <w:rFonts w:cs="宋体"/>
                <w:color w:val="000000"/>
              </w:rPr>
            </w:r>
            <w:r/>
          </w:p>
          <w:p>
            <w:pPr>
              <w:pStyle w:val="1019"/>
              <w:spacing w:line="440" w:lineRule="exact"/>
              <w:rPr>
                <w:rFonts w:cs="宋体"/>
                <w:color w:val="000000"/>
              </w:rPr>
            </w:pPr>
            <w:r>
              <w:rPr>
                <w:rFonts w:cs="宋体"/>
                <w:color w:val="000000"/>
              </w:rPr>
              <w:t xml:space="preserve">③联合体各成员之间签订的《联合体协议书》应与</w:t>
            </w:r>
            <w:r>
              <w:rPr>
                <w:rFonts w:hint="eastAsia" w:cs="宋体"/>
                <w:color w:val="000000"/>
              </w:rPr>
              <w:t xml:space="preserve">投标文件</w:t>
            </w:r>
            <w:r>
              <w:rPr>
                <w:rFonts w:cs="宋体"/>
                <w:color w:val="000000"/>
              </w:rPr>
              <w:t xml:space="preserve">一起递交；</w:t>
            </w:r>
            <w:r>
              <w:rPr>
                <w:rFonts w:cs="宋体"/>
                <w:color w:val="000000"/>
              </w:rPr>
            </w:r>
            <w:r/>
          </w:p>
          <w:p>
            <w:pPr>
              <w:pStyle w:val="1019"/>
              <w:spacing w:line="440" w:lineRule="exact"/>
              <w:rPr>
                <w:color w:val="000000"/>
              </w:rPr>
            </w:pPr>
            <w:r>
              <w:rPr>
                <w:rFonts w:cs="宋体"/>
                <w:color w:val="000000"/>
              </w:rPr>
              <w:t xml:space="preserve">④参加联合体的各成员不得再以自己名义单独投标，也不得同时参加两个或两个以上的联合体投标。如有违反将取消该联合体及联合体各成员的投标资格。</w:t>
            </w:r>
            <w:r>
              <w:rPr>
                <w:color w:val="000000"/>
              </w:rPr>
            </w:r>
            <w:r/>
          </w:p>
          <w:p>
            <w:pPr>
              <w:pStyle w:val="1019"/>
              <w:spacing w:line="440" w:lineRule="exact"/>
              <w:rPr>
                <w:rFonts w:cs="宋体"/>
                <w:color w:val="000000"/>
              </w:rPr>
            </w:pPr>
            <w:r>
              <w:rPr>
                <w:rFonts w:cs="宋体"/>
                <w:color w:val="000000"/>
              </w:rPr>
              <w:t xml:space="preserve">二、单位负责人为同一人或者存在直接控股、管理关系的不同供应商，不得参加同一合同项下的政府采购活动(如为联合体，可以作为一个联合体内的不同成员)。</w:t>
            </w:r>
            <w:r>
              <w:rPr>
                <w:rFonts w:cs="宋体"/>
                <w:color w:val="000000"/>
              </w:rPr>
            </w:r>
            <w:r/>
          </w:p>
          <w:p>
            <w:pPr>
              <w:pStyle w:val="1019"/>
              <w:spacing w:line="440" w:lineRule="exact"/>
              <w:rPr>
                <w:rFonts w:cs="宋体"/>
                <w:color w:val="000000"/>
              </w:rPr>
            </w:pPr>
            <w:r>
              <w:rPr>
                <w:rFonts w:hint="eastAsia" w:cs="宋体"/>
                <w:color w:val="000000"/>
              </w:rPr>
              <w:t xml:space="preserve">三、</w:t>
            </w:r>
            <w:r>
              <w:rPr>
                <w:rFonts w:cs="宋体"/>
                <w:color w:val="000000"/>
              </w:rPr>
              <w:t xml:space="preserve">为本采购项目提供整体设计、规范编制或者项目管理、监理、检测等服务的供应商，不得再参加本采购项目的采购活动</w:t>
            </w:r>
            <w:r>
              <w:rPr>
                <w:rFonts w:hint="eastAsia" w:cs="宋体"/>
                <w:color w:val="000000"/>
              </w:rPr>
              <w:t xml:space="preserve">。</w:t>
            </w:r>
            <w:r>
              <w:rPr>
                <w:rFonts w:cs="宋体"/>
                <w:color w:val="000000"/>
              </w:rPr>
            </w:r>
            <w:r/>
          </w:p>
          <w:p>
            <w:pPr>
              <w:pStyle w:val="790"/>
              <w:spacing w:line="400" w:lineRule="exact"/>
              <w:rPr>
                <w:rFonts w:ascii="宋体" w:hAnsi="宋体"/>
                <w:sz w:val="24"/>
              </w:rPr>
            </w:pPr>
            <w:r>
              <w:rPr>
                <w:rFonts w:ascii="宋体" w:hAnsi="宋体"/>
                <w:sz w:val="24"/>
              </w:rPr>
              <w:t xml:space="preserve">四、查询及使用供应商信用记录：</w:t>
            </w:r>
            <w:r>
              <w:rPr>
                <w:rFonts w:ascii="宋体" w:hAnsi="宋体"/>
                <w:sz w:val="24"/>
              </w:rPr>
            </w:r>
            <w:r/>
          </w:p>
          <w:p>
            <w:pPr>
              <w:pStyle w:val="790"/>
              <w:ind w:firstLine="360"/>
              <w:spacing w:line="400" w:lineRule="exact"/>
              <w:rPr>
                <w:rFonts w:ascii="宋体" w:hAnsi="宋体"/>
                <w:sz w:val="24"/>
              </w:rPr>
            </w:pPr>
            <w:r>
              <w:rPr>
                <w:rFonts w:ascii="宋体" w:hAnsi="宋体"/>
                <w:sz w:val="24"/>
              </w:rPr>
              <w:t xml:space="preserve">(一)由采购人查询信用信息。</w:t>
            </w:r>
            <w:r>
              <w:rPr>
                <w:rFonts w:ascii="宋体" w:hAnsi="宋体"/>
                <w:sz w:val="24"/>
              </w:rPr>
            </w:r>
            <w:r/>
          </w:p>
          <w:p>
            <w:pPr>
              <w:pStyle w:val="790"/>
              <w:ind w:firstLine="360"/>
              <w:spacing w:line="400" w:lineRule="exact"/>
              <w:rPr>
                <w:rFonts w:ascii="宋体" w:hAnsi="宋体"/>
                <w:sz w:val="24"/>
              </w:rPr>
            </w:pPr>
            <w:r>
              <w:rPr>
                <w:rFonts w:ascii="宋体" w:hAnsi="宋体"/>
                <w:sz w:val="24"/>
              </w:rPr>
              <w:t xml:space="preserve">(二)查询渠道包括：</w:t>
            </w:r>
            <w:r>
              <w:rPr>
                <w:rFonts w:ascii="宋体" w:hAnsi="宋体"/>
                <w:sz w:val="24"/>
              </w:rPr>
            </w:r>
            <w:r/>
          </w:p>
          <w:p>
            <w:pPr>
              <w:pStyle w:val="790"/>
              <w:ind w:firstLine="600"/>
              <w:spacing w:line="400" w:lineRule="exact"/>
              <w:rPr>
                <w:rFonts w:ascii="宋体" w:hAnsi="宋体"/>
                <w:sz w:val="24"/>
              </w:rPr>
            </w:pPr>
            <w:r>
              <w:rPr>
                <w:rFonts w:ascii="宋体" w:hAnsi="宋体"/>
                <w:sz w:val="24"/>
              </w:rPr>
              <w:t xml:space="preserve">1.“信用中国”网（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rPr>
                <w:rFonts w:ascii="宋体" w:hAnsi="宋体"/>
                <w:sz w:val="24"/>
              </w:rPr>
            </w:r>
            <w:r/>
          </w:p>
          <w:p>
            <w:pPr>
              <w:pStyle w:val="790"/>
              <w:ind w:firstLine="600"/>
              <w:spacing w:line="400" w:lineRule="exact"/>
              <w:rPr>
                <w:rFonts w:ascii="宋体" w:hAnsi="宋体"/>
                <w:sz w:val="24"/>
              </w:rPr>
            </w:pPr>
            <w:r>
              <w:rPr>
                <w:rFonts w:ascii="宋体" w:hAnsi="宋体"/>
                <w:sz w:val="24"/>
              </w:rPr>
              <w:t xml:space="preserve">2.中国政府采购网（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rPr>
                <w:rFonts w:ascii="宋体" w:hAnsi="宋体"/>
                <w:sz w:val="24"/>
              </w:rPr>
            </w:r>
            <w:r/>
          </w:p>
          <w:p>
            <w:pPr>
              <w:pStyle w:val="790"/>
              <w:ind w:firstLine="600"/>
              <w:spacing w:line="40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“信用江苏”网（http：//credit.jiangsu.gov.cn/）；</w:t>
            </w:r>
            <w:r>
              <w:rPr>
                <w:rFonts w:hint="eastAsia" w:ascii="宋体" w:hAnsi="宋体"/>
                <w:sz w:val="24"/>
              </w:rPr>
            </w:r>
            <w:r/>
          </w:p>
          <w:p>
            <w:pPr>
              <w:pStyle w:val="790"/>
              <w:ind w:firstLine="600"/>
              <w:spacing w:line="40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“信用中国(江苏徐州)”网（http：//www.xuzhoucredit.gov.cn）；</w:t>
            </w:r>
            <w:r>
              <w:rPr>
                <w:rFonts w:ascii="宋体" w:hAnsi="宋体"/>
                <w:sz w:val="24"/>
              </w:rPr>
            </w:r>
            <w:r/>
          </w:p>
          <w:p>
            <w:pPr>
              <w:pStyle w:val="790"/>
              <w:ind w:firstLine="360"/>
              <w:spacing w:line="400" w:lineRule="exact"/>
              <w:rPr>
                <w:rFonts w:ascii="宋体" w:hAnsi="宋体"/>
                <w:sz w:val="24"/>
              </w:rPr>
            </w:pPr>
            <w:r>
              <w:rPr>
                <w:rFonts w:ascii="宋体" w:hAnsi="宋体"/>
                <w:sz w:val="24"/>
              </w:rPr>
              <w:t xml:space="preserve">(三)截止时点（查询环节）：评标结束前。</w:t>
            </w:r>
            <w:r>
              <w:rPr>
                <w:rFonts w:ascii="宋体" w:hAnsi="宋体"/>
                <w:sz w:val="24"/>
              </w:rPr>
            </w:r>
            <w:r/>
          </w:p>
          <w:p>
            <w:pPr>
              <w:pStyle w:val="790"/>
              <w:ind w:firstLine="360"/>
              <w:spacing w:line="400" w:lineRule="exact"/>
              <w:rPr>
                <w:rFonts w:ascii="宋体" w:hAnsi="宋体"/>
                <w:sz w:val="24"/>
              </w:rPr>
            </w:pPr>
            <w:r>
              <w:rPr>
                <w:rFonts w:ascii="宋体" w:hAnsi="宋体"/>
                <w:sz w:val="24"/>
              </w:rPr>
              <w:t xml:space="preserve">(四)信用信息查询记录和证据留存的具体方式：网页截屏打印，与其他采购文件一并保存。</w:t>
            </w:r>
            <w:r>
              <w:rPr>
                <w:rFonts w:ascii="宋体" w:hAnsi="宋体"/>
                <w:sz w:val="24"/>
              </w:rPr>
            </w:r>
            <w:r/>
          </w:p>
          <w:p>
            <w:pPr>
              <w:pStyle w:val="790"/>
              <w:ind w:firstLine="360"/>
              <w:spacing w:line="400" w:lineRule="exact"/>
              <w:rPr>
                <w:rFonts w:ascii="宋体" w:hAnsi="宋体"/>
                <w:sz w:val="24"/>
              </w:rPr>
            </w:pPr>
            <w:r>
              <w:rPr>
                <w:rFonts w:ascii="宋体" w:hAnsi="宋体"/>
                <w:sz w:val="24"/>
              </w:rPr>
              <w:t xml:space="preserve">(五)信用信息的使用规则：</w:t>
            </w:r>
            <w:r>
              <w:rPr>
                <w:rFonts w:ascii="宋体" w:hAnsi="宋体"/>
                <w:sz w:val="24"/>
              </w:rPr>
            </w:r>
            <w:r/>
          </w:p>
          <w:p>
            <w:pPr>
              <w:pStyle w:val="790"/>
              <w:ind w:firstLine="480"/>
              <w:spacing w:line="400" w:lineRule="exact"/>
              <w:rPr>
                <w:rFonts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(七)</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hint="eastAsia" w:ascii="宋体" w:hAnsi="宋体"/>
                <w:sz w:val="24"/>
              </w:rPr>
              <w:t xml:space="preserve">招标代理服务费由中标人支付，供应商的报价应当包含招标代理费，标准见《招标代理服务收费标准》（见附件），依据签订的招标代理合同。</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二</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招标</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(九)1</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bCs/>
                <w:sz w:val="24"/>
              </w:rPr>
            </w:pPr>
            <w:r>
              <w:rPr>
                <w:rFonts w:ascii="宋体" w:hAnsi="宋体"/>
                <w:bCs/>
                <w:sz w:val="24"/>
              </w:rPr>
              <w:t xml:space="preserve">(九)2</w:t>
            </w:r>
            <w:r>
              <w:rPr>
                <w:rFonts w:ascii="宋体" w:hAnsi="宋体"/>
                <w:bCs/>
                <w:sz w:val="24"/>
              </w:rPr>
            </w:r>
            <w:r/>
          </w:p>
        </w:tc>
        <w:tc>
          <w:tcPr>
            <w:tcW w:w="6996" w:type="dxa"/>
            <w:vAlign w:val="top"/>
            <w:textDirection w:val="lrTb"/>
            <w:noWrap w:val="false"/>
          </w:tcPr>
          <w:p>
            <w:pPr>
              <w:pStyle w:val="687"/>
              <w:ind w:left="280" w:hanging="280"/>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现场勘察：</w:t>
            </w:r>
            <w:r>
              <w:rPr>
                <w:rFonts w:hint="eastAsia" w:ascii="宋体" w:hAnsi="宋体" w:cs="宋体"/>
                <w:color w:val="000000"/>
                <w:sz w:val="28"/>
                <w:szCs w:val="28"/>
                <w:highlight w:val="none"/>
              </w:rPr>
            </w:r>
            <w:r/>
          </w:p>
          <w:p>
            <w:pPr>
              <w:pStyle w:val="687"/>
              <w:ind w:left="280" w:hanging="280"/>
              <w:rPr>
                <w:rFonts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组织一次集中现场勘察，投标人须在2026年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9日</w:t>
            </w:r>
            <w:r>
              <w:rPr>
                <w:rFonts w:ascii="宋体" w:hAnsi="宋体" w:cs="宋体"/>
                <w:color w:val="000000"/>
                <w:sz w:val="28"/>
                <w:szCs w:val="28"/>
                <w:highlight w:val="none"/>
                <w:lang w:val="en-US" w:eastAsia="zh-CN"/>
              </w:rPr>
            </w:r>
            <w:r/>
          </w:p>
          <w:p>
            <w:pPr>
              <w:pStyle w:val="687"/>
              <w:ind w:left="280" w:hanging="280"/>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14</w:t>
            </w:r>
            <w:r>
              <w:rPr>
                <w:rFonts w:hint="eastAsia" w:ascii="宋体" w:hAnsi="宋体" w:cs="宋体"/>
                <w:color w:val="000000"/>
                <w:sz w:val="28"/>
                <w:szCs w:val="28"/>
                <w:highlight w:val="none"/>
              </w:rPr>
              <w:t xml:space="preserve">点</w:t>
            </w:r>
            <w:r>
              <w:rPr>
                <w:rFonts w:hint="eastAsia" w:ascii="宋体" w:hAnsi="宋体" w:cs="宋体"/>
                <w:color w:val="000000"/>
                <w:sz w:val="28"/>
                <w:szCs w:val="28"/>
                <w:highlight w:val="none"/>
                <w:lang w:val="en-US" w:eastAsia="zh-CN"/>
              </w:rPr>
              <w:t xml:space="preserve">30</w:t>
            </w:r>
            <w:r>
              <w:rPr>
                <w:rFonts w:hint="eastAsia" w:ascii="宋体" w:hAnsi="宋体" w:cs="宋体"/>
                <w:color w:val="000000"/>
                <w:sz w:val="28"/>
                <w:szCs w:val="28"/>
                <w:highlight w:val="none"/>
              </w:rPr>
              <w:t xml:space="preserve">分前到达指定地点进行现场勘察，过时不候。</w:t>
            </w:r>
            <w:r>
              <w:rPr>
                <w:rFonts w:hint="eastAsia" w:ascii="宋体" w:hAnsi="宋体" w:cs="宋体"/>
                <w:color w:val="000000"/>
                <w:sz w:val="28"/>
                <w:szCs w:val="28"/>
                <w:highlight w:val="none"/>
              </w:rPr>
            </w:r>
            <w:r/>
          </w:p>
          <w:p>
            <w:pPr>
              <w:pStyle w:val="687"/>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时间：202</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日14点30分。</w:t>
            </w:r>
            <w:r>
              <w:rPr>
                <w:rFonts w:hint="eastAsia" w:ascii="宋体" w:hAnsi="宋体" w:cs="宋体"/>
                <w:color w:val="000000"/>
                <w:sz w:val="28"/>
                <w:szCs w:val="28"/>
                <w:highlight w:val="none"/>
              </w:rPr>
            </w:r>
            <w:r/>
          </w:p>
          <w:p>
            <w:pPr>
              <w:pStyle w:val="687"/>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地点：徐州市和平大道66号</w:t>
            </w:r>
            <w:r>
              <w:rPr>
                <w:rFonts w:hint="eastAsia" w:ascii="宋体" w:hAnsi="宋体" w:cs="宋体"/>
                <w:color w:val="000000"/>
                <w:sz w:val="28"/>
                <w:szCs w:val="28"/>
                <w:highlight w:val="none"/>
              </w:rPr>
            </w:r>
            <w:r/>
          </w:p>
          <w:p>
            <w:pPr>
              <w:pStyle w:val="687"/>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联系人：</w:t>
            </w:r>
            <w:r>
              <w:rPr>
                <w:rFonts w:hint="eastAsia" w:ascii="宋体" w:hAnsi="宋体" w:cs="宋体"/>
                <w:color w:val="000000"/>
                <w:sz w:val="28"/>
                <w:szCs w:val="28"/>
                <w:highlight w:val="none"/>
                <w:lang w:eastAsia="zh-CN"/>
              </w:rPr>
              <w:t xml:space="preserve">王方</w:t>
            </w:r>
            <w:r>
              <w:rPr>
                <w:rFonts w:hint="eastAsia" w:ascii="宋体" w:hAnsi="宋体" w:eastAsia="宋体" w:cs="宋体"/>
                <w:color w:val="000000"/>
                <w:sz w:val="28"/>
                <w:szCs w:val="28"/>
                <w:highlight w:val="none"/>
                <w:lang w:eastAsia="zh-CN"/>
              </w:rPr>
            </w:r>
            <w:r/>
          </w:p>
          <w:p>
            <w:pPr>
              <w:pStyle w:val="687"/>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联系电话：0516-80803193</w:t>
            </w:r>
            <w:r>
              <w:rPr>
                <w:rFonts w:hint="eastAsia" w:ascii="宋体" w:hAnsi="宋体" w:cs="宋体"/>
                <w:color w:val="000000"/>
                <w:sz w:val="28"/>
                <w:szCs w:val="28"/>
                <w:highlight w:val="none"/>
              </w:rPr>
            </w:r>
            <w:r/>
          </w:p>
          <w:p>
            <w:pPr>
              <w:pStyle w:val="687"/>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现场勘察内容：</w:t>
            </w:r>
            <w:r>
              <w:rPr>
                <w:rFonts w:hint="eastAsia" w:ascii="宋体" w:hAnsi="宋体" w:cs="宋体"/>
                <w:color w:val="000000"/>
                <w:sz w:val="28"/>
                <w:szCs w:val="28"/>
                <w:highlight w:val="none"/>
              </w:rPr>
            </w:r>
            <w:r/>
          </w:p>
          <w:p>
            <w:pPr>
              <w:pStyle w:val="687"/>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1、为更好地了解现场实际情况，故允许投标人到项目服务地点进行踏勘，以获取编</w:t>
            </w:r>
            <w:r>
              <w:rPr>
                <w:rFonts w:hint="eastAsia" w:ascii="宋体" w:hAnsi="宋体" w:cs="宋体"/>
                <w:sz w:val="28"/>
                <w:szCs w:val="28"/>
              </w:rPr>
              <w:t xml:space="preserve">制投标文件所需的信息及了解相关设施设备的具体情况，勘察现场所发生的费用由投标人自己承担。投标人不得以不完全了解现场情况为理由而向采购人提出增加费用或任何索赔的要求，对此采购人不承担任何责任并将不做任何答复与考虑。</w:t>
            </w:r>
            <w:r>
              <w:rPr>
                <w:rFonts w:hint="eastAsia" w:ascii="宋体" w:hAnsi="宋体" w:cs="宋体"/>
                <w:sz w:val="28"/>
                <w:szCs w:val="28"/>
              </w:rPr>
            </w:r>
            <w:r/>
          </w:p>
          <w:p>
            <w:pPr>
              <w:pStyle w:val="687"/>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2、勘察时若发现设施设备存在损坏，由中标供应商负责维修，保证设施设备的正常运行，各投标人在投标时应充分考虑该费用。</w:t>
            </w:r>
            <w:r>
              <w:rPr>
                <w:rFonts w:hint="eastAsia" w:ascii="宋体" w:hAnsi="宋体" w:cs="宋体"/>
                <w:sz w:val="28"/>
                <w:szCs w:val="28"/>
              </w:rPr>
            </w:r>
            <w:r/>
          </w:p>
          <w:p>
            <w:pPr>
              <w:pStyle w:val="790"/>
              <w:spacing w:line="400" w:lineRule="exact"/>
              <w:rPr>
                <w:rFonts w:ascii="宋体" w:hAnsi="宋体"/>
                <w:bCs/>
                <w:sz w:val="24"/>
              </w:rPr>
            </w:pPr>
            <w:r>
              <w:rPr>
                <w:rFonts w:hint="eastAsia" w:ascii="宋体" w:hAnsi="宋体" w:cs="宋体"/>
                <w:sz w:val="28"/>
                <w:szCs w:val="28"/>
              </w:rPr>
              <w:t xml:space="preserve">3、其他相关要求：</w:t>
            </w:r>
            <w:r>
              <w:rPr>
                <w:rFonts w:hint="eastAsia" w:ascii="宋体" w:hAnsi="宋体" w:eastAsia="宋体" w:cs="宋体"/>
                <w:sz w:val="28"/>
                <w:szCs w:val="28"/>
              </w:rPr>
              <w:t xml:space="preserve">各投标人代表进行现场勘察时，必须携带受托人身份证原件和授权委托书原件（加盖公章）。</w:t>
            </w:r>
            <w:r>
              <w:rPr>
                <w:rFonts w:ascii="宋体" w:hAnsi="宋体"/>
                <w:bCs/>
                <w:sz w:val="24"/>
              </w:rPr>
            </w:r>
            <w:r/>
          </w:p>
        </w:tc>
      </w:tr>
      <w:tr>
        <w:trPr/>
        <w:tc>
          <w:tcPr>
            <w:tcW w:w="1669" w:type="dxa"/>
            <w:vAlign w:val="top"/>
            <w:textDirection w:val="lrTb"/>
            <w:noWrap w:val="false"/>
          </w:tcPr>
          <w:p>
            <w:pPr>
              <w:pStyle w:val="790"/>
              <w:jc w:val="center"/>
              <w:spacing w:line="400" w:lineRule="exact"/>
              <w:rPr>
                <w:rFonts w:ascii="宋体" w:hAnsi="宋体"/>
                <w:bCs/>
                <w:sz w:val="24"/>
              </w:rPr>
            </w:pPr>
            <w:r>
              <w:rPr>
                <w:rFonts w:ascii="宋体" w:hAnsi="宋体"/>
                <w:bCs/>
                <w:sz w:val="24"/>
              </w:rPr>
              <w:t xml:space="preserve">(九)3</w:t>
            </w:r>
            <w:r>
              <w:rPr>
                <w:rFonts w:ascii="宋体" w:hAnsi="宋体"/>
                <w:bCs/>
                <w:sz w:val="24"/>
              </w:rPr>
            </w:r>
            <w:r/>
          </w:p>
        </w:tc>
        <w:tc>
          <w:tcPr>
            <w:tcW w:w="6996" w:type="dxa"/>
            <w:vAlign w:val="top"/>
            <w:textDirection w:val="lrTb"/>
            <w:noWrap w:val="false"/>
          </w:tcPr>
          <w:p>
            <w:pPr>
              <w:pStyle w:val="790"/>
              <w:spacing w:line="400" w:lineRule="exact"/>
              <w:rPr>
                <w:rFonts w:ascii="宋体" w:hAnsi="宋体"/>
                <w:b/>
                <w:bCs/>
                <w:sz w:val="24"/>
              </w:rPr>
            </w:pPr>
            <w:r>
              <w:rPr>
                <w:rFonts w:ascii="宋体" w:hAnsi="宋体"/>
                <w:sz w:val="24"/>
              </w:rPr>
              <w:t xml:space="preserve">不安排开标前答疑会</w:t>
            </w:r>
            <w:r>
              <w:rPr>
                <w:rFonts w:ascii="宋体" w:hAnsi="宋体"/>
                <w:b/>
                <w:bCs/>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三</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投标</w:t>
            </w:r>
            <w:r>
              <w:rPr>
                <w:rFonts w:ascii="宋体" w:hAnsi="宋体"/>
                <w:sz w:val="24"/>
              </w:rPr>
            </w:r>
            <w:r/>
          </w:p>
        </w:tc>
      </w:tr>
      <w:tr>
        <w:trPr>
          <w:trHeight w:val="482"/>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(十一)</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投标文件的语言为中文</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(十二)1</w:t>
            </w:r>
            <w:r>
              <w:rPr>
                <w:rFonts w:ascii="宋体" w:hAnsi="宋体"/>
                <w:sz w:val="24"/>
              </w:rPr>
            </w:r>
            <w:r/>
          </w:p>
          <w:p>
            <w:pPr>
              <w:pStyle w:val="790"/>
              <w:jc w:val="center"/>
              <w:spacing w:line="400" w:lineRule="exact"/>
              <w:rPr>
                <w:rFonts w:ascii="宋体" w:hAnsi="宋体"/>
                <w:sz w:val="24"/>
              </w:rPr>
            </w:pPr>
            <w:r>
              <w:rPr>
                <w:rFonts w:ascii="宋体" w:hAnsi="宋体"/>
                <w:sz w:val="24"/>
              </w:rPr>
              <w:t xml:space="preserve">(十二)2</w:t>
            </w:r>
            <w:r>
              <w:rPr>
                <w:rFonts w:ascii="宋体" w:hAnsi="宋体"/>
                <w:sz w:val="24"/>
              </w:rPr>
            </w:r>
            <w:r/>
          </w:p>
        </w:tc>
        <w:tc>
          <w:tcPr>
            <w:tcW w:w="6996" w:type="dxa"/>
            <w:vAlign w:val="top"/>
            <w:textDirection w:val="lrTb"/>
            <w:noWrap w:val="false"/>
          </w:tcPr>
          <w:p>
            <w:pPr>
              <w:pStyle w:val="790"/>
              <w:spacing w:line="400" w:lineRule="exact"/>
              <w:rPr>
                <w:rFonts w:ascii="宋体" w:hAnsi="宋体"/>
                <w:b/>
                <w:bCs/>
                <w:sz w:val="24"/>
              </w:rPr>
            </w:pPr>
            <w:r>
              <w:rPr>
                <w:rFonts w:ascii="宋体" w:hAnsi="宋体"/>
                <w:b/>
                <w:bCs/>
                <w:sz w:val="24"/>
              </w:rPr>
              <w:t xml:space="preserve">投标文件</w:t>
            </w:r>
            <w:r>
              <w:rPr>
                <w:rFonts w:hint="eastAsia" w:ascii="宋体" w:hAnsi="宋体"/>
                <w:b/>
                <w:bCs/>
                <w:sz w:val="24"/>
              </w:rPr>
              <w:t xml:space="preserve">编制要求：</w:t>
            </w:r>
            <w:r>
              <w:rPr>
                <w:rFonts w:ascii="宋体" w:hAnsi="宋体"/>
                <w:b/>
                <w:bCs/>
                <w:sz w:val="24"/>
              </w:rPr>
            </w:r>
            <w:r/>
          </w:p>
          <w:p>
            <w:pPr>
              <w:pStyle w:val="791"/>
              <w:spacing w:line="400" w:lineRule="exact"/>
              <w:rPr>
                <w:rFonts w:hAnsi="宋体" w:cs="宋体"/>
                <w:bCs/>
                <w:szCs w:val="24"/>
              </w:rPr>
            </w:pPr>
            <w:r>
              <w:rPr>
                <w:rFonts w:hint="eastAsia" w:hAnsi="宋体" w:cs="宋体"/>
                <w:bCs/>
                <w:szCs w:val="24"/>
              </w:rPr>
              <w:t xml:space="preserve">请按照以下要求（包括但不限于以下要求）制作：</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一、基本目录</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1.《开标一览表》（加盖电子签章，政府采购客户端工具输入报价自动生成）；</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2.《法定代表人授权书》（加盖电子签章，提供原件的扫描件，格式见招标文件第七章《投标文件相关格式》）；</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3.所投产品的环境标志产品认证证书原件的扫描件（如有）。</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注：</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（2）环境标志产品认证证书是否符合要求，采购人评标时查询中国政府采购网（www.ccgp.gov.cn）相关内容后确定。</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4.所投产品的节能产品认证证书原件的扫描件（如有）。</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注：</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Ansi="宋体" w:cs="宋体"/>
                <w:bCs/>
                <w:szCs w:val="24"/>
              </w:rPr>
            </w:r>
            <w:r/>
          </w:p>
          <w:p>
            <w:pPr>
              <w:pStyle w:val="791"/>
              <w:spacing w:line="400" w:lineRule="exact"/>
            </w:pPr>
            <w:r>
              <w:rPr>
                <w:rFonts w:hint="eastAsia" w:hAnsi="宋体" w:cs="宋体"/>
                <w:bCs/>
                <w:szCs w:val="24"/>
              </w:rPr>
              <w:t xml:space="preserve">（2）节能产品认证证书是否符合要求，采购人评标时查询中国政府采购网（www.ccgp.gov.cn）相关内容后确定。</w:t>
            </w:r>
            <w:r/>
          </w:p>
          <w:p>
            <w:pPr>
              <w:pStyle w:val="791"/>
              <w:spacing w:line="400" w:lineRule="exact"/>
              <w:rPr>
                <w:rFonts w:hAnsi="宋体" w:cs="宋体"/>
                <w:b/>
                <w:szCs w:val="24"/>
              </w:rPr>
            </w:pPr>
            <w:r>
              <w:rPr>
                <w:rFonts w:hint="eastAsia" w:hAnsi="宋体" w:cs="宋体"/>
                <w:b/>
                <w:szCs w:val="24"/>
              </w:rPr>
              <w:t xml:space="preserve">二、资格条件（1-6项</w:t>
            </w:r>
            <w:r>
              <w:rPr>
                <w:rFonts w:hint="eastAsia" w:hAnsi="宋体" w:cs="宋体"/>
                <w:b/>
                <w:szCs w:val="24"/>
                <w:highlight w:val="none"/>
              </w:rPr>
              <w:t xml:space="preserve">必须提供，</w:t>
            </w:r>
            <w:r>
              <w:rPr>
                <w:rFonts w:hint="eastAsia" w:hAnsi="宋体" w:cs="宋体"/>
                <w:b/>
                <w:szCs w:val="24"/>
                <w:highlight w:val="none"/>
              </w:rPr>
              <w:t xml:space="preserve">否则投标无效</w:t>
            </w:r>
            <w:r>
              <w:rPr>
                <w:rFonts w:hint="eastAsia" w:hAnsi="宋体" w:cs="宋体"/>
                <w:b/>
                <w:szCs w:val="24"/>
                <w:highlight w:val="none"/>
                <w:lang w:eastAsia="zh-CN"/>
              </w:rPr>
              <w:t xml:space="preserve">。</w:t>
            </w:r>
            <w:r>
              <w:rPr>
                <w:rFonts w:hint="eastAsia" w:hAnsi="宋体" w:cs="宋体"/>
                <w:b/>
                <w:szCs w:val="24"/>
                <w:highlight w:val="none"/>
              </w:rPr>
              <w:t xml:space="preserve">联合体投标时1-5项联合体双方必须都提供，第7</w:t>
            </w:r>
            <w:r>
              <w:rPr>
                <w:rFonts w:hint="eastAsia" w:hAnsi="宋体" w:cs="宋体"/>
                <w:b/>
                <w:bCs/>
                <w:szCs w:val="24"/>
                <w:highlight w:val="none"/>
              </w:rPr>
              <w:t xml:space="preserve">项为联合体投标的</w:t>
            </w:r>
            <w:r>
              <w:rPr>
                <w:rFonts w:hint="eastAsia" w:hAnsi="宋体" w:cs="宋体"/>
                <w:b/>
                <w:bCs/>
                <w:szCs w:val="24"/>
              </w:rPr>
              <w:t xml:space="preserve">必须提供，</w:t>
            </w:r>
            <w:r>
              <w:rPr>
                <w:rFonts w:hint="eastAsia" w:hAnsi="宋体" w:cs="宋体"/>
                <w:b/>
                <w:szCs w:val="24"/>
              </w:rPr>
              <w:t xml:space="preserve">否则投标无效）</w:t>
            </w:r>
            <w:r>
              <w:rPr>
                <w:rFonts w:hAnsi="宋体" w:cs="宋体"/>
                <w:b/>
                <w:szCs w:val="24"/>
              </w:rPr>
            </w:r>
            <w:r/>
          </w:p>
          <w:p>
            <w:pPr>
              <w:pStyle w:val="786"/>
            </w:pPr>
            <w:r>
              <w:rPr>
                <w:rFonts w:hint="eastAsia" w:hAnsi="宋体" w:cs="宋体"/>
                <w:bCs/>
                <w:sz w:val="24"/>
              </w:rPr>
              <w:t xml:space="preserve">1、</w:t>
            </w:r>
            <w:r>
              <w:rPr>
                <w:rFonts w:ascii="宋体" w:hAnsi="宋体"/>
                <w:sz w:val="24"/>
              </w:rPr>
              <w:t xml:space="preserve">投标人合法有效的法人或者其他组织的营业执照等证明文件，自然人的身份证明</w:t>
            </w:r>
            <w:r>
              <w:rPr>
                <w:rFonts w:hint="eastAsia" w:hAnsi="宋体"/>
                <w:sz w:val="24"/>
              </w:rPr>
              <w:t xml:space="preserve">。</w:t>
            </w:r>
            <w:r/>
          </w:p>
          <w:p>
            <w:pPr>
              <w:pStyle w:val="791"/>
              <w:spacing w:line="400" w:lineRule="exact"/>
              <w:rPr>
                <w:rFonts w:hAnsi="宋体" w:cs="宋体"/>
                <w:bCs/>
                <w:szCs w:val="24"/>
              </w:rPr>
            </w:pPr>
            <w:r>
              <w:rPr>
                <w:rFonts w:hAnsi="宋体"/>
                <w:szCs w:val="24"/>
              </w:rPr>
              <w:t xml:space="preserve">以上证明文件提供原件的扫描件；</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或提供</w:t>
            </w:r>
            <w:r>
              <w:rPr>
                <w:rFonts w:hint="eastAsia" w:hAnsi="宋体" w:cs="宋体"/>
                <w:bCs/>
                <w:color w:val="000000"/>
                <w:szCs w:val="24"/>
              </w:rPr>
              <w:t xml:space="preserve">投标人2025年度财务审计报告原</w:t>
            </w:r>
            <w:r>
              <w:rPr>
                <w:rFonts w:hint="eastAsia" w:hAnsi="宋体" w:cs="宋体"/>
                <w:bCs/>
                <w:szCs w:val="24"/>
              </w:rPr>
              <w:t xml:space="preserve">件扫描件）；</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rPr>
                <w:rFonts w:hAnsi="宋体" w:cs="宋体"/>
                <w:bCs/>
                <w:szCs w:val="24"/>
              </w:rPr>
            </w:r>
            <w:r/>
          </w:p>
          <w:p>
            <w:pPr>
              <w:pStyle w:val="791"/>
              <w:spacing w:line="400" w:lineRule="exact"/>
              <w:rPr>
                <w:rFonts w:hAnsi="宋体" w:cs="宋体"/>
              </w:rPr>
            </w:pPr>
            <w:r>
              <w:rPr>
                <w:rFonts w:hint="eastAsia" w:hAnsi="宋体" w:cs="宋体"/>
                <w:bCs/>
                <w:szCs w:val="24"/>
              </w:rPr>
              <w:t xml:space="preserve">4、具备履行合同所必需的设备和专业技术能力的证明材料。</w:t>
            </w:r>
            <w:r>
              <w:rPr>
                <w:rFonts w:hint="eastAsia" w:hAnsi="宋体" w:cs="宋体"/>
              </w:rPr>
              <w:t xml:space="preserve">投标文件中提供《具备履行合同所必需的设备和专业技术能力的书面声明》（加盖电子签章，格式见招标文件第七章《投标文件相关格式》,所附证明材料可不加盖电子签章）。</w:t>
            </w:r>
            <w:r>
              <w:rPr>
                <w:rFonts w:hAnsi="宋体" w:cs="宋体"/>
              </w:rPr>
            </w:r>
            <w:r/>
          </w:p>
          <w:p>
            <w:pPr>
              <w:pStyle w:val="791"/>
              <w:spacing w:line="400" w:lineRule="exact"/>
              <w:rPr>
                <w:rFonts w:hint="eastAsia" w:hAnsi="宋体" w:cs="宋体"/>
              </w:rPr>
            </w:pPr>
            <w:r>
              <w:rPr>
                <w:rFonts w:hint="eastAsia" w:hAnsi="宋体" w:cs="宋体"/>
              </w:rPr>
              <w:t xml:space="preserve">5、投标人参加政府采购活动前3年内在经营活动中没有重大违法记录的书面声明（加盖电子签章，格式见本文件第七章《投标文件相关格式》）。</w:t>
            </w:r>
            <w:r>
              <w:rPr>
                <w:rFonts w:hint="eastAsia" w:hAnsi="宋体" w:cs="宋体"/>
              </w:rPr>
            </w:r>
            <w:r/>
          </w:p>
          <w:p>
            <w:pPr>
              <w:pStyle w:val="791"/>
              <w:spacing w:line="400" w:lineRule="exact"/>
              <w:rPr>
                <w:rFonts w:hint="eastAsia" w:hAnsi="宋体" w:cs="宋体"/>
              </w:rPr>
            </w:pPr>
            <w:r>
              <w:rPr>
                <w:rFonts w:hint="eastAsia" w:hAnsi="宋体" w:cs="宋体"/>
              </w:rPr>
              <w:t xml:space="preserve">6、特定资格要求：</w:t>
            </w:r>
            <w:r>
              <w:rPr>
                <w:rFonts w:hint="eastAsia" w:hAnsi="宋体" w:cs="宋体"/>
              </w:rPr>
            </w:r>
            <w:r/>
          </w:p>
          <w:p>
            <w:pPr>
              <w:pStyle w:val="791"/>
              <w:spacing w:line="360" w:lineRule="auto"/>
              <w:rPr>
                <w:rFonts w:hint="eastAsia" w:hAnsi="宋体" w:cs="宋体"/>
                <w:bCs/>
                <w:color w:val="000000"/>
                <w:szCs w:val="24"/>
                <w:highlight w:val="none"/>
                <w:lang w:eastAsia="zh-CN"/>
              </w:rPr>
            </w:pPr>
            <w:r>
              <w:rPr>
                <w:rFonts w:hint="eastAsia" w:hAnsi="宋体" w:cs="宋体"/>
                <w:bCs/>
                <w:szCs w:val="24"/>
              </w:rPr>
              <w:t xml:space="preserve">提供机电工程施工总承包贰级及以上专业资质或建筑机电安装工程专</w:t>
            </w:r>
            <w:r>
              <w:rPr>
                <w:rFonts w:hint="eastAsia" w:hAnsi="宋体" w:cs="宋体"/>
                <w:bCs/>
                <w:color w:val="000000"/>
                <w:szCs w:val="24"/>
                <w:highlight w:val="none"/>
              </w:rPr>
              <w:t xml:space="preserve">业承包贰级及以上资质，同时具备建筑施工安全生产许可证</w:t>
            </w:r>
            <w:r>
              <w:rPr>
                <w:rFonts w:hint="eastAsia" w:hAnsi="宋体" w:cs="宋体"/>
                <w:bCs/>
                <w:color w:val="000000"/>
                <w:szCs w:val="24"/>
                <w:highlight w:val="none"/>
                <w:lang w:eastAsia="zh-CN"/>
              </w:rPr>
              <w:t xml:space="preserve">。</w:t>
            </w:r>
            <w:r>
              <w:rPr>
                <w:rFonts w:hint="eastAsia" w:hAnsi="宋体" w:cs="宋体"/>
                <w:bCs/>
                <w:color w:val="000000"/>
                <w:szCs w:val="24"/>
                <w:highlight w:val="none"/>
                <w:lang w:eastAsia="zh-CN"/>
              </w:rPr>
              <w:t xml:space="preserve">（</w:t>
            </w:r>
            <w:r>
              <w:rPr>
                <w:rFonts w:hint="eastAsia" w:hAnsi="宋体" w:cs="宋体"/>
                <w:bCs/>
                <w:color w:val="000000"/>
                <w:szCs w:val="24"/>
                <w:highlight w:val="none"/>
              </w:rPr>
              <w:t xml:space="preserve">以联合体形式参加投标的，联合体应当满足采购项目的特定资格全部要求，并在联合协议中载明联合体各方承担的工作和义务。联合体中有同类资质的供应商按照联合体分工承担相同工作的，应当按照资质等级较低的供应商确定联合体资质等级。</w:t>
            </w:r>
            <w:r>
              <w:rPr>
                <w:rFonts w:hint="eastAsia" w:hAnsi="宋体" w:cs="宋体"/>
                <w:bCs/>
                <w:color w:val="000000"/>
                <w:szCs w:val="24"/>
                <w:highlight w:val="none"/>
                <w:lang w:eastAsia="zh-CN"/>
              </w:rPr>
              <w:t xml:space="preserve">）</w:t>
            </w:r>
            <w:r>
              <w:rPr>
                <w:rFonts w:hint="eastAsia" w:hAnsi="宋体" w:cs="宋体"/>
                <w:bCs/>
                <w:color w:val="000000"/>
                <w:szCs w:val="24"/>
                <w:highlight w:val="none"/>
                <w:lang w:eastAsia="zh-CN"/>
              </w:rPr>
            </w:r>
            <w:r/>
          </w:p>
          <w:p>
            <w:pPr>
              <w:pStyle w:val="791"/>
              <w:spacing w:line="360" w:lineRule="auto"/>
              <w:rPr>
                <w:rFonts w:hint="eastAsia" w:hAnsi="宋体" w:cs="宋体"/>
                <w:bCs/>
                <w:color w:val="000000"/>
                <w:szCs w:val="24"/>
                <w:highlight w:val="none"/>
              </w:rPr>
            </w:pPr>
            <w:r>
              <w:rPr>
                <w:rFonts w:hint="eastAsia" w:hAnsi="宋体" w:cs="宋体"/>
                <w:bCs/>
                <w:color w:val="000000"/>
                <w:szCs w:val="24"/>
                <w:highlight w:val="none"/>
              </w:rPr>
              <w:t xml:space="preserve">以上证书需提供有效期内的原件扫描件。</w:t>
            </w:r>
            <w:r>
              <w:rPr>
                <w:rFonts w:hint="eastAsia" w:hAnsi="宋体" w:cs="宋体"/>
                <w:bCs/>
                <w:color w:val="000000"/>
                <w:szCs w:val="24"/>
                <w:highlight w:val="none"/>
              </w:rPr>
            </w:r>
            <w:r/>
          </w:p>
          <w:p>
            <w:pPr>
              <w:pStyle w:val="791"/>
              <w:spacing w:line="360" w:lineRule="auto"/>
              <w:rPr>
                <w:rFonts w:hint="eastAsia" w:hAnsi="宋体" w:cs="宋体"/>
                <w:bCs/>
                <w:szCs w:val="24"/>
              </w:rPr>
            </w:pPr>
            <w:r>
              <w:rPr>
                <w:rFonts w:hint="eastAsia" w:hAnsi="宋体" w:cs="宋体"/>
                <w:bCs/>
                <w:color w:val="000000"/>
                <w:szCs w:val="24"/>
                <w:highlight w:val="none"/>
              </w:rPr>
              <w:t xml:space="preserve">7、联合体协议书（如供应商以联合体参加采购活动的，投标文件中须提供《联合体协议》原件的扫描件，格式见《招标文件》第七章 投标文件相关格式十一《联合</w:t>
            </w:r>
            <w:r>
              <w:rPr>
                <w:rFonts w:hint="eastAsia" w:hAnsi="宋体" w:cs="宋体"/>
                <w:bCs/>
                <w:szCs w:val="24"/>
              </w:rPr>
              <w:t xml:space="preserve">体协议书（格式）》，如不是联合体，无须提供）。</w:t>
            </w:r>
            <w:r>
              <w:rPr>
                <w:rFonts w:hint="eastAsia" w:hAnsi="宋体" w:cs="宋体"/>
                <w:bCs/>
                <w:szCs w:val="24"/>
              </w:rPr>
            </w:r>
            <w:r/>
          </w:p>
          <w:p>
            <w:pPr>
              <w:pStyle w:val="687"/>
              <w:spacing w:line="400" w:lineRule="atLeast"/>
              <w:tabs>
                <w:tab w:val="left" w:pos="312" w:leader="none"/>
              </w:tabs>
              <w:rPr>
                <w:rFonts w:ascii="宋体" w:hAnsi="宋体"/>
                <w:b/>
                <w:sz w:val="24"/>
              </w:rPr>
              <w:pBdr>
                <w:top w:val="none" w:color="000000" w:sz="0" w:space="0"/>
                <w:left w:val="none" w:color="000000" w:sz="0" w:space="0"/>
                <w:bottom w:val="none" w:color="000000" w:sz="0" w:space="0"/>
                <w:right w:val="none" w:color="000000" w:sz="0" w:space="0"/>
              </w:pBdr>
            </w:pPr>
            <w:r>
              <w:rPr>
                <w:rFonts w:hint="eastAsia" w:ascii="宋体" w:hAnsi="宋体"/>
                <w:b/>
                <w:sz w:val="24"/>
              </w:rPr>
              <w:t xml:space="preserve">三、符合条件（必须提供，否则投标无效）</w:t>
            </w:r>
            <w:r>
              <w:rPr>
                <w:rFonts w:ascii="宋体" w:hAnsi="宋体"/>
                <w:b/>
                <w:sz w:val="24"/>
              </w:rPr>
            </w:r>
            <w:r/>
          </w:p>
          <w:p>
            <w:pPr>
              <w:pStyle w:val="687"/>
              <w:spacing w:line="400" w:lineRule="atLeast"/>
              <w:tabs>
                <w:tab w:val="left" w:pos="312" w:leader="none"/>
              </w:tabs>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（一）报价</w:t>
            </w:r>
            <w:r>
              <w:rPr>
                <w:rFonts w:ascii="宋体" w:hAnsi="宋体"/>
                <w:bCs/>
                <w:sz w:val="24"/>
              </w:rPr>
            </w:r>
            <w:r/>
          </w:p>
          <w:p>
            <w:pPr>
              <w:pStyle w:val="687"/>
              <w:spacing w:line="400" w:lineRule="atLeast"/>
              <w:tabs>
                <w:tab w:val="left" w:pos="312" w:leader="none"/>
              </w:tabs>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1、《开标一览表》（加盖电子签章，格式见本文件第七章《投标文件相关格式》）；</w:t>
            </w:r>
            <w:r>
              <w:rPr>
                <w:rFonts w:ascii="宋体" w:hAnsi="宋体"/>
                <w:bCs/>
                <w:sz w:val="24"/>
              </w:rPr>
            </w:r>
            <w:r/>
          </w:p>
          <w:p>
            <w:pPr>
              <w:pStyle w:val="687"/>
              <w:spacing w:line="400" w:lineRule="atLeast"/>
              <w:tabs>
                <w:tab w:val="left" w:pos="312" w:leader="none"/>
              </w:tabs>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2、《分项价格表》（加盖电子签章，格式见本文件第七章《投标文件相关格式》）。</w:t>
            </w:r>
            <w:r>
              <w:rPr>
                <w:rFonts w:ascii="宋体" w:hAnsi="宋体"/>
                <w:bCs/>
                <w:sz w:val="24"/>
              </w:rPr>
            </w:r>
            <w:r/>
          </w:p>
          <w:p>
            <w:pPr>
              <w:pStyle w:val="791"/>
              <w:spacing w:line="400" w:lineRule="exact"/>
              <w:rPr>
                <w:rFonts w:hAnsi="宋体" w:cs="宋体"/>
                <w:bCs/>
                <w:szCs w:val="24"/>
              </w:rPr>
            </w:pPr>
            <w:r>
              <w:rPr>
                <w:rFonts w:hint="eastAsia" w:hAnsi="宋体" w:cs="宋体"/>
                <w:bCs/>
                <w:szCs w:val="24"/>
              </w:rPr>
              <w:t xml:space="preserve">（二）商务资信</w:t>
            </w:r>
            <w:r>
              <w:rPr>
                <w:rFonts w:hAnsi="宋体" w:cs="宋体"/>
                <w:bCs/>
                <w:szCs w:val="24"/>
              </w:rPr>
            </w:r>
            <w:r/>
          </w:p>
          <w:p>
            <w:pPr>
              <w:pStyle w:val="791"/>
              <w:spacing w:line="400" w:lineRule="exact"/>
            </w:pPr>
            <w:r>
              <w:rPr>
                <w:rFonts w:hint="eastAsia" w:hAnsi="宋体" w:cs="宋体"/>
                <w:bCs/>
                <w:szCs w:val="24"/>
              </w:rPr>
              <w:t xml:space="preserve">《投标函》（加盖电子签章，格式见招标文件第七章《投标文件相关格式》）；</w:t>
            </w:r>
            <w:r/>
          </w:p>
          <w:p>
            <w:pPr>
              <w:pStyle w:val="791"/>
              <w:spacing w:line="400" w:lineRule="exact"/>
              <w:rPr>
                <w:rFonts w:hAnsi="宋体" w:cs="宋体"/>
                <w:bCs/>
                <w:szCs w:val="24"/>
              </w:rPr>
            </w:pPr>
            <w:r>
              <w:rPr>
                <w:rFonts w:hint="eastAsia" w:hAnsi="宋体" w:cs="宋体"/>
                <w:bCs/>
                <w:szCs w:val="24"/>
              </w:rPr>
              <w:t xml:space="preserve">（三）技术响应</w:t>
            </w:r>
            <w:r>
              <w:rPr>
                <w:rFonts w:hAnsi="宋体" w:cs="宋体"/>
                <w:bCs/>
                <w:szCs w:val="24"/>
              </w:rPr>
            </w:r>
            <w:r/>
          </w:p>
          <w:p>
            <w:pPr>
              <w:pStyle w:val="791"/>
              <w:spacing w:line="400" w:lineRule="exact"/>
              <w:rPr>
                <w:rFonts w:hAnsi="宋体" w:cs="宋体"/>
                <w:bCs/>
                <w:szCs w:val="24"/>
              </w:rPr>
            </w:pPr>
            <w:r>
              <w:rPr>
                <w:rFonts w:hint="eastAsia" w:hAnsi="宋体" w:cs="宋体"/>
                <w:bCs/>
                <w:szCs w:val="24"/>
              </w:rPr>
              <w:t xml:space="preserve">《偏离表》（加盖电子签章，格式见招标文件第七章《投标文件相关格式》）。</w:t>
            </w:r>
            <w:r>
              <w:rPr>
                <w:rFonts w:hAnsi="宋体" w:cs="宋体"/>
                <w:bCs/>
                <w:szCs w:val="24"/>
              </w:rPr>
            </w:r>
            <w:r/>
          </w:p>
          <w:p>
            <w:pPr>
              <w:pStyle w:val="791"/>
              <w:spacing w:line="400" w:lineRule="exact"/>
              <w:rPr>
                <w:rFonts w:hAnsi="宋体" w:cs="宋体"/>
                <w:b/>
                <w:szCs w:val="24"/>
              </w:rPr>
            </w:pPr>
            <w:r>
              <w:rPr>
                <w:rFonts w:hint="eastAsia" w:hAnsi="宋体" w:cs="宋体"/>
                <w:b/>
                <w:szCs w:val="24"/>
              </w:rPr>
              <w:t xml:space="preserve">四、综合评审评分项</w:t>
            </w:r>
            <w:r>
              <w:rPr>
                <w:rFonts w:hAnsi="宋体" w:cs="宋体"/>
                <w:b/>
                <w:szCs w:val="24"/>
              </w:rPr>
            </w:r>
            <w:r/>
          </w:p>
          <w:p>
            <w:pPr>
              <w:pStyle w:val="790"/>
              <w:spacing w:line="400" w:lineRule="exact"/>
              <w:rPr>
                <w:rFonts w:hint="eastAsia" w:ascii="宋体" w:hAnsi="宋体"/>
                <w:b/>
                <w:bCs/>
                <w:sz w:val="24"/>
                <w:lang w:eastAsia="zh-CN"/>
              </w:rPr>
            </w:pPr>
            <w:r>
              <w:rPr>
                <w:rFonts w:hint="eastAsia" w:ascii="宋体" w:hAnsi="宋体"/>
                <w:b w:val="0"/>
                <w:bCs w:val="0"/>
                <w:sz w:val="24"/>
                <w:lang w:eastAsia="zh-CN"/>
              </w:rPr>
              <w:t xml:space="preserve">要求详见招标文件第六章《采购需求》和招标文件第四章《评标标准》）；</w:t>
            </w:r>
            <w:r>
              <w:rPr>
                <w:rFonts w:hint="eastAsia" w:ascii="宋体" w:hAnsi="宋体"/>
                <w:b/>
                <w:bCs/>
                <w:sz w:val="24"/>
                <w:lang w:eastAsia="zh-CN"/>
              </w:rPr>
            </w:r>
            <w:r/>
          </w:p>
          <w:p>
            <w:pPr>
              <w:pStyle w:val="790"/>
              <w:spacing w:line="400" w:lineRule="exact"/>
              <w:rPr>
                <w:rFonts w:ascii="宋体" w:hAnsi="宋体"/>
                <w:b/>
                <w:bCs/>
                <w:sz w:val="24"/>
              </w:rPr>
            </w:pPr>
            <w:r>
              <w:rPr>
                <w:rFonts w:hint="eastAsia" w:ascii="宋体" w:hAnsi="宋体"/>
                <w:b/>
                <w:bCs/>
                <w:sz w:val="24"/>
              </w:rPr>
              <w:t xml:space="preserve">五、价格折扣文件格式</w:t>
            </w:r>
            <w:r>
              <w:rPr>
                <w:rFonts w:ascii="宋体" w:hAnsi="宋体"/>
                <w:b/>
                <w:bCs/>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投标人提供的服务全部由符合政策要求的中小企业承接的，提供《中小企业声明函》（加盖电子签章，格式见招标文件第七章《投标文件相关格式》。如不填写完整或未按要求填写的，视为无效）。</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（2）投标人为残疾人福利性单位的，视同小微企业，提供《残疾人福利性单位声明函》（加盖电子签章，格式见招标文件第七章《投标文件相关格式》）。</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享受政府采购支持政策的残疾人福利性单位应当同时满足以下条件：</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①安置的残疾人占本单位在职职工人数的比例不低于25%（含25%），并且安置的残疾人人数不少于10人（含10人）；</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②依法与安置的每位残疾人签订了一年以上（含一年）的劳动合同或服务协议；</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③为安置的每位残疾人按月足额缴纳了基本养老保险、基本医疗保险、失业保险、工伤保险和生育保险等社会保险费；</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4"/>
              </w:rPr>
            </w:r>
            <w:r/>
          </w:p>
          <w:p>
            <w:pPr>
              <w:pStyle w:val="687"/>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具体以《三部门联合发布关于促进残疾人就业政府采购政策的通知》（财库〔2017〕141号）规定为准。</w:t>
            </w:r>
            <w:r>
              <w:rPr>
                <w:rFonts w:ascii="宋体" w:hAnsi="宋体" w:cs="宋体"/>
                <w:sz w:val="24"/>
              </w:rPr>
            </w:r>
            <w:r/>
          </w:p>
          <w:p>
            <w:pPr>
              <w:pStyle w:val="687"/>
              <w:spacing w:line="264" w:lineRule="auto"/>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b/>
                <w:bCs/>
                <w:sz w:val="24"/>
              </w:rPr>
            </w:r>
            <w:r/>
          </w:p>
          <w:p>
            <w:pPr>
              <w:pStyle w:val="790"/>
              <w:ind w:left="486"/>
              <w:spacing w:line="400" w:lineRule="exact"/>
              <w:rPr>
                <w:rFonts w:ascii="宋体" w:hAnsi="宋体"/>
                <w:bCs/>
                <w:sz w:val="24"/>
              </w:rPr>
            </w:pPr>
            <w:r>
              <w:rPr>
                <w:rFonts w:ascii="宋体" w:hAnsi="宋体"/>
                <w:b/>
                <w:bCs/>
                <w:sz w:val="24"/>
              </w:rPr>
              <w:t xml:space="preserve">注</w:t>
            </w:r>
            <w:r>
              <w:rPr>
                <w:rFonts w:ascii="宋体" w:hAnsi="宋体"/>
                <w:bCs/>
                <w:sz w:val="24"/>
              </w:rPr>
              <w:t xml:space="preserve">：</w:t>
            </w:r>
            <w:r>
              <w:rPr>
                <w:rFonts w:ascii="宋体" w:hAnsi="宋体"/>
                <w:bCs/>
                <w:sz w:val="24"/>
              </w:rPr>
            </w:r>
            <w:r/>
          </w:p>
          <w:p>
            <w:pPr>
              <w:pStyle w:val="790"/>
              <w:ind w:firstLine="480"/>
              <w:spacing w:line="400" w:lineRule="exact"/>
              <w:rPr>
                <w:rFonts w:ascii="宋体" w:hAnsi="宋体"/>
                <w:bCs/>
                <w:sz w:val="24"/>
              </w:rPr>
            </w:pPr>
            <w:r>
              <w:rPr>
                <w:rFonts w:ascii="宋体" w:hAnsi="宋体"/>
                <w:bCs/>
                <w:sz w:val="24"/>
              </w:rPr>
              <w:t xml:space="preserve">1.投标人应对以上文件的合法性、真实性负责。</w:t>
            </w:r>
            <w:r>
              <w:rPr>
                <w:rFonts w:ascii="宋体" w:hAnsi="宋体"/>
                <w:bCs/>
                <w:sz w:val="24"/>
              </w:rPr>
            </w:r>
            <w:r/>
          </w:p>
          <w:p>
            <w:pPr>
              <w:pStyle w:val="790"/>
              <w:ind w:firstLine="480"/>
              <w:spacing w:line="400" w:lineRule="exact"/>
              <w:rPr>
                <w:rFonts w:ascii="宋体" w:hAnsi="宋体"/>
                <w:bCs/>
                <w:sz w:val="24"/>
              </w:rPr>
            </w:pPr>
            <w:r>
              <w:rPr>
                <w:rFonts w:ascii="宋体" w:hAnsi="宋体"/>
                <w:bCs/>
                <w:sz w:val="24"/>
              </w:rPr>
              <w:t xml:space="preserve">2.签订合同前，中标人必须向采购人提交其投标文件中所有扫描件的原件，采购人核查无误后，签订合同。如中标人不能在采购人规定的时间内向采购人提供原件，将被采购人</w:t>
            </w:r>
            <w:r>
              <w:rPr>
                <w:rFonts w:hint="eastAsia" w:ascii="宋体" w:hAnsi="宋体"/>
                <w:bCs/>
                <w:sz w:val="24"/>
              </w:rPr>
              <w:t xml:space="preserve">视为放弃中标资格。</w:t>
            </w:r>
            <w:r>
              <w:rPr>
                <w:rFonts w:ascii="宋体" w:hAnsi="宋体"/>
                <w:bCs/>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(十三)2</w:t>
            </w:r>
            <w:r>
              <w:rPr>
                <w:rFonts w:ascii="宋体" w:hAnsi="宋体"/>
                <w:sz w:val="24"/>
              </w:rPr>
            </w:r>
            <w:r/>
          </w:p>
        </w:tc>
        <w:tc>
          <w:tcPr>
            <w:tcW w:w="6996" w:type="dxa"/>
            <w:vAlign w:val="top"/>
            <w:textDirection w:val="lrTb"/>
            <w:noWrap w:val="false"/>
          </w:tcPr>
          <w:p>
            <w:pPr>
              <w:pStyle w:val="790"/>
              <w:spacing w:line="400" w:lineRule="exact"/>
              <w:widowControl/>
              <w:rPr>
                <w:rFonts w:ascii="宋体" w:hAnsi="宋体"/>
                <w:sz w:val="24"/>
              </w:rPr>
            </w:pPr>
            <w:r>
              <w:rPr>
                <w:rFonts w:ascii="宋体" w:hAnsi="宋体"/>
                <w:sz w:val="24"/>
              </w:rPr>
              <w:t xml:space="preserve">商务条件见：</w:t>
            </w:r>
            <w:r>
              <w:rPr>
                <w:rFonts w:ascii="宋体" w:hAnsi="宋体"/>
                <w:sz w:val="24"/>
              </w:rPr>
            </w:r>
            <w:r/>
          </w:p>
          <w:p>
            <w:pPr>
              <w:pStyle w:val="790"/>
              <w:spacing w:line="400" w:lineRule="exact"/>
              <w:widowControl/>
              <w:rPr>
                <w:rFonts w:ascii="宋体" w:hAnsi="宋体"/>
                <w:sz w:val="24"/>
              </w:rPr>
            </w:pPr>
            <w:r>
              <w:rPr>
                <w:rFonts w:ascii="宋体" w:hAnsi="宋体"/>
                <w:sz w:val="24"/>
              </w:rPr>
              <w:t xml:space="preserve">一、本文件第四章《评标标准》中《评分细则》。</w:t>
            </w:r>
            <w:r>
              <w:rPr>
                <w:rFonts w:ascii="宋体" w:hAnsi="宋体"/>
                <w:sz w:val="24"/>
              </w:rPr>
            </w:r>
            <w:r/>
          </w:p>
          <w:p>
            <w:pPr>
              <w:pStyle w:val="790"/>
              <w:spacing w:line="400" w:lineRule="exact"/>
              <w:rPr>
                <w:rFonts w:ascii="宋体" w:hAnsi="宋体"/>
                <w:bCs/>
                <w:sz w:val="24"/>
              </w:rPr>
            </w:pPr>
            <w:r>
              <w:rPr>
                <w:rFonts w:ascii="宋体" w:hAnsi="宋体"/>
                <w:sz w:val="24"/>
              </w:rPr>
              <w:t xml:space="preserve">二、本文件第三章《投标资料表》中(十二)1和(十二)2。</w:t>
            </w:r>
            <w:r>
              <w:rPr>
                <w:rFonts w:ascii="宋体" w:hAnsi="宋体"/>
                <w:bCs/>
                <w:sz w:val="24"/>
              </w:rPr>
            </w:r>
            <w:r/>
          </w:p>
        </w:tc>
      </w:tr>
      <w:tr>
        <w:trPr>
          <w:trHeight w:val="90"/>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(十三)3</w:t>
            </w:r>
            <w:r>
              <w:rPr>
                <w:rFonts w:ascii="宋体" w:hAnsi="宋体"/>
                <w:sz w:val="24"/>
              </w:rPr>
            </w:r>
            <w:r/>
          </w:p>
        </w:tc>
        <w:tc>
          <w:tcPr>
            <w:tcW w:w="6996" w:type="dxa"/>
            <w:vAlign w:val="top"/>
            <w:textDirection w:val="lrTb"/>
            <w:noWrap w:val="false"/>
          </w:tcPr>
          <w:p>
            <w:pPr>
              <w:pStyle w:val="790"/>
              <w:spacing w:line="400" w:lineRule="exact"/>
              <w:widowControl/>
              <w:rPr>
                <w:rFonts w:ascii="宋体" w:hAnsi="宋体"/>
                <w:sz w:val="24"/>
              </w:rPr>
            </w:pPr>
            <w:r>
              <w:rPr>
                <w:rFonts w:ascii="宋体" w:hAnsi="宋体"/>
                <w:sz w:val="24"/>
              </w:rPr>
              <w:t xml:space="preserve">交货和提供服务的时间：见本文件第五章 《拟签订的合同文本》及或本文件第六章《采购需求》。</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(十四)3</w:t>
            </w:r>
            <w:r>
              <w:rPr>
                <w:rFonts w:ascii="宋体" w:hAnsi="宋体"/>
                <w:sz w:val="24"/>
              </w:rPr>
            </w:r>
            <w:r/>
          </w:p>
        </w:tc>
        <w:tc>
          <w:tcPr>
            <w:tcW w:w="6996" w:type="dxa"/>
            <w:vAlign w:val="top"/>
            <w:textDirection w:val="lrTb"/>
            <w:noWrap w:val="false"/>
          </w:tcPr>
          <w:p>
            <w:pPr>
              <w:pStyle w:val="687"/>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本项目采购预算3</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90.6万元（人民币）</w:t>
            </w:r>
            <w:r>
              <w:rPr>
                <w:rFonts w:hint="eastAsia" w:ascii="宋体" w:hAnsi="宋体" w:cs="宋体"/>
                <w:sz w:val="24"/>
                <w:highlight w:val="none"/>
              </w:rPr>
              <w:t xml:space="preserve">。不</w:t>
            </w:r>
            <w:r>
              <w:rPr>
                <w:rFonts w:hint="eastAsia" w:ascii="宋体" w:hAnsi="宋体" w:cs="宋体"/>
                <w:sz w:val="24"/>
              </w:rPr>
              <w:t xml:space="preserve">接受超过采购预算的投标报价。报价包括全部费用，采购人不再支付报价以外的任何费用。</w:t>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六</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以人民币报价。</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（十七）</w:t>
            </w:r>
            <w:r>
              <w:rPr>
                <w:rFonts w:hint="eastAsia" w:ascii="宋体" w:hAnsi="宋体"/>
                <w:sz w:val="24"/>
              </w:rPr>
              <w:t xml:space="preserve">（1）</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投标人应当通过“苏采云”系统提交数据电文形式的投标文件（即电子投标）。</w:t>
            </w:r>
            <w:r>
              <w:rPr>
                <w:rFonts w:ascii="宋体" w:hAnsi="宋体"/>
                <w:sz w:val="24"/>
              </w:rPr>
            </w:r>
            <w:r/>
          </w:p>
          <w:p>
            <w:pPr>
              <w:pStyle w:val="790"/>
              <w:spacing w:line="400" w:lineRule="exact"/>
              <w:rPr>
                <w:rFonts w:ascii="宋体" w:hAnsi="宋体"/>
                <w:sz w:val="24"/>
              </w:rPr>
            </w:pPr>
            <w:r>
              <w:rPr>
                <w:rFonts w:ascii="宋体" w:hAnsi="宋体"/>
                <w:sz w:val="24"/>
              </w:rPr>
              <w:t xml:space="preserve">特别说明：通过“苏采云”系统提交政府采购客户端工具导出加密的投标文件（后缀名为zip）。投标文件不得超过</w:t>
            </w:r>
            <w:r>
              <w:rPr>
                <w:rFonts w:hint="eastAsia" w:ascii="宋体" w:hAnsi="宋体"/>
                <w:sz w:val="24"/>
              </w:rPr>
              <w:t xml:space="preserve">150</w:t>
            </w:r>
            <w:r>
              <w:rPr>
                <w:rFonts w:ascii="宋体" w:hAnsi="宋体"/>
                <w:sz w:val="24"/>
              </w:rPr>
              <w:t xml:space="preserve">M！</w:t>
            </w:r>
            <w:r>
              <w:rPr>
                <w:rFonts w:ascii="宋体" w:hAnsi="宋体"/>
                <w:sz w:val="24"/>
              </w:rPr>
            </w:r>
            <w:r/>
          </w:p>
          <w:p>
            <w:pPr>
              <w:pStyle w:val="790"/>
              <w:spacing w:line="400" w:lineRule="exact"/>
              <w:rPr>
                <w:rFonts w:ascii="宋体" w:hAnsi="宋体"/>
                <w:sz w:val="24"/>
              </w:rPr>
            </w:pPr>
            <w:r>
              <w:rPr>
                <w:rFonts w:ascii="宋体" w:hAnsi="宋体"/>
                <w:sz w:val="24"/>
              </w:rPr>
              <w:t xml:space="preserve">说明：本项目采用线上投标，即供应商投标文件从政府采购客户端工具制作通过“苏采云”系统提交，未提供投标文件的，投标无效。</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w:t>
            </w:r>
            <w:r>
              <w:rPr>
                <w:rFonts w:ascii="宋体" w:hAnsi="宋体"/>
                <w:sz w:val="24"/>
              </w:rPr>
            </w:r>
            <w:r/>
          </w:p>
        </w:tc>
        <w:tc>
          <w:tcPr>
            <w:tcW w:w="6996" w:type="dxa"/>
            <w:vAlign w:val="top"/>
            <w:textDirection w:val="lrTb"/>
            <w:noWrap w:val="false"/>
          </w:tcPr>
          <w:p>
            <w:pPr>
              <w:pStyle w:val="687"/>
              <w:spacing w:line="400" w:lineRule="exact"/>
              <w:rPr>
                <w:rFonts w:ascii="宋体" w:hAnsi="宋体" w:cs="宋体"/>
                <w:sz w:val="24"/>
              </w:rPr>
            </w:pPr>
            <w:r>
              <w:rPr>
                <w:rFonts w:ascii="宋体" w:hAnsi="宋体"/>
                <w:sz w:val="24"/>
              </w:rPr>
              <w:t xml:space="preserve">见本文件第三章《投标资料表》中(十二)1和(十二)2</w:t>
            </w:r>
            <w:r>
              <w:rPr>
                <w:rFonts w:ascii="宋体" w:hAnsi="宋体" w:cs="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九</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ind w:left="560" w:hanging="480"/>
              <w:spacing w:line="400" w:lineRule="exact"/>
              <w:rPr>
                <w:rFonts w:ascii="宋体" w:hAnsi="宋体"/>
                <w:sz w:val="24"/>
              </w:rPr>
            </w:pPr>
            <w:r>
              <w:rPr>
                <w:rFonts w:ascii="宋体" w:hAnsi="宋体"/>
                <w:sz w:val="24"/>
              </w:rPr>
              <w:t xml:space="preserve">投标文件的提交： </w:t>
            </w:r>
            <w:r>
              <w:rPr>
                <w:rFonts w:ascii="宋体" w:hAnsi="宋体"/>
                <w:sz w:val="24"/>
              </w:rPr>
            </w:r>
            <w:r/>
          </w:p>
          <w:p>
            <w:pPr>
              <w:pStyle w:val="790"/>
              <w:ind w:left="560" w:hanging="480"/>
              <w:spacing w:line="400" w:lineRule="exact"/>
              <w:rPr>
                <w:rFonts w:ascii="宋体" w:hAnsi="宋体"/>
                <w:sz w:val="24"/>
                <w:highlight w:val="none"/>
              </w:rPr>
            </w:pPr>
            <w:r>
              <w:rPr>
                <w:rFonts w:ascii="宋体" w:hAnsi="宋体"/>
                <w:sz w:val="24"/>
                <w:highlight w:val="none"/>
              </w:rPr>
              <w:t xml:space="preserve">1.投标文件提交时间：</w:t>
            </w:r>
            <w:r>
              <w:rPr>
                <w:rFonts w:ascii="宋体" w:hAnsi="宋体"/>
                <w:color w:val="ff0000"/>
                <w:sz w:val="24"/>
                <w:highlight w:val="none"/>
              </w:rPr>
              <w:t xml:space="preserve">202</w:t>
            </w:r>
            <w:r>
              <w:rPr>
                <w:rFonts w:hint="eastAsia" w:ascii="宋体" w:hAnsi="宋体"/>
                <w:color w:val="ff0000"/>
                <w:sz w:val="24"/>
                <w:highlight w:val="none"/>
              </w:rPr>
              <w:t xml:space="preserve">6</w:t>
            </w:r>
            <w:r>
              <w:rPr>
                <w:rFonts w:ascii="宋体" w:hAnsi="宋体"/>
                <w:color w:val="ff0000"/>
                <w:sz w:val="24"/>
                <w:highlight w:val="none"/>
              </w:rPr>
              <w:t xml:space="preserve">年</w:t>
            </w:r>
            <w:r>
              <w:rPr>
                <w:rFonts w:hint="eastAsia" w:ascii="宋体" w:hAnsi="宋体"/>
                <w:color w:val="ff0000"/>
                <w:sz w:val="24"/>
                <w:highlight w:val="none"/>
                <w:lang w:val="en-US" w:eastAsia="zh-CN"/>
              </w:rPr>
              <w:t xml:space="preserve">9</w:t>
            </w:r>
            <w:r>
              <w:rPr>
                <w:rFonts w:ascii="宋体" w:hAnsi="宋体"/>
                <w:color w:val="ff0000"/>
                <w:sz w:val="24"/>
                <w:highlight w:val="none"/>
              </w:rPr>
              <w:t xml:space="preserve">月</w:t>
            </w:r>
            <w:r>
              <w:rPr>
                <w:rFonts w:hint="eastAsia" w:ascii="宋体" w:hAnsi="宋体"/>
                <w:color w:val="ff0000"/>
                <w:sz w:val="24"/>
                <w:highlight w:val="none"/>
                <w:lang w:val="en-US" w:eastAsia="zh-CN"/>
              </w:rPr>
              <w:t xml:space="preserve">30</w:t>
            </w:r>
            <w:r>
              <w:rPr>
                <w:rFonts w:ascii="宋体" w:hAnsi="宋体"/>
                <w:color w:val="ff0000"/>
                <w:sz w:val="24"/>
                <w:highlight w:val="none"/>
              </w:rPr>
              <w:t xml:space="preserve">日</w:t>
            </w:r>
            <w:r>
              <w:rPr>
                <w:rFonts w:hint="eastAsia" w:ascii="宋体" w:hAnsi="宋体"/>
                <w:color w:val="ff0000"/>
                <w:sz w:val="24"/>
                <w:highlight w:val="none"/>
              </w:rPr>
              <w:t xml:space="preserve">9:30</w:t>
            </w:r>
            <w:r>
              <w:rPr>
                <w:rFonts w:ascii="宋体" w:hAnsi="宋体"/>
                <w:color w:val="ff0000"/>
                <w:sz w:val="24"/>
                <w:highlight w:val="none"/>
              </w:rPr>
              <w:t xml:space="preserve">前</w:t>
            </w:r>
            <w:r>
              <w:rPr>
                <w:rFonts w:ascii="宋体" w:hAnsi="宋体"/>
                <w:sz w:val="24"/>
                <w:highlight w:val="none"/>
              </w:rPr>
              <w:t xml:space="preserve">。</w:t>
            </w:r>
            <w:r>
              <w:rPr>
                <w:rFonts w:ascii="宋体" w:hAnsi="宋体"/>
                <w:sz w:val="24"/>
                <w:highlight w:val="none"/>
              </w:rPr>
            </w:r>
            <w:r/>
          </w:p>
          <w:p>
            <w:pPr>
              <w:pStyle w:val="790"/>
              <w:ind w:left="560" w:hanging="480"/>
              <w:spacing w:line="400" w:lineRule="exact"/>
              <w:rPr>
                <w:rFonts w:ascii="宋体" w:hAnsi="宋体"/>
                <w:sz w:val="24"/>
                <w:highlight w:val="none"/>
              </w:rPr>
            </w:pPr>
            <w:r>
              <w:rPr>
                <w:rFonts w:ascii="宋体" w:hAnsi="宋体"/>
                <w:sz w:val="24"/>
                <w:highlight w:val="none"/>
              </w:rPr>
              <w:t xml:space="preserve">2.投标截止时间：</w:t>
            </w:r>
            <w:r>
              <w:rPr>
                <w:rFonts w:ascii="宋体" w:hAnsi="宋体"/>
                <w:color w:val="ff0000"/>
                <w:sz w:val="24"/>
                <w:highlight w:val="none"/>
              </w:rPr>
              <w:t xml:space="preserve">202</w:t>
            </w:r>
            <w:r>
              <w:rPr>
                <w:rFonts w:hint="eastAsia" w:ascii="宋体" w:hAnsi="宋体"/>
                <w:color w:val="ff0000"/>
                <w:sz w:val="24"/>
                <w:highlight w:val="none"/>
              </w:rPr>
              <w:t xml:space="preserve">6</w:t>
            </w:r>
            <w:r>
              <w:rPr>
                <w:rFonts w:ascii="宋体" w:hAnsi="宋体"/>
                <w:color w:val="ff0000"/>
                <w:sz w:val="24"/>
                <w:highlight w:val="none"/>
              </w:rPr>
              <w:t xml:space="preserve">年</w:t>
            </w:r>
            <w:r>
              <w:rPr>
                <w:rFonts w:hint="eastAsia" w:ascii="宋体" w:hAnsi="宋体"/>
                <w:color w:val="ff0000"/>
                <w:sz w:val="24"/>
                <w:highlight w:val="none"/>
                <w:lang w:val="en-US" w:eastAsia="zh-CN"/>
              </w:rPr>
              <w:t xml:space="preserve">9</w:t>
            </w:r>
            <w:r>
              <w:rPr>
                <w:rFonts w:ascii="宋体" w:hAnsi="宋体"/>
                <w:color w:val="ff0000"/>
                <w:sz w:val="24"/>
                <w:highlight w:val="none"/>
              </w:rPr>
              <w:t xml:space="preserve">月</w:t>
            </w:r>
            <w:r>
              <w:rPr>
                <w:rFonts w:hint="eastAsia" w:ascii="宋体" w:hAnsi="宋体"/>
                <w:color w:val="ff0000"/>
                <w:sz w:val="24"/>
                <w:highlight w:val="none"/>
                <w:lang w:val="en-US" w:eastAsia="zh-CN"/>
              </w:rPr>
              <w:t xml:space="preserve">30</w:t>
            </w:r>
            <w:r>
              <w:rPr>
                <w:rFonts w:ascii="宋体" w:hAnsi="宋体"/>
                <w:color w:val="ff0000"/>
                <w:sz w:val="24"/>
                <w:highlight w:val="none"/>
              </w:rPr>
              <w:t xml:space="preserve">日北京时间</w:t>
            </w:r>
            <w:r>
              <w:rPr>
                <w:rFonts w:hint="eastAsia" w:ascii="宋体" w:hAnsi="宋体"/>
                <w:color w:val="ff0000"/>
                <w:sz w:val="24"/>
                <w:highlight w:val="none"/>
              </w:rPr>
              <w:t xml:space="preserve">9:30</w:t>
            </w:r>
            <w:r>
              <w:rPr>
                <w:rFonts w:ascii="宋体" w:hAnsi="宋体"/>
                <w:sz w:val="24"/>
                <w:highlight w:val="none"/>
              </w:rPr>
              <w:t xml:space="preserve">。</w:t>
            </w:r>
            <w:r>
              <w:rPr>
                <w:rFonts w:ascii="宋体" w:hAnsi="宋体"/>
                <w:sz w:val="24"/>
                <w:highlight w:val="none"/>
              </w:rPr>
            </w:r>
            <w:r/>
          </w:p>
          <w:p>
            <w:pPr>
              <w:pStyle w:val="790"/>
              <w:spacing w:line="400" w:lineRule="exact"/>
              <w:rPr>
                <w:rFonts w:ascii="宋体" w:hAnsi="宋体"/>
                <w:sz w:val="24"/>
              </w:rPr>
            </w:pPr>
            <w:r>
              <w:rPr>
                <w:rFonts w:ascii="宋体" w:hAnsi="宋体"/>
                <w:sz w:val="24"/>
              </w:rPr>
              <w:t xml:space="preserve">3.投标文件提交地点：投标人应当通过“苏采云”系统提交数据电文形式的投标文件（即电子投标），“苏采云”系统自动接收。</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二十</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b/>
                <w:sz w:val="24"/>
              </w:rPr>
            </w:pPr>
            <w:r>
              <w:rPr>
                <w:rFonts w:ascii="宋体" w:hAnsi="宋体"/>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sz w:val="24"/>
              </w:rPr>
              <w:t xml:space="preserve">并于开标后规定的时间内解密各自投标文件。</w:t>
            </w:r>
            <w:r>
              <w:rPr>
                <w:rFonts w:ascii="宋体" w:hAnsi="宋体"/>
                <w:b/>
                <w:sz w:val="24"/>
              </w:rPr>
            </w:r>
            <w:r/>
          </w:p>
          <w:p>
            <w:pPr>
              <w:pStyle w:val="790"/>
              <w:spacing w:line="400" w:lineRule="exact"/>
              <w:rPr>
                <w:rFonts w:ascii="宋体" w:hAnsi="宋体"/>
                <w:sz w:val="24"/>
              </w:rPr>
            </w:pPr>
            <w:r>
              <w:rPr>
                <w:rFonts w:hint="eastAsia" w:ascii="宋体" w:hAnsi="宋体"/>
                <w:bCs/>
                <w:sz w:val="24"/>
              </w:rPr>
              <w:t xml:space="preserve">说明：投标人应登录“苏采云”系统，在达到开标时间后，使用CA数字证书解密各自投标文件。</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四</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开标</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)1</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开标时间及地点：</w:t>
            </w:r>
            <w:r>
              <w:rPr>
                <w:rFonts w:ascii="宋体" w:hAnsi="宋体"/>
                <w:sz w:val="24"/>
              </w:rPr>
            </w:r>
            <w:r/>
          </w:p>
          <w:p>
            <w:pPr>
              <w:pStyle w:val="790"/>
              <w:spacing w:line="400" w:lineRule="exact"/>
              <w:rPr>
                <w:rFonts w:ascii="宋体" w:hAnsi="宋体"/>
                <w:b/>
                <w:bCs/>
                <w:color w:val="ff0000"/>
                <w:sz w:val="24"/>
                <w:highlight w:val="none"/>
              </w:rPr>
            </w:pPr>
            <w:r>
              <w:rPr>
                <w:rFonts w:ascii="宋体" w:hAnsi="宋体"/>
                <w:color w:val="ff0000"/>
                <w:sz w:val="24"/>
                <w:highlight w:val="none"/>
              </w:rPr>
              <w:t xml:space="preserve">1.开标时间：202</w:t>
            </w:r>
            <w:r>
              <w:rPr>
                <w:rFonts w:hint="eastAsia" w:ascii="宋体" w:hAnsi="宋体"/>
                <w:color w:val="ff0000"/>
                <w:sz w:val="24"/>
                <w:highlight w:val="none"/>
              </w:rPr>
              <w:t xml:space="preserve">6</w:t>
            </w:r>
            <w:r>
              <w:rPr>
                <w:rFonts w:ascii="宋体" w:hAnsi="宋体"/>
                <w:color w:val="ff0000"/>
                <w:sz w:val="24"/>
                <w:highlight w:val="none"/>
              </w:rPr>
              <w:t xml:space="preserve">年</w:t>
            </w:r>
            <w:r>
              <w:rPr>
                <w:rFonts w:hint="eastAsia" w:ascii="宋体" w:hAnsi="宋体"/>
                <w:color w:val="ff0000"/>
                <w:sz w:val="24"/>
                <w:highlight w:val="none"/>
                <w:lang w:val="en-US" w:eastAsia="zh-CN"/>
              </w:rPr>
              <w:t xml:space="preserve">9</w:t>
            </w:r>
            <w:r>
              <w:rPr>
                <w:rFonts w:ascii="宋体" w:hAnsi="宋体"/>
                <w:color w:val="ff0000"/>
                <w:sz w:val="24"/>
                <w:highlight w:val="none"/>
              </w:rPr>
              <w:t xml:space="preserve">月</w:t>
            </w:r>
            <w:r>
              <w:rPr>
                <w:rFonts w:hint="eastAsia" w:ascii="宋体" w:hAnsi="宋体"/>
                <w:color w:val="ff0000"/>
                <w:sz w:val="24"/>
                <w:highlight w:val="none"/>
                <w:lang w:val="en-US" w:eastAsia="zh-CN"/>
              </w:rPr>
              <w:t xml:space="preserve">30</w:t>
            </w:r>
            <w:r>
              <w:rPr>
                <w:rFonts w:ascii="宋体" w:hAnsi="宋体"/>
                <w:color w:val="ff0000"/>
                <w:sz w:val="24"/>
                <w:highlight w:val="none"/>
              </w:rPr>
              <w:t xml:space="preserve">日</w:t>
            </w:r>
            <w:r>
              <w:rPr>
                <w:rFonts w:hint="eastAsia" w:ascii="宋体" w:hAnsi="宋体"/>
                <w:color w:val="ff0000"/>
                <w:sz w:val="24"/>
                <w:highlight w:val="none"/>
              </w:rPr>
              <w:t xml:space="preserve">9:30</w:t>
            </w:r>
            <w:r>
              <w:rPr>
                <w:rFonts w:ascii="宋体" w:hAnsi="宋体"/>
                <w:color w:val="ff0000"/>
                <w:sz w:val="24"/>
                <w:highlight w:val="none"/>
              </w:rPr>
              <w:t xml:space="preserve">（标准时间）</w:t>
            </w:r>
            <w:r>
              <w:rPr>
                <w:rFonts w:ascii="宋体" w:hAnsi="宋体"/>
                <w:b/>
                <w:bCs/>
                <w:color w:val="ff0000"/>
                <w:sz w:val="24"/>
                <w:highlight w:val="none"/>
              </w:rPr>
            </w:r>
            <w:r/>
          </w:p>
          <w:p>
            <w:pPr>
              <w:pStyle w:val="790"/>
              <w:spacing w:line="400" w:lineRule="exact"/>
              <w:rPr>
                <w:rFonts w:ascii="宋体" w:hAnsi="宋体"/>
                <w:sz w:val="24"/>
              </w:rPr>
            </w:pPr>
            <w:r>
              <w:rPr>
                <w:rFonts w:ascii="宋体" w:hAnsi="宋体"/>
                <w:sz w:val="24"/>
              </w:rPr>
              <w:t xml:space="preserve">2.开标地点：“苏采云”系统（网址： http://jszfcg.jsczt.cn/）“开标大厅”或进入徐州政府采购网（网址：</w:t>
            </w:r>
            <w:r>
              <w:rPr>
                <w:rFonts w:hint="eastAsia" w:ascii="仿宋" w:hAnsi="仿宋" w:eastAsia="仿宋" w:cs="仿宋"/>
                <w:color w:val="000000"/>
                <w:sz w:val="28"/>
                <w:szCs w:val="28"/>
                <w:highlight w:val="none"/>
              </w:rPr>
              <w:t xml:space="preserve">http://czj.xz.gov.cn/zfcg/</w:t>
            </w:r>
            <w:r>
              <w:rPr>
                <w:rFonts w:ascii="宋体" w:hAnsi="宋体"/>
                <w:sz w:val="24"/>
              </w:rPr>
              <w:t xml:space="preserve">）--业务工作--用户登录，点击“苏采云”进入系统“开标大厅”</w:t>
            </w:r>
            <w:r>
              <w:rPr>
                <w:rFonts w:ascii="宋体" w:hAnsi="宋体"/>
                <w:sz w:val="28"/>
                <w:szCs w:val="28"/>
              </w:rPr>
              <w:t xml:space="preserve">。</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w:t>
            </w:r>
            <w:r>
              <w:rPr>
                <w:rFonts w:hint="eastAsia" w:ascii="宋体" w:hAnsi="宋体"/>
                <w:sz w:val="24"/>
              </w:rPr>
              <w:t xml:space="preserve">3</w:t>
            </w:r>
            <w:r>
              <w:rPr>
                <w:rFonts w:ascii="宋体" w:hAnsi="宋体"/>
                <w:sz w:val="24"/>
              </w:rPr>
            </w:r>
            <w:r/>
          </w:p>
        </w:tc>
        <w:tc>
          <w:tcPr>
            <w:tcW w:w="6996" w:type="dxa"/>
            <w:vAlign w:val="top"/>
            <w:textDirection w:val="lrTb"/>
            <w:noWrap w:val="false"/>
          </w:tcPr>
          <w:p>
            <w:pPr>
              <w:pStyle w:val="790"/>
              <w:ind w:firstLine="480"/>
              <w:spacing w:line="400" w:lineRule="exact"/>
              <w:widowControl/>
              <w:rPr>
                <w:rFonts w:ascii="宋体" w:hAnsi="宋体"/>
                <w:sz w:val="24"/>
              </w:rPr>
            </w:pPr>
            <w:r>
              <w:rPr>
                <w:rFonts w:ascii="宋体" w:hAnsi="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sz w:val="24"/>
              </w:rPr>
            </w:r>
            <w:r/>
          </w:p>
          <w:p>
            <w:pPr>
              <w:pStyle w:val="790"/>
              <w:spacing w:line="400" w:lineRule="exact"/>
              <w:rPr>
                <w:rFonts w:ascii="宋体" w:hAnsi="宋体"/>
                <w:sz w:val="24"/>
              </w:rPr>
            </w:pPr>
            <w:r>
              <w:rPr>
                <w:rFonts w:ascii="宋体" w:hAnsi="宋体"/>
                <w:sz w:val="24"/>
              </w:rPr>
              <w:t xml:space="preserve">所有投标人解密结束后或解密时间结束后，</w:t>
            </w:r>
            <w:r>
              <w:rPr>
                <w:rFonts w:hint="eastAsia" w:ascii="宋体" w:hAnsi="宋体"/>
                <w:sz w:val="24"/>
              </w:rPr>
              <w:t xml:space="preserve">“苏采云”系统生成开标记录并向社会公众公布，但依法应当保密的除外。</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五</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评标</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本项目的评标方法：采用综合评分法。</w:t>
            </w:r>
            <w:r>
              <w:rPr>
                <w:rFonts w:ascii="宋体" w:hAnsi="宋体"/>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)1</w:t>
            </w:r>
            <w:r>
              <w:rPr>
                <w:rFonts w:ascii="宋体" w:hAnsi="宋体"/>
                <w:sz w:val="24"/>
              </w:rPr>
            </w:r>
            <w:r/>
          </w:p>
          <w:p>
            <w:pPr>
              <w:pStyle w:val="790"/>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)1（4）</w:t>
            </w:r>
            <w:r>
              <w:rPr>
                <w:rFonts w:ascii="宋体" w:hAnsi="宋体"/>
                <w:sz w:val="24"/>
              </w:rPr>
            </w:r>
            <w:r/>
          </w:p>
        </w:tc>
        <w:tc>
          <w:tcPr>
            <w:tcW w:w="6996" w:type="dxa"/>
            <w:vAlign w:val="top"/>
            <w:textDirection w:val="lrTb"/>
            <w:noWrap w:val="false"/>
          </w:tcPr>
          <w:p>
            <w:pPr>
              <w:pStyle w:val="687"/>
              <w:spacing w:line="400" w:lineRule="exact"/>
              <w:rPr>
                <w:rFonts w:ascii="宋体" w:hAnsi="宋体"/>
                <w:sz w:val="24"/>
              </w:rPr>
            </w:pPr>
            <w:r>
              <w:rPr>
                <w:rFonts w:ascii="宋体" w:hAnsi="宋体"/>
                <w:sz w:val="24"/>
              </w:rPr>
              <w:t xml:space="preserve">一、推荐中标候选供应商名单。中标候选供应商数量应当根据采购需要确定，但必须按顺序排列中标候选供应商。</w:t>
            </w:r>
            <w:r>
              <w:rPr>
                <w:rFonts w:ascii="宋体" w:hAnsi="宋体"/>
                <w:sz w:val="24"/>
              </w:rPr>
            </w:r>
            <w:r/>
          </w:p>
          <w:p>
            <w:pPr>
              <w:pStyle w:val="687"/>
              <w:spacing w:line="400" w:lineRule="exact"/>
              <w:rPr>
                <w:rFonts w:ascii="宋体" w:hAnsi="宋体"/>
                <w:sz w:val="24"/>
              </w:rPr>
            </w:pPr>
            <w:r>
              <w:rPr>
                <w:rFonts w:ascii="宋体" w:hAnsi="宋体"/>
                <w:sz w:val="24"/>
              </w:rPr>
              <w:t xml:space="preserve">二、采用综合评分法的，按评审后得分由高到低顺序排列。得分相同的，按投标报价由低到高顺序排列。得分且投标报价相同的，按服务方案得分顺序排列。</w:t>
            </w:r>
            <w:r>
              <w:rPr>
                <w:rFonts w:ascii="宋体" w:hAnsi="宋体"/>
                <w:sz w:val="24"/>
              </w:rPr>
            </w:r>
            <w:r/>
          </w:p>
        </w:tc>
      </w:tr>
      <w:tr>
        <w:trPr>
          <w:trHeight w:val="90"/>
        </w:trPr>
        <w:tc>
          <w:tcPr>
            <w:tcW w:w="1669" w:type="dxa"/>
            <w:vAlign w:val="top"/>
            <w:textDirection w:val="lrTb"/>
            <w:noWrap w:val="false"/>
          </w:tcPr>
          <w:p>
            <w:pPr>
              <w:pStyle w:val="790"/>
              <w:jc w:val="center"/>
              <w:spacing w:line="400" w:lineRule="exact"/>
              <w:rPr>
                <w:rFonts w:ascii="宋体" w:hAnsi="宋体"/>
                <w:sz w:val="24"/>
              </w:rPr>
            </w:pPr>
            <w:r>
              <w:rPr>
                <w:rFonts w:hint="eastAsia" w:ascii="宋体" w:hAnsi="宋体"/>
                <w:sz w:val="24"/>
              </w:rPr>
              <w:t xml:space="preserve">（二十九）（4）</w:t>
            </w:r>
            <w:r>
              <w:rPr>
                <w:rFonts w:ascii="宋体" w:hAnsi="宋体"/>
                <w:sz w:val="24"/>
              </w:rPr>
            </w:r>
            <w:r/>
          </w:p>
        </w:tc>
        <w:tc>
          <w:tcPr>
            <w:tcW w:w="6996" w:type="dxa"/>
            <w:vAlign w:val="top"/>
            <w:textDirection w:val="lrTb"/>
            <w:noWrap w:val="false"/>
          </w:tcPr>
          <w:p>
            <w:pPr>
              <w:pStyle w:val="687"/>
              <w:spacing w:line="400"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1.评标中需要投标人对投标文件澄清或者说明的，应当通过“苏采云”系统交换数据电文。在评标期间，请投标人保持在线。</w:t>
            </w:r>
            <w:r>
              <w:rPr>
                <w:rFonts w:ascii="宋体" w:hAnsi="宋体"/>
                <w:color w:val="000000"/>
                <w:sz w:val="24"/>
              </w:rPr>
            </w:r>
            <w:r/>
          </w:p>
          <w:p>
            <w:pPr>
              <w:pStyle w:val="687"/>
              <w:spacing w:line="400"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olor w:val="000000"/>
                <w:sz w:val="24"/>
              </w:rPr>
            </w:r>
            <w:r/>
          </w:p>
          <w:p>
            <w:pPr>
              <w:pStyle w:val="687"/>
              <w:spacing w:line="400"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olor w:val="000000"/>
                <w:sz w:val="24"/>
              </w:rPr>
            </w:r>
            <w:r/>
          </w:p>
          <w:p>
            <w:pPr>
              <w:pStyle w:val="790"/>
              <w:spacing w:line="400" w:lineRule="exact"/>
              <w:rPr>
                <w:rFonts w:ascii="宋体" w:hAnsi="宋体"/>
                <w:color w:val="000000"/>
                <w:sz w:val="24"/>
              </w:rPr>
            </w:pPr>
            <w:r>
              <w:rPr>
                <w:rFonts w:ascii="宋体" w:hAnsi="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olor w:val="000000"/>
                <w:sz w:val="24"/>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4.实施政府采购异常低价审查的有关要求：</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评审过程中出现下列情形之一的，评审委员会应当启动异常低价投标审查程序：</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（3）投标（响应）报价低于采购项目最高限价45%的，即投标（响应）报价&lt;采购项目最高限价×45%；</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（4）评审委员会认定供应商报价过低，有可能影响产品质量或者不能诚信履约的其他情形。</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lang w:val="en-US" w:eastAsia="zh-CN"/>
              </w:rPr>
            </w:r>
            <w:r/>
          </w:p>
          <w:p>
            <w:pPr>
              <w:pStyle w:val="787"/>
              <w:rPr>
                <w:rFonts w:hint="eastAsia" w:ascii="宋体" w:hAnsi="宋体"/>
                <w:color w:val="000000"/>
                <w:sz w:val="24"/>
                <w:lang w:val="en-US" w:eastAsia="zh-CN"/>
              </w:rPr>
            </w:pPr>
            <w:r>
              <w:rPr>
                <w:rFonts w:hint="eastAsia" w:ascii="宋体" w:hAnsi="宋体"/>
                <w:color w:val="000000"/>
                <w:sz w:val="24"/>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olor w:val="000000"/>
                <w:sz w:val="24"/>
                <w:lang w:val="en-US" w:eastAsia="zh-CN"/>
              </w:rPr>
            </w:r>
            <w:r/>
          </w:p>
          <w:p>
            <w:pPr>
              <w:pStyle w:val="787"/>
              <w:rPr>
                <w:rFonts w:eastAsia="宋体"/>
                <w:color w:val="000000"/>
                <w:lang w:val="en-US" w:eastAsia="zh-CN"/>
              </w:rPr>
            </w:pPr>
            <w:r>
              <w:rPr>
                <w:rFonts w:hint="eastAsia" w:ascii="宋体" w:hAnsi="宋体"/>
                <w:color w:val="000000"/>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color w:val="000000"/>
                <w:lang w:val="en-US" w:eastAsia="zh-CN"/>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七</w:t>
            </w:r>
            <w:r>
              <w:rPr>
                <w:rFonts w:ascii="宋体" w:hAnsi="宋体"/>
                <w:sz w:val="24"/>
              </w:rPr>
            </w:r>
            <w:r/>
          </w:p>
        </w:tc>
        <w:tc>
          <w:tcPr>
            <w:tcW w:w="6996" w:type="dxa"/>
            <w:vAlign w:val="top"/>
            <w:textDirection w:val="lrTb"/>
            <w:noWrap w:val="false"/>
          </w:tcPr>
          <w:p>
            <w:pPr>
              <w:pStyle w:val="790"/>
              <w:spacing w:line="400" w:lineRule="exact"/>
              <w:rPr>
                <w:rFonts w:ascii="宋体" w:hAnsi="宋体"/>
                <w:color w:val="000000"/>
                <w:sz w:val="24"/>
              </w:rPr>
            </w:pPr>
            <w:r>
              <w:rPr>
                <w:rFonts w:ascii="宋体" w:hAnsi="宋体"/>
                <w:color w:val="000000"/>
                <w:sz w:val="24"/>
              </w:rPr>
              <w:t xml:space="preserve">政府采购合同</w:t>
            </w:r>
            <w:r>
              <w:rPr>
                <w:rFonts w:ascii="宋体" w:hAnsi="宋体"/>
                <w:color w:val="000000"/>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)1</w:t>
            </w:r>
            <w:r>
              <w:rPr>
                <w:rFonts w:ascii="宋体" w:hAnsi="宋体"/>
                <w:sz w:val="24"/>
              </w:rPr>
            </w:r>
            <w:r/>
          </w:p>
        </w:tc>
        <w:tc>
          <w:tcPr>
            <w:tcW w:w="6996" w:type="dxa"/>
            <w:vAlign w:val="top"/>
            <w:textDirection w:val="lrTb"/>
            <w:noWrap w:val="false"/>
          </w:tcPr>
          <w:p>
            <w:pPr>
              <w:pStyle w:val="790"/>
              <w:spacing w:line="400" w:lineRule="exact"/>
              <w:rPr>
                <w:rFonts w:ascii="宋体" w:hAnsi="宋体"/>
                <w:color w:val="000000"/>
                <w:sz w:val="24"/>
              </w:rPr>
            </w:pPr>
            <w:r>
              <w:rPr>
                <w:rFonts w:ascii="宋体" w:hAnsi="宋体"/>
                <w:color w:val="000000"/>
                <w:sz w:val="24"/>
              </w:rPr>
              <w:t xml:space="preserve">采购人与中标、成交供应商应当在中标、成交通知书发出之日起30日内，按照采购文件确定的事项签订政府采购合同。</w:t>
            </w:r>
            <w:r>
              <w:rPr>
                <w:rFonts w:ascii="宋体" w:hAnsi="宋体"/>
                <w:color w:val="000000"/>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（三十</w:t>
            </w:r>
            <w:r>
              <w:rPr>
                <w:rFonts w:hint="eastAsia" w:ascii="宋体" w:hAnsi="宋体"/>
                <w:sz w:val="24"/>
              </w:rPr>
              <w:t xml:space="preserve">八</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color w:val="000000"/>
                <w:sz w:val="24"/>
              </w:rPr>
            </w:pPr>
            <w:r>
              <w:rPr>
                <w:rFonts w:ascii="宋体" w:hAnsi="宋体"/>
                <w:color w:val="000000"/>
                <w:sz w:val="24"/>
              </w:rPr>
              <w:t xml:space="preserve">履约保证金</w:t>
            </w:r>
            <w:r>
              <w:rPr>
                <w:rFonts w:hint="eastAsia" w:ascii="宋体" w:hAnsi="宋体"/>
                <w:color w:val="000000"/>
                <w:sz w:val="24"/>
              </w:rPr>
              <w:t xml:space="preserve">：无</w:t>
            </w:r>
            <w:r>
              <w:rPr>
                <w:rFonts w:ascii="宋体" w:hAnsi="宋体"/>
                <w:color w:val="000000"/>
                <w:sz w:val="24"/>
              </w:rPr>
              <w:t xml:space="preserve">。</w:t>
            </w:r>
            <w:r>
              <w:rPr>
                <w:rFonts w:ascii="宋体" w:hAnsi="宋体"/>
                <w:color w:val="000000"/>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四十一</w:t>
            </w:r>
            <w:r>
              <w:rPr>
                <w:rFonts w:ascii="宋体" w:hAnsi="宋体"/>
                <w:sz w:val="24"/>
              </w:rPr>
              <w:t xml:space="preserve">)</w:t>
            </w:r>
            <w:r>
              <w:rPr>
                <w:rFonts w:ascii="宋体" w:hAnsi="宋体"/>
                <w:sz w:val="24"/>
              </w:rPr>
            </w:r>
            <w:r/>
          </w:p>
        </w:tc>
        <w:tc>
          <w:tcPr>
            <w:tcW w:w="6996" w:type="dxa"/>
            <w:vAlign w:val="top"/>
            <w:textDirection w:val="lrTb"/>
            <w:noWrap w:val="false"/>
          </w:tcPr>
          <w:p>
            <w:pPr>
              <w:pStyle w:val="790"/>
              <w:spacing w:line="400" w:lineRule="exact"/>
              <w:rPr>
                <w:rFonts w:ascii="宋体" w:hAnsi="宋体"/>
                <w:color w:val="000000"/>
                <w:sz w:val="24"/>
              </w:rPr>
            </w:pPr>
            <w:r>
              <w:rPr>
                <w:rFonts w:ascii="宋体" w:hAnsi="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olor w:val="000000"/>
                <w:sz w:val="24"/>
              </w:rPr>
            </w:r>
            <w:r/>
          </w:p>
          <w:p>
            <w:pPr>
              <w:pStyle w:val="687"/>
              <w:spacing w:line="400" w:lineRule="exact"/>
              <w:rPr>
                <w:rFonts w:ascii="宋体" w:hAnsi="宋体" w:cs="宋体"/>
                <w:color w:val="000000"/>
                <w:sz w:val="24"/>
              </w:rPr>
            </w:pPr>
            <w:r>
              <w:rPr>
                <w:rFonts w:ascii="宋体" w:hAnsi="宋体"/>
                <w:color w:val="000000"/>
                <w:sz w:val="24"/>
              </w:rPr>
              <w:t xml:space="preserve">供应商在法定质疑期内一次性提出针对同一采购程序环节的质疑。</w:t>
            </w:r>
            <w:r>
              <w:rPr>
                <w:rFonts w:ascii="宋体" w:hAnsi="宋体" w:cs="宋体"/>
                <w:color w:val="000000"/>
                <w:sz w:val="24"/>
              </w:rPr>
            </w:r>
            <w:r/>
          </w:p>
          <w:p>
            <w:pPr>
              <w:pStyle w:val="790"/>
              <w:spacing w:line="400" w:lineRule="exact"/>
              <w:rPr>
                <w:rFonts w:ascii="宋体" w:hAnsi="宋体"/>
                <w:color w:val="000000"/>
                <w:sz w:val="24"/>
                <w:highlight w:val="none"/>
              </w:rPr>
            </w:pPr>
            <w:r>
              <w:rPr>
                <w:rFonts w:ascii="宋体" w:hAnsi="宋体"/>
                <w:color w:val="000000"/>
                <w:sz w:val="24"/>
                <w:highlight w:val="none"/>
              </w:rPr>
              <w:t xml:space="preserve">质疑接收人：</w:t>
            </w:r>
            <w:r>
              <w:rPr>
                <w:rFonts w:hint="eastAsia" w:ascii="宋体" w:hAnsi="宋体"/>
                <w:color w:val="000000"/>
                <w:sz w:val="24"/>
                <w:highlight w:val="none"/>
                <w:lang w:eastAsia="zh-CN"/>
              </w:rPr>
              <w:t xml:space="preserve">陈胜男</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联系电话：</w:t>
            </w:r>
            <w:r>
              <w:rPr>
                <w:rFonts w:hint="eastAsia" w:ascii="宋体" w:hAnsi="宋体"/>
                <w:color w:val="000000"/>
                <w:sz w:val="24"/>
                <w:highlight w:val="none"/>
              </w:rPr>
              <w:t xml:space="preserve">0516-83799962 ；</w:t>
            </w:r>
            <w:r>
              <w:rPr>
                <w:rFonts w:ascii="宋体" w:hAnsi="宋体"/>
                <w:color w:val="000000"/>
                <w:sz w:val="24"/>
                <w:highlight w:val="none"/>
              </w:rPr>
            </w:r>
            <w:r/>
          </w:p>
          <w:p>
            <w:pPr>
              <w:pStyle w:val="790"/>
              <w:spacing w:line="400" w:lineRule="exact"/>
              <w:rPr>
                <w:rFonts w:hint="eastAsia" w:ascii="宋体" w:hAnsi="宋体"/>
                <w:color w:val="000000"/>
                <w:sz w:val="24"/>
              </w:rPr>
            </w:pPr>
            <w:r>
              <w:rPr>
                <w:rFonts w:ascii="宋体" w:hAnsi="宋体"/>
                <w:color w:val="000000"/>
                <w:sz w:val="24"/>
                <w:highlight w:val="none"/>
              </w:rPr>
              <w:t xml:space="preserve">办公地址：</w:t>
            </w:r>
            <w:r>
              <w:rPr>
                <w:rFonts w:hint="eastAsia" w:ascii="宋体" w:hAnsi="宋体"/>
                <w:color w:val="000000"/>
                <w:sz w:val="24"/>
                <w:highlight w:val="none"/>
              </w:rPr>
              <w:t xml:space="preserve">徐州市泉山区荣盛未来广场商业街S1-135 </w:t>
            </w:r>
            <w:r>
              <w:rPr>
                <w:rFonts w:hint="eastAsia" w:ascii="宋体" w:hAnsi="宋体"/>
                <w:color w:val="000000"/>
                <w:sz w:val="24"/>
              </w:rPr>
            </w:r>
            <w:r/>
          </w:p>
        </w:tc>
      </w:tr>
      <w:tr>
        <w:trPr/>
        <w:tc>
          <w:tcPr>
            <w:tcW w:w="1669" w:type="dxa"/>
            <w:vAlign w:val="top"/>
            <w:textDirection w:val="lrTb"/>
            <w:noWrap w:val="false"/>
          </w:tcPr>
          <w:p>
            <w:pPr>
              <w:pStyle w:val="790"/>
              <w:jc w:val="center"/>
              <w:spacing w:line="400" w:lineRule="exact"/>
              <w:rPr>
                <w:rFonts w:ascii="宋体" w:hAnsi="宋体"/>
                <w:sz w:val="24"/>
              </w:rPr>
            </w:pPr>
            <w:r>
              <w:rPr>
                <w:rFonts w:ascii="宋体" w:hAnsi="宋体"/>
                <w:bCs/>
                <w:sz w:val="24"/>
              </w:rPr>
              <w:t xml:space="preserve">附加说明</w:t>
            </w:r>
            <w:r>
              <w:rPr>
                <w:rFonts w:ascii="宋体" w:hAnsi="宋体"/>
                <w:sz w:val="24"/>
              </w:rPr>
            </w:r>
            <w:r/>
          </w:p>
        </w:tc>
        <w:tc>
          <w:tcPr>
            <w:tcW w:w="6996" w:type="dxa"/>
            <w:vAlign w:val="top"/>
            <w:textDirection w:val="lrTb"/>
            <w:noWrap w:val="false"/>
          </w:tcPr>
          <w:p>
            <w:pPr>
              <w:pStyle w:val="790"/>
              <w:spacing w:line="400" w:lineRule="exact"/>
              <w:rPr>
                <w:rFonts w:ascii="宋体" w:hAnsi="宋体"/>
                <w:sz w:val="24"/>
              </w:rPr>
            </w:pPr>
            <w:r>
              <w:rPr>
                <w:rFonts w:ascii="宋体" w:hAnsi="宋体"/>
                <w:sz w:val="24"/>
              </w:rPr>
              <w:t xml:space="preserve">中标人在收到中标通知书时，须向采购代理机构提交《开标一览表》和《分项价格表》的数据文件（WORD格式）。</w:t>
            </w:r>
            <w:r>
              <w:rPr>
                <w:rFonts w:ascii="宋体" w:hAnsi="宋体"/>
                <w:sz w:val="24"/>
              </w:rPr>
            </w:r>
            <w:r/>
          </w:p>
        </w:tc>
      </w:tr>
    </w:tbl>
    <w:p>
      <w:pPr>
        <w:pStyle w:val="715"/>
        <w:ind w:left="0"/>
        <w:rPr>
          <w:rFonts w:hint="eastAsia" w:ascii="宋体" w:hAnsi="宋体" w:cs="宋体"/>
        </w:rPr>
        <w:sectPr>
          <w:footnotePr/>
          <w:endnotePr/>
          <w:type w:val="continuous"/>
          <w:pgSz w:w="11906" w:h="16838" w:orient="portrait"/>
          <w:pgMar w:top="1440" w:right="1803" w:bottom="1440" w:left="1803" w:header="851" w:footer="680" w:gutter="0"/>
          <w:cols w:num="1" w:sep="0" w:space="1701" w:equalWidth="1"/>
          <w:docGrid w:linePitch="360"/>
        </w:sectPr>
      </w:pPr>
      <w:r>
        <w:rPr>
          <w:rFonts w:hint="eastAsia" w:ascii="宋体" w:hAnsi="宋体" w:cs="宋体"/>
        </w:rPr>
        <w:br w:type="page" w:clear="all"/>
      </w:r>
      <w:r/>
    </w:p>
    <w:p>
      <w:pPr>
        <w:pStyle w:val="687"/>
        <w:ind w:firstLine="3200"/>
        <w:spacing w:line="560" w:lineRule="exact"/>
        <w:rPr>
          <w:rFonts w:hint="eastAsia" w:ascii="黑体" w:hAnsi="黑体" w:eastAsia="黑体" w:cs="黑体"/>
          <w:bCs/>
          <w:sz w:val="32"/>
          <w:szCs w:val="32"/>
          <w:highlight w:val="none"/>
        </w:rPr>
      </w:pPr>
      <w:r>
        <w:rPr>
          <w:rFonts w:hint="eastAsia" w:ascii="黑体" w:hAnsi="黑体" w:eastAsia="黑体" w:cs="黑体"/>
          <w:bCs/>
          <w:sz w:val="32"/>
          <w:szCs w:val="32"/>
          <w:highlight w:val="none"/>
        </w:rPr>
        <w:t xml:space="preserve">第四章 评标标准</w:t>
      </w:r>
      <w:r>
        <w:rPr>
          <w:rFonts w:hint="eastAsia" w:ascii="黑体" w:hAnsi="黑体" w:eastAsia="黑体" w:cs="黑体"/>
          <w:bCs/>
          <w:sz w:val="32"/>
          <w:szCs w:val="32"/>
          <w:highlight w:val="none"/>
        </w:rPr>
      </w:r>
      <w:r/>
    </w:p>
    <w:tbl>
      <w:tblPr>
        <w:tblW w:w="8883"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1425"/>
        <w:gridCol w:w="6186"/>
      </w:tblGrid>
      <w:tr>
        <w:trPr>
          <w:trHeight w:val="549"/>
        </w:trPr>
        <w:tc>
          <w:tcPr>
            <w:gridSpan w:val="2"/>
            <w:tcW w:w="2697" w:type="dxa"/>
            <w:vAlign w:val="center"/>
            <w:textDirection w:val="lrTb"/>
            <w:noWrap w:val="false"/>
          </w:tcPr>
          <w:p>
            <w:pPr>
              <w:pStyle w:val="1020"/>
              <w:jc w:val="center"/>
              <w:spacing w:line="300" w:lineRule="auto"/>
              <w:rPr>
                <w:rFonts w:ascii="宋体" w:hAnsi="宋体" w:cs="宋体"/>
                <w:szCs w:val="21"/>
              </w:rPr>
            </w:pPr>
            <w:r>
              <w:rPr>
                <w:rFonts w:hint="eastAsia" w:ascii="宋体" w:hAnsi="宋体" w:cs="宋体"/>
                <w:szCs w:val="21"/>
              </w:rPr>
              <w:t xml:space="preserve">评分项目</w:t>
            </w:r>
            <w:r>
              <w:rPr>
                <w:rFonts w:ascii="宋体" w:hAnsi="宋体" w:cs="宋体"/>
                <w:szCs w:val="21"/>
              </w:rPr>
            </w:r>
            <w:r/>
          </w:p>
        </w:tc>
        <w:tc>
          <w:tcPr>
            <w:tcW w:w="6186" w:type="dxa"/>
            <w:vAlign w:val="center"/>
            <w:textDirection w:val="lrTb"/>
            <w:noWrap w:val="false"/>
          </w:tcPr>
          <w:p>
            <w:pPr>
              <w:pStyle w:val="1020"/>
              <w:jc w:val="center"/>
              <w:spacing w:line="300" w:lineRule="auto"/>
              <w:rPr>
                <w:rFonts w:ascii="宋体" w:hAnsi="宋体" w:cs="宋体"/>
                <w:szCs w:val="21"/>
              </w:rPr>
            </w:pPr>
            <w:r>
              <w:rPr>
                <w:rFonts w:hint="eastAsia" w:ascii="宋体" w:hAnsi="宋体" w:cs="宋体"/>
                <w:szCs w:val="21"/>
              </w:rPr>
              <w:t xml:space="preserve">评 分 细 则</w:t>
            </w:r>
            <w:r>
              <w:rPr>
                <w:rFonts w:ascii="宋体" w:hAnsi="宋体" w:cs="宋体"/>
                <w:szCs w:val="21"/>
              </w:rPr>
            </w:r>
            <w:r/>
          </w:p>
        </w:tc>
      </w:tr>
      <w:tr>
        <w:trPr>
          <w:trHeight w:val="6175"/>
        </w:trPr>
        <w:tc>
          <w:tcPr>
            <w:gridSpan w:val="2"/>
            <w:tcW w:w="2697" w:type="dxa"/>
            <w:vAlign w:val="center"/>
            <w:textDirection w:val="lrTb"/>
            <w:noWrap w:val="false"/>
          </w:tcPr>
          <w:p>
            <w:pPr>
              <w:pStyle w:val="1020"/>
              <w:jc w:val="center"/>
              <w:spacing w:line="300" w:lineRule="auto"/>
              <w:rPr>
                <w:rFonts w:ascii="宋体" w:hAnsi="宋体" w:cs="宋体"/>
                <w:szCs w:val="21"/>
              </w:rPr>
            </w:pPr>
            <w:r>
              <w:rPr>
                <w:rFonts w:hint="eastAsia" w:ascii="宋体" w:hAnsi="宋体" w:cs="宋体"/>
                <w:szCs w:val="21"/>
              </w:rPr>
              <w:t xml:space="preserve">价格部分</w:t>
            </w:r>
            <w:r>
              <w:rPr>
                <w:rFonts w:ascii="宋体" w:hAnsi="宋体" w:cs="宋体"/>
                <w:szCs w:val="21"/>
              </w:rPr>
            </w:r>
            <w:r/>
          </w:p>
          <w:p>
            <w:pPr>
              <w:pStyle w:val="1020"/>
              <w:jc w:val="center"/>
              <w:spacing w:line="300" w:lineRule="auto"/>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6186" w:type="dxa"/>
            <w:vAlign w:val="center"/>
            <w:textDirection w:val="lrTb"/>
            <w:noWrap w:val="false"/>
          </w:tcPr>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采用低价优先法计算，即满足招标文件要求且投标报价最低的为评标基准价，其价格分为满分。其他投标人的价格分统一按照下列公式计算：</w:t>
            </w:r>
            <w:r>
              <w:rPr>
                <w:rFonts w:ascii="宋体" w:hAnsi="宋体" w:cs="宋体"/>
                <w:szCs w:val="21"/>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投标人价格得分=最低报价（评标基准价）÷投标人报价×10。</w:t>
            </w:r>
            <w:r>
              <w:rPr>
                <w:rFonts w:ascii="宋体" w:hAnsi="宋体" w:cs="宋体"/>
                <w:szCs w:val="21"/>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得分四舍五入保留小数点后2 位。</w:t>
            </w:r>
            <w:r>
              <w:rPr>
                <w:rFonts w:ascii="宋体" w:hAnsi="宋体" w:cs="宋体"/>
                <w:szCs w:val="21"/>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1、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w:t>
            </w:r>
            <w:r>
              <w:rPr>
                <w:rFonts w:ascii="宋体" w:hAnsi="宋体" w:cs="宋体"/>
                <w:szCs w:val="21"/>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2、大中型企业与小微企业组成联合体,对联合协议约定小微企业合同份额占到合同总金额30%以上的，采购人、采购代理机构要对联合体或者大中型企业的报价给予4%的扣除。（以</w:t>
            </w:r>
            <w:r>
              <w:rPr>
                <w:rFonts w:hint="eastAsia" w:cs="宋体"/>
                <w:szCs w:val="21"/>
              </w:rPr>
              <w:t xml:space="preserve">投标文件</w:t>
            </w:r>
            <w:r>
              <w:rPr>
                <w:rFonts w:hint="eastAsia" w:ascii="宋体" w:hAnsi="宋体" w:cs="宋体"/>
                <w:szCs w:val="21"/>
              </w:rPr>
              <w:t xml:space="preserve">中提供的《联合体协议书》、《联合体中的小微企业声明函》）为准），用扣除后的价格参加评审。</w:t>
            </w:r>
            <w:r>
              <w:rPr>
                <w:rFonts w:ascii="宋体" w:hAnsi="宋体" w:cs="宋体"/>
                <w:szCs w:val="21"/>
              </w:rPr>
            </w:r>
            <w:r/>
          </w:p>
        </w:tc>
      </w:tr>
      <w:tr>
        <w:trPr>
          <w:trHeight w:val="330"/>
        </w:trPr>
        <w:tc>
          <w:tcPr>
            <w:tcW w:w="1272" w:type="dxa"/>
            <w:vAlign w:val="center"/>
            <w:vMerge w:val="restart"/>
            <w:textDirection w:val="lrTb"/>
            <w:noWrap w:val="false"/>
          </w:tcPr>
          <w:p>
            <w:pPr>
              <w:pStyle w:val="1020"/>
              <w:jc w:val="center"/>
              <w:rPr>
                <w:rFonts w:hint="eastAsia" w:ascii="宋体" w:hAnsi="宋体" w:cs="宋体"/>
                <w:szCs w:val="21"/>
              </w:rPr>
            </w:pPr>
            <w:r>
              <w:rPr>
                <w:rFonts w:hint="eastAsia" w:ascii="宋体" w:hAnsi="宋体" w:cs="宋体"/>
                <w:szCs w:val="21"/>
              </w:rPr>
              <w:t xml:space="preserve">商务部分</w:t>
            </w:r>
            <w:r>
              <w:rPr>
                <w:rFonts w:hint="eastAsia" w:ascii="宋体" w:hAnsi="宋体" w:cs="宋体"/>
                <w:szCs w:val="21"/>
              </w:rPr>
            </w:r>
            <w:r/>
          </w:p>
          <w:p>
            <w:pPr>
              <w:pStyle w:val="1020"/>
              <w:jc w:val="center"/>
              <w:rPr>
                <w:rFonts w:ascii="宋体" w:hAnsi="宋体" w:cs="宋体"/>
                <w:szCs w:val="21"/>
                <w:highlight w:val="yellow"/>
              </w:rPr>
            </w:pPr>
            <w:r>
              <w:rPr>
                <w:rFonts w:hint="eastAsia" w:ascii="宋体" w:hAnsi="宋体" w:cs="宋体"/>
                <w:szCs w:val="21"/>
              </w:rPr>
              <w:t xml:space="preserve">（1</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highlight w:val="yellow"/>
              </w:rPr>
            </w:r>
            <w:r/>
          </w:p>
        </w:tc>
        <w:tc>
          <w:tcPr>
            <w:tcW w:w="1425" w:type="dxa"/>
            <w:vAlign w:val="center"/>
            <w:textDirection w:val="lrTb"/>
            <w:noWrap w:val="false"/>
          </w:tcPr>
          <w:p>
            <w:pPr>
              <w:pStyle w:val="1020"/>
              <w:jc w:val="center"/>
              <w:rPr>
                <w:rFonts w:ascii="宋体" w:hAnsi="宋体" w:cs="宋体"/>
                <w:szCs w:val="21"/>
              </w:rPr>
            </w:pPr>
            <w:r>
              <w:rPr>
                <w:rFonts w:hint="eastAsia" w:ascii="宋体" w:hAnsi="宋体" w:cs="宋体"/>
                <w:szCs w:val="21"/>
              </w:rPr>
              <w:t xml:space="preserve">人员配备</w:t>
            </w:r>
            <w:r>
              <w:rPr>
                <w:rFonts w:ascii="宋体" w:hAnsi="宋体" w:cs="宋体"/>
                <w:szCs w:val="21"/>
              </w:rPr>
            </w:r>
            <w:r/>
          </w:p>
          <w:p>
            <w:pPr>
              <w:pStyle w:val="1020"/>
              <w:jc w:val="center"/>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6186" w:type="dxa"/>
            <w:vAlign w:val="center"/>
            <w:textDirection w:val="lrTb"/>
            <w:noWrap w:val="false"/>
          </w:tcPr>
          <w:p>
            <w:pPr>
              <w:pStyle w:val="687"/>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投标人所拟派的项目负责人</w:t>
            </w:r>
            <w:r>
              <w:rPr>
                <w:rFonts w:hint="eastAsia" w:ascii="宋体" w:hAnsi="宋体" w:cs="宋体"/>
                <w:color w:val="000000"/>
                <w:szCs w:val="21"/>
              </w:rPr>
              <w:t xml:space="preserve">提供</w:t>
            </w:r>
            <w:r>
              <w:rPr>
                <w:rFonts w:ascii="宋体" w:hAnsi="宋体" w:cs="宋体"/>
                <w:color w:val="000000"/>
                <w:szCs w:val="21"/>
              </w:rPr>
              <w:t xml:space="preserve">一级注册建造工程师</w:t>
            </w:r>
            <w:r>
              <w:rPr>
                <w:rFonts w:hint="eastAsia" w:ascii="宋体" w:hAnsi="宋体" w:cs="宋体"/>
                <w:color w:val="000000"/>
                <w:szCs w:val="21"/>
              </w:rPr>
              <w:t xml:space="preserve">（机电工程专业）且具有相应的安全生产知识考核合格证书得2分，提供二级注册建造工程师（机电工程专业）且具有相应的安全生产知识考核合格证书得1分</w:t>
            </w:r>
            <w:r>
              <w:rPr>
                <w:rFonts w:ascii="宋体" w:hAnsi="宋体" w:cs="宋体"/>
                <w:color w:val="000000"/>
                <w:szCs w:val="21"/>
              </w:rPr>
              <w:t xml:space="preserve">。</w:t>
            </w:r>
            <w:r>
              <w:rPr>
                <w:rFonts w:hint="eastAsia" w:ascii="宋体" w:hAnsi="宋体" w:cs="宋体"/>
                <w:color w:val="000000"/>
                <w:szCs w:val="21"/>
              </w:rPr>
              <w:t xml:space="preserve">本项最高得2分；</w:t>
            </w:r>
            <w:r>
              <w:rPr>
                <w:rFonts w:ascii="宋体" w:hAnsi="宋体" w:cs="宋体"/>
                <w:color w:val="000000"/>
                <w:szCs w:val="21"/>
              </w:rPr>
            </w:r>
            <w:r/>
          </w:p>
          <w:p>
            <w:pPr>
              <w:pStyle w:val="687"/>
              <w:spacing w:line="360" w:lineRule="auto"/>
              <w:rPr>
                <w:rFonts w:ascii="宋体" w:hAnsi="宋体" w:cs="宋体"/>
                <w:color w:val="000000"/>
                <w:szCs w:val="21"/>
              </w:rPr>
            </w:pPr>
            <w:r>
              <w:rPr>
                <w:rFonts w:hint="eastAsia" w:ascii="宋体" w:hAnsi="宋体" w:cs="宋体"/>
                <w:color w:val="000000"/>
                <w:szCs w:val="21"/>
              </w:rPr>
              <w:t xml:space="preserve">2.投标人提供的项目技术负责人（除项目负责人外）具有一级注册建造工程师（机电工程专业）或高级工程师职称的得2分；提供二级注册建造工程师（机电工程专业）或工程师职称的得1分，本项最高得2分；</w:t>
            </w:r>
            <w:r>
              <w:rPr>
                <w:rFonts w:ascii="宋体" w:hAnsi="宋体" w:cs="宋体"/>
                <w:color w:val="000000"/>
                <w:szCs w:val="21"/>
              </w:rPr>
            </w:r>
            <w:r/>
          </w:p>
          <w:p>
            <w:pPr>
              <w:pStyle w:val="687"/>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.投标人提供的项目安全员具有安全生产知识考核合格证书（C证）的得1分，本项最高得1分。</w:t>
            </w:r>
            <w:r>
              <w:rPr>
                <w:rFonts w:hint="eastAsia" w:ascii="宋体" w:hAnsi="宋体" w:cs="宋体"/>
                <w:color w:val="000000"/>
                <w:szCs w:val="21"/>
              </w:rPr>
            </w:r>
            <w:r/>
          </w:p>
          <w:p>
            <w:pPr>
              <w:pStyle w:val="687"/>
              <w:spacing w:line="360" w:lineRule="auto"/>
              <w:rPr>
                <w:rFonts w:hint="eastAsia" w:ascii="宋体" w:hAnsi="宋体" w:cs="宋体"/>
                <w:color w:val="000000"/>
                <w:szCs w:val="21"/>
              </w:rPr>
            </w:pPr>
            <w:r>
              <w:rPr>
                <w:rFonts w:hint="eastAsia" w:ascii="宋体" w:hAnsi="宋体" w:cs="宋体"/>
                <w:color w:val="000000"/>
                <w:szCs w:val="21"/>
              </w:rPr>
              <w:t xml:space="preserve">4.投标人提供的项目组成员（除项目负责人和项目技术负责人外）具有工程师及以上证书或二级及以上建造师的，每提供1人得1分，本项最高3分；</w:t>
            </w:r>
            <w:r>
              <w:rPr>
                <w:rFonts w:hint="eastAsia" w:ascii="宋体" w:hAnsi="宋体" w:cs="宋体"/>
                <w:color w:val="000000"/>
                <w:szCs w:val="21"/>
              </w:rPr>
            </w:r>
            <w:r/>
          </w:p>
          <w:p>
            <w:pPr>
              <w:pStyle w:val="687"/>
              <w:spacing w:line="360" w:lineRule="auto"/>
              <w:rPr>
                <w:rFonts w:ascii="宋体" w:hAnsi="宋体" w:cs="宋体"/>
                <w:color w:val="000000"/>
                <w:szCs w:val="21"/>
              </w:rPr>
            </w:pPr>
            <w:r>
              <w:rPr>
                <w:rFonts w:hint="eastAsia" w:ascii="宋体" w:hAnsi="宋体" w:cs="宋体"/>
                <w:color w:val="000000"/>
                <w:szCs w:val="21"/>
              </w:rPr>
              <w:t xml:space="preserve">注：第4项中的同一个人具有上述多种证书的只计算一次，不重复得分；</w:t>
            </w:r>
            <w:r>
              <w:rPr>
                <w:rFonts w:ascii="宋体" w:hAnsi="宋体" w:cs="宋体"/>
                <w:color w:val="000000"/>
                <w:szCs w:val="21"/>
              </w:rPr>
            </w:r>
            <w:r/>
          </w:p>
          <w:p>
            <w:pPr>
              <w:pStyle w:val="687"/>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w:t>
            </w:r>
            <w:r>
              <w:rPr>
                <w:rFonts w:ascii="宋体" w:hAnsi="宋体" w:cs="宋体"/>
                <w:color w:val="000000"/>
                <w:szCs w:val="21"/>
              </w:rPr>
              <w:t xml:space="preserve">（若为联合体，提供联合体任何一方</w:t>
            </w:r>
            <w:r>
              <w:rPr>
                <w:rFonts w:hint="eastAsia" w:ascii="宋体" w:hAnsi="宋体" w:cs="宋体"/>
                <w:color w:val="000000"/>
                <w:szCs w:val="21"/>
              </w:rPr>
              <w:t xml:space="preserve">或联合体双方</w:t>
            </w:r>
            <w:r>
              <w:rPr>
                <w:rFonts w:hint="eastAsia" w:ascii="宋体" w:hAnsi="宋体" w:cs="宋体"/>
                <w:color w:val="000000"/>
                <w:szCs w:val="21"/>
                <w:lang w:val="en-US" w:eastAsia="zh-CN"/>
              </w:rPr>
              <w:t xml:space="preserve">均可</w:t>
            </w:r>
            <w:r>
              <w:rPr>
                <w:rFonts w:ascii="宋体" w:hAnsi="宋体" w:cs="宋体"/>
                <w:color w:val="000000"/>
                <w:szCs w:val="21"/>
              </w:rPr>
              <w:t xml:space="preserve">）</w:t>
            </w:r>
            <w:r>
              <w:rPr>
                <w:rFonts w:hint="eastAsia" w:ascii="宋体" w:hAnsi="宋体" w:cs="宋体"/>
                <w:color w:val="000000"/>
                <w:szCs w:val="21"/>
              </w:rPr>
              <w:t xml:space="preserve">提供以上人员近6个月内任一个月投标单位为其缴纳的社保证明资料及证书原件扫描件，不提供不得分。</w:t>
            </w:r>
            <w:r>
              <w:rPr>
                <w:rFonts w:ascii="宋体" w:hAnsi="宋体" w:cs="宋体"/>
                <w:color w:val="000000"/>
                <w:szCs w:val="21"/>
              </w:rPr>
            </w:r>
            <w:r/>
          </w:p>
        </w:tc>
      </w:tr>
      <w:tr>
        <w:trPr>
          <w:trHeight w:val="4061"/>
        </w:trPr>
        <w:tc>
          <w:tcPr>
            <w:tcW w:w="1272" w:type="dxa"/>
            <w:vAlign w:val="center"/>
            <w:vMerge w:val="continue"/>
            <w:textDirection w:val="lrTb"/>
            <w:noWrap w:val="false"/>
          </w:tcPr>
          <w:p>
            <w:pPr>
              <w:pStyle w:val="1020"/>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020"/>
              <w:jc w:val="center"/>
              <w:rPr>
                <w:rFonts w:ascii="宋体" w:hAnsi="宋体" w:cs="宋体"/>
                <w:color w:val="000000"/>
                <w:szCs w:val="21"/>
              </w:rPr>
            </w:pPr>
            <w:r>
              <w:rPr>
                <w:rFonts w:hint="eastAsia" w:ascii="宋体" w:hAnsi="宋体" w:cs="宋体"/>
                <w:color w:val="000000"/>
                <w:szCs w:val="21"/>
              </w:rPr>
              <w:t xml:space="preserve">综合实力</w:t>
            </w:r>
            <w:r>
              <w:rPr>
                <w:rFonts w:ascii="宋体" w:hAnsi="宋体" w:cs="宋体"/>
                <w:color w:val="000000"/>
                <w:szCs w:val="21"/>
              </w:rPr>
            </w:r>
            <w:r/>
          </w:p>
          <w:p>
            <w:pPr>
              <w:pStyle w:val="1020"/>
              <w:jc w:val="center"/>
              <w:rPr>
                <w:rFonts w:ascii="宋体" w:hAnsi="宋体" w:cs="宋体"/>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ascii="宋体" w:hAnsi="宋体" w:cs="宋体"/>
                <w:szCs w:val="21"/>
              </w:rPr>
            </w:r>
            <w:r/>
          </w:p>
        </w:tc>
        <w:tc>
          <w:tcPr>
            <w:tcW w:w="6186" w:type="dxa"/>
            <w:vAlign w:val="center"/>
            <w:textDirection w:val="lrTb"/>
            <w:noWrap w:val="false"/>
          </w:tcPr>
          <w:p>
            <w:pPr>
              <w:pStyle w:val="687"/>
              <w:spacing w:line="360" w:lineRule="auto"/>
              <w:rPr>
                <w:rFonts w:hint="eastAsia" w:ascii="宋体" w:hAnsi="宋体" w:cs="宋体"/>
                <w:color w:val="000000"/>
                <w:szCs w:val="21"/>
              </w:rPr>
            </w:pPr>
            <w:r>
              <w:rPr>
                <w:rFonts w:hint="eastAsia" w:ascii="宋体" w:hAnsi="宋体" w:cs="宋体"/>
                <w:color w:val="000000"/>
                <w:szCs w:val="21"/>
              </w:rPr>
              <w:t xml:space="preserve">1.投标人提供有效期内环境管理体系认证证书的得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687"/>
              <w:spacing w:line="360" w:lineRule="auto"/>
              <w:rPr>
                <w:rFonts w:hint="eastAsia" w:ascii="宋体" w:hAnsi="宋体" w:cs="宋体"/>
                <w:color w:val="000000"/>
                <w:szCs w:val="21"/>
              </w:rPr>
            </w:pPr>
            <w:r>
              <w:rPr>
                <w:rFonts w:hint="eastAsia" w:ascii="宋体" w:hAnsi="宋体" w:cs="宋体"/>
                <w:color w:val="000000"/>
                <w:szCs w:val="21"/>
              </w:rPr>
              <w:t xml:space="preserve">2.投标人提供有效期内质量管理体系认证证书的得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687"/>
              <w:spacing w:line="360" w:lineRule="auto"/>
              <w:rPr>
                <w:rFonts w:hint="eastAsia" w:ascii="宋体" w:hAnsi="宋体" w:cs="宋体"/>
                <w:color w:val="000000"/>
                <w:szCs w:val="21"/>
              </w:rPr>
            </w:pPr>
            <w:r>
              <w:rPr>
                <w:rFonts w:hint="eastAsia" w:ascii="宋体" w:hAnsi="宋体" w:cs="宋体"/>
                <w:color w:val="000000"/>
                <w:szCs w:val="21"/>
              </w:rPr>
              <w:t xml:space="preserve">3.投标人提供有效期内职业健康安全管理体系认证证书的得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687"/>
              <w:spacing w:line="360" w:lineRule="auto"/>
              <w:rPr>
                <w:rFonts w:ascii="宋体" w:hAnsi="宋体" w:cs="宋体"/>
                <w:color w:val="000000"/>
                <w:szCs w:val="21"/>
              </w:rPr>
            </w:pPr>
            <w:r>
              <w:rPr>
                <w:rFonts w:hint="eastAsia" w:ascii="宋体" w:hAnsi="宋体" w:cs="宋体"/>
                <w:color w:val="000000"/>
                <w:szCs w:val="21"/>
              </w:rPr>
              <w:t xml:space="preserve">注：投标人提供以上证书的认证覆盖的业务范围需为综合能源管理、能源托管、机电安装、建筑机电施工等与本项目相关的范围，需提供原件扫描件和国家认监委网站（https://www.cnca.gov.cn/）的查询截图，并加盖电子签章，否则不得分（若为联合体，提供联合体任何一方或联合体双方）。</w:t>
            </w:r>
            <w:r>
              <w:rPr>
                <w:rFonts w:ascii="宋体" w:hAnsi="宋体" w:cs="宋体"/>
                <w:color w:val="000000"/>
                <w:szCs w:val="21"/>
              </w:rPr>
            </w:r>
            <w:r/>
          </w:p>
        </w:tc>
      </w:tr>
      <w:tr>
        <w:trPr>
          <w:trHeight w:val="1695"/>
        </w:trPr>
        <w:tc>
          <w:tcPr>
            <w:tcW w:w="1272" w:type="dxa"/>
            <w:vAlign w:val="center"/>
            <w:vMerge w:val="continue"/>
            <w:textDirection w:val="lrTb"/>
            <w:noWrap w:val="false"/>
          </w:tcPr>
          <w:p>
            <w:pPr>
              <w:pStyle w:val="1020"/>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020"/>
              <w:jc w:val="center"/>
              <w:spacing w:line="300" w:lineRule="auto"/>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020"/>
              <w:jc w:val="center"/>
              <w:spacing w:line="300" w:lineRule="auto"/>
              <w:rPr>
                <w:rFonts w:ascii="宋体" w:hAnsi="宋体" w:cs="宋体"/>
                <w:szCs w:val="21"/>
              </w:rPr>
            </w:pPr>
            <w:r>
              <w:rPr>
                <w:rFonts w:hint="eastAsia" w:ascii="宋体" w:hAnsi="宋体" w:cs="宋体"/>
                <w:szCs w:val="21"/>
              </w:rPr>
              <w:t xml:space="preserve">（4分）</w:t>
            </w:r>
            <w:r>
              <w:rPr>
                <w:rFonts w:ascii="宋体" w:hAnsi="宋体" w:cs="宋体"/>
                <w:szCs w:val="21"/>
              </w:rPr>
            </w:r>
            <w:r/>
          </w:p>
        </w:tc>
        <w:tc>
          <w:tcPr>
            <w:tcW w:w="6186" w:type="dxa"/>
            <w:vAlign w:val="center"/>
            <w:textDirection w:val="lrTb"/>
            <w:noWrap w:val="false"/>
          </w:tcPr>
          <w:p>
            <w:pPr>
              <w:pStyle w:val="687"/>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投标人需提供自2023年1月以来（以合同签订时间为准）与本项目相同或类似项目业绩合同，每提供一个得2分，最高4分。</w:t>
            </w:r>
            <w:r>
              <w:rPr>
                <w:rFonts w:ascii="宋体" w:hAnsi="宋体" w:cs="宋体"/>
                <w:color w:val="000000"/>
                <w:szCs w:val="21"/>
                <w:highlight w:val="none"/>
              </w:rPr>
            </w:r>
            <w:r/>
          </w:p>
          <w:p>
            <w:pPr>
              <w:pStyle w:val="1019"/>
              <w:spacing w:line="360" w:lineRule="auto"/>
              <w:rPr>
                <w:color w:val="000000"/>
              </w:rPr>
            </w:pPr>
            <w:r>
              <w:rPr>
                <w:rFonts w:hint="eastAsia" w:hAnsi="宋体" w:cs="宋体"/>
                <w:color w:val="000000"/>
                <w:sz w:val="21"/>
                <w:szCs w:val="21"/>
                <w:highlight w:val="none"/>
              </w:rPr>
              <w:t xml:space="preserve">注：投标人（若为联合体，提供联合体任何一方或联合体双方</w:t>
            </w:r>
            <w:r>
              <w:rPr>
                <w:rFonts w:hint="eastAsia" w:hAnsi="宋体" w:cs="宋体"/>
                <w:color w:val="000000"/>
                <w:sz w:val="21"/>
                <w:szCs w:val="21"/>
                <w:highlight w:val="none"/>
                <w:lang w:val="en-US" w:eastAsia="zh-CN"/>
              </w:rPr>
              <w:t xml:space="preserve">均可</w:t>
            </w:r>
            <w:r>
              <w:rPr>
                <w:rFonts w:hint="eastAsia" w:hAnsi="宋体" w:cs="宋体"/>
                <w:color w:val="000000"/>
                <w:sz w:val="21"/>
                <w:szCs w:val="21"/>
                <w:highlight w:val="none"/>
              </w:rPr>
              <w:t xml:space="preserve">）提供合同</w:t>
            </w:r>
            <w:r>
              <w:rPr>
                <w:rFonts w:hint="eastAsia" w:hAnsi="宋体" w:cs="宋体"/>
                <w:color w:val="000000"/>
                <w:sz w:val="21"/>
                <w:szCs w:val="21"/>
                <w:highlight w:val="none"/>
                <w:lang w:val="en-US" w:eastAsia="zh-CN"/>
              </w:rPr>
              <w:t xml:space="preserve">原件扫</w:t>
            </w:r>
            <w:r>
              <w:rPr>
                <w:rFonts w:hint="eastAsia" w:hAnsi="宋体" w:cs="宋体"/>
                <w:color w:val="000000"/>
                <w:sz w:val="21"/>
                <w:szCs w:val="21"/>
                <w:highlight w:val="none"/>
              </w:rPr>
              <w:t xml:space="preserve">描件并加盖电子签章</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否则不得分</w:t>
            </w:r>
            <w:r>
              <w:rPr>
                <w:rFonts w:hint="eastAsia" w:hAnsi="宋体" w:cs="宋体"/>
                <w:color w:val="000000"/>
                <w:sz w:val="21"/>
                <w:szCs w:val="21"/>
                <w:highlight w:val="none"/>
              </w:rPr>
              <w:t xml:space="preserve">。</w:t>
            </w:r>
            <w:r>
              <w:rPr>
                <w:color w:val="000000"/>
              </w:rPr>
            </w:r>
            <w:r/>
          </w:p>
        </w:tc>
      </w:tr>
      <w:tr>
        <w:trPr>
          <w:trHeight w:val="90"/>
        </w:trPr>
        <w:tc>
          <w:tcPr>
            <w:tcW w:w="1272" w:type="dxa"/>
            <w:vAlign w:val="center"/>
            <w:vMerge w:val="restart"/>
            <w:textDirection w:val="lrTb"/>
            <w:noWrap w:val="false"/>
          </w:tcPr>
          <w:p>
            <w:pPr>
              <w:pStyle w:val="687"/>
              <w:jc w:val="center"/>
              <w:rPr>
                <w:rFonts w:ascii="宋体" w:hAnsi="宋体" w:cs="宋体"/>
                <w:szCs w:val="21"/>
              </w:rPr>
            </w:pPr>
            <w:r>
              <w:rPr>
                <w:rFonts w:hint="eastAsia" w:ascii="宋体" w:hAnsi="宋体" w:cs="宋体"/>
                <w:szCs w:val="21"/>
              </w:rPr>
              <w:t xml:space="preserve">技术部分</w:t>
            </w:r>
            <w:r>
              <w:rPr>
                <w:rFonts w:ascii="宋体" w:hAnsi="宋体" w:cs="宋体"/>
                <w:szCs w:val="21"/>
              </w:rPr>
            </w:r>
            <w:r/>
          </w:p>
          <w:p>
            <w:pPr>
              <w:pStyle w:val="1020"/>
              <w:jc w:val="center"/>
              <w:spacing w:line="30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rPr>
            </w:r>
            <w:r/>
          </w:p>
        </w:tc>
        <w:tc>
          <w:tcPr>
            <w:tcW w:w="1425"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技术及服务要求响应</w:t>
            </w:r>
            <w:r>
              <w:rPr>
                <w:rFonts w:hint="eastAsia" w:ascii="宋体" w:hAnsi="宋体" w:cs="宋体"/>
                <w:szCs w:val="21"/>
              </w:rPr>
            </w:r>
            <w:r/>
          </w:p>
          <w:p>
            <w:pPr>
              <w:pStyle w:val="1020"/>
              <w:jc w:val="center"/>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根据投标文件中偏离表及相关证明材料，对招标文件第六章《采购需求》满足程度进行评价。</w:t>
            </w:r>
            <w:r>
              <w:rPr>
                <w:rFonts w:hint="eastAsia" w:ascii="宋体" w:hAnsi="宋体" w:cs="宋体"/>
                <w:szCs w:val="21"/>
              </w:rPr>
            </w:r>
            <w:r/>
          </w:p>
          <w:p>
            <w:pPr>
              <w:pStyle w:val="687"/>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全部满足要求得6分，有一项不满足或负偏离的扣2分，偏离超过3项，本项不得分。本项最高得6分，最低不得分。</w:t>
            </w:r>
            <w:r>
              <w:rPr>
                <w:rFonts w:hint="eastAsia" w:ascii="宋体" w:hAnsi="宋体" w:cs="宋体"/>
                <w:szCs w:val="21"/>
              </w:rPr>
            </w:r>
            <w:r/>
          </w:p>
        </w:tc>
      </w:tr>
      <w:tr>
        <w:trPr>
          <w:trHeight w:val="90"/>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ascii="宋体" w:hAnsi="宋体" w:cs="宋体"/>
                <w:szCs w:val="21"/>
              </w:rPr>
            </w:pPr>
            <w:r>
              <w:rPr>
                <w:rFonts w:hint="eastAsia" w:ascii="宋体" w:hAnsi="宋体" w:cs="宋体"/>
                <w:szCs w:val="21"/>
              </w:rPr>
              <w:t xml:space="preserve">现状诊断分析与测算方案（8分)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对投标人根据招标需求和项目实际情况提供的现状诊断分析及测算方案进行比较</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可行性（2分)：符合实际切实可行得2分；可行性一般的得1分。</w:t>
            </w:r>
            <w:r>
              <w:rPr>
                <w:rFonts w:hint="eastAsia" w:ascii="宋体" w:hAnsi="宋体" w:eastAsia="宋体" w:cs="宋体"/>
                <w:szCs w:val="21"/>
                <w:lang w:val="en-US" w:eastAsia="zh-CN"/>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szCs w:val="21"/>
              </w:rPr>
            </w:r>
            <w:r/>
          </w:p>
        </w:tc>
      </w:tr>
      <w:tr>
        <w:trPr>
          <w:trHeight w:val="475"/>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ascii="宋体" w:hAnsi="宋体" w:cs="宋体"/>
                <w:szCs w:val="21"/>
              </w:rPr>
            </w:pPr>
            <w:r>
              <w:rPr>
                <w:rFonts w:hint="eastAsia" w:ascii="宋体" w:hAnsi="宋体" w:cs="宋体"/>
                <w:szCs w:val="21"/>
              </w:rPr>
              <w:t xml:space="preserve">节能改造方案（</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对投标人根据招标需求和项目实际情况提供的节能改造方案进行比较，包括但不限于：节能改造措施、主要工序施工工艺、主要设施设备性能、主要设施设备调试接入方法等方面</w:t>
            </w:r>
            <w:r>
              <w:rPr>
                <w:rFonts w:hint="eastAsia" w:ascii="宋体" w:hAnsi="宋体" w:cs="宋体"/>
                <w:szCs w:val="21"/>
                <w:lang w:val="en-US"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可行性（3分)：符合实际切实可行得3分；较切实可行得2分；可行性一般的得1分。</w:t>
            </w:r>
            <w:r>
              <w:rPr>
                <w:rFonts w:hint="eastAsia" w:ascii="宋体" w:hAnsi="宋体" w:eastAsia="宋体" w:cs="宋体"/>
                <w:szCs w:val="21"/>
                <w:lang w:val="en-US" w:eastAsia="zh-CN"/>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未提供得0分，本项最高得9分。</w:t>
            </w:r>
            <w:r>
              <w:rPr>
                <w:rFonts w:ascii="宋体" w:hAnsi="宋体" w:cs="宋体"/>
                <w:szCs w:val="21"/>
              </w:rPr>
            </w:r>
            <w:r/>
          </w:p>
        </w:tc>
      </w:tr>
      <w:tr>
        <w:trPr>
          <w:trHeight w:val="2429"/>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ascii="宋体" w:hAnsi="宋体" w:cs="宋体"/>
                <w:szCs w:val="21"/>
              </w:rPr>
            </w:pPr>
            <w:r>
              <w:rPr>
                <w:rFonts w:hint="eastAsia" w:ascii="宋体" w:hAnsi="宋体" w:cs="宋体"/>
                <w:szCs w:val="21"/>
              </w:rPr>
              <w:t xml:space="preserve">综合能源管理平台建设方案(10分)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对投标人根据招标需求和项目实际情况提供的综合能源监管平台建设方案进行比较，提供详细的软件功能描述，包括：系统架构、系统部署、软件功能项实现等。</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全面性(4分)：全面具体详实得4分；较全面得2分，基本具备的得1分。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可行性（3分)：符合实际切实可行得3分；较切实可行得2分；可行性一般的得1分。</w:t>
            </w:r>
            <w:r>
              <w:rPr>
                <w:rFonts w:hint="eastAsia" w:ascii="宋体" w:hAnsi="宋体" w:eastAsia="宋体" w:cs="宋体"/>
                <w:szCs w:val="21"/>
                <w:lang w:val="en-US" w:eastAsia="zh-CN"/>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未提供得0分，本项最高得10</w:t>
            </w:r>
            <w:r>
              <w:rPr>
                <w:rFonts w:hint="eastAsia" w:ascii="宋体" w:hAnsi="宋体" w:cs="宋体"/>
                <w:szCs w:val="21"/>
                <w:lang w:val="en-US" w:eastAsia="zh-CN"/>
              </w:rPr>
              <w:t xml:space="preserve">分。</w:t>
            </w:r>
            <w:r>
              <w:rPr>
                <w:rFonts w:ascii="宋体" w:hAnsi="宋体" w:cs="宋体"/>
                <w:szCs w:val="21"/>
              </w:rPr>
            </w:r>
            <w:r/>
          </w:p>
        </w:tc>
      </w:tr>
      <w:tr>
        <w:trPr>
          <w:trHeight w:val="895"/>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ascii="宋体" w:hAnsi="宋体" w:cs="宋体"/>
                <w:szCs w:val="21"/>
              </w:rPr>
            </w:pPr>
            <w:r>
              <w:rPr>
                <w:rFonts w:hint="eastAsia" w:ascii="宋体" w:hAnsi="宋体" w:cs="宋体"/>
                <w:szCs w:val="21"/>
              </w:rPr>
              <w:t xml:space="preserve">“能源网运行报告”模板（</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对投标人提供的按月出具“能源网运行报告”模板进行比较</w:t>
            </w:r>
            <w:r>
              <w:rPr>
                <w:rFonts w:hint="eastAsia" w:ascii="宋体" w:hAnsi="宋体" w:cs="宋体"/>
                <w:szCs w:val="21"/>
                <w:lang w:val="en-US"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可行性（3分)：符合实际切实可行得3分；较切实可行得2分；可行性一般的得1分。</w:t>
            </w:r>
            <w:r>
              <w:rPr>
                <w:rFonts w:hint="eastAsia" w:ascii="宋体" w:hAnsi="宋体" w:eastAsia="宋体" w:cs="宋体"/>
                <w:szCs w:val="21"/>
                <w:lang w:val="en-US" w:eastAsia="zh-CN"/>
              </w:rPr>
            </w:r>
            <w:r/>
          </w:p>
          <w:p>
            <w:pPr>
              <w:pStyle w:val="687"/>
              <w:spacing w:line="400" w:lineRule="atLeast"/>
              <w:rPr>
                <w:rFonts w:ascii="宋体" w:hAnsi="宋体" w:cs="宋体"/>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未提供得0分，本项最高得9分。</w:t>
            </w:r>
            <w:r>
              <w:rPr>
                <w:rFonts w:ascii="宋体" w:hAnsi="宋体" w:cs="宋体"/>
                <w:szCs w:val="21"/>
                <w:lang w:val="en-US"/>
              </w:rPr>
            </w:r>
            <w:r/>
          </w:p>
        </w:tc>
      </w:tr>
      <w:tr>
        <w:trPr>
          <w:trHeight w:val="90"/>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管理方案</w:t>
            </w:r>
            <w:r>
              <w:rPr>
                <w:rFonts w:hint="eastAsia" w:ascii="宋体" w:hAnsi="宋体" w:cs="宋体"/>
                <w:szCs w:val="21"/>
              </w:rPr>
            </w:r>
            <w:r/>
          </w:p>
          <w:p>
            <w:pPr>
              <w:pStyle w:val="1020"/>
              <w:jc w:val="center"/>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对投标人根据招标需求和项目实际情况提供的管理方案进行比较，包括但不限于进度管理、质量管理、人员组织管理等内容</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可行性（2分)：符合实际切实可行得2分；可行性一般的得1分。</w:t>
            </w:r>
            <w:r>
              <w:rPr>
                <w:rFonts w:hint="eastAsia" w:ascii="宋体" w:hAnsi="宋体" w:cs="宋体"/>
                <w:szCs w:val="21"/>
                <w:lang w:val="en-US" w:eastAsia="zh-CN"/>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szCs w:val="21"/>
              </w:rPr>
            </w:r>
            <w:r/>
          </w:p>
        </w:tc>
      </w:tr>
      <w:tr>
        <w:trPr>
          <w:trHeight w:val="90"/>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ascii="宋体" w:hAnsi="宋体" w:cs="宋体"/>
                <w:szCs w:val="21"/>
              </w:rPr>
            </w:pPr>
            <w:r>
              <w:rPr>
                <w:rFonts w:hint="eastAsia" w:ascii="宋体" w:hAnsi="宋体" w:cs="宋体"/>
                <w:szCs w:val="21"/>
              </w:rPr>
              <w:t xml:space="preserve">安全文明措施（8分）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对投标人根据招标需求和项目实际情况提供的安全文明措施进行比较，包括但不限于安全文明体系、应急预案等内容</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可行性（2分)：符合实际切实可行得2分；可行性一般的得1分。</w:t>
            </w:r>
            <w:r>
              <w:rPr>
                <w:rFonts w:hint="eastAsia" w:ascii="宋体" w:hAnsi="宋体" w:cs="宋体"/>
                <w:szCs w:val="21"/>
                <w:lang w:val="en-US" w:eastAsia="zh-CN"/>
              </w:rPr>
            </w:r>
            <w:r/>
          </w:p>
          <w:p>
            <w:pPr>
              <w:pStyle w:val="687"/>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szCs w:val="21"/>
              </w:rPr>
            </w:r>
            <w:r/>
          </w:p>
        </w:tc>
      </w:tr>
      <w:tr>
        <w:trPr>
          <w:trHeight w:val="90"/>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精细化运营服务方案</w:t>
            </w:r>
            <w:r>
              <w:rPr>
                <w:rFonts w:hint="eastAsia" w:ascii="宋体" w:hAnsi="宋体" w:cs="宋体"/>
                <w:szCs w:val="21"/>
              </w:rPr>
            </w:r>
            <w:r/>
          </w:p>
          <w:p>
            <w:pPr>
              <w:pStyle w:val="1020"/>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对投标人根据招标需求和项目实际情况提供的精细化运营服务方案进行比较，包括但不限于能源托管精细化运营管理、信息化系统及机电设施设备运维、技术培训等内容</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可行性（3分)：</w:t>
            </w:r>
            <w:r>
              <w:rPr>
                <w:rFonts w:hint="eastAsia" w:ascii="宋体" w:hAnsi="宋体" w:eastAsia="宋体" w:cs="宋体"/>
                <w:szCs w:val="21"/>
                <w:lang w:val="en-US" w:eastAsia="zh-CN"/>
              </w:rPr>
              <w:t xml:space="preserve">符合实际切实可行得3分；较切实可行得2分；可行性一般的得1分。</w:t>
            </w:r>
            <w:r>
              <w:rPr>
                <w:rFonts w:hint="eastAsia" w:ascii="宋体" w:hAnsi="宋体" w:eastAsia="宋体" w:cs="宋体"/>
                <w:szCs w:val="21"/>
                <w:lang w:val="en-US" w:eastAsia="zh-CN"/>
              </w:rPr>
            </w:r>
            <w:r/>
          </w:p>
          <w:p>
            <w:pPr>
              <w:pStyle w:val="687"/>
              <w:spacing w:line="400"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未提供得0分，本项最高得9分。</w:t>
            </w:r>
            <w:r>
              <w:rPr>
                <w:rFonts w:ascii="宋体" w:hAnsi="宋体" w:cs="宋体"/>
                <w:bCs/>
                <w:szCs w:val="21"/>
              </w:rPr>
            </w:r>
            <w:r/>
          </w:p>
        </w:tc>
      </w:tr>
      <w:tr>
        <w:trPr>
          <w:trHeight w:val="90"/>
        </w:trPr>
        <w:tc>
          <w:tcPr>
            <w:tcW w:w="1272" w:type="dxa"/>
            <w:vAlign w:val="center"/>
            <w:vMerge w:val="continue"/>
            <w:textDirection w:val="lrTb"/>
            <w:noWrap w:val="false"/>
          </w:tcPr>
          <w:p>
            <w:pPr>
              <w:pStyle w:val="1020"/>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保密方案</w:t>
            </w:r>
            <w:r>
              <w:rPr>
                <w:rFonts w:hint="eastAsia" w:ascii="宋体" w:hAnsi="宋体" w:cs="宋体"/>
                <w:szCs w:val="21"/>
              </w:rPr>
            </w:r>
            <w:r/>
          </w:p>
          <w:p>
            <w:pPr>
              <w:pStyle w:val="1020"/>
              <w:jc w:val="center"/>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6186" w:type="dxa"/>
            <w:vAlign w:val="center"/>
            <w:textDirection w:val="lrTb"/>
            <w:noWrap w:val="false"/>
          </w:tcPr>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对投标人根据招标需求和项目实际情况提供的数据保密方案进行比较</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687"/>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可行性（2分)：符合实际切实可行得2分；可行性一般的得1分。</w:t>
            </w:r>
            <w:r>
              <w:rPr>
                <w:rFonts w:hint="eastAsia" w:ascii="宋体" w:hAnsi="宋体" w:cs="宋体"/>
                <w:szCs w:val="21"/>
                <w:lang w:val="en-US" w:eastAsia="zh-CN"/>
              </w:rPr>
            </w:r>
            <w:r/>
          </w:p>
          <w:p>
            <w:pPr>
              <w:pStyle w:val="687"/>
              <w:spacing w:line="400"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bCs/>
                <w:szCs w:val="21"/>
              </w:rPr>
            </w:r>
            <w:r/>
          </w:p>
        </w:tc>
      </w:tr>
    </w:tbl>
    <w:p>
      <w:pPr>
        <w:pStyle w:val="687"/>
        <w:jc w:val="lef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本章说明：</w:t>
      </w:r>
      <w:r>
        <w:rPr>
          <w:rFonts w:ascii="宋体" w:hAnsi="宋体"/>
          <w:sz w:val="24"/>
        </w:rPr>
        <w:t xml:space="preserve">本项目采用综合评分法。</w:t>
      </w:r>
      <w:r>
        <w:rPr>
          <w:rFonts w:ascii="宋体" w:hAnsi="宋体" w:cs="宋体"/>
          <w:b/>
          <w:bCs/>
          <w:sz w:val="28"/>
          <w:szCs w:val="28"/>
        </w:rPr>
      </w:r>
      <w:r/>
    </w:p>
    <w:p>
      <w:pPr>
        <w:pStyle w:val="687"/>
        <w:jc w:val="center"/>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687"/>
        <w:jc w:val="center"/>
        <w:spacing w:line="360" w:lineRule="auto"/>
        <w:rPr>
          <w:rFonts w:hint="eastAsia" w:ascii="黑体" w:hAnsi="黑体" w:eastAsia="黑体" w:cs="黑体"/>
          <w:sz w:val="32"/>
          <w:szCs w:val="32"/>
        </w:rPr>
      </w:pPr>
      <w:r>
        <w:rPr>
          <w:rFonts w:hint="eastAsia" w:ascii="黑体" w:hAnsi="黑体" w:eastAsia="黑体" w:cs="黑体"/>
          <w:sz w:val="32"/>
          <w:szCs w:val="32"/>
        </w:rPr>
        <w:br w:type="page" w:clear="all"/>
      </w:r>
      <w:r>
        <w:rPr>
          <w:rFonts w:hint="eastAsia" w:ascii="黑体" w:hAnsi="黑体" w:eastAsia="黑体" w:cs="黑体"/>
          <w:sz w:val="32"/>
          <w:szCs w:val="32"/>
        </w:rPr>
        <w:t xml:space="preserve">第五章 拟签订的合同文本</w:t>
      </w:r>
      <w:r>
        <w:rPr>
          <w:rFonts w:hint="eastAsia" w:ascii="黑体" w:hAnsi="黑体" w:eastAsia="黑体" w:cs="黑体"/>
          <w:sz w:val="32"/>
          <w:szCs w:val="32"/>
        </w:rPr>
      </w:r>
      <w:r/>
    </w:p>
    <w:p>
      <w:pPr>
        <w:pStyle w:val="687"/>
        <w:rPr>
          <w:rFonts w:ascii="宋体" w:hAnsi="宋体" w:cs="宋体"/>
          <w:b/>
          <w:sz w:val="52"/>
          <w:szCs w:val="36"/>
        </w:rPr>
      </w:pPr>
      <w:r>
        <w:rPr>
          <w:rFonts w:ascii="宋体" w:hAnsi="宋体" w:cs="宋体"/>
          <w:b/>
          <w:sz w:val="52"/>
          <w:szCs w:val="36"/>
        </w:rPr>
      </w:r>
      <w:r/>
    </w:p>
    <w:p>
      <w:pPr>
        <w:pStyle w:val="687"/>
        <w:jc w:val="center"/>
        <w:rPr>
          <w:rFonts w:ascii="宋体" w:hAnsi="宋体" w:cs="宋体"/>
          <w:b/>
          <w:sz w:val="72"/>
          <w:szCs w:val="72"/>
        </w:rPr>
      </w:pPr>
      <w:r>
        <w:rPr>
          <w:rFonts w:ascii="宋体" w:hAnsi="宋体" w:cs="宋体"/>
          <w:b/>
          <w:sz w:val="72"/>
          <w:szCs w:val="72"/>
        </w:rPr>
      </w:r>
      <w:r/>
    </w:p>
    <w:p>
      <w:pPr>
        <w:pStyle w:val="687"/>
        <w:jc w:val="center"/>
        <w:rPr>
          <w:rFonts w:ascii="宋体" w:hAnsi="宋体" w:cs="宋体"/>
          <w:b/>
          <w:sz w:val="72"/>
          <w:szCs w:val="72"/>
        </w:rPr>
      </w:pPr>
      <w:r>
        <w:rPr>
          <w:rFonts w:hint="eastAsia" w:ascii="宋体" w:hAnsi="宋体" w:cs="宋体"/>
          <w:b/>
          <w:sz w:val="72"/>
          <w:szCs w:val="72"/>
        </w:rPr>
        <w:t xml:space="preserve">政 府 采 购 合 同</w:t>
      </w:r>
      <w:r>
        <w:rPr>
          <w:rFonts w:ascii="宋体" w:hAnsi="宋体" w:cs="宋体"/>
          <w:b/>
          <w:sz w:val="72"/>
          <w:szCs w:val="72"/>
        </w:rPr>
      </w:r>
      <w:r/>
    </w:p>
    <w:p>
      <w:pPr>
        <w:pStyle w:val="687"/>
        <w:jc w:val="left"/>
        <w:rPr>
          <w:rFonts w:ascii="宋体" w:hAnsi="宋体" w:cs="宋体"/>
          <w:b/>
          <w:sz w:val="36"/>
          <w:szCs w:val="36"/>
        </w:rPr>
      </w:pPr>
      <w:r>
        <w:rPr>
          <w:rFonts w:ascii="宋体" w:hAnsi="宋体" w:cs="宋体"/>
          <w:b/>
          <w:sz w:val="36"/>
          <w:szCs w:val="36"/>
        </w:rPr>
      </w:r>
      <w:r/>
    </w:p>
    <w:p>
      <w:pPr>
        <w:pStyle w:val="687"/>
        <w:jc w:val="left"/>
        <w:rPr>
          <w:rFonts w:ascii="宋体" w:hAnsi="宋体" w:cs="宋体"/>
          <w:b/>
          <w:sz w:val="36"/>
          <w:szCs w:val="36"/>
        </w:rPr>
      </w:pPr>
      <w:r>
        <w:rPr>
          <w:rFonts w:ascii="宋体" w:hAnsi="宋体" w:cs="宋体"/>
          <w:b/>
          <w:sz w:val="36"/>
          <w:szCs w:val="36"/>
        </w:rPr>
      </w:r>
      <w:r/>
    </w:p>
    <w:p>
      <w:pPr>
        <w:pStyle w:val="687"/>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hint="eastAsia" w:ascii="宋体" w:hAnsi="宋体" w:cs="宋体"/>
          <w:b/>
          <w:sz w:val="32"/>
          <w:szCs w:val="32"/>
        </w:rPr>
        <w:t xml:space="preserve">项目编号：JSZC-320303-TTDL-G2026-0004</w:t>
      </w:r>
      <w:r>
        <w:rPr>
          <w:rFonts w:ascii="宋体" w:hAnsi="宋体" w:cs="宋体"/>
          <w:b/>
          <w:sz w:val="32"/>
          <w:szCs w:val="32"/>
        </w:rPr>
      </w:r>
      <w:r/>
    </w:p>
    <w:p>
      <w:pPr>
        <w:pStyle w:val="687"/>
        <w:jc w:val="left"/>
        <w:rPr>
          <w:rFonts w:ascii="宋体" w:hAnsi="宋体" w:cs="宋体"/>
          <w:b/>
          <w:sz w:val="32"/>
          <w:szCs w:val="32"/>
        </w:rPr>
      </w:pPr>
      <w:r>
        <w:rPr>
          <w:rFonts w:ascii="宋体" w:hAnsi="宋体" w:cs="宋体"/>
          <w:b/>
          <w:sz w:val="32"/>
          <w:szCs w:val="32"/>
        </w:rPr>
      </w:r>
      <w:r/>
    </w:p>
    <w:p>
      <w:pPr>
        <w:pStyle w:val="687"/>
        <w:spacing w:line="600" w:lineRule="exact"/>
        <w:rPr>
          <w:rFonts w:hint="eastAsia" w:ascii="宋体" w:hAnsi="宋体" w:cs="宋体"/>
          <w:sz w:val="32"/>
        </w:rPr>
      </w:pPr>
      <w:r>
        <w:rPr>
          <w:rFonts w:hint="eastAsia" w:ascii="宋体" w:hAnsi="宋体" w:cs="宋体"/>
          <w:b/>
          <w:sz w:val="32"/>
          <w:szCs w:val="32"/>
        </w:rPr>
        <w:t xml:space="preserve">项目名称：徐州市云龙区行政中心能源费用托管服务项目</w:t>
      </w:r>
      <w:r>
        <w:rPr>
          <w:rFonts w:hint="eastAsia" w:ascii="宋体" w:hAnsi="宋体" w:cs="宋体"/>
          <w:sz w:val="32"/>
        </w:rPr>
      </w:r>
      <w:r/>
    </w:p>
    <w:p>
      <w:pPr>
        <w:pStyle w:val="687"/>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hint="eastAsia" w:ascii="宋体" w:hAnsi="宋体" w:cs="宋体"/>
          <w:b/>
          <w:sz w:val="32"/>
          <w:szCs w:val="32"/>
        </w:rPr>
        <w:t xml:space="preserve">采购单位（甲方）：徐州市云龙区机关事务服务中心</w:t>
      </w:r>
      <w:r>
        <w:rPr>
          <w:rFonts w:ascii="宋体" w:hAnsi="宋体" w:cs="宋体"/>
          <w:b/>
          <w:sz w:val="32"/>
          <w:szCs w:val="32"/>
        </w:rPr>
      </w:r>
      <w:r/>
    </w:p>
    <w:p>
      <w:pPr>
        <w:pStyle w:val="687"/>
        <w:ind w:firstLine="630"/>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hint="eastAsia" w:ascii="宋体" w:hAnsi="宋体" w:cs="宋体"/>
          <w:b/>
          <w:sz w:val="32"/>
          <w:szCs w:val="32"/>
        </w:rPr>
        <w:t xml:space="preserve">中标</w:t>
      </w:r>
      <w:r>
        <w:rPr>
          <w:rFonts w:hint="eastAsia" w:ascii="宋体" w:hAnsi="宋体" w:cs="宋体"/>
          <w:b/>
          <w:sz w:val="32"/>
          <w:szCs w:val="32"/>
          <w:lang w:val="en-US" w:eastAsia="zh-CN"/>
        </w:rPr>
        <w:t xml:space="preserve">单位</w:t>
      </w:r>
      <w:r>
        <w:rPr>
          <w:rFonts w:hint="eastAsia" w:ascii="宋体" w:hAnsi="宋体" w:cs="宋体"/>
          <w:b/>
          <w:sz w:val="32"/>
          <w:szCs w:val="32"/>
        </w:rPr>
        <w:t xml:space="preserve">（乙方）：</w:t>
      </w:r>
      <w:r>
        <w:rPr>
          <w:rFonts w:ascii="宋体" w:hAnsi="宋体" w:cs="宋体"/>
          <w:b/>
          <w:sz w:val="32"/>
          <w:szCs w:val="32"/>
        </w:rPr>
      </w:r>
      <w:r/>
    </w:p>
    <w:p>
      <w:pPr>
        <w:pStyle w:val="687"/>
        <w:ind w:firstLine="630"/>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ascii="宋体" w:hAnsi="宋体" w:cs="宋体"/>
          <w:b/>
          <w:sz w:val="32"/>
          <w:szCs w:val="32"/>
        </w:rPr>
      </w:r>
      <w:r/>
    </w:p>
    <w:p>
      <w:pPr>
        <w:pStyle w:val="687"/>
        <w:jc w:val="left"/>
        <w:rPr>
          <w:rFonts w:ascii="宋体" w:hAnsi="宋体" w:cs="宋体"/>
          <w:b/>
          <w:sz w:val="32"/>
          <w:szCs w:val="32"/>
        </w:rPr>
      </w:pPr>
      <w:r>
        <w:rPr>
          <w:rFonts w:hint="eastAsia" w:ascii="宋体" w:hAnsi="宋体" w:cs="宋体"/>
          <w:b/>
          <w:sz w:val="32"/>
          <w:szCs w:val="32"/>
        </w:rPr>
        <w:t xml:space="preserve">签订日期：    年  月  日</w:t>
      </w:r>
      <w:r>
        <w:rPr>
          <w:rFonts w:ascii="宋体" w:hAnsi="宋体" w:cs="宋体"/>
          <w:b/>
          <w:sz w:val="32"/>
          <w:szCs w:val="32"/>
        </w:rPr>
      </w:r>
      <w:r/>
    </w:p>
    <w:p>
      <w:pPr>
        <w:pStyle w:val="687"/>
        <w:rPr>
          <w:rFonts w:ascii="宋体" w:hAnsi="宋体" w:cs="宋体"/>
          <w:b/>
          <w:bCs/>
          <w:sz w:val="24"/>
        </w:rPr>
      </w:pPr>
      <w:r>
        <w:rPr>
          <w:rFonts w:ascii="宋体" w:hAnsi="宋体" w:cs="宋体"/>
          <w:b/>
          <w:bCs/>
          <w:sz w:val="24"/>
        </w:rPr>
      </w:r>
      <w:r/>
    </w:p>
    <w:p>
      <w:pPr>
        <w:pStyle w:val="881"/>
        <w:ind w:left="0"/>
        <w:rPr>
          <w:rFonts w:ascii="宋体" w:hAnsi="宋体" w:cs="宋体"/>
          <w:sz w:val="24"/>
        </w:rPr>
      </w:pPr>
      <w:r>
        <w:rPr>
          <w:rFonts w:ascii="宋体" w:hAnsi="宋体" w:cs="宋体"/>
          <w:sz w:val="24"/>
        </w:rPr>
      </w:r>
      <w:r/>
    </w:p>
    <w:p>
      <w:pPr>
        <w:pStyle w:val="881"/>
        <w:ind w:left="0" w:right="0"/>
        <w:spacing w:after="0"/>
        <w:rPr>
          <w:rFonts w:ascii="宋体" w:hAnsi="宋体" w:cs="宋体"/>
          <w:b/>
          <w:sz w:val="24"/>
        </w:rPr>
      </w:pPr>
      <w:r>
        <w:rPr>
          <w:rFonts w:ascii="宋体" w:hAnsi="宋体" w:cs="宋体"/>
          <w:b/>
          <w:sz w:val="24"/>
        </w:rPr>
      </w:r>
      <w:r/>
    </w:p>
    <w:p>
      <w:pPr>
        <w:pStyle w:val="881"/>
        <w:ind w:left="0" w:right="0"/>
        <w:spacing w:after="0"/>
        <w:rPr>
          <w:rFonts w:ascii="宋体" w:hAnsi="宋体" w:cs="宋体"/>
          <w:b/>
          <w:sz w:val="24"/>
        </w:rPr>
      </w:pPr>
      <w:r>
        <w:rPr>
          <w:rFonts w:ascii="宋体" w:hAnsi="宋体" w:cs="宋体"/>
          <w:b/>
          <w:sz w:val="24"/>
        </w:rPr>
      </w:r>
      <w:r/>
    </w:p>
    <w:p>
      <w:pPr>
        <w:pStyle w:val="881"/>
        <w:ind w:left="0" w:right="0"/>
        <w:spacing w:after="0"/>
        <w:rPr>
          <w:rFonts w:ascii="宋体" w:hAnsi="宋体" w:cs="宋体"/>
          <w:b/>
          <w:sz w:val="24"/>
        </w:rPr>
      </w:pPr>
      <w:r>
        <w:rPr>
          <w:rFonts w:hint="eastAsia" w:ascii="宋体" w:hAnsi="宋体" w:cs="宋体"/>
          <w:b/>
          <w:sz w:val="24"/>
        </w:rPr>
        <w:t xml:space="preserve">友情提醒：采购人与中标、成交投标人应当在中标通知书发出之日起三十日内，按照采购文件确定的事项签订政府采购合同。</w:t>
      </w:r>
      <w:r>
        <w:rPr>
          <w:rFonts w:ascii="宋体" w:hAnsi="宋体" w:cs="宋体"/>
          <w:b/>
          <w:sz w:val="24"/>
        </w:rPr>
      </w:r>
      <w:r/>
    </w:p>
    <w:p>
      <w:pPr>
        <w:pStyle w:val="881"/>
        <w:ind w:left="0" w:right="0"/>
        <w:spacing w:after="0"/>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sz w:val="24"/>
        </w:rPr>
      </w:r>
      <w:r/>
    </w:p>
    <w:p>
      <w:pPr>
        <w:pStyle w:val="881"/>
        <w:ind w:left="0" w:right="0"/>
        <w:spacing w:after="0"/>
        <w:rPr>
          <w:rFonts w:hint="eastAsia" w:ascii="宋体" w:hAnsi="宋体" w:cs="宋体"/>
        </w:rPr>
        <w:sectPr>
          <w:footnotePr/>
          <w:endnotePr/>
          <w:type w:val="continuous"/>
          <w:pgSz w:w="11905" w:h="16837" w:orient="portrait"/>
          <w:pgMar w:top="2041" w:right="1531" w:bottom="1928" w:left="1531" w:header="0" w:footer="737" w:gutter="0"/>
          <w:cols w:num="1" w:sep="0" w:space="1701" w:equalWidth="1"/>
          <w:docGrid w:linePitch="360"/>
        </w:sectPr>
      </w:pPr>
      <w:r>
        <w:rPr>
          <w:rFonts w:hint="eastAsia" w:ascii="宋体" w:hAnsi="宋体" w:cs="宋体"/>
        </w:rPr>
        <w:br w:type="page" w:clear="all"/>
      </w:r>
      <w:r/>
    </w:p>
    <w:p>
      <w:pPr>
        <w:pStyle w:val="687"/>
        <w:jc w:val="center"/>
        <w:spacing w:line="600" w:lineRule="exact"/>
        <w:rPr>
          <w:rFonts w:hint="eastAsia" w:ascii="方正小标宋简体" w:hAnsi="方正小标宋简体" w:eastAsia="方正小标宋简体" w:cs="方正小标宋简体"/>
          <w:sz w:val="32"/>
        </w:rPr>
      </w:pPr>
      <w:r>
        <w:rPr>
          <w:rFonts w:hint="eastAsia" w:ascii="方正小标宋简体" w:hAnsi="方正小标宋简体" w:eastAsia="方正小标宋简体" w:cs="方正小标宋简体"/>
          <w:sz w:val="32"/>
        </w:rPr>
        <w:t xml:space="preserve">徐州市云龙区行政中心能源费用托管服务项目</w:t>
      </w:r>
      <w:r>
        <w:rPr>
          <w:rFonts w:hint="eastAsia" w:ascii="方正小标宋简体" w:hAnsi="方正小标宋简体" w:eastAsia="方正小标宋简体" w:cs="方正小标宋简体"/>
          <w:sz w:val="32"/>
        </w:rPr>
      </w:r>
      <w:r/>
    </w:p>
    <w:p>
      <w:pPr>
        <w:pStyle w:val="687"/>
        <w:ind w:firstLine="200"/>
        <w:jc w:val="left"/>
        <w:spacing w:line="360" w:lineRule="auto"/>
        <w:widowControl/>
        <w:tabs>
          <w:tab w:val="center" w:pos="4201" w:leader="none"/>
          <w:tab w:val="right" w:pos="9298" w:leader="dot"/>
        </w:tabs>
        <w:rPr>
          <w:rFonts w:ascii="宋体" w:hAnsi="宋体" w:cs="宋体"/>
          <w:sz w:val="20"/>
          <w:szCs w:val="20"/>
        </w:rPr>
      </w:pPr>
      <w:r>
        <w:rPr>
          <w:rFonts w:ascii="宋体" w:hAnsi="宋体" w:cs="宋体"/>
          <w:sz w:val="20"/>
          <w:szCs w:val="20"/>
        </w:rPr>
      </w:r>
      <w:r/>
    </w:p>
    <w:tbl>
      <w:tblPr>
        <w:tblW w:w="90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956"/>
        <w:gridCol w:w="2509"/>
        <w:gridCol w:w="1422"/>
        <w:gridCol w:w="2455"/>
      </w:tblGrid>
      <w:tr>
        <w:trPr/>
        <w:tc>
          <w:tcPr>
            <w:tcW w:w="662" w:type="dxa"/>
            <w:vAlign w:val="center"/>
            <w:vMerge w:val="restart"/>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甲方（公共机构）</w:t>
            </w: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单位名称</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注册地址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通讯地址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统一社会信用代码</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90"/>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w:t>
            </w:r>
            <w:r>
              <w:rPr>
                <w:rFonts w:hint="eastAsia" w:ascii="仿宋_GB2312" w:hAnsi="仿宋_GB2312" w:eastAsia="仿宋_GB2312" w:cs="仿宋_GB2312"/>
                <w:sz w:val="28"/>
                <w:szCs w:val="28"/>
              </w:rPr>
            </w:r>
            <w:r/>
          </w:p>
        </w:tc>
        <w:tc>
          <w:tcPr>
            <w:tcW w:w="2509"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委托代理人</w:t>
            </w:r>
            <w:r>
              <w:rPr>
                <w:rFonts w:hint="eastAsia" w:ascii="仿宋_GB2312" w:hAnsi="仿宋_GB2312" w:eastAsia="仿宋_GB2312" w:cs="仿宋_GB2312"/>
                <w:sz w:val="28"/>
                <w:szCs w:val="28"/>
              </w:rPr>
            </w:r>
            <w:r/>
          </w:p>
        </w:tc>
        <w:tc>
          <w:tcPr>
            <w:tcW w:w="245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w:t>
            </w:r>
            <w:r>
              <w:rPr>
                <w:rFonts w:hint="eastAsia" w:ascii="仿宋_GB2312" w:hAnsi="仿宋_GB2312" w:eastAsia="仿宋_GB2312" w:cs="仿宋_GB2312"/>
                <w:sz w:val="28"/>
                <w:szCs w:val="28"/>
              </w:rPr>
            </w:r>
            <w:r/>
          </w:p>
        </w:tc>
        <w:tc>
          <w:tcPr>
            <w:tcW w:w="2509"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传真</w:t>
            </w:r>
            <w:r>
              <w:rPr>
                <w:rFonts w:hint="eastAsia" w:ascii="仿宋_GB2312" w:hAnsi="仿宋_GB2312" w:eastAsia="仿宋_GB2312" w:cs="仿宋_GB2312"/>
                <w:sz w:val="28"/>
                <w:szCs w:val="28"/>
              </w:rPr>
            </w:r>
            <w:r/>
          </w:p>
        </w:tc>
        <w:tc>
          <w:tcPr>
            <w:tcW w:w="245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电子邮箱</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开户银行</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账号</w:t>
            </w:r>
            <w:r>
              <w:rPr>
                <w:rFonts w:hint="eastAsia" w:ascii="仿宋_GB2312" w:hAnsi="仿宋_GB2312" w:eastAsia="仿宋_GB2312" w:cs="仿宋_GB2312"/>
                <w:sz w:val="28"/>
                <w:szCs w:val="28"/>
              </w:rPr>
            </w:r>
            <w:r/>
          </w:p>
        </w:tc>
        <w:tc>
          <w:tcPr>
            <w:tcW w:w="2509"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税号</w:t>
            </w:r>
            <w:r>
              <w:rPr>
                <w:rFonts w:hint="eastAsia" w:ascii="仿宋_GB2312" w:hAnsi="仿宋_GB2312" w:eastAsia="仿宋_GB2312" w:cs="仿宋_GB2312"/>
                <w:sz w:val="28"/>
                <w:szCs w:val="28"/>
              </w:rPr>
            </w:r>
            <w:r/>
          </w:p>
        </w:tc>
        <w:tc>
          <w:tcPr>
            <w:tcW w:w="245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restart"/>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乙方（节能服务公司）</w:t>
            </w: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单位名称</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注册地址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通讯地址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统一社会信用代码</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w:t>
            </w:r>
            <w:r>
              <w:rPr>
                <w:rFonts w:hint="eastAsia" w:ascii="仿宋_GB2312" w:hAnsi="仿宋_GB2312" w:eastAsia="仿宋_GB2312" w:cs="仿宋_GB2312"/>
                <w:sz w:val="28"/>
                <w:szCs w:val="28"/>
              </w:rPr>
            </w:r>
            <w:r/>
          </w:p>
        </w:tc>
        <w:tc>
          <w:tcPr>
            <w:tcW w:w="2509"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委托代理人</w:t>
            </w:r>
            <w:r>
              <w:rPr>
                <w:rFonts w:hint="eastAsia" w:ascii="仿宋_GB2312" w:hAnsi="仿宋_GB2312" w:eastAsia="仿宋_GB2312" w:cs="仿宋_GB2312"/>
                <w:sz w:val="28"/>
                <w:szCs w:val="28"/>
              </w:rPr>
            </w:r>
            <w:r/>
          </w:p>
        </w:tc>
        <w:tc>
          <w:tcPr>
            <w:tcW w:w="245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通讯地址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w:t>
            </w:r>
            <w:r>
              <w:rPr>
                <w:rFonts w:hint="eastAsia" w:ascii="仿宋_GB2312" w:hAnsi="仿宋_GB2312" w:eastAsia="仿宋_GB2312" w:cs="仿宋_GB2312"/>
                <w:sz w:val="28"/>
                <w:szCs w:val="28"/>
              </w:rPr>
            </w:r>
            <w:r/>
          </w:p>
        </w:tc>
        <w:tc>
          <w:tcPr>
            <w:tcW w:w="2509"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传真</w:t>
            </w:r>
            <w:r>
              <w:rPr>
                <w:rFonts w:hint="eastAsia" w:ascii="仿宋_GB2312" w:hAnsi="仿宋_GB2312" w:eastAsia="仿宋_GB2312" w:cs="仿宋_GB2312"/>
                <w:sz w:val="28"/>
                <w:szCs w:val="28"/>
              </w:rPr>
            </w:r>
            <w:r/>
          </w:p>
        </w:tc>
        <w:tc>
          <w:tcPr>
            <w:tcW w:w="245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90"/>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电子邮箱</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开户银行</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账号</w:t>
            </w:r>
            <w:r>
              <w:rPr>
                <w:rFonts w:hint="eastAsia" w:ascii="仿宋_GB2312" w:hAnsi="仿宋_GB2312" w:eastAsia="仿宋_GB2312" w:cs="仿宋_GB2312"/>
                <w:sz w:val="28"/>
                <w:szCs w:val="28"/>
              </w:rPr>
            </w:r>
            <w:r/>
          </w:p>
        </w:tc>
        <w:tc>
          <w:tcPr>
            <w:tcW w:w="2509"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税号</w:t>
            </w:r>
            <w:r>
              <w:rPr>
                <w:rFonts w:hint="eastAsia" w:ascii="仿宋_GB2312" w:hAnsi="仿宋_GB2312" w:eastAsia="仿宋_GB2312" w:cs="仿宋_GB2312"/>
                <w:sz w:val="28"/>
                <w:szCs w:val="28"/>
              </w:rPr>
            </w:r>
            <w:r/>
          </w:p>
        </w:tc>
        <w:tc>
          <w:tcPr>
            <w:tcW w:w="245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bl>
    <w:p>
      <w:pPr>
        <w:pStyle w:val="687"/>
        <w:ind w:firstLine="400"/>
        <w:jc w:val="left"/>
        <w:spacing w:line="560" w:lineRule="exact"/>
        <w:widowControl/>
        <w:rPr>
          <w:rFonts w:hint="eastAsia" w:ascii="仿宋_GB2312" w:hAnsi="仿宋_GB2312" w:eastAsia="仿宋_GB2312" w:cs="仿宋_GB2312"/>
          <w:sz w:val="32"/>
          <w:szCs w:val="32"/>
        </w:rPr>
      </w:pPr>
      <w:r>
        <w:rPr>
          <w:rFonts w:hint="eastAsia" w:ascii="宋体" w:hAnsi="宋体" w:cs="宋体"/>
          <w:sz w:val="20"/>
          <w:szCs w:val="20"/>
        </w:rPr>
        <w:br w:type="page" w:clear="all"/>
      </w:r>
      <w:r>
        <w:rPr>
          <w:rFonts w:hint="eastAsia" w:ascii="仿宋_GB2312" w:hAnsi="仿宋_GB2312" w:eastAsia="仿宋_GB2312" w:cs="仿宋_GB2312"/>
          <w:sz w:val="32"/>
          <w:szCs w:val="32"/>
        </w:rPr>
        <w:t xml:space="preserve">公共机构</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(以下简称甲方）与节能服务公司</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以下简称乙方），根据《中华人民共和国民法典》、《中华人民共和国政府采购法》、《中华人民共和国招标投标法》、《公共机构能源费用托管实施规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rPr>
          <w:rFonts w:hint="eastAsia" w:ascii="仿宋_GB2312" w:hAnsi="仿宋_GB2312" w:eastAsia="仿宋_GB2312" w:cs="仿宋_GB2312"/>
          <w:sz w:val="32"/>
          <w:szCs w:val="32"/>
        </w:rPr>
      </w:r>
      <w:r/>
    </w:p>
    <w:p>
      <w:pPr>
        <w:pStyle w:val="687"/>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第一条 名词解释</w:t>
      </w:r>
      <w:r>
        <w:rPr>
          <w:rFonts w:hint="eastAsia" w:ascii="仿宋_GB2312" w:hAnsi="仿宋_GB2312" w:eastAsia="仿宋_GB2312" w:cs="仿宋_GB2312"/>
          <w:b/>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1.1 合同能源管理</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 能源托管</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合同能源管理的一种形式。由公共机构委托能够提供用能诊断、节能改造、运行管理等服务的专业化节能服务公司，进行电、气、煤、油、市政热力、水等能源资源系统的运行、管理、维护和改造，公共机构将根据能源基准确定的费用支付给节能服务公司作为托管费用，节能服务公司通过科学地管理运行和节能技术的应用达到节约能源资源、减少费用支出等目的，获取合理的利润。</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1.3 能源基准</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用作比较能源绩效的定量参考依据。</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注1：能源基准反映的是特定时间段的能源利用状况。</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注2：能源基准可采用建筑能源审计所确定的基准期内、项目边界内建筑或各用能设备（系统）的能源消耗量作为能源绩效参数。</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注3：能源基准也可作为能源绩效改进措施实施前后的参照来计算节能量。</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1.4 建筑能源审计</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1.5 项目边界</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实施节能改造措施所影响的建筑或用能设备（系统）的运行时间、范围和地理位置界线。</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1.6 基准期</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在建筑合同能源管理项目实施前，能够代表项目边界内用能设备和系统运行规律的时间段。</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1.7 能源托管费用基数</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rPr>
          <w:rFonts w:hint="eastAsia" w:ascii="仿宋_GB2312" w:hAnsi="仿宋_GB2312" w:eastAsia="仿宋_GB2312" w:cs="仿宋_GB2312"/>
          <w:sz w:val="32"/>
          <w:szCs w:val="32"/>
        </w:rPr>
      </w:r>
      <w:r/>
    </w:p>
    <w:p>
      <w:pPr>
        <w:pStyle w:val="687"/>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第二条 托管项目基本情况</w:t>
      </w:r>
      <w:r>
        <w:rPr>
          <w:rFonts w:hint="eastAsia" w:ascii="仿宋_GB2312" w:hAnsi="仿宋_GB2312" w:eastAsia="仿宋_GB2312" w:cs="仿宋_GB2312"/>
          <w:b/>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2.1 托管项目的房屋建筑设施系甲方的经营办公场所，</w:t>
      </w:r>
      <w:r>
        <w:rPr>
          <w:rFonts w:hint="eastAsia" w:ascii="仿宋_GB2312" w:hAnsi="仿宋_GB2312" w:eastAsia="仿宋_GB2312" w:cs="仿宋_GB2312"/>
          <w:sz w:val="32"/>
          <w:szCs w:val="32"/>
          <w:u w:val="single"/>
        </w:rPr>
        <w:t xml:space="preserve">徐州市云龙区行政中心</w:t>
      </w:r>
      <w:r>
        <w:rPr>
          <w:rFonts w:hint="eastAsia" w:ascii="仿宋_GB2312" w:hAnsi="仿宋_GB2312" w:eastAsia="仿宋_GB2312" w:cs="仿宋_GB2312"/>
          <w:sz w:val="32"/>
          <w:szCs w:val="32"/>
        </w:rPr>
        <w:t xml:space="preserve">，相关建设、运营等手续合法、有效。托管项目区域内的供暖及制冷系统各项申报、批准、验收手续齐全。如果上述手续尚不齐备，由甲方负责完善。</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2.2 托管项目的用能建筑情况：本项目建筑区域，</w:t>
      </w:r>
      <w:r>
        <w:rPr>
          <w:rFonts w:hint="eastAsia" w:ascii="仿宋_GB2312" w:hAnsi="仿宋_GB2312" w:eastAsia="仿宋_GB2312" w:cs="仿宋_GB2312"/>
          <w:sz w:val="32"/>
          <w:szCs w:val="32"/>
          <w:u w:val="single"/>
        </w:rPr>
        <w:t xml:space="preserve">徐州市云龙区行政中心</w:t>
      </w:r>
      <w:r>
        <w:rPr>
          <w:rFonts w:hint="eastAsia" w:ascii="仿宋_GB2312" w:hAnsi="仿宋_GB2312" w:eastAsia="仿宋_GB2312" w:cs="仿宋_GB2312"/>
          <w:sz w:val="32"/>
          <w:szCs w:val="32"/>
        </w:rPr>
        <w:t xml:space="preserve">。项目总建筑面积约为</w:t>
      </w:r>
      <w:r>
        <w:rPr>
          <w:rFonts w:hint="eastAsia" w:ascii="仿宋_GB2312" w:hAnsi="仿宋_GB2312" w:eastAsia="仿宋_GB2312" w:cs="仿宋_GB2312"/>
          <w:sz w:val="32"/>
          <w:szCs w:val="32"/>
          <w:u w:val="single"/>
        </w:rPr>
        <w:t xml:space="preserve">4.3万</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2.3 托管项目的能源种类范围：本项目能源托管的范围包括政府自行缴纳费用的电、自来水等能源形式，政府其他能源费用不在本次托管范围内。</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2.4 托管项目的能源系统设备设施：新建本项目智慧建筑综合能效管控平台实现电能计量管理系统、给水管网监测管理系统、空调智控系统，更换多联机中央空调室外机、室内机（确保更换后的设备和原系统匹配）及配套设施的恢复工作。用能设备包括冬季空调供暖、夏季空调供冷的建筑设施和生活、生产、工作用电等设施。</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2.5 托管项目的用能时间及要求</w:t>
      </w:r>
      <w:r>
        <w:rPr>
          <w:rFonts w:hint="eastAsia" w:ascii="仿宋_GB2312" w:hAnsi="仿宋_GB2312" w:eastAsia="仿宋_GB2312" w:cs="仿宋_GB2312"/>
          <w:sz w:val="32"/>
          <w:szCs w:val="32"/>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2545"/>
        <w:gridCol w:w="2671"/>
        <w:gridCol w:w="2560"/>
        <w:gridCol w:w="236"/>
      </w:tblGrid>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5月20日至9月30日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11月21日至3月10日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室内温度</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夏季室内≥26℃且≤28℃，冬季室内≥18℃且≤20℃</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蒸汽标准</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r>
      <w:tr>
        <w:trPr/>
        <w:tc>
          <w:tcPr>
            <w:tcW w:w="1548" w:type="dxa"/>
            <w:vAlign w:val="center"/>
            <w:vMerge w:val="restart"/>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日供时段</w:t>
            </w:r>
            <w:r>
              <w:rPr>
                <w:rFonts w:hint="eastAsia" w:ascii="仿宋_GB2312" w:hAnsi="仿宋_GB2312" w:eastAsia="仿宋_GB2312" w:cs="仿宋_GB2312"/>
                <w:sz w:val="28"/>
                <w:szCs w:val="28"/>
              </w:rPr>
            </w:r>
            <w:r/>
          </w:p>
        </w:tc>
        <w:tc>
          <w:tcPr>
            <w:tcW w:w="254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w:t>
            </w:r>
            <w:r>
              <w:rPr>
                <w:rFonts w:hint="eastAsia" w:ascii="仿宋_GB2312" w:hAnsi="仿宋_GB2312" w:eastAsia="仿宋_GB2312" w:cs="仿宋_GB2312"/>
                <w:sz w:val="28"/>
                <w:szCs w:val="28"/>
              </w:rPr>
            </w:r>
            <w:r/>
          </w:p>
        </w:tc>
        <w:tc>
          <w:tcPr>
            <w:tcW w:w="2671"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w:t>
            </w:r>
            <w:r>
              <w:rPr>
                <w:rFonts w:hint="eastAsia" w:ascii="仿宋_GB2312" w:hAnsi="仿宋_GB2312" w:eastAsia="仿宋_GB2312" w:cs="仿宋_GB2312"/>
                <w:sz w:val="28"/>
                <w:szCs w:val="28"/>
              </w:rPr>
            </w:r>
            <w:r/>
          </w:p>
        </w:tc>
        <w:tc>
          <w:tcPr>
            <w:tcW w:w="2560"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w:t>
            </w:r>
            <w:r>
              <w:rPr>
                <w:rFonts w:hint="eastAsia" w:ascii="仿宋_GB2312" w:hAnsi="仿宋_GB2312" w:eastAsia="仿宋_GB2312" w:cs="仿宋_GB2312"/>
                <w:sz w:val="28"/>
                <w:szCs w:val="28"/>
              </w:rPr>
            </w:r>
            <w:r/>
          </w:p>
        </w:tc>
        <w:tc>
          <w:tcPr>
            <w:tcW w:w="236" w:type="dxa"/>
            <w:vAlign w:val="top"/>
            <w:textDirection w:val="lrTb"/>
            <w:noWrap w:val="false"/>
          </w:tcPr>
          <w:p>
            <w:pPr>
              <w:pStyle w:val="687"/>
              <w:rPr>
                <w:rFonts w:hint="eastAsia" w:ascii="仿宋_GB2312" w:hAnsi="仿宋_GB2312" w:eastAsia="仿宋_GB2312" w:cs="仿宋_GB2312"/>
              </w:rPr>
            </w:pPr>
            <w:r>
              <w:rPr>
                <w:rFonts w:hint="eastAsia" w:ascii="仿宋_GB2312" w:hAnsi="仿宋_GB2312" w:eastAsia="仿宋_GB2312" w:cs="仿宋_GB2312"/>
              </w:rPr>
            </w:r>
            <w:r/>
          </w:p>
        </w:tc>
      </w:tr>
      <w:tr>
        <w:trPr/>
        <w:tc>
          <w:tcPr>
            <w:tcW w:w="1548" w:type="dxa"/>
            <w:vAlign w:val="center"/>
            <w:vMerge w:val="continue"/>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2545" w:type="dxa"/>
            <w:vAlign w:val="center"/>
            <w:textDirection w:val="lrTb"/>
            <w:noWrap w:val="false"/>
          </w:tcPr>
          <w:p>
            <w:pPr>
              <w:pStyle w:val="687"/>
              <w:jc w:val="center"/>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ascii="仿宋_GB2312" w:hAnsi="仿宋_GB2312" w:eastAsia="仿宋_GB2312" w:cs="仿宋_GB2312"/>
                <w:sz w:val="28"/>
                <w:szCs w:val="28"/>
              </w:rPr>
            </w:r>
            <w:r/>
          </w:p>
        </w:tc>
        <w:tc>
          <w:tcPr>
            <w:tcW w:w="2671"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hint="eastAsia" w:ascii="仿宋_GB2312" w:hAnsi="仿宋_GB2312" w:eastAsia="仿宋_GB2312" w:cs="仿宋_GB2312"/>
                <w:sz w:val="28"/>
                <w:szCs w:val="28"/>
              </w:rPr>
            </w:r>
            <w:r/>
          </w:p>
        </w:tc>
        <w:tc>
          <w:tcPr>
            <w:tcW w:w="2560"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c>
          <w:tcPr>
            <w:tcW w:w="236" w:type="dxa"/>
            <w:vAlign w:val="top"/>
            <w:textDirection w:val="lrTb"/>
            <w:noWrap w:val="false"/>
          </w:tcPr>
          <w:p>
            <w:pPr>
              <w:pStyle w:val="687"/>
              <w:rPr>
                <w:rFonts w:hint="eastAsia" w:ascii="仿宋_GB2312" w:hAnsi="仿宋_GB2312" w:eastAsia="仿宋_GB2312" w:cs="仿宋_GB2312"/>
              </w:rPr>
            </w:pPr>
            <w:r>
              <w:rPr>
                <w:rFonts w:hint="eastAsia" w:ascii="仿宋_GB2312" w:hAnsi="仿宋_GB2312" w:eastAsia="仿宋_GB2312" w:cs="仿宋_GB2312"/>
              </w:rPr>
            </w:r>
            <w:r/>
          </w:p>
        </w:tc>
      </w:tr>
    </w:tbl>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非供冷和供热期时，室外气温32℃以上，或室外气温10℃以下时，乙方应提供供冷或供热服务。节假日、休息日或特殊情况时，托管服务范围内的会议室等公共场所，根据甲方实际工作安排，乙方应无条件配合甲方安排，提供供冷或供热服务。</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2.6 托管项目的运维管理情况：甲方委托乙方新建本项目智慧建筑综合能效管控平台实现电能计量管理系统、给水管网监测管理系统、空调智控系统，更换多联机中央空调室外机、室内机。乙方对用能系统的设备及系统进行管理运营，设备开关及控制由乙方负责，日常管理/值班人员不少于2人次，值班周期为工作日。</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2.7 托管项目区域内的用能建筑情况（2.2）能源系统设备设施（2.4）和项目运维管理情况（2.6），由双方进行逐一登记造册，形成“项目现有用能情况”作为本合同附件一。</w:t>
      </w:r>
      <w:r>
        <w:rPr>
          <w:rFonts w:hint="eastAsia" w:ascii="仿宋_GB2312" w:hAnsi="仿宋_GB2312" w:eastAsia="仿宋_GB2312" w:cs="仿宋_GB2312"/>
          <w:sz w:val="32"/>
          <w:szCs w:val="32"/>
        </w:rPr>
      </w:r>
      <w:r/>
    </w:p>
    <w:p>
      <w:pPr>
        <w:pStyle w:val="687"/>
        <w:ind w:firstLine="48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2.8 项目托管服务范围包括：</w:t>
      </w:r>
      <w:r>
        <w:rPr>
          <w:rFonts w:ascii="仿宋_GB2312" w:hAnsi="仿宋_GB2312" w:eastAsia="仿宋_GB2312" w:cs="仿宋_GB2312"/>
          <w:sz w:val="32"/>
          <w:szCs w:val="32"/>
        </w:rPr>
      </w:r>
      <w:r/>
    </w:p>
    <w:p>
      <w:pPr>
        <w:pStyle w:val="727"/>
        <w:rPr>
          <w:rFonts w:hint="eastAsia"/>
        </w:rPr>
      </w:pPr>
      <w:r>
        <w:rPr>
          <w:rFonts w:hint="eastAsia"/>
        </w:rPr>
      </w:r>
      <w:r/>
    </w:p>
    <w:tbl>
      <w:tblPr>
        <w:tblW w:w="89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454"/>
        <w:gridCol w:w="6075"/>
      </w:tblGrid>
      <w:tr>
        <w:trPr/>
        <w:tc>
          <w:tcPr>
            <w:tcW w:w="1417"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类别</w:t>
            </w:r>
            <w:r>
              <w:rPr>
                <w:rFonts w:hint="eastAsia" w:ascii="宋体" w:hAnsi="宋体" w:cs="宋体"/>
                <w:sz w:val="28"/>
                <w:szCs w:val="28"/>
              </w:rPr>
            </w:r>
            <w:r/>
          </w:p>
        </w:tc>
        <w:tc>
          <w:tcPr>
            <w:gridSpan w:val="2"/>
            <w:tcW w:w="7529"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服务内容</w:t>
            </w:r>
            <w:r>
              <w:rPr>
                <w:rFonts w:hint="eastAsia" w:ascii="宋体" w:hAnsi="宋体" w:cs="宋体"/>
                <w:sz w:val="28"/>
                <w:szCs w:val="28"/>
              </w:rPr>
            </w:r>
            <w:r/>
          </w:p>
        </w:tc>
      </w:tr>
      <w:tr>
        <w:trPr/>
        <w:tc>
          <w:tcPr>
            <w:tcW w:w="1417" w:type="dxa"/>
            <w:vAlign w:val="center"/>
            <w:vMerge w:val="restart"/>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云龙区行政中心能源托管</w:t>
            </w:r>
            <w:r>
              <w:rPr>
                <w:rFonts w:hint="eastAsia" w:ascii="宋体" w:hAnsi="宋体" w:cs="宋体"/>
                <w:sz w:val="28"/>
                <w:szCs w:val="28"/>
              </w:rPr>
            </w:r>
            <w:r/>
          </w:p>
        </w:tc>
        <w:tc>
          <w:tcPr>
            <w:tcW w:w="1454" w:type="dxa"/>
            <w:vAlign w:val="center"/>
            <w:vMerge w:val="restart"/>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基本服务</w:t>
            </w: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冷、热、电、自来水的供应</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能源网软、硬件设施的安全、可靠运行技术支持</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能源网系统和设备进行换季维护保养指导</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统计报表</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restart"/>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增值服务</w:t>
            </w: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一体化解决方案</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个性化服务</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设备资产可靠性分析</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用能咨询</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搭建交流平台</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ascii="宋体" w:hAnsi="宋体" w:cs="宋体"/>
                <w:sz w:val="28"/>
                <w:szCs w:val="28"/>
              </w:rPr>
            </w:pPr>
            <w:r>
              <w:rPr>
                <w:rFonts w:hint="eastAsia" w:ascii="宋体" w:hAnsi="宋体" w:cs="宋体"/>
                <w:sz w:val="28"/>
                <w:szCs w:val="28"/>
              </w:rPr>
              <w:t xml:space="preserve">空调系统运维服务</w:t>
            </w:r>
            <w:r>
              <w:rPr>
                <w:rFonts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ascii="宋体" w:hAnsi="宋体" w:cs="宋体"/>
                <w:sz w:val="28"/>
                <w:szCs w:val="28"/>
              </w:rPr>
            </w:pPr>
            <w:r>
              <w:rPr>
                <w:rFonts w:hint="eastAsia" w:ascii="宋体" w:hAnsi="宋体" w:cs="宋体"/>
                <w:sz w:val="28"/>
                <w:szCs w:val="28"/>
              </w:rPr>
              <w:t xml:space="preserve">代理市场化购电业务</w:t>
            </w:r>
            <w:r>
              <w:rPr>
                <w:rFonts w:ascii="宋体" w:hAnsi="宋体" w:cs="宋体"/>
                <w:sz w:val="28"/>
                <w:szCs w:val="28"/>
              </w:rPr>
            </w:r>
            <w:r/>
          </w:p>
        </w:tc>
      </w:tr>
    </w:tbl>
    <w:p>
      <w:pPr>
        <w:pStyle w:val="687"/>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第三条 能源审计和能源基准</w:t>
      </w:r>
      <w:r>
        <w:rPr>
          <w:rFonts w:hint="eastAsia" w:ascii="仿宋_GB2312" w:hAnsi="仿宋_GB2312" w:eastAsia="仿宋_GB2312" w:cs="仿宋_GB2312"/>
          <w:b/>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3.1 能源审计是评估甲方能源系统能源消耗状况的主要依据，能源审计费用由</w:t>
      </w:r>
      <w:r>
        <w:rPr>
          <w:rFonts w:hint="eastAsia" w:ascii="仿宋_GB2312" w:hAnsi="仿宋_GB2312" w:eastAsia="仿宋_GB2312" w:cs="仿宋_GB2312"/>
          <w:sz w:val="32"/>
          <w:szCs w:val="32"/>
          <w:u w:val="single"/>
        </w:rPr>
        <w:t xml:space="preserve">乙方</w:t>
      </w:r>
      <w:r>
        <w:rPr>
          <w:rFonts w:hint="eastAsia" w:ascii="仿宋_GB2312" w:hAnsi="仿宋_GB2312" w:eastAsia="仿宋_GB2312" w:cs="仿宋_GB2312"/>
          <w:sz w:val="32"/>
          <w:szCs w:val="32"/>
        </w:rPr>
        <w:t xml:space="preserve">承担，且在托管期内乙方须每年委托第三方能源审计机构进行节能量核定，该核定作为当年度节能目标考核及节能效益支付的依据，节能量核定费用由</w:t>
      </w:r>
      <w:r>
        <w:rPr>
          <w:rFonts w:hint="eastAsia" w:ascii="仿宋_GB2312" w:hAnsi="仿宋_GB2312" w:eastAsia="仿宋_GB2312" w:cs="仿宋_GB2312"/>
          <w:sz w:val="32"/>
          <w:szCs w:val="32"/>
          <w:u w:val="single"/>
        </w:rPr>
        <w:t xml:space="preserve">乙方</w:t>
      </w:r>
      <w:r>
        <w:rPr>
          <w:rFonts w:hint="eastAsia" w:ascii="仿宋_GB2312" w:hAnsi="仿宋_GB2312" w:eastAsia="仿宋_GB2312" w:cs="仿宋_GB2312"/>
          <w:sz w:val="32"/>
          <w:szCs w:val="32"/>
        </w:rPr>
        <w:t xml:space="preserve">承担。</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3.2 经过能源审计确定托管项目的能源基准：确定本项目在实施能源托管前，代表项目边界内用能设备和系统运行规律的</w:t>
      </w:r>
      <w:r>
        <w:rPr>
          <w:rFonts w:hint="eastAsia" w:ascii="仿宋_GB2312" w:hAnsi="仿宋_GB2312" w:eastAsia="仿宋_GB2312" w:cs="仿宋_GB2312"/>
          <w:sz w:val="32"/>
          <w:szCs w:val="32"/>
          <w:highlight w:val="none"/>
        </w:rPr>
        <w:t xml:space="preserve">基准期为</w:t>
      </w:r>
      <w:r>
        <w:rPr>
          <w:rFonts w:hint="eastAsia" w:ascii="仿宋_GB2312" w:hAnsi="仿宋_GB2312" w:eastAsia="仿宋_GB2312" w:cs="仿宋_GB2312"/>
          <w:sz w:val="32"/>
          <w:szCs w:val="32"/>
          <w:highlight w:val="none"/>
          <w:u w:val="single"/>
        </w:rPr>
        <w:t xml:space="preserve">202</w:t>
      </w:r>
      <w:r>
        <w:rPr>
          <w:rFonts w:hint="eastAsia" w:ascii="仿宋_GB2312" w:hAnsi="仿宋_GB2312" w:eastAsia="仿宋_GB2312" w:cs="仿宋_GB2312"/>
          <w:sz w:val="32"/>
          <w:szCs w:val="32"/>
          <w:highlight w:val="none"/>
          <w:u w:val="single"/>
          <w:lang w:val="en-US" w:eastAsia="zh-CN"/>
        </w:rPr>
        <w:t xml:space="preserve">3</w:t>
      </w:r>
      <w:r>
        <w:rPr>
          <w:rFonts w:hint="eastAsia" w:ascii="仿宋_GB2312" w:hAnsi="仿宋_GB2312" w:eastAsia="仿宋_GB2312" w:cs="仿宋_GB2312"/>
          <w:sz w:val="32"/>
          <w:szCs w:val="32"/>
          <w:highlight w:val="none"/>
        </w:rPr>
        <w:t xml:space="preserve">年</w:t>
      </w:r>
      <w:r>
        <w:rPr>
          <w:rFonts w:hint="eastAsia" w:ascii="仿宋_GB2312" w:hAnsi="仿宋_GB2312" w:eastAsia="仿宋_GB2312" w:cs="仿宋_GB2312"/>
          <w:sz w:val="32"/>
          <w:szCs w:val="32"/>
          <w:highlight w:val="none"/>
          <w:u w:val="single"/>
          <w:lang w:val="en-US" w:eastAsia="zh-CN"/>
        </w:rPr>
        <w:t xml:space="preserve">1</w:t>
      </w:r>
      <w:r>
        <w:rPr>
          <w:rFonts w:hint="eastAsia" w:ascii="仿宋_GB2312" w:hAnsi="仿宋_GB2312" w:eastAsia="仿宋_GB2312" w:cs="仿宋_GB2312"/>
          <w:sz w:val="32"/>
          <w:szCs w:val="32"/>
          <w:highlight w:val="none"/>
        </w:rPr>
        <w:t xml:space="preserve">月</w:t>
      </w:r>
      <w:r>
        <w:rPr>
          <w:rFonts w:hint="eastAsia" w:ascii="仿宋_GB2312" w:hAnsi="仿宋_GB2312" w:eastAsia="仿宋_GB2312" w:cs="仿宋_GB2312"/>
          <w:sz w:val="32"/>
          <w:szCs w:val="32"/>
          <w:highlight w:val="none"/>
          <w:u w:val="single"/>
        </w:rPr>
        <w:t xml:space="preserve">1</w:t>
      </w:r>
      <w:r>
        <w:rPr>
          <w:rFonts w:hint="eastAsia" w:ascii="仿宋_GB2312" w:hAnsi="仿宋_GB2312" w:eastAsia="仿宋_GB2312" w:cs="仿宋_GB2312"/>
          <w:sz w:val="32"/>
          <w:szCs w:val="32"/>
          <w:highlight w:val="none"/>
        </w:rPr>
        <w:t xml:space="preserve">日至</w:t>
      </w:r>
      <w:r>
        <w:rPr>
          <w:rFonts w:hint="eastAsia" w:ascii="仿宋_GB2312" w:hAnsi="仿宋_GB2312" w:eastAsia="仿宋_GB2312" w:cs="仿宋_GB2312"/>
          <w:sz w:val="32"/>
          <w:szCs w:val="32"/>
          <w:highlight w:val="none"/>
          <w:u w:val="single"/>
        </w:rPr>
        <w:t xml:space="preserve">202</w:t>
      </w:r>
      <w:r>
        <w:rPr>
          <w:rFonts w:hint="eastAsia" w:ascii="仿宋_GB2312" w:hAnsi="仿宋_GB2312" w:eastAsia="仿宋_GB2312" w:cs="仿宋_GB2312"/>
          <w:sz w:val="32"/>
          <w:szCs w:val="32"/>
          <w:highlight w:val="none"/>
          <w:u w:val="single"/>
          <w:lang w:val="en-US" w:eastAsia="zh-CN"/>
        </w:rPr>
        <w:t xml:space="preserve">4</w:t>
      </w:r>
      <w:r>
        <w:rPr>
          <w:rFonts w:hint="eastAsia" w:ascii="仿宋_GB2312" w:hAnsi="仿宋_GB2312" w:eastAsia="仿宋_GB2312" w:cs="仿宋_GB2312"/>
          <w:sz w:val="32"/>
          <w:szCs w:val="32"/>
          <w:highlight w:val="none"/>
        </w:rPr>
        <w:t xml:space="preserve">年</w:t>
      </w:r>
      <w:r>
        <w:rPr>
          <w:rFonts w:hint="eastAsia" w:ascii="仿宋_GB2312" w:hAnsi="仿宋_GB2312" w:eastAsia="仿宋_GB2312" w:cs="仿宋_GB2312"/>
          <w:sz w:val="32"/>
          <w:szCs w:val="32"/>
          <w:highlight w:val="none"/>
          <w:u w:val="single"/>
          <w:lang w:val="en-US" w:eastAsia="zh-CN"/>
        </w:rPr>
        <w:t xml:space="preserve">12</w:t>
      </w:r>
      <w:r>
        <w:rPr>
          <w:rFonts w:hint="eastAsia" w:ascii="仿宋_GB2312" w:hAnsi="仿宋_GB2312" w:eastAsia="仿宋_GB2312" w:cs="仿宋_GB2312"/>
          <w:sz w:val="32"/>
          <w:szCs w:val="32"/>
          <w:highlight w:val="none"/>
        </w:rPr>
        <w:t xml:space="preserve">月</w:t>
      </w:r>
      <w:r>
        <w:rPr>
          <w:rFonts w:hint="eastAsia" w:ascii="仿宋_GB2312" w:hAnsi="仿宋_GB2312" w:eastAsia="仿宋_GB2312" w:cs="仿宋_GB2312"/>
          <w:sz w:val="32"/>
          <w:szCs w:val="32"/>
          <w:highlight w:val="none"/>
          <w:u w:val="single"/>
          <w:lang w:val="en-US" w:eastAsia="zh-CN"/>
        </w:rPr>
        <w:t xml:space="preserve">31</w:t>
      </w:r>
      <w:r>
        <w:rPr>
          <w:rFonts w:hint="eastAsia" w:ascii="仿宋_GB2312" w:hAnsi="仿宋_GB2312" w:eastAsia="仿宋_GB2312" w:cs="仿宋_GB2312"/>
          <w:sz w:val="32"/>
          <w:szCs w:val="32"/>
          <w:highlight w:val="none"/>
        </w:rPr>
        <w:t xml:space="preserve">日；</w:t>
      </w:r>
      <w:r>
        <w:rPr>
          <w:rFonts w:hint="eastAsia" w:ascii="仿宋_GB2312" w:hAnsi="仿宋_GB2312" w:eastAsia="仿宋_GB2312" w:cs="仿宋_GB2312"/>
          <w:sz w:val="32"/>
          <w:szCs w:val="32"/>
        </w:rPr>
        <w:t xml:space="preserve">能源基准如下所示：</w:t>
      </w:r>
      <w:r>
        <w:rPr>
          <w:rFonts w:hint="eastAsia" w:ascii="仿宋_GB2312" w:hAnsi="仿宋_GB2312" w:eastAsia="仿宋_GB2312" w:cs="仿宋_GB2312"/>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8"/>
        <w:gridCol w:w="1862"/>
        <w:gridCol w:w="1870"/>
        <w:gridCol w:w="2126"/>
      </w:tblGrid>
      <w:tr>
        <w:trPr>
          <w:trHeight w:val="894"/>
        </w:trPr>
        <w:tc>
          <w:tcPr>
            <w:tcW w:w="3138"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托管能源类型</w:t>
            </w:r>
            <w:r>
              <w:rPr>
                <w:rFonts w:ascii="宋体" w:hAnsi="宋体" w:cs="宋体"/>
                <w:color w:val="000000"/>
                <w:sz w:val="28"/>
                <w:szCs w:val="28"/>
              </w:rPr>
            </w:r>
            <w:r/>
          </w:p>
        </w:tc>
        <w:tc>
          <w:tcPr>
            <w:tcW w:w="1862"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基准期能源用量</w:t>
            </w:r>
            <w:r>
              <w:rPr>
                <w:rFonts w:ascii="宋体" w:hAnsi="宋体" w:cs="宋体"/>
                <w:color w:val="000000"/>
                <w:sz w:val="28"/>
                <w:szCs w:val="28"/>
              </w:rPr>
            </w:r>
            <w:r/>
          </w:p>
        </w:tc>
        <w:tc>
          <w:tcPr>
            <w:tcW w:w="187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基准期能源单价（元）</w:t>
            </w:r>
            <w:r>
              <w:rPr>
                <w:rFonts w:ascii="宋体" w:hAnsi="宋体" w:cs="宋体"/>
                <w:color w:val="000000"/>
                <w:sz w:val="28"/>
                <w:szCs w:val="28"/>
              </w:rPr>
            </w:r>
            <w:r/>
          </w:p>
        </w:tc>
        <w:tc>
          <w:tcPr>
            <w:tcW w:w="212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能源费用基数</w:t>
            </w:r>
            <w:r>
              <w:rPr>
                <w:rFonts w:hint="eastAsia" w:ascii="宋体" w:hAnsi="宋体" w:cs="宋体"/>
                <w:spacing w:val="-14"/>
                <w:sz w:val="28"/>
                <w:szCs w:val="28"/>
              </w:rPr>
              <w:t xml:space="preserve">（万元）</w:t>
            </w:r>
            <w:r>
              <w:rPr>
                <w:rFonts w:ascii="宋体" w:hAnsi="宋体" w:cs="宋体"/>
                <w:color w:val="000000"/>
                <w:sz w:val="28"/>
                <w:szCs w:val="28"/>
              </w:rPr>
            </w:r>
            <w:r/>
          </w:p>
        </w:tc>
      </w:tr>
      <w:tr>
        <w:trPr>
          <w:trHeight w:val="832"/>
        </w:trPr>
        <w:tc>
          <w:tcPr>
            <w:tcW w:w="3138"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电</w:t>
            </w:r>
            <w:r>
              <w:rPr>
                <w:rFonts w:ascii="宋体" w:hAnsi="宋体" w:cs="宋体"/>
                <w:color w:val="000000"/>
                <w:sz w:val="28"/>
                <w:szCs w:val="28"/>
              </w:rPr>
            </w:r>
            <w:r/>
          </w:p>
        </w:tc>
        <w:tc>
          <w:tcPr>
            <w:tcW w:w="1862" w:type="dxa"/>
            <w:vAlign w:val="center"/>
            <w:textDirection w:val="lrTb"/>
            <w:noWrap w:val="false"/>
          </w:tcPr>
          <w:p>
            <w:pPr>
              <w:pStyle w:val="687"/>
              <w:jc w:val="center"/>
              <w:rPr>
                <w:rFonts w:hint="eastAsia" w:ascii="宋体" w:hAnsi="宋体" w:cs="宋体"/>
                <w:spacing w:val="-3"/>
                <w:sz w:val="28"/>
                <w:szCs w:val="28"/>
              </w:rPr>
            </w:pPr>
            <w:r>
              <w:rPr>
                <w:rFonts w:hint="eastAsia" w:ascii="宋体" w:hAnsi="宋体" w:cs="宋体"/>
                <w:spacing w:val="-3"/>
                <w:sz w:val="28"/>
                <w:szCs w:val="28"/>
              </w:rPr>
              <w:t xml:space="preserve">355.37</w:t>
            </w:r>
            <w:r>
              <w:rPr>
                <w:rFonts w:hint="eastAsia" w:ascii="宋体" w:hAnsi="宋体" w:cs="宋体"/>
                <w:spacing w:val="-3"/>
                <w:sz w:val="28"/>
                <w:szCs w:val="28"/>
              </w:rPr>
            </w:r>
            <w:r/>
          </w:p>
          <w:p>
            <w:pPr>
              <w:pStyle w:val="687"/>
              <w:jc w:val="center"/>
              <w:rPr>
                <w:rFonts w:ascii="宋体" w:hAnsi="宋体" w:cs="宋体"/>
                <w:color w:val="000000"/>
                <w:sz w:val="28"/>
                <w:szCs w:val="28"/>
              </w:rPr>
            </w:pPr>
            <w:r>
              <w:rPr>
                <w:rFonts w:hint="eastAsia" w:ascii="宋体" w:hAnsi="宋体" w:cs="宋体"/>
                <w:color w:val="000000"/>
                <w:sz w:val="28"/>
                <w:szCs w:val="28"/>
              </w:rPr>
              <w:t xml:space="preserve">（万kWh）</w:t>
            </w:r>
            <w:r>
              <w:rPr>
                <w:rFonts w:ascii="宋体" w:hAnsi="宋体" w:cs="宋体"/>
                <w:color w:val="000000"/>
                <w:sz w:val="28"/>
                <w:szCs w:val="28"/>
              </w:rPr>
            </w:r>
            <w:r/>
          </w:p>
        </w:tc>
        <w:tc>
          <w:tcPr>
            <w:tcW w:w="187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0.73</w:t>
            </w:r>
            <w:r>
              <w:rPr>
                <w:rFonts w:ascii="宋体" w:hAnsi="宋体" w:cs="宋体"/>
                <w:color w:val="000000"/>
                <w:sz w:val="28"/>
                <w:szCs w:val="28"/>
              </w:rPr>
            </w:r>
            <w:r/>
          </w:p>
        </w:tc>
        <w:tc>
          <w:tcPr>
            <w:tcW w:w="212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spacing w:val="-2"/>
                <w:sz w:val="28"/>
                <w:szCs w:val="28"/>
              </w:rPr>
              <w:t xml:space="preserve">257.36</w:t>
            </w:r>
            <w:r>
              <w:rPr>
                <w:rFonts w:ascii="宋体" w:hAnsi="宋体" w:cs="宋体"/>
                <w:color w:val="000000"/>
                <w:sz w:val="28"/>
                <w:szCs w:val="28"/>
              </w:rPr>
            </w:r>
            <w:r/>
          </w:p>
        </w:tc>
      </w:tr>
      <w:tr>
        <w:trPr>
          <w:trHeight w:val="587"/>
        </w:trPr>
        <w:tc>
          <w:tcPr>
            <w:tcW w:w="3138"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自来水</w:t>
            </w:r>
            <w:r>
              <w:rPr>
                <w:rFonts w:ascii="宋体" w:hAnsi="宋体" w:cs="宋体"/>
                <w:color w:val="000000"/>
                <w:sz w:val="28"/>
                <w:szCs w:val="28"/>
              </w:rPr>
            </w:r>
            <w:r/>
          </w:p>
        </w:tc>
        <w:tc>
          <w:tcPr>
            <w:tcW w:w="1862" w:type="dxa"/>
            <w:vAlign w:val="center"/>
            <w:textDirection w:val="lrTb"/>
            <w:noWrap w:val="false"/>
          </w:tcPr>
          <w:p>
            <w:pPr>
              <w:pStyle w:val="687"/>
              <w:jc w:val="center"/>
              <w:rPr>
                <w:rFonts w:ascii="宋体" w:hAnsi="宋体" w:cs="宋体"/>
                <w:spacing w:val="-3"/>
                <w:sz w:val="28"/>
                <w:szCs w:val="28"/>
              </w:rPr>
            </w:pPr>
            <w:r>
              <w:rPr>
                <w:rFonts w:hint="eastAsia" w:ascii="宋体" w:hAnsi="宋体" w:cs="宋体"/>
                <w:spacing w:val="-3"/>
                <w:sz w:val="28"/>
                <w:szCs w:val="28"/>
              </w:rPr>
              <w:t xml:space="preserve">23573</w:t>
            </w:r>
            <w:r>
              <w:rPr>
                <w:rFonts w:ascii="宋体" w:hAnsi="宋体" w:cs="宋体"/>
                <w:spacing w:val="-3"/>
                <w:sz w:val="28"/>
                <w:szCs w:val="28"/>
              </w:rPr>
            </w:r>
            <w:r/>
          </w:p>
          <w:p>
            <w:pPr>
              <w:pStyle w:val="687"/>
              <w:jc w:val="center"/>
              <w:rPr>
                <w:rFonts w:ascii="宋体" w:hAnsi="宋体" w:cs="宋体"/>
                <w:color w:val="000000"/>
                <w:sz w:val="28"/>
                <w:szCs w:val="28"/>
              </w:rPr>
            </w:pPr>
            <w:r>
              <w:rPr>
                <w:rFonts w:hint="eastAsia" w:ascii="宋体" w:hAnsi="宋体" w:cs="宋体"/>
                <w:color w:val="000000"/>
                <w:sz w:val="28"/>
                <w:szCs w:val="28"/>
              </w:rPr>
              <w:t xml:space="preserve">（m3）</w:t>
            </w:r>
            <w:r>
              <w:rPr>
                <w:rFonts w:ascii="宋体" w:hAnsi="宋体" w:cs="宋体"/>
                <w:color w:val="000000"/>
                <w:sz w:val="28"/>
                <w:szCs w:val="28"/>
              </w:rPr>
            </w:r>
            <w:r/>
          </w:p>
        </w:tc>
        <w:tc>
          <w:tcPr>
            <w:tcW w:w="187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3.66</w:t>
            </w:r>
            <w:r>
              <w:rPr>
                <w:rFonts w:ascii="宋体" w:hAnsi="宋体" w:cs="宋体"/>
                <w:color w:val="000000"/>
                <w:sz w:val="28"/>
                <w:szCs w:val="28"/>
              </w:rPr>
            </w:r>
            <w:r/>
          </w:p>
        </w:tc>
        <w:tc>
          <w:tcPr>
            <w:tcW w:w="212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8.70</w:t>
            </w:r>
            <w:r>
              <w:rPr>
                <w:rFonts w:ascii="宋体" w:hAnsi="宋体" w:cs="宋体"/>
                <w:color w:val="000000"/>
                <w:sz w:val="28"/>
                <w:szCs w:val="28"/>
              </w:rPr>
            </w:r>
            <w:r/>
          </w:p>
        </w:tc>
      </w:tr>
      <w:tr>
        <w:trPr>
          <w:trHeight w:val="546"/>
        </w:trPr>
        <w:tc>
          <w:tcPr>
            <w:tcW w:w="3138"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tcW w:w="1862"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87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212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spacing w:val="-3"/>
                <w:sz w:val="28"/>
                <w:szCs w:val="28"/>
              </w:rPr>
              <w:t xml:space="preserve">266.06</w:t>
            </w:r>
            <w:r>
              <w:rPr>
                <w:rFonts w:ascii="宋体" w:hAnsi="宋体" w:cs="宋体"/>
                <w:color w:val="000000"/>
                <w:sz w:val="28"/>
                <w:szCs w:val="28"/>
              </w:rPr>
            </w:r>
            <w:r/>
          </w:p>
        </w:tc>
      </w:tr>
    </w:tbl>
    <w:p>
      <w:pPr>
        <w:pStyle w:val="687"/>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第四条 节能目标</w:t>
      </w:r>
      <w:r>
        <w:rPr>
          <w:rFonts w:hint="eastAsia" w:ascii="仿宋_GB2312" w:hAnsi="仿宋_GB2312" w:eastAsia="仿宋_GB2312" w:cs="仿宋_GB2312"/>
          <w:b/>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4.1 在满足同等需求或达到同等目标的前提下，托管期间年节能率不低于10%。</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4.2 在节能改造完成后满一年的次月，乙方须委托第三方能源审计服务机构对这一年公共机构的能耗情况、节能量进行评估，确认节能改造后是否能达到预期节能目标，如不能达到要及时调整改造方案。节能效果评估费用由乙方承担。</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4.3节能目标：年节能率不低于10%。</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b/>
          <w:sz w:val="32"/>
          <w:szCs w:val="32"/>
        </w:rPr>
      </w:pPr>
      <w:r/>
      <w:bookmarkStart w:id="0" w:name="_Toc18498"/>
      <w:r/>
      <w:bookmarkStart w:id="1" w:name="_Toc16046"/>
      <w:r/>
      <w:bookmarkStart w:id="2" w:name="_Toc31553"/>
      <w:r/>
      <w:bookmarkStart w:id="3" w:name="_Toc26560"/>
      <w:r>
        <w:rPr>
          <w:rFonts w:hint="eastAsia" w:ascii="仿宋_GB2312" w:hAnsi="仿宋_GB2312" w:eastAsia="仿宋_GB2312" w:cs="仿宋_GB2312"/>
          <w:b/>
          <w:sz w:val="32"/>
          <w:szCs w:val="32"/>
        </w:rPr>
        <w:t xml:space="preserve">第五条 托管期限</w:t>
      </w:r>
      <w:bookmarkEnd w:id="0"/>
      <w:r/>
      <w:bookmarkEnd w:id="1"/>
      <w:r/>
      <w:bookmarkEnd w:id="2"/>
      <w:r/>
      <w:bookmarkEnd w:id="3"/>
      <w:r>
        <w:rPr>
          <w:rFonts w:hint="eastAsia" w:ascii="仿宋_GB2312" w:hAnsi="仿宋_GB2312" w:eastAsia="仿宋_GB2312" w:cs="仿宋_GB2312"/>
          <w:b/>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5.1能源费用托管期为10年，自项目节能改造施工完成移交之日起至托管期限届满（项目移交日期以甲乙双方出具确认单日期为准）。</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5.2 托管期限届满，乙方将托管的能源系统设备、设施移交给甲方或甲方指定的单位。移交的所有设备、设施有损坏的，由乙方负责维修后达到行业标准的良好使用状态，移交给甲方或甲方指定的单位。</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5.3 本合同期限届满，乙方如约完成节能目标并且达到本合同约定的服务标准，如果甲方继续采用能源费用托管的形式进行能源系统的管理，在同等条件下，乙方享有优先续约的权利。乙方在合同期内累计发生3次及以上16.2条所列违约行为的，丧失优先续约权。</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b/>
          <w:bCs/>
          <w:sz w:val="32"/>
          <w:szCs w:val="32"/>
        </w:rPr>
      </w:pPr>
      <w:r/>
      <w:bookmarkStart w:id="4" w:name="_Toc14144"/>
      <w:r/>
      <w:bookmarkStart w:id="5" w:name="_Toc0"/>
      <w:r/>
      <w:bookmarkStart w:id="6" w:name="_Toc22927"/>
      <w:r/>
      <w:bookmarkStart w:id="7" w:name="_Toc30821"/>
      <w:r>
        <w:rPr>
          <w:rFonts w:hint="eastAsia" w:ascii="仿宋_GB2312" w:hAnsi="仿宋_GB2312" w:eastAsia="仿宋_GB2312" w:cs="仿宋_GB2312"/>
          <w:b/>
          <w:bCs/>
          <w:sz w:val="32"/>
          <w:szCs w:val="32"/>
        </w:rPr>
        <w:t xml:space="preserve">第六条 乙方的管理和服务标准</w:t>
      </w:r>
      <w:bookmarkEnd w:id="4"/>
      <w:r/>
      <w:bookmarkEnd w:id="5"/>
      <w:r/>
      <w:bookmarkEnd w:id="6"/>
      <w:r/>
      <w:bookmarkEnd w:id="7"/>
      <w:r>
        <w:rPr>
          <w:rFonts w:hint="eastAsia" w:ascii="仿宋_GB2312" w:hAnsi="仿宋_GB2312" w:eastAsia="仿宋_GB2312" w:cs="仿宋_GB2312"/>
          <w:b/>
          <w:bCs/>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6.1 托管期限内，托管区域内的供暖（冷）、用电、用水等系统的运行及管理归乙方，由乙方自主管理，自负盈亏。</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 xml:space="preserve">6.2 乙方在本项目设有专门的能源管理人员负责托管事宜，并建立专业的管理团队提供服务，人员配置要求为日常运维人员不少于2人。管理团队成员名单、相应的资质资格证书应提交甲方备案。如因特殊原因需要更换人员，更换人员的资质不得低于原团队成员。管理团队成员名单、相应的资质资格证书应在合同生</w:t>
      </w:r>
      <w:r>
        <w:rPr>
          <w:rFonts w:hint="eastAsia" w:ascii="仿宋_GB2312" w:hAnsi="仿宋_GB2312" w:eastAsia="仿宋_GB2312" w:cs="仿宋_GB2312"/>
          <w:sz w:val="32"/>
          <w:szCs w:val="32"/>
          <w:highlight w:val="none"/>
        </w:rPr>
        <w:t xml:space="preserve">效后10个工作日内提交甲方备案，团队核心成员</w:t>
      </w:r>
      <w:r>
        <w:rPr>
          <w:rFonts w:hint="eastAsia" w:ascii="仿宋_GB2312" w:hAnsi="仿宋_GB2312" w:eastAsia="仿宋_GB2312" w:cs="仿宋_GB2312"/>
          <w:sz w:val="32"/>
          <w:szCs w:val="32"/>
          <w:highlight w:val="none"/>
          <w:lang w:val="en-US" w:eastAsia="zh-CN"/>
        </w:rPr>
        <w:t xml:space="preserve">及</w:t>
      </w:r>
      <w:r>
        <w:rPr>
          <w:rFonts w:hint="eastAsia" w:ascii="仿宋_GB2312" w:hAnsi="仿宋_GB2312" w:eastAsia="仿宋_GB2312" w:cs="仿宋_GB2312"/>
          <w:sz w:val="32"/>
          <w:szCs w:val="32"/>
          <w:highlight w:val="none"/>
        </w:rPr>
        <w:t xml:space="preserve">重要岗位人员（项目负责人）变更须经甲方书面同意，乙方应提前7个工作日书面通知甲方，并提供替换人员的资质、资格证书，重要岗位人员（项目负责人）的更换须经甲方书面同意。</w:t>
      </w:r>
      <w:r>
        <w:rPr>
          <w:rFonts w:hint="eastAsia" w:ascii="仿宋_GB2312" w:hAnsi="仿宋_GB2312" w:eastAsia="仿宋_GB2312" w:cs="仿宋_GB2312"/>
          <w:sz w:val="32"/>
          <w:szCs w:val="32"/>
          <w:highlight w:val="none"/>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 xml:space="preserve">6.3 乙方提供的服务范围和项目包</w:t>
      </w:r>
      <w:r>
        <w:rPr>
          <w:rFonts w:hint="eastAsia" w:ascii="仿宋_GB2312" w:hAnsi="仿宋_GB2312" w:eastAsia="仿宋_GB2312" w:cs="仿宋_GB2312"/>
          <w:sz w:val="32"/>
          <w:szCs w:val="32"/>
        </w:rPr>
        <w:t xml:space="preserve">括：</w:t>
      </w:r>
      <w:r>
        <w:rPr>
          <w:rFonts w:hint="eastAsia" w:ascii="仿宋_GB2312" w:hAnsi="仿宋_GB2312" w:eastAsia="仿宋_GB2312" w:cs="仿宋_GB2312"/>
          <w:sz w:val="32"/>
          <w:szCs w:val="32"/>
        </w:rPr>
      </w:r>
      <w:r/>
    </w:p>
    <w:p>
      <w:pPr>
        <w:pStyle w:val="687"/>
        <w:ind w:firstLine="48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本项目包含新建智慧建筑综合能效管控平台实现电能计量管理系统、给水管网监测管理系统、空调智控系统，更换多联机中央空调室外机、室内机及附属设施的恢复。</w:t>
      </w:r>
      <w:r>
        <w:rPr>
          <w:rFonts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 乙方的服务标准</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6.4.1 供暖期间的室内温度标准≥18℃且≤20℃，供冷期间的室内温度标准≥26℃且≤28℃，（注：按建筑功能要求室内温度不低于 20℃ 。）</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6.4.2 托管期间，本项目包含新建智慧建筑综合能效管控平台实现电能计量管理系统、给水管网监测管理系统、空调智控系统，更换多联机中央空调室外机、室内机等现场用能设备，日常巡视服务频次为2次/周，主要重点用能设备日常巡视服务频次为运转期内1次/工作日。</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6.4.3 托管期间，本项目包含新建智慧建筑综合能效管控平台实现电能计量管理系统、给水管网监测管理系统、空调智控系统，更换多联机中央空调室外机、室内机等设备开关由乙方负责执行，设备开关及控制策略由乙方制定后报甲方审核确认。</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6.5 乙方的服务标准应当体现文明、高效、及时、优质的服务，“乙方的服务标准”应当制作专门文件，作为本合同的附件二。</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b/>
          <w:bCs/>
          <w:sz w:val="32"/>
          <w:szCs w:val="32"/>
        </w:rPr>
      </w:pPr>
      <w:r/>
      <w:bookmarkStart w:id="8" w:name="_Toc14439"/>
      <w:r/>
      <w:bookmarkStart w:id="9" w:name="_Toc10865"/>
      <w:r/>
      <w:bookmarkStart w:id="10" w:name="_Toc5375"/>
      <w:r/>
      <w:bookmarkStart w:id="11" w:name="_Toc2045"/>
      <w:r>
        <w:rPr>
          <w:rFonts w:hint="eastAsia" w:ascii="仿宋_GB2312" w:hAnsi="仿宋_GB2312" w:eastAsia="仿宋_GB2312" w:cs="仿宋_GB2312"/>
          <w:b/>
          <w:bCs/>
          <w:sz w:val="32"/>
          <w:szCs w:val="32"/>
        </w:rPr>
        <w:t xml:space="preserve">第七条 双方责任</w:t>
      </w:r>
      <w:bookmarkEnd w:id="8"/>
      <w:r/>
      <w:bookmarkEnd w:id="9"/>
      <w:r/>
      <w:bookmarkEnd w:id="10"/>
      <w:r/>
      <w:bookmarkEnd w:id="11"/>
      <w:r>
        <w:rPr>
          <w:rFonts w:hint="eastAsia" w:ascii="仿宋_GB2312" w:hAnsi="仿宋_GB2312" w:eastAsia="仿宋_GB2312" w:cs="仿宋_GB2312"/>
          <w:b/>
          <w:bCs/>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7.1 甲、乙双方应当建立健全能源管理使用制度，各方人员应当切实遵守。相关的能源管理使用制度应当由双方签字确认。</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7.2 甲、乙双方应当建立能源托管日常工作协调机制，定期组织双方现场管理人员召开工作例会；每年度进行一次综合分析评估，协商解决因客观情况变化而产生的利益分配等问题。甲方有权每年委托独立第三方机构对项目进行审计和评估，审计和评估内容包括但不限于能源使用情况、节能效果、服务质量、设备运行状况、财务收支等。审计和评估费用由乙方承担。乙方应当配合审计和评估工作，提供必要的资料和说明。审计和评估结果应当作为调整托管费用、考核乙方服务质量的重要依据。</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 甲方义务</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7.3.1 甲方应协助乙方办理甲方电费、水费代购手续，实际每月产生的电费、水费由乙方承担，并直接支付给电力公司、水务集团，发票抬头为乙方。为了便于管理及核算项目节能量，能源资源在办理代购或过户手续时，双方应确定各计量仪表的过户数量、覆盖范围、计量底数及仪表编码等。</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7.3.2 甲方应当与乙方共同协商做好设备操作人员工作安排，由甲乙双方共同管理相关人员。</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7.3.3 甲方应当提供必要的资料，协助、配合第三方机构开展节能量测量和验证。在托管期间积极配合相关部门对托管项目进行核查和监督，并提供有关证明材料。</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7.3.4 甲方应当切实履行节能管理主体责任，加强对各用能单位和用能场所的管控，强化日常考核和监督检查，形成合理用能、节约用能的良好场景。</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7.3.5 有新增/减设备或用能区域变更的需提前向乙方提供增/减设备或变更情况的书面记录。</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7.3.6 甲方应当将与托管项目有关的内部规章制度和特殊安全规定提前告知乙方并书面提交给乙方。</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7.3.7 与本项目相关的补助、奖励或其他可适用的优惠政策，双方协商解决，涉及相关的奖补资金专款专用，继续推进本项目能效提升。碳资产归属甲方所有。</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7.3.8 甲方应当为乙方的管理服务工作提供必要的方便条件，包括但不限于提供必要的场所、通讯、水电以及合理调整办公、设备试运行等便利条件。</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7.3.9甲方应当组织有关用能岗位的人员学习能源管理使用的规章制度并切实遵守，应积极配合乙方落实合同约定的用能系统设备开关策略及能源供应标准。</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 乙方义务</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7.4.1 乙方应当配合甲方建立和完善能源管理和使用规章制度，并组织甲方有关用能岗位的人员学习落实，同时定期对能源使用情况进行检查和监督，制止能源浪费行为。</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7.4.2 乙方应在合同生效后30日内制定完善的能源供应应急预案和备用方案，包括但不限于设备故障、能源供应中断、自然灾害、突发事件等紧急情况下的应对措施，并报甲方审核备案。应急预案应包括24小时应急联系人及联系方式、应急处理流程、临时替代方案等内容。乙方应每年至少组织一次应急演练，并根据演练情况及时更新完善应急预案。</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7.4.3 乙方投资的设备、工程等在合同期内的维保及质量安全问题由乙方负责，并应定期向甲方提供设备维护、更新情况记录。</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7.4.4 乙方应在完成所投资设备的安装和调试后，对甲方指派的操作人员定期进行专业培训，以使其能承担相应的操作和设施维护要求。</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7.4.5 乙方若发现有私自拆、改、破坏能源系统的行为应及时上报甲方，并马上采取措施制止，若严重威胁到能源系统的可暂停服务。</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7.4.6 因乙方未缴纳能源费用或乙方实施改造原因，导致甲方断水、断电事故或造成其他损失的，责任由乙方承担，但不可抗力或甲方有违约行为的除外。</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7.4.7 乙方应负责本方人员的安全管理。在合同履行期内，乙方人员因工、非因工安全事故产生的一切责任均由乙方自行承担，与甲方无关。乙方人员的劳动关系、工资福利、社会保险等由乙方全权负责。</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7.4.8 乙方管理人员进入甲方的相关场所，应当遵守甲方的规章制度。乙方的维修、维护、管理等各项工作，应当不影响甲方的正常工作。若需要甲方暂停或停止相关工作时，乙方应当提前通报甲方的负责人，协调安排好相应的工作。</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7.4.9 乙方应当协助、配合第三方机构或者甲方开展节能量测量和验证。</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7.5 其他需要互相配合的事项：双方协商 。</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7.6 甲方的项目负责人为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；乙方的项目负责人为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7.7 任何一方更换项目负责人应以书面形式通知对方。</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7.8 项目负责人可以就本合同的履行过程中的事项签署相关洽商文件，该洽商文件对双方具有约束力，其他相关人员无权签署此类洽商文件。</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b/>
          <w:bCs/>
          <w:sz w:val="32"/>
          <w:szCs w:val="32"/>
        </w:rPr>
      </w:pPr>
      <w:r/>
      <w:bookmarkStart w:id="12" w:name="_Toc21695"/>
      <w:r/>
      <w:bookmarkStart w:id="13" w:name="_Toc1543"/>
      <w:r/>
      <w:bookmarkStart w:id="14" w:name="_Toc22798"/>
      <w:r/>
      <w:bookmarkStart w:id="15" w:name="_Toc16920"/>
      <w:r>
        <w:rPr>
          <w:rFonts w:hint="eastAsia" w:ascii="仿宋_GB2312" w:hAnsi="仿宋_GB2312" w:eastAsia="仿宋_GB2312" w:cs="仿宋_GB2312"/>
          <w:b/>
          <w:bCs/>
          <w:sz w:val="32"/>
          <w:szCs w:val="32"/>
        </w:rPr>
        <w:t xml:space="preserve">第八条 项目移交事项</w:t>
      </w:r>
      <w:bookmarkEnd w:id="12"/>
      <w:r/>
      <w:bookmarkEnd w:id="13"/>
      <w:r/>
      <w:bookmarkEnd w:id="14"/>
      <w:r/>
      <w:bookmarkEnd w:id="15"/>
      <w:r>
        <w:rPr>
          <w:rFonts w:hint="eastAsia" w:ascii="仿宋_GB2312" w:hAnsi="仿宋_GB2312" w:eastAsia="仿宋_GB2312" w:cs="仿宋_GB2312"/>
          <w:b/>
          <w:bCs/>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8.1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8.2 移交过程中，甲方需要向乙方提供有关项目审批、验收、备案、行政许可等相关手续资料；提供供暖、供电、供水系统、消防系统申报、批准验收等手续资料；提供供暖及供冷系统相关资料等。</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8.3 移交相关的文件资料包括设备、设施的购买；维修文件、使用文件、能源管理的规章制度；行政许可证照及其他全部有关文件。</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8.4 其他移交事项：按招标需要完成节能设备改造等实施。</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8.5 针对移交的设备、设施、物品及有关事项，双方应当签署移交清单。</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8.6 本合同约定的托管期限届满，乙方应将其投资形成的有形和无形资产以人民币壹元价值向甲方移交，同时需移交投资、验收、运行等相关的全部文件资料。在托管期内，乙方投资形成的有形和无形资产（不包括碳资产）的</w:t>
      </w:r>
      <w:r>
        <w:rPr>
          <w:rFonts w:hint="eastAsia" w:ascii="仿宋_GB2312" w:hAnsi="仿宋_GB2312" w:eastAsia="仿宋_GB2312" w:cs="仿宋_GB2312"/>
          <w:sz w:val="32"/>
          <w:szCs w:val="32"/>
        </w:rPr>
        <w:t xml:space="preserve">所有权归乙方所有，但乙方不得擅自处置、抵押、质押或以其他方式设置权利负担。乙方应在每次完成节能改造后30日内，向甲方提交详细的资产清单，包括设备名称、型号、数量、购置价格、安装位置、预期使用寿命、质保期等信息。该资产清单应作为合同期满资产移交的依据，并随托管期间的设备更新而更新。托管期满前3个月，双方应共同对乙方投资形成的资产进行检查验收，确保其处于良好的运行状态。移交之前由乙方主导，甲方参与，双方共同对用能系统进行一次全面检修。检修费用由乙方承担。用能系统移交时乙方应保证设备和设施的完整性及能够正常运行。</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8.7 本合同第五条第5.1款约定的托管期限开始日的30日之前，甲方向乙方的移交事项应当办理完毕，以便于乙方进行准备工作。</w:t>
      </w:r>
      <w:r>
        <w:rPr>
          <w:rFonts w:hint="eastAsia" w:ascii="仿宋_GB2312" w:hAnsi="仿宋_GB2312" w:eastAsia="仿宋_GB2312" w:cs="仿宋_GB2312"/>
          <w:sz w:val="32"/>
          <w:szCs w:val="32"/>
        </w:rPr>
      </w:r>
      <w:r/>
    </w:p>
    <w:p>
      <w:pPr>
        <w:pStyle w:val="687"/>
        <w:ind w:firstLine="480"/>
        <w:jc w:val="left"/>
        <w:spacing w:line="560" w:lineRule="exact"/>
        <w:widowControl/>
        <w:rPr>
          <w:rFonts w:hint="eastAsia" w:ascii="仿宋_GB2312" w:hAnsi="仿宋_GB2312" w:eastAsia="仿宋_GB2312" w:cs="仿宋_GB2312"/>
          <w:b/>
          <w:bCs/>
          <w:sz w:val="32"/>
          <w:szCs w:val="32"/>
        </w:rPr>
      </w:pPr>
      <w:r/>
      <w:bookmarkStart w:id="16" w:name="_Toc8002"/>
      <w:r/>
      <w:bookmarkStart w:id="17" w:name="_Toc7651"/>
      <w:r/>
      <w:bookmarkStart w:id="18" w:name="_Toc15297"/>
      <w:r/>
      <w:bookmarkStart w:id="19" w:name="_Toc1810"/>
      <w:r>
        <w:rPr>
          <w:rFonts w:hint="eastAsia" w:ascii="仿宋_GB2312" w:hAnsi="仿宋_GB2312" w:eastAsia="仿宋_GB2312" w:cs="仿宋_GB2312"/>
          <w:b/>
          <w:bCs/>
          <w:sz w:val="32"/>
          <w:szCs w:val="32"/>
        </w:rPr>
        <w:t xml:space="preserve">第九条 托管费用的标准及支付</w:t>
      </w:r>
      <w:bookmarkEnd w:id="16"/>
      <w:r/>
      <w:bookmarkEnd w:id="17"/>
      <w:r/>
      <w:bookmarkEnd w:id="18"/>
      <w:r/>
      <w:bookmarkEnd w:id="19"/>
      <w:r>
        <w:rPr>
          <w:rFonts w:hint="eastAsia" w:ascii="仿宋_GB2312" w:hAnsi="仿宋_GB2312" w:eastAsia="仿宋_GB2312" w:cs="仿宋_GB2312"/>
          <w:b/>
          <w:bCs/>
          <w:sz w:val="32"/>
          <w:szCs w:val="32"/>
        </w:rPr>
      </w:r>
      <w:r/>
    </w:p>
    <w:p>
      <w:pPr>
        <w:pStyle w:val="687"/>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9.1 年度能源托管费用包括能源费用和能源系统的日常运营、维修维护管理费、消耗性材料费等。能源托管费用基数为：</w:t>
      </w:r>
      <w:r>
        <w:rPr>
          <w:rFonts w:hint="eastAsia" w:ascii="仿宋_GB2312" w:hAnsi="仿宋_GB2312" w:eastAsia="仿宋_GB2312" w:cs="仿宋_GB2312"/>
          <w:sz w:val="32"/>
          <w:szCs w:val="32"/>
          <w:u w:val="single"/>
        </w:rPr>
        <w:t xml:space="preserve">319.06</w:t>
      </w:r>
      <w:r>
        <w:rPr>
          <w:rFonts w:hint="eastAsia" w:ascii="仿宋_GB2312" w:hAnsi="仿宋_GB2312" w:eastAsia="仿宋_GB2312" w:cs="仿宋_GB2312"/>
          <w:sz w:val="32"/>
          <w:szCs w:val="32"/>
        </w:rPr>
        <w:t xml:space="preserve">万元/年，分项费用分别为：</w:t>
      </w:r>
      <w:r>
        <w:rPr>
          <w:rFonts w:hint="eastAsia" w:ascii="仿宋_GB2312" w:hAnsi="仿宋_GB2312" w:eastAsia="仿宋_GB2312" w:cs="仿宋_GB2312"/>
          <w:sz w:val="32"/>
          <w:szCs w:val="32"/>
        </w:rPr>
      </w:r>
      <w:r/>
    </w:p>
    <w:tbl>
      <w:tblPr>
        <w:tblW w:w="87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170"/>
        <w:gridCol w:w="1810"/>
        <w:gridCol w:w="938"/>
        <w:gridCol w:w="2962"/>
        <w:gridCol w:w="922"/>
      </w:tblGrid>
      <w:tr>
        <w:trPr>
          <w:trHeight w:val="577"/>
        </w:trPr>
        <w:tc>
          <w:tcPr>
            <w:gridSpan w:val="3"/>
            <w:tcW w:w="392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能源费用基数（万元/年）</w:t>
            </w:r>
            <w:r>
              <w:rPr>
                <w:rFonts w:ascii="宋体" w:hAnsi="宋体" w:cs="宋体"/>
                <w:color w:val="000000"/>
                <w:sz w:val="28"/>
                <w:szCs w:val="28"/>
              </w:rPr>
            </w:r>
            <w:r/>
          </w:p>
        </w:tc>
        <w:tc>
          <w:tcPr>
            <w:gridSpan w:val="3"/>
            <w:tcW w:w="4822"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lang w:bidi="ar"/>
              </w:rPr>
              <w:t xml:space="preserve">运维费用基数（万元/年）</w:t>
            </w:r>
            <w:r>
              <w:rPr>
                <w:rFonts w:ascii="宋体" w:hAnsi="宋体" w:cs="宋体"/>
                <w:color w:val="000000"/>
                <w:sz w:val="28"/>
                <w:szCs w:val="28"/>
              </w:rPr>
            </w:r>
            <w:r/>
          </w:p>
        </w:tc>
      </w:tr>
      <w:tr>
        <w:trPr>
          <w:trHeight w:val="492"/>
        </w:trPr>
        <w:tc>
          <w:tcPr>
            <w:tcW w:w="946" w:type="dxa"/>
            <w:vAlign w:val="center"/>
            <w:vMerge w:val="restart"/>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托管能源类型</w:t>
            </w:r>
            <w:r>
              <w:rPr>
                <w:rFonts w:ascii="宋体" w:hAnsi="宋体" w:cs="宋体"/>
                <w:color w:val="000000"/>
                <w:sz w:val="28"/>
                <w:szCs w:val="28"/>
              </w:rPr>
            </w:r>
            <w:r/>
          </w:p>
        </w:tc>
        <w:tc>
          <w:tcPr>
            <w:tcW w:w="117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电</w:t>
            </w:r>
            <w:r>
              <w:rPr>
                <w:rFonts w:ascii="宋体" w:hAnsi="宋体" w:cs="宋体"/>
                <w:color w:val="000000"/>
                <w:sz w:val="28"/>
                <w:szCs w:val="28"/>
              </w:rPr>
            </w:r>
            <w:r/>
          </w:p>
        </w:tc>
        <w:tc>
          <w:tcPr>
            <w:tcW w:w="181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257.36</w:t>
            </w:r>
            <w:r>
              <w:rPr>
                <w:rFonts w:ascii="宋体" w:hAnsi="宋体" w:cs="宋体"/>
                <w:color w:val="000000"/>
                <w:sz w:val="28"/>
                <w:szCs w:val="28"/>
              </w:rPr>
            </w:r>
            <w:r/>
          </w:p>
        </w:tc>
        <w:tc>
          <w:tcPr>
            <w:tcW w:w="938" w:type="dxa"/>
            <w:vAlign w:val="center"/>
            <w:vMerge w:val="restart"/>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lang w:bidi="ar"/>
              </w:rPr>
              <w:t xml:space="preserve">托管运维费用类型</w:t>
            </w:r>
            <w:r>
              <w:rPr>
                <w:rFonts w:ascii="宋体" w:hAnsi="宋体" w:cs="宋体"/>
                <w:color w:val="000000"/>
                <w:sz w:val="28"/>
                <w:szCs w:val="28"/>
              </w:rPr>
            </w:r>
            <w:r/>
          </w:p>
        </w:tc>
        <w:tc>
          <w:tcPr>
            <w:tcW w:w="2962" w:type="dxa"/>
            <w:vAlign w:val="center"/>
            <w:textDirection w:val="lrTb"/>
            <w:noWrap w:val="false"/>
          </w:tcPr>
          <w:p>
            <w:pPr>
              <w:pStyle w:val="687"/>
              <w:jc w:val="center"/>
              <w:rPr>
                <w:rFonts w:ascii="宋体" w:hAnsi="宋体" w:cs="宋体"/>
                <w:sz w:val="28"/>
                <w:szCs w:val="28"/>
                <w:lang w:bidi="ar"/>
              </w:rPr>
            </w:pPr>
            <w:r>
              <w:rPr>
                <w:rFonts w:hint="eastAsia" w:ascii="宋体" w:hAnsi="宋体" w:cs="宋体"/>
                <w:sz w:val="28"/>
                <w:szCs w:val="28"/>
              </w:rPr>
              <w:t xml:space="preserve">智慧建筑综合能效管控平台</w:t>
            </w:r>
            <w:r>
              <w:rPr>
                <w:rFonts w:ascii="宋体" w:hAnsi="宋体" w:cs="宋体"/>
                <w:sz w:val="28"/>
                <w:szCs w:val="28"/>
                <w:lang w:bidi="ar"/>
              </w:rPr>
            </w:r>
            <w:r/>
          </w:p>
        </w:tc>
        <w:tc>
          <w:tcPr>
            <w:tcW w:w="92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r>
      <w:tr>
        <w:trPr>
          <w:trHeight w:val="628"/>
        </w:trPr>
        <w:tc>
          <w:tcPr>
            <w:tcW w:w="946" w:type="dxa"/>
            <w:vAlign w:val="center"/>
            <w:vMerge w:val="continue"/>
            <w:textDirection w:val="lrTb"/>
            <w:noWrap w:val="false"/>
          </w:tcPr>
          <w:p>
            <w:pPr>
              <w:pStyle w:val="687"/>
              <w:jc w:val="center"/>
              <w:rPr>
                <w:rFonts w:ascii="宋体" w:hAnsi="宋体" w:cs="宋体"/>
                <w:color w:val="000000"/>
                <w:sz w:val="28"/>
                <w:szCs w:val="28"/>
              </w:rPr>
            </w:pPr>
            <w:r>
              <w:rPr>
                <w:rFonts w:ascii="宋体" w:hAnsi="宋体" w:cs="宋体"/>
                <w:color w:val="000000"/>
                <w:sz w:val="28"/>
                <w:szCs w:val="28"/>
              </w:rPr>
            </w:r>
            <w:r/>
          </w:p>
        </w:tc>
        <w:tc>
          <w:tcPr>
            <w:tcW w:w="117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自来水</w:t>
            </w:r>
            <w:r>
              <w:rPr>
                <w:rFonts w:ascii="宋体" w:hAnsi="宋体" w:cs="宋体"/>
                <w:color w:val="000000"/>
                <w:sz w:val="28"/>
                <w:szCs w:val="28"/>
              </w:rPr>
            </w:r>
            <w:r/>
          </w:p>
        </w:tc>
        <w:tc>
          <w:tcPr>
            <w:tcW w:w="181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8.7</w:t>
            </w:r>
            <w:r>
              <w:rPr>
                <w:rFonts w:ascii="宋体" w:hAnsi="宋体" w:cs="宋体"/>
                <w:color w:val="000000"/>
                <w:sz w:val="28"/>
                <w:szCs w:val="28"/>
              </w:rPr>
            </w:r>
            <w:r/>
          </w:p>
        </w:tc>
        <w:tc>
          <w:tcPr>
            <w:tcW w:w="938" w:type="dxa"/>
            <w:vAlign w:val="center"/>
            <w:vMerge w:val="continue"/>
            <w:textDirection w:val="lrTb"/>
            <w:noWrap w:val="false"/>
          </w:tcPr>
          <w:p>
            <w:pPr>
              <w:pStyle w:val="687"/>
              <w:rPr>
                <w:rFonts w:ascii="宋体" w:hAnsi="宋体" w:cs="宋体"/>
                <w:color w:val="000000"/>
                <w:sz w:val="28"/>
                <w:szCs w:val="28"/>
              </w:rPr>
            </w:pPr>
            <w:r>
              <w:rPr>
                <w:rFonts w:ascii="宋体" w:hAnsi="宋体" w:cs="宋体"/>
                <w:color w:val="000000"/>
                <w:sz w:val="28"/>
                <w:szCs w:val="28"/>
              </w:rPr>
            </w:r>
            <w:r/>
          </w:p>
        </w:tc>
        <w:tc>
          <w:tcPr>
            <w:tcW w:w="2962" w:type="dxa"/>
            <w:vAlign w:val="center"/>
            <w:textDirection w:val="lrTb"/>
            <w:noWrap w:val="false"/>
          </w:tcPr>
          <w:p>
            <w:pPr>
              <w:pStyle w:val="687"/>
              <w:jc w:val="center"/>
              <w:rPr>
                <w:rFonts w:ascii="宋体" w:hAnsi="宋体" w:cs="宋体"/>
                <w:sz w:val="28"/>
                <w:szCs w:val="28"/>
                <w:lang w:bidi="ar"/>
              </w:rPr>
            </w:pPr>
            <w:r>
              <w:rPr>
                <w:rFonts w:hint="eastAsia" w:ascii="宋体" w:hAnsi="宋体" w:cs="宋体"/>
                <w:spacing w:val="-2"/>
                <w:sz w:val="28"/>
                <w:szCs w:val="28"/>
              </w:rPr>
              <w:t xml:space="preserve">其它零星维修</w:t>
            </w:r>
            <w:r>
              <w:rPr>
                <w:rFonts w:ascii="宋体" w:hAnsi="宋体" w:cs="宋体"/>
                <w:sz w:val="28"/>
                <w:szCs w:val="28"/>
                <w:lang w:bidi="ar"/>
              </w:rPr>
            </w:r>
            <w:r/>
          </w:p>
        </w:tc>
        <w:tc>
          <w:tcPr>
            <w:tcW w:w="922" w:type="dxa"/>
            <w:vAlign w:val="center"/>
            <w:textDirection w:val="lrTb"/>
            <w:noWrap w:val="false"/>
          </w:tcPr>
          <w:p>
            <w:pPr>
              <w:pStyle w:val="687"/>
              <w:jc w:val="center"/>
              <w:rPr>
                <w:rFonts w:ascii="宋体" w:hAnsi="宋体" w:cs="宋体"/>
                <w:sz w:val="28"/>
                <w:szCs w:val="28"/>
              </w:rPr>
            </w:pPr>
            <w:r>
              <w:rPr>
                <w:rFonts w:hint="eastAsia" w:ascii="宋体" w:hAnsi="宋体" w:cs="宋体"/>
                <w:sz w:val="28"/>
                <w:szCs w:val="28"/>
              </w:rPr>
              <w:t xml:space="preserve">8</w:t>
            </w:r>
            <w:r>
              <w:rPr>
                <w:rFonts w:ascii="宋体" w:hAnsi="宋体" w:cs="宋体"/>
                <w:sz w:val="28"/>
                <w:szCs w:val="28"/>
              </w:rPr>
            </w:r>
            <w:r/>
          </w:p>
        </w:tc>
      </w:tr>
      <w:tr>
        <w:trPr>
          <w:trHeight w:val="565"/>
        </w:trPr>
        <w:tc>
          <w:tcPr>
            <w:tcW w:w="946" w:type="dxa"/>
            <w:vAlign w:val="center"/>
            <w:vMerge w:val="continue"/>
            <w:textDirection w:val="lrTb"/>
            <w:noWrap w:val="false"/>
          </w:tcPr>
          <w:p>
            <w:pPr>
              <w:pStyle w:val="687"/>
              <w:jc w:val="center"/>
              <w:rPr>
                <w:rFonts w:ascii="宋体" w:hAnsi="宋体" w:cs="宋体"/>
                <w:color w:val="000000"/>
                <w:sz w:val="28"/>
                <w:szCs w:val="28"/>
              </w:rPr>
            </w:pPr>
            <w:r>
              <w:rPr>
                <w:rFonts w:ascii="宋体" w:hAnsi="宋体" w:cs="宋体"/>
                <w:color w:val="000000"/>
                <w:sz w:val="28"/>
                <w:szCs w:val="28"/>
              </w:rPr>
            </w:r>
            <w:r/>
          </w:p>
        </w:tc>
        <w:tc>
          <w:tcPr>
            <w:tcW w:w="1170" w:type="dxa"/>
            <w:vAlign w:val="center"/>
            <w:textDirection w:val="lrTb"/>
            <w:noWrap w:val="false"/>
          </w:tcPr>
          <w:p>
            <w:pPr>
              <w:pStyle w:val="687"/>
              <w:jc w:val="center"/>
              <w:rPr>
                <w:rFonts w:ascii="宋体" w:hAnsi="宋体" w:cs="宋体"/>
                <w:color w:val="000000"/>
                <w:sz w:val="28"/>
                <w:szCs w:val="28"/>
              </w:rPr>
            </w:pPr>
            <w:r>
              <w:rPr>
                <w:rFonts w:ascii="宋体" w:hAnsi="宋体" w:cs="宋体"/>
                <w:color w:val="000000"/>
                <w:sz w:val="28"/>
                <w:szCs w:val="28"/>
              </w:rPr>
            </w:r>
            <w:r/>
          </w:p>
        </w:tc>
        <w:tc>
          <w:tcPr>
            <w:tcW w:w="1810" w:type="dxa"/>
            <w:vAlign w:val="center"/>
            <w:textDirection w:val="lrTb"/>
            <w:noWrap w:val="false"/>
          </w:tcPr>
          <w:p>
            <w:pPr>
              <w:pStyle w:val="687"/>
              <w:jc w:val="center"/>
              <w:rPr>
                <w:rFonts w:ascii="宋体" w:hAnsi="宋体" w:cs="宋体"/>
                <w:color w:val="000000"/>
                <w:sz w:val="28"/>
                <w:szCs w:val="28"/>
              </w:rPr>
            </w:pPr>
            <w:r>
              <w:rPr>
                <w:rFonts w:ascii="宋体" w:hAnsi="宋体" w:cs="宋体"/>
                <w:color w:val="000000"/>
                <w:sz w:val="28"/>
                <w:szCs w:val="28"/>
              </w:rPr>
            </w:r>
            <w:r/>
          </w:p>
        </w:tc>
        <w:tc>
          <w:tcPr>
            <w:tcW w:w="938" w:type="dxa"/>
            <w:vAlign w:val="center"/>
            <w:vMerge w:val="continue"/>
            <w:textDirection w:val="lrTb"/>
            <w:noWrap w:val="false"/>
          </w:tcPr>
          <w:p>
            <w:pPr>
              <w:pStyle w:val="687"/>
              <w:rPr>
                <w:rFonts w:ascii="宋体" w:hAnsi="宋体" w:cs="宋体"/>
                <w:color w:val="000000"/>
                <w:sz w:val="28"/>
                <w:szCs w:val="28"/>
              </w:rPr>
            </w:pPr>
            <w:r>
              <w:rPr>
                <w:rFonts w:ascii="宋体" w:hAnsi="宋体" w:cs="宋体"/>
                <w:color w:val="000000"/>
                <w:sz w:val="28"/>
                <w:szCs w:val="28"/>
              </w:rPr>
            </w:r>
            <w:r/>
          </w:p>
        </w:tc>
        <w:tc>
          <w:tcPr>
            <w:tcW w:w="2962" w:type="dxa"/>
            <w:vAlign w:val="center"/>
            <w:textDirection w:val="lrTb"/>
            <w:noWrap w:val="false"/>
          </w:tcPr>
          <w:p>
            <w:pPr>
              <w:pStyle w:val="687"/>
              <w:jc w:val="center"/>
              <w:rPr>
                <w:rFonts w:hint="eastAsia" w:ascii="宋体" w:hAnsi="宋体" w:cs="宋体"/>
                <w:sz w:val="28"/>
                <w:szCs w:val="28"/>
                <w:lang w:bidi="ar"/>
              </w:rPr>
            </w:pPr>
            <w:r>
              <w:rPr>
                <w:rFonts w:hint="eastAsia" w:ascii="宋体" w:hAnsi="宋体" w:cs="宋体"/>
                <w:sz w:val="28"/>
                <w:szCs w:val="28"/>
                <w:lang w:bidi="ar"/>
              </w:rPr>
              <w:t xml:space="preserve">管理人工成本</w:t>
            </w:r>
            <w:r>
              <w:rPr>
                <w:rFonts w:hint="eastAsia" w:ascii="宋体" w:hAnsi="宋体" w:cs="宋体"/>
                <w:sz w:val="28"/>
                <w:szCs w:val="28"/>
                <w:lang w:bidi="ar"/>
              </w:rPr>
            </w:r>
            <w:r/>
          </w:p>
        </w:tc>
        <w:tc>
          <w:tcPr>
            <w:tcW w:w="92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30</w:t>
            </w:r>
            <w:r>
              <w:rPr>
                <w:rFonts w:hint="eastAsia" w:ascii="宋体" w:hAnsi="宋体" w:cs="宋体"/>
                <w:sz w:val="28"/>
                <w:szCs w:val="28"/>
              </w:rPr>
            </w:r>
            <w:r/>
          </w:p>
        </w:tc>
      </w:tr>
      <w:tr>
        <w:trPr>
          <w:trHeight w:val="575"/>
        </w:trPr>
        <w:tc>
          <w:tcPr>
            <w:gridSpan w:val="2"/>
            <w:tcW w:w="211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81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gridSpan w:val="2"/>
            <w:tcW w:w="3900" w:type="dxa"/>
            <w:vAlign w:val="center"/>
            <w:textDirection w:val="lrTb"/>
            <w:noWrap w:val="false"/>
          </w:tcPr>
          <w:p>
            <w:pPr>
              <w:pStyle w:val="687"/>
              <w:jc w:val="center"/>
              <w:rPr>
                <w:rFonts w:ascii="宋体" w:hAnsi="宋体" w:cs="宋体"/>
                <w:sz w:val="28"/>
                <w:szCs w:val="28"/>
                <w:lang w:bidi="ar"/>
              </w:rPr>
            </w:pPr>
            <w:r>
              <w:rPr>
                <w:rFonts w:hint="eastAsia" w:ascii="宋体" w:hAnsi="宋体" w:cs="宋体"/>
                <w:sz w:val="28"/>
                <w:szCs w:val="28"/>
                <w:lang w:bidi="ar"/>
              </w:rPr>
              <w:t xml:space="preserve">能源审计报告</w:t>
            </w:r>
            <w:r>
              <w:rPr>
                <w:rFonts w:ascii="宋体" w:hAnsi="宋体" w:cs="宋体"/>
                <w:sz w:val="28"/>
                <w:szCs w:val="28"/>
                <w:lang w:bidi="ar"/>
              </w:rPr>
            </w:r>
            <w:r/>
          </w:p>
        </w:tc>
        <w:tc>
          <w:tcPr>
            <w:tcW w:w="92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553"/>
        </w:trPr>
        <w:tc>
          <w:tcPr>
            <w:gridSpan w:val="2"/>
            <w:tcW w:w="2116"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tcW w:w="1810" w:type="dxa"/>
            <w:vAlign w:val="center"/>
            <w:textDirection w:val="lrTb"/>
            <w:noWrap w:val="false"/>
          </w:tcPr>
          <w:p>
            <w:pPr>
              <w:pStyle w:val="687"/>
              <w:jc w:val="center"/>
              <w:rPr>
                <w:rFonts w:ascii="宋体" w:hAnsi="宋体" w:cs="宋体"/>
                <w:color w:val="000000"/>
                <w:sz w:val="28"/>
                <w:szCs w:val="28"/>
              </w:rPr>
            </w:pPr>
            <w:r>
              <w:rPr>
                <w:rFonts w:hint="eastAsia" w:ascii="宋体" w:hAnsi="宋体" w:cs="宋体"/>
                <w:color w:val="000000"/>
                <w:sz w:val="28"/>
                <w:szCs w:val="28"/>
              </w:rPr>
              <w:t xml:space="preserve">266.06</w:t>
            </w:r>
            <w:r>
              <w:rPr>
                <w:rFonts w:ascii="宋体" w:hAnsi="宋体" w:cs="宋体"/>
                <w:color w:val="000000"/>
                <w:sz w:val="28"/>
                <w:szCs w:val="28"/>
              </w:rPr>
            </w:r>
            <w:r/>
          </w:p>
        </w:tc>
        <w:tc>
          <w:tcPr>
            <w:gridSpan w:val="2"/>
            <w:tcW w:w="3900" w:type="dxa"/>
            <w:vAlign w:val="center"/>
            <w:textDirection w:val="lrTb"/>
            <w:noWrap w:val="false"/>
          </w:tcPr>
          <w:p>
            <w:pPr>
              <w:pStyle w:val="687"/>
              <w:jc w:val="center"/>
              <w:rPr>
                <w:rFonts w:ascii="宋体" w:hAnsi="宋体" w:cs="宋体"/>
                <w:sz w:val="28"/>
                <w:szCs w:val="28"/>
              </w:rPr>
            </w:pPr>
            <w:r>
              <w:rPr>
                <w:rFonts w:ascii="宋体" w:hAnsi="宋体" w:cs="宋体"/>
                <w:sz w:val="28"/>
                <w:szCs w:val="28"/>
              </w:rPr>
            </w:r>
            <w:r/>
          </w:p>
        </w:tc>
        <w:tc>
          <w:tcPr>
            <w:tcW w:w="92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53</w:t>
            </w:r>
            <w:r>
              <w:rPr>
                <w:rFonts w:hint="eastAsia" w:ascii="宋体" w:hAnsi="宋体" w:cs="宋体"/>
                <w:sz w:val="28"/>
                <w:szCs w:val="28"/>
              </w:rPr>
            </w:r>
            <w:r/>
          </w:p>
        </w:tc>
      </w:tr>
    </w:tbl>
    <w:p>
      <w:pPr>
        <w:pStyle w:val="687"/>
        <w:ind w:firstLine="482"/>
        <w:jc w:val="left"/>
        <w:spacing w:line="360" w:lineRule="auto"/>
        <w:rPr>
          <w:rFonts w:ascii="宋体" w:hAnsi="宋体" w:cs="宋体"/>
          <w:sz w:val="28"/>
          <w:szCs w:val="28"/>
          <w:highlight w:val="none"/>
        </w:rPr>
      </w:pPr>
      <w:r>
        <w:rPr>
          <w:rFonts w:hint="eastAsia" w:ascii="宋体" w:hAnsi="宋体" w:cs="宋体"/>
          <w:sz w:val="28"/>
          <w:szCs w:val="28"/>
        </w:rPr>
        <w:t xml:space="preserve">9.2 托管费用总额为</w:t>
      </w:r>
      <w:r>
        <w:rPr>
          <w:rFonts w:hint="eastAsia" w:ascii="宋体" w:hAnsi="宋体" w:cs="宋体"/>
          <w:sz w:val="28"/>
          <w:szCs w:val="28"/>
          <w:u w:val="single"/>
        </w:rPr>
        <w:t xml:space="preserve">        </w:t>
      </w:r>
      <w:r>
        <w:rPr>
          <w:rFonts w:hint="eastAsia" w:ascii="宋体" w:hAnsi="宋体" w:cs="宋体"/>
          <w:sz w:val="28"/>
          <w:szCs w:val="28"/>
        </w:rPr>
        <w:t xml:space="preserve">元，支付年限为</w:t>
      </w:r>
      <w:r>
        <w:rPr>
          <w:rFonts w:hint="eastAsia" w:ascii="宋体" w:hAnsi="宋体" w:cs="宋体"/>
          <w:sz w:val="28"/>
          <w:szCs w:val="28"/>
          <w:u w:val="single"/>
        </w:rPr>
        <w:t xml:space="preserve">10</w:t>
      </w:r>
      <w:r>
        <w:rPr>
          <w:rFonts w:hint="eastAsia" w:ascii="宋体" w:hAnsi="宋体" w:cs="宋体"/>
          <w:sz w:val="28"/>
          <w:szCs w:val="28"/>
        </w:rPr>
        <w:t xml:space="preserve">年，支付标准为每年支付</w:t>
      </w:r>
      <w:r>
        <w:rPr>
          <w:rFonts w:hint="eastAsia" w:ascii="宋体" w:hAnsi="宋体" w:cs="宋体"/>
          <w:sz w:val="28"/>
          <w:szCs w:val="28"/>
          <w:u w:val="single"/>
        </w:rPr>
        <w:t xml:space="preserve">12</w:t>
      </w:r>
      <w:r>
        <w:rPr>
          <w:rFonts w:hint="eastAsia" w:ascii="宋体" w:hAnsi="宋体" w:cs="宋体"/>
          <w:sz w:val="28"/>
          <w:szCs w:val="28"/>
        </w:rPr>
        <w:t xml:space="preserve">次，每次</w:t>
      </w:r>
      <w:r>
        <w:rPr>
          <w:rFonts w:hint="eastAsia" w:ascii="宋体" w:hAnsi="宋体" w:cs="宋体"/>
          <w:sz w:val="28"/>
          <w:szCs w:val="28"/>
          <w:u w:val="single"/>
        </w:rPr>
        <w:t xml:space="preserve">       </w:t>
      </w:r>
      <w:r>
        <w:rPr>
          <w:rFonts w:hint="eastAsia" w:ascii="宋体" w:hAnsi="宋体" w:cs="宋体"/>
          <w:sz w:val="28"/>
          <w:szCs w:val="28"/>
        </w:rPr>
        <w:t xml:space="preserve">元，支</w:t>
      </w:r>
      <w:r>
        <w:rPr>
          <w:rFonts w:hint="eastAsia" w:ascii="宋体" w:hAnsi="宋体" w:cs="宋体"/>
          <w:sz w:val="28"/>
          <w:szCs w:val="28"/>
          <w:highlight w:val="none"/>
        </w:rPr>
        <w:t xml:space="preserve">付时间为</w:t>
      </w:r>
      <w:r>
        <w:rPr>
          <w:rFonts w:hint="eastAsia" w:ascii="宋体" w:hAnsi="宋体" w:cs="宋体"/>
          <w:sz w:val="28"/>
          <w:szCs w:val="28"/>
          <w:highlight w:val="none"/>
          <w:u w:val="single"/>
        </w:rPr>
        <w:t xml:space="preserve">甲方在收到乙方该月服务发票（税率6%）和当月水、电缴费发票复印件后</w:t>
      </w:r>
      <w:r>
        <w:rPr>
          <w:rFonts w:hint="eastAsia" w:ascii="宋体" w:hAnsi="宋体" w:cs="宋体"/>
          <w:sz w:val="28"/>
          <w:szCs w:val="28"/>
          <w:highlight w:val="none"/>
          <w:u w:val="single"/>
          <w:lang w:val="en-US" w:eastAsia="zh-CN"/>
        </w:rPr>
        <w:t xml:space="preserve">15</w:t>
      </w:r>
      <w:r>
        <w:rPr>
          <w:rFonts w:hint="eastAsia" w:ascii="宋体" w:hAnsi="宋体" w:cs="宋体"/>
          <w:sz w:val="28"/>
          <w:szCs w:val="28"/>
          <w:highlight w:val="none"/>
          <w:u w:val="single"/>
        </w:rPr>
        <w:t xml:space="preserve">日内</w:t>
      </w:r>
      <w:r>
        <w:rPr>
          <w:rFonts w:hint="eastAsia" w:ascii="宋体" w:hAnsi="宋体" w:cs="宋体"/>
          <w:sz w:val="28"/>
          <w:szCs w:val="28"/>
          <w:highlight w:val="none"/>
        </w:rPr>
        <w:t xml:space="preserve">。</w:t>
      </w:r>
      <w:r>
        <w:rPr>
          <w:rFonts w:ascii="宋体" w:hAnsi="宋体" w:cs="宋体"/>
          <w:sz w:val="28"/>
          <w:szCs w:val="28"/>
          <w:highlight w:val="none"/>
        </w:rPr>
      </w:r>
      <w:r/>
    </w:p>
    <w:p>
      <w:pPr>
        <w:pStyle w:val="687"/>
        <w:ind w:firstLine="482"/>
        <w:jc w:val="left"/>
        <w:spacing w:line="360" w:lineRule="auto"/>
        <w:rPr>
          <w:rFonts w:ascii="宋体" w:hAnsi="宋体" w:cs="宋体"/>
          <w:sz w:val="28"/>
          <w:szCs w:val="28"/>
        </w:rPr>
      </w:pPr>
      <w:r>
        <w:rPr>
          <w:rFonts w:hint="eastAsia" w:ascii="宋体" w:hAnsi="宋体" w:cs="宋体"/>
          <w:sz w:val="28"/>
          <w:szCs w:val="28"/>
          <w:highlight w:val="none"/>
        </w:rPr>
        <w:t xml:space="preserve">9.3 甲方首次付款时间为项目正式托管运行之日起</w:t>
      </w:r>
      <w:r>
        <w:rPr>
          <w:rFonts w:hint="eastAsia" w:ascii="宋体" w:hAnsi="宋体" w:cs="宋体"/>
          <w:sz w:val="28"/>
          <w:szCs w:val="28"/>
          <w:highlight w:val="none"/>
          <w:u w:val="single"/>
        </w:rPr>
        <w:t xml:space="preserve">30</w:t>
      </w:r>
      <w:r>
        <w:rPr>
          <w:rFonts w:hint="eastAsia" w:ascii="宋体" w:hAnsi="宋体" w:cs="宋体"/>
          <w:sz w:val="28"/>
          <w:szCs w:val="28"/>
          <w:highlight w:val="none"/>
        </w:rPr>
        <w:t xml:space="preserve">日之内。因财政支付审批流程导致的合理延迟不计入违约。若乙方服务不达标或违反本合同约定，甲方有权根据第6.5条服务质量考核结果或第16.2条违约责任约定相应扣减当期应付托管费用。扣减金额应在支付</w:t>
      </w:r>
      <w:r>
        <w:rPr>
          <w:rFonts w:hint="eastAsia" w:ascii="宋体" w:hAnsi="宋体" w:cs="宋体"/>
          <w:sz w:val="28"/>
          <w:szCs w:val="28"/>
        </w:rPr>
        <w:t xml:space="preserve">前书面通知乙方，并说明扣减理由和计算依据。</w:t>
      </w:r>
      <w:r>
        <w:rPr>
          <w:rFonts w:ascii="宋体" w:hAnsi="宋体" w:cs="宋体"/>
          <w:sz w:val="28"/>
          <w:szCs w:val="28"/>
        </w:rPr>
      </w:r>
      <w:r/>
    </w:p>
    <w:p>
      <w:pPr>
        <w:pStyle w:val="687"/>
        <w:ind w:firstLine="482"/>
        <w:jc w:val="left"/>
        <w:spacing w:line="360" w:lineRule="auto"/>
        <w:rPr>
          <w:rFonts w:ascii="宋体" w:hAnsi="宋体" w:cs="宋体"/>
          <w:sz w:val="28"/>
          <w:szCs w:val="28"/>
        </w:rPr>
      </w:pPr>
      <w:r>
        <w:rPr>
          <w:rFonts w:hint="eastAsia" w:ascii="宋体" w:hAnsi="宋体" w:cs="宋体"/>
          <w:sz w:val="28"/>
          <w:szCs w:val="28"/>
        </w:rPr>
        <w:t xml:space="preserve">9.4 向供电、供水等能源资源供应机构交纳的能源资源费用等，根据项目当地的实际情况，采用以下几种方式：</w:t>
      </w:r>
      <w:r>
        <w:rPr>
          <w:rFonts w:ascii="宋体" w:hAnsi="宋体" w:cs="宋体"/>
          <w:sz w:val="28"/>
          <w:szCs w:val="28"/>
        </w:rPr>
      </w:r>
      <w:r/>
    </w:p>
    <w:p>
      <w:pPr>
        <w:pStyle w:val="687"/>
        <w:ind w:firstLine="480"/>
        <w:jc w:val="left"/>
        <w:spacing w:line="360" w:lineRule="auto"/>
        <w:widowControl/>
        <w:rPr>
          <w:rFonts w:ascii="宋体" w:hAnsi="宋体" w:cs="宋体"/>
          <w:sz w:val="28"/>
          <w:szCs w:val="28"/>
        </w:rPr>
      </w:pPr>
      <w:r>
        <w:rPr>
          <w:rFonts w:hint="eastAsia" w:ascii="宋体" w:hAnsi="宋体" w:cs="宋体"/>
          <w:sz w:val="28"/>
          <w:szCs w:val="28"/>
        </w:rPr>
        <w:t xml:space="preserve">9.4.1 优先选择由乙方交纳（代购形式），从托管费用中由乙方代为支付，乙方开具相应金额的服务费发票给甲方。</w:t>
      </w:r>
      <w:r>
        <w:rPr>
          <w:rFonts w:ascii="宋体" w:hAnsi="宋体" w:cs="宋体"/>
          <w:sz w:val="28"/>
          <w:szCs w:val="28"/>
        </w:rPr>
      </w:r>
      <w:r/>
    </w:p>
    <w:p>
      <w:pPr>
        <w:pStyle w:val="687"/>
        <w:ind w:firstLine="480"/>
        <w:jc w:val="left"/>
        <w:spacing w:line="360" w:lineRule="auto"/>
        <w:widowControl/>
        <w:rPr>
          <w:rFonts w:ascii="宋体" w:hAnsi="宋体" w:cs="宋体"/>
          <w:sz w:val="28"/>
          <w:szCs w:val="28"/>
        </w:rPr>
      </w:pPr>
      <w:r>
        <w:rPr>
          <w:rFonts w:hint="eastAsia" w:ascii="宋体" w:hAnsi="宋体" w:cs="宋体"/>
          <w:sz w:val="28"/>
          <w:szCs w:val="28"/>
        </w:rPr>
        <w:t xml:space="preserve">9.4.2 若不能由乙方交纳时，也可以由甲方交纳。乙方开具相应金额的能源费用发票给甲方，每期托管费用与能源费用的差值开具服务费发票给甲方。</w:t>
      </w:r>
      <w:r>
        <w:rPr>
          <w:rFonts w:ascii="宋体" w:hAnsi="宋体" w:cs="宋体"/>
          <w:sz w:val="28"/>
          <w:szCs w:val="28"/>
        </w:rPr>
      </w:r>
      <w:r/>
    </w:p>
    <w:p>
      <w:pPr>
        <w:pStyle w:val="687"/>
        <w:ind w:firstLine="480"/>
        <w:jc w:val="left"/>
        <w:spacing w:line="360" w:lineRule="auto"/>
        <w:widowControl/>
        <w:rPr>
          <w:rFonts w:ascii="宋体" w:hAnsi="宋体" w:cs="宋体"/>
          <w:sz w:val="28"/>
          <w:szCs w:val="28"/>
        </w:rPr>
      </w:pPr>
      <w:r>
        <w:rPr>
          <w:rFonts w:hint="eastAsia" w:ascii="宋体" w:hAnsi="宋体" w:cs="宋体"/>
          <w:sz w:val="28"/>
          <w:szCs w:val="28"/>
        </w:rPr>
        <w:t xml:space="preserve">9.4.3 如果能源资源供应机构对于支付上述费用有特殊规定的，按照特殊规定方式支付。具体开票方式，根据情况双方协商。</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9.4.4 如应付托管费用不足扣减时，则延期继续扣减。</w:t>
      </w:r>
      <w:r>
        <w:rPr>
          <w:rFonts w:ascii="宋体" w:hAnsi="宋体" w:cs="宋体"/>
          <w:sz w:val="28"/>
          <w:szCs w:val="28"/>
        </w:rPr>
      </w:r>
      <w:r/>
    </w:p>
    <w:p>
      <w:pPr>
        <w:pStyle w:val="687"/>
        <w:ind w:firstLine="480"/>
        <w:jc w:val="left"/>
        <w:spacing w:line="360" w:lineRule="auto"/>
        <w:rPr>
          <w:rFonts w:hint="eastAsia" w:ascii="宋体" w:hAnsi="宋体" w:cs="宋体"/>
          <w:sz w:val="28"/>
          <w:szCs w:val="28"/>
        </w:rPr>
      </w:pPr>
      <w:r>
        <w:rPr>
          <w:rFonts w:hint="eastAsia" w:ascii="宋体" w:hAnsi="宋体" w:cs="宋体"/>
          <w:sz w:val="28"/>
          <w:szCs w:val="28"/>
        </w:rPr>
        <w:t xml:space="preserve">9.5 合同约定的节能改造范围以外的供能设备（包括配电室、变压器、管道、照明系统等设备）的更新改造和大修费用不包括在托管费用之内，列入甲方的固定资产投资计划，由甲方另行承担。</w:t>
      </w:r>
      <w:r>
        <w:rPr>
          <w:rFonts w:hint="eastAsia"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9.6 上述能源托管费用由乙方包干使用，通过能源系统管理运营节约的能源费用作为乙方的合理利润。</w:t>
      </w:r>
      <w:r>
        <w:rPr>
          <w:rFonts w:ascii="宋体" w:hAnsi="宋体" w:cs="宋体"/>
          <w:sz w:val="28"/>
          <w:szCs w:val="28"/>
        </w:rPr>
      </w:r>
      <w:r/>
    </w:p>
    <w:p>
      <w:pPr>
        <w:pStyle w:val="687"/>
        <w:ind w:firstLine="437"/>
        <w:jc w:val="left"/>
        <w:spacing w:line="360" w:lineRule="auto"/>
        <w:rPr>
          <w:rFonts w:ascii="宋体" w:hAnsi="宋体" w:cs="宋体"/>
          <w:b/>
          <w:sz w:val="28"/>
          <w:szCs w:val="28"/>
        </w:rPr>
        <w:outlineLvl w:val="1"/>
      </w:pPr>
      <w:r/>
      <w:bookmarkStart w:id="20" w:name="_Toc15430"/>
      <w:r/>
      <w:bookmarkStart w:id="21" w:name="_Toc12096"/>
      <w:r/>
      <w:bookmarkStart w:id="22" w:name="_Toc13723"/>
      <w:r/>
      <w:bookmarkStart w:id="23" w:name="_Toc3323"/>
      <w:r>
        <w:rPr>
          <w:rFonts w:hint="eastAsia" w:ascii="宋体" w:hAnsi="宋体" w:cs="宋体"/>
          <w:b/>
          <w:sz w:val="28"/>
          <w:szCs w:val="28"/>
        </w:rPr>
        <w:t xml:space="preserve">第十条 托管费用的调整和调节</w:t>
      </w:r>
      <w:bookmarkEnd w:id="20"/>
      <w:r/>
      <w:bookmarkEnd w:id="21"/>
      <w:r/>
      <w:bookmarkEnd w:id="22"/>
      <w:r/>
      <w:bookmarkEnd w:id="23"/>
      <w:r>
        <w:rPr>
          <w:rFonts w:ascii="宋体" w:hAnsi="宋体" w:cs="宋体"/>
          <w:b/>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10.1 托管期间，若发生用能设备的增减、用能人数增减、用能区域变化、能源价格调整、用能行为改变、极端气候以及其他致使用能边界发生变化的情况，双方需对能源托管费用基数进行调整，调整约定如下：</w:t>
      </w:r>
      <w:r>
        <w:rPr>
          <w:rFonts w:ascii="宋体" w:hAnsi="宋体" w:cs="宋体"/>
          <w:sz w:val="28"/>
          <w:szCs w:val="28"/>
        </w:rPr>
      </w:r>
      <w:r/>
    </w:p>
    <w:p>
      <w:pPr>
        <w:pStyle w:val="687"/>
        <w:ind w:firstLine="480"/>
        <w:jc w:val="left"/>
        <w:spacing w:line="360" w:lineRule="auto"/>
        <w:rPr>
          <w:rFonts w:ascii="宋体" w:hAnsi="宋体" w:cs="宋体"/>
          <w:sz w:val="28"/>
          <w:szCs w:val="28"/>
          <w:u w:val="single"/>
        </w:rPr>
      </w:pPr>
      <w:r>
        <w:rPr>
          <w:rFonts w:hint="eastAsia" w:ascii="宋体" w:hAnsi="宋体" w:cs="宋体"/>
          <w:sz w:val="28"/>
          <w:szCs w:val="28"/>
        </w:rPr>
        <w:t xml:space="preserve">10.1.1 调整方式：甲乙双方协商确定，</w:t>
      </w:r>
      <w:r>
        <w:rPr>
          <w:rFonts w:hint="eastAsia" w:ascii="宋体" w:hAnsi="宋体" w:cs="宋体"/>
          <w:sz w:val="28"/>
          <w:szCs w:val="28"/>
          <w:lang w:eastAsia="en-US"/>
        </w:rPr>
        <w:t xml:space="preserve">或</w:t>
      </w:r>
      <w:r>
        <w:rPr>
          <w:rFonts w:hint="eastAsia" w:ascii="宋体" w:hAnsi="宋体" w:cs="宋体"/>
          <w:sz w:val="28"/>
          <w:szCs w:val="28"/>
        </w:rPr>
        <w:t xml:space="preserve">聘请第三方机构进行核定，第三方核定费用由</w:t>
      </w:r>
      <w:r>
        <w:rPr>
          <w:rFonts w:hint="eastAsia" w:ascii="宋体" w:hAnsi="宋体" w:cs="宋体"/>
          <w:sz w:val="28"/>
          <w:szCs w:val="28"/>
          <w:u w:val="single"/>
        </w:rPr>
        <w:t xml:space="preserve">乙方</w:t>
      </w:r>
      <w:r>
        <w:rPr>
          <w:rFonts w:hint="eastAsia" w:ascii="宋体" w:hAnsi="宋体" w:cs="宋体"/>
          <w:sz w:val="28"/>
          <w:szCs w:val="28"/>
        </w:rPr>
        <w:t xml:space="preserve">支付。</w:t>
      </w:r>
      <w:r>
        <w:rPr>
          <w:rFonts w:ascii="宋体" w:hAnsi="宋体" w:cs="宋体"/>
          <w:sz w:val="28"/>
          <w:szCs w:val="28"/>
          <w:u w:val="single"/>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10.1.2 调整周期：双方应依据协商确定或第三方机构核定的调整量签订补充协议，在每个托管年度结算期满后的</w:t>
      </w:r>
      <w:r>
        <w:rPr>
          <w:rFonts w:hint="eastAsia" w:ascii="宋体" w:hAnsi="宋体" w:cs="宋体"/>
          <w:sz w:val="28"/>
          <w:szCs w:val="28"/>
          <w:u w:val="single"/>
        </w:rPr>
        <w:t xml:space="preserve">30</w:t>
      </w:r>
      <w:r>
        <w:rPr>
          <w:rFonts w:hint="eastAsia" w:ascii="宋体" w:hAnsi="宋体" w:cs="宋体"/>
          <w:sz w:val="28"/>
          <w:szCs w:val="28"/>
        </w:rPr>
        <w:t xml:space="preserve">天内一次性结清。</w:t>
      </w:r>
      <w:r>
        <w:rPr>
          <w:rFonts w:ascii="宋体" w:hAnsi="宋体" w:cs="宋体"/>
          <w:sz w:val="28"/>
          <w:szCs w:val="28"/>
        </w:rPr>
      </w:r>
      <w:r/>
    </w:p>
    <w:p>
      <w:pPr>
        <w:pStyle w:val="687"/>
        <w:ind w:firstLine="480"/>
        <w:jc w:val="left"/>
        <w:spacing w:line="360" w:lineRule="auto"/>
        <w:rPr>
          <w:rFonts w:hint="eastAsia" w:ascii="宋体" w:hAnsi="宋体" w:cs="宋体"/>
          <w:sz w:val="28"/>
          <w:szCs w:val="28"/>
        </w:rPr>
      </w:pPr>
      <w:r>
        <w:rPr>
          <w:rFonts w:hint="eastAsia" w:ascii="宋体" w:hAnsi="宋体" w:cs="宋体"/>
          <w:sz w:val="28"/>
          <w:szCs w:val="28"/>
        </w:rPr>
        <w:t xml:space="preserve">10.2 甲方的用能设备和其他用能项的增加或减少，应当通知乙方。甲、乙双方应当对增加或减少的设备和其他用能项予以书面确认。其他用能项包括但不限于用能建筑面积、用能时间、用能人员等。因用能设备和其他用能项的增减，应当调整基准能耗，并相应地据实增减能源托管费用基数。</w:t>
      </w:r>
      <w:r>
        <w:rPr>
          <w:rFonts w:hint="eastAsia" w:ascii="宋体" w:hAnsi="宋体" w:cs="宋体"/>
          <w:sz w:val="28"/>
          <w:szCs w:val="28"/>
        </w:rPr>
      </w:r>
      <w:r/>
    </w:p>
    <w:p>
      <w:pPr>
        <w:pStyle w:val="687"/>
        <w:ind w:firstLine="42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本项目调整方式为：托管期间，甲方应及时告知乙方用能设备增减情况（设备更新情况统计可参考下表），并为乙方定期巡查设备更新提供便利。</w:t>
      </w:r>
      <w:r>
        <w:rPr>
          <w:rFonts w:hint="eastAsia" w:ascii="宋体" w:hAnsi="宋体" w:cs="宋体"/>
          <w:sz w:val="28"/>
          <w:szCs w:val="28"/>
          <w:highlight w:val="none"/>
        </w:rPr>
      </w:r>
      <w:r/>
    </w:p>
    <w:p>
      <w:pPr>
        <w:pStyle w:val="68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用能设备增减情况统计表（   年  月— 年  月）</w:t>
      </w:r>
      <w:r>
        <w:rPr>
          <w:rFonts w:hint="eastAsia" w:ascii="宋体" w:hAnsi="宋体" w:cs="宋体"/>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793"/>
        <w:gridCol w:w="706"/>
        <w:gridCol w:w="706"/>
        <w:gridCol w:w="1155"/>
        <w:gridCol w:w="1056"/>
        <w:gridCol w:w="659"/>
        <w:gridCol w:w="723"/>
        <w:gridCol w:w="1320"/>
        <w:gridCol w:w="1169"/>
      </w:tblGrid>
      <w:tr>
        <w:trPr/>
        <w:tc>
          <w:tcPr>
            <w:tcW w:w="437"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序号</w:t>
            </w:r>
            <w:r>
              <w:rPr>
                <w:rFonts w:hint="eastAsia" w:ascii="宋体" w:hAnsi="宋体" w:cs="宋体"/>
                <w:sz w:val="28"/>
                <w:szCs w:val="28"/>
                <w:highlight w:val="none"/>
              </w:rPr>
            </w:r>
            <w:r/>
          </w:p>
        </w:tc>
        <w:tc>
          <w:tcPr>
            <w:tcW w:w="44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设备名称</w:t>
            </w:r>
            <w:r>
              <w:rPr>
                <w:rFonts w:hint="eastAsia" w:ascii="宋体" w:hAnsi="宋体" w:cs="宋体"/>
                <w:sz w:val="28"/>
                <w:szCs w:val="28"/>
                <w:highlight w:val="none"/>
              </w:rPr>
            </w:r>
            <w:r/>
          </w:p>
        </w:tc>
        <w:tc>
          <w:tcPr>
            <w:tcW w:w="40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使用部门</w:t>
            </w:r>
            <w:r>
              <w:rPr>
                <w:rFonts w:hint="eastAsia" w:ascii="宋体" w:hAnsi="宋体" w:cs="宋体"/>
                <w:sz w:val="28"/>
                <w:szCs w:val="28"/>
                <w:highlight w:val="none"/>
              </w:rPr>
            </w:r>
            <w:r/>
          </w:p>
        </w:tc>
        <w:tc>
          <w:tcPr>
            <w:tcW w:w="40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设备型号</w:t>
            </w:r>
            <w:r>
              <w:rPr>
                <w:rFonts w:hint="eastAsia" w:ascii="宋体" w:hAnsi="宋体" w:cs="宋体"/>
                <w:sz w:val="28"/>
                <w:szCs w:val="28"/>
                <w:highlight w:val="none"/>
              </w:rPr>
            </w:r>
            <w:r/>
          </w:p>
        </w:tc>
        <w:tc>
          <w:tcPr>
            <w:tcW w:w="64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设备功率（kW）</w:t>
            </w:r>
            <w:r>
              <w:rPr>
                <w:rFonts w:hint="eastAsia" w:ascii="宋体" w:hAnsi="宋体" w:cs="宋体"/>
                <w:sz w:val="28"/>
                <w:szCs w:val="28"/>
                <w:highlight w:val="none"/>
              </w:rPr>
            </w:r>
            <w:r/>
          </w:p>
        </w:tc>
        <w:tc>
          <w:tcPr>
            <w:tcW w:w="49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数量（台）</w:t>
            </w:r>
            <w:r>
              <w:rPr>
                <w:rFonts w:hint="eastAsia" w:ascii="宋体" w:hAnsi="宋体" w:cs="宋体"/>
                <w:sz w:val="28"/>
                <w:szCs w:val="28"/>
                <w:highlight w:val="none"/>
              </w:rPr>
            </w:r>
            <w:r/>
          </w:p>
        </w:tc>
        <w:tc>
          <w:tcPr>
            <w:tcW w:w="374"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投用时间</w:t>
            </w:r>
            <w:r>
              <w:rPr>
                <w:rFonts w:hint="eastAsia" w:ascii="宋体" w:hAnsi="宋体" w:cs="宋体"/>
                <w:sz w:val="28"/>
                <w:szCs w:val="28"/>
                <w:highlight w:val="none"/>
              </w:rPr>
            </w:r>
            <w:r/>
          </w:p>
        </w:tc>
        <w:tc>
          <w:tcPr>
            <w:tcW w:w="409"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弃用时间</w:t>
            </w:r>
            <w:r>
              <w:rPr>
                <w:rFonts w:hint="eastAsia" w:ascii="宋体" w:hAnsi="宋体" w:cs="宋体"/>
                <w:sz w:val="28"/>
                <w:szCs w:val="28"/>
                <w:highlight w:val="none"/>
              </w:rPr>
            </w:r>
            <w:r/>
          </w:p>
        </w:tc>
        <w:tc>
          <w:tcPr>
            <w:tcW w:w="73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每日使用时长（h）</w:t>
            </w:r>
            <w:r>
              <w:rPr>
                <w:rFonts w:hint="eastAsia" w:ascii="宋体" w:hAnsi="宋体" w:cs="宋体"/>
                <w:sz w:val="28"/>
                <w:szCs w:val="28"/>
                <w:highlight w:val="none"/>
              </w:rPr>
            </w:r>
            <w:r/>
          </w:p>
        </w:tc>
        <w:tc>
          <w:tcPr>
            <w:tcW w:w="655"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使用天数（天）</w:t>
            </w:r>
            <w:r>
              <w:rPr>
                <w:rFonts w:hint="eastAsia" w:ascii="宋体" w:hAnsi="宋体" w:cs="宋体"/>
                <w:sz w:val="28"/>
                <w:szCs w:val="28"/>
                <w:highlight w:val="none"/>
              </w:rPr>
            </w:r>
            <w:r/>
          </w:p>
        </w:tc>
      </w:tr>
      <w:tr>
        <w:trPr/>
        <w:tc>
          <w:tcPr>
            <w:tcW w:w="437"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rPr>
            </w:r>
            <w:r/>
          </w:p>
        </w:tc>
        <w:tc>
          <w:tcPr>
            <w:tcW w:w="44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64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9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374"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9"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73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655"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437"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rPr>
            </w:r>
            <w:r/>
          </w:p>
        </w:tc>
        <w:tc>
          <w:tcPr>
            <w:tcW w:w="44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64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90"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374"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9"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738"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c>
          <w:tcPr>
            <w:tcW w:w="655"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r>
            <w:r/>
          </w:p>
        </w:tc>
      </w:tr>
    </w:tbl>
    <w:p>
      <w:pPr>
        <w:pStyle w:val="687"/>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项目托管后，</w:t>
      </w:r>
      <w:r>
        <w:rPr>
          <w:rFonts w:ascii="宋体" w:hAnsi="宋体" w:cs="宋体"/>
          <w:sz w:val="28"/>
          <w:szCs w:val="28"/>
          <w:highlight w:val="none"/>
        </w:rPr>
        <w:t xml:space="preserve">如发生用能设备功率增、减达到</w:t>
      </w:r>
      <w:r>
        <w:rPr>
          <w:rFonts w:hint="eastAsia" w:ascii="宋体" w:hAnsi="宋体" w:cs="宋体"/>
          <w:sz w:val="28"/>
          <w:szCs w:val="28"/>
          <w:highlight w:val="none"/>
        </w:rPr>
        <w:t xml:space="preserve">20</w:t>
      </w:r>
      <w:r>
        <w:rPr>
          <w:rFonts w:ascii="宋体" w:hAnsi="宋体" w:cs="宋体"/>
          <w:sz w:val="28"/>
          <w:szCs w:val="28"/>
          <w:highlight w:val="none"/>
        </w:rPr>
        <w:t xml:space="preserve">kW及以上时，甲乙</w:t>
      </w:r>
      <w:r>
        <w:rPr>
          <w:rFonts w:hint="eastAsia" w:ascii="宋体" w:hAnsi="宋体" w:cs="宋体"/>
          <w:sz w:val="28"/>
          <w:szCs w:val="28"/>
          <w:highlight w:val="none"/>
        </w:rPr>
        <w:t xml:space="preserve">双方应调整</w:t>
      </w:r>
      <w:r>
        <w:rPr>
          <w:rFonts w:ascii="宋体" w:hAnsi="宋体" w:cs="宋体"/>
          <w:sz w:val="28"/>
          <w:szCs w:val="28"/>
          <w:highlight w:val="none"/>
        </w:rPr>
        <w:t xml:space="preserve">能源费用</w:t>
      </w:r>
      <w:r>
        <w:rPr>
          <w:rFonts w:hint="eastAsia" w:ascii="宋体" w:hAnsi="宋体" w:cs="宋体"/>
          <w:sz w:val="28"/>
          <w:szCs w:val="28"/>
          <w:highlight w:val="none"/>
        </w:rPr>
        <w:t xml:space="preserve">托管基数，按照【增减设备功率×用能时间】计算增减总能耗，按照【增减总能耗×能源单价】调整</w:t>
      </w:r>
      <w:r>
        <w:rPr>
          <w:rFonts w:ascii="宋体" w:hAnsi="宋体" w:cs="宋体"/>
          <w:sz w:val="28"/>
          <w:szCs w:val="28"/>
          <w:highlight w:val="none"/>
        </w:rPr>
        <w:t xml:space="preserve">能源费用</w:t>
      </w:r>
      <w:r>
        <w:rPr>
          <w:rFonts w:hint="eastAsia" w:ascii="宋体" w:hAnsi="宋体" w:cs="宋体"/>
          <w:sz w:val="28"/>
          <w:szCs w:val="28"/>
          <w:highlight w:val="none"/>
        </w:rPr>
        <w:t xml:space="preserve">基数</w:t>
      </w:r>
      <w:r>
        <w:rPr>
          <w:rFonts w:ascii="宋体" w:hAnsi="宋体" w:cs="宋体"/>
          <w:sz w:val="28"/>
          <w:szCs w:val="28"/>
          <w:highlight w:val="none"/>
        </w:rPr>
        <w:t xml:space="preserve">。</w:t>
      </w:r>
      <w:r>
        <w:rPr>
          <w:rFonts w:hint="eastAsia" w:ascii="宋体" w:hAnsi="宋体" w:cs="宋体"/>
          <w:sz w:val="28"/>
          <w:szCs w:val="28"/>
          <w:highlight w:val="none"/>
        </w:rPr>
      </w:r>
      <w:r/>
    </w:p>
    <w:p>
      <w:pPr>
        <w:pStyle w:val="687"/>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10.3 项目托管期间，因建筑改扩建增加的临时用能能耗需单独计量；新增用能区域的能耗需单独计量；如用能区域建筑功能发生改变，则该功能区能</w:t>
      </w:r>
      <w:r>
        <w:rPr>
          <w:rFonts w:hint="eastAsia" w:ascii="宋体" w:hAnsi="宋体" w:cs="宋体"/>
          <w:sz w:val="28"/>
          <w:szCs w:val="28"/>
          <w:highlight w:val="none"/>
        </w:rPr>
        <w:t xml:space="preserve">耗需单独计量。因用能区域变化导致的用能增减，甲方应当及时通知乙方，并调整基准能耗，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rPr>
          <w:rFonts w:hint="eastAsia" w:ascii="宋体" w:hAnsi="宋体" w:cs="宋体"/>
          <w:sz w:val="28"/>
          <w:szCs w:val="28"/>
          <w:highlight w:val="none"/>
        </w:rPr>
      </w:r>
      <w:r/>
    </w:p>
    <w:p>
      <w:pPr>
        <w:pStyle w:val="687"/>
        <w:ind w:firstLine="480"/>
        <w:spacing w:line="360" w:lineRule="auto"/>
        <w:rPr>
          <w:rFonts w:ascii="宋体" w:hAnsi="宋体" w:cs="宋体"/>
          <w:sz w:val="32"/>
          <w:szCs w:val="32"/>
          <w:highlight w:val="none"/>
        </w:rPr>
      </w:pPr>
      <w:r>
        <w:rPr>
          <w:rFonts w:hint="eastAsia" w:ascii="宋体" w:hAnsi="宋体" w:cs="宋体"/>
          <w:sz w:val="28"/>
          <w:szCs w:val="28"/>
          <w:highlight w:val="none"/>
        </w:rPr>
        <w:t xml:space="preserve">10.4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w:t>
      </w:r>
      <w:r>
        <w:rPr>
          <w:rFonts w:ascii="宋体" w:hAnsi="宋体" w:cs="宋体"/>
          <w:sz w:val="28"/>
          <w:szCs w:val="28"/>
          <w:highlight w:val="none"/>
        </w:rPr>
        <w:t xml:space="preserve">因上班时间调整导致用能时间变化的，</w:t>
      </w:r>
      <w:r>
        <w:rPr>
          <w:rFonts w:hint="eastAsia" w:ascii="宋体" w:hAnsi="宋体" w:cs="宋体"/>
          <w:sz w:val="28"/>
          <w:szCs w:val="28"/>
          <w:highlight w:val="none"/>
        </w:rPr>
        <w:t xml:space="preserve">则按照【年基准能耗/原有工作时间】计算小时平均能耗，按照【增减工作时间×小时平均能耗】计算增减总能耗，按照【增减总能耗×能源单价】调整</w:t>
      </w:r>
      <w:r>
        <w:rPr>
          <w:rFonts w:ascii="宋体" w:hAnsi="宋体" w:cs="宋体"/>
          <w:sz w:val="28"/>
          <w:szCs w:val="28"/>
          <w:highlight w:val="none"/>
        </w:rPr>
        <w:t xml:space="preserve">能源费用</w:t>
      </w:r>
      <w:r>
        <w:rPr>
          <w:rFonts w:hint="eastAsia" w:ascii="宋体" w:hAnsi="宋体" w:cs="宋体"/>
          <w:sz w:val="28"/>
          <w:szCs w:val="28"/>
          <w:highlight w:val="none"/>
        </w:rPr>
        <w:t xml:space="preserve">基数。</w:t>
      </w:r>
      <w:r>
        <w:rPr>
          <w:rFonts w:ascii="宋体" w:hAnsi="宋体" w:cs="宋体"/>
          <w:sz w:val="32"/>
          <w:szCs w:val="32"/>
          <w:highlight w:val="none"/>
        </w:rPr>
      </w:r>
      <w:r/>
    </w:p>
    <w:p>
      <w:pPr>
        <w:pStyle w:val="687"/>
        <w:ind w:firstLine="480"/>
        <w:spacing w:line="360" w:lineRule="auto"/>
        <w:rPr>
          <w:rFonts w:ascii="宋体" w:hAnsi="宋体" w:eastAsia="宋体" w:cs="宋体"/>
          <w:bCs/>
          <w:sz w:val="28"/>
          <w:szCs w:val="28"/>
          <w:highlight w:val="none"/>
          <w:u w:val="single"/>
          <w:lang w:val="en-US" w:eastAsia="zh-CN"/>
        </w:rPr>
      </w:pPr>
      <w:r>
        <w:rPr>
          <w:rFonts w:hint="eastAsia" w:ascii="宋体" w:hAnsi="宋体" w:cs="宋体"/>
          <w:sz w:val="28"/>
          <w:szCs w:val="28"/>
          <w:highlight w:val="none"/>
        </w:rPr>
        <w:t xml:space="preserve">10.5 托</w:t>
      </w:r>
      <w:r>
        <w:rPr>
          <w:rFonts w:hint="eastAsia" w:ascii="宋体" w:hAnsi="宋体" w:cs="宋体"/>
          <w:bCs/>
          <w:sz w:val="28"/>
          <w:szCs w:val="28"/>
          <w:highlight w:val="none"/>
        </w:rPr>
        <w:t xml:space="preserve">管期间的能源单价调整，甲方支付给乙方的托管费用亦应按比例调整。具体调整结算方式可</w:t>
      </w:r>
      <w:r>
        <w:rPr>
          <w:rFonts w:hint="eastAsia" w:ascii="宋体" w:hAnsi="宋体" w:cs="宋体"/>
          <w:bCs/>
          <w:sz w:val="28"/>
          <w:szCs w:val="28"/>
          <w:highlight w:val="none"/>
          <w:lang w:val="en-US" w:eastAsia="zh-CN"/>
        </w:rPr>
        <w:t xml:space="preserve">由</w:t>
      </w:r>
      <w:r>
        <w:rPr>
          <w:rFonts w:hint="eastAsia" w:ascii="宋体" w:hAnsi="宋体" w:cs="宋体"/>
          <w:bCs/>
          <w:sz w:val="28"/>
          <w:szCs w:val="28"/>
          <w:highlight w:val="none"/>
          <w:lang w:val="en-US" w:eastAsia="zh-CN"/>
        </w:rPr>
        <w:t xml:space="preserve">公共机构与节能服务公司双方协商确定。本项目调整方式为</w:t>
      </w:r>
      <w:r>
        <w:rPr>
          <w:rFonts w:hint="eastAsia" w:ascii="宋体" w:hAnsi="宋体" w:cs="宋体"/>
          <w:bCs/>
          <w:sz w:val="28"/>
          <w:szCs w:val="28"/>
          <w:highlight w:val="none"/>
          <w:u w:val="single"/>
          <w:lang w:val="en-US" w:eastAsia="zh-CN"/>
        </w:rPr>
        <w:t xml:space="preserve">                      。</w:t>
      </w:r>
      <w:r>
        <w:rPr>
          <w:rFonts w:ascii="宋体" w:hAnsi="宋体" w:eastAsia="宋体" w:cs="宋体"/>
          <w:bCs/>
          <w:sz w:val="28"/>
          <w:szCs w:val="28"/>
          <w:highlight w:val="none"/>
          <w:u w:val="single"/>
          <w:lang w:val="en-US" w:eastAsia="zh-CN"/>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10.6 基于甲方提供的数据错误导致基准能耗核定错误，可以据实修正基准期能耗和能源托管费用基数，相应的责任应当由甲方承担，费用补偿及调整方式为</w:t>
      </w:r>
      <w:r>
        <w:rPr>
          <w:rFonts w:hint="eastAsia" w:ascii="宋体" w:hAnsi="宋体" w:cs="宋体"/>
          <w:sz w:val="28"/>
          <w:szCs w:val="28"/>
          <w:highlight w:val="none"/>
          <w:u w:val="single"/>
        </w:rPr>
        <w:t xml:space="preserve">双方协商解决</w:t>
      </w:r>
      <w:r>
        <w:rPr>
          <w:rFonts w:hint="eastAsia" w:ascii="宋体" w:hAnsi="宋体" w:cs="宋体"/>
          <w:sz w:val="28"/>
          <w:szCs w:val="28"/>
          <w:highlight w:val="none"/>
        </w:rPr>
        <w:t xml:space="preserve">。</w:t>
      </w:r>
      <w:r>
        <w:rPr>
          <w:rFonts w:ascii="宋体" w:hAnsi="宋体" w:cs="宋体"/>
          <w:sz w:val="28"/>
          <w:szCs w:val="28"/>
          <w:highlight w:val="none"/>
        </w:rPr>
      </w:r>
      <w:r/>
    </w:p>
    <w:p>
      <w:pPr>
        <w:pStyle w:val="687"/>
        <w:ind w:firstLine="482"/>
        <w:jc w:val="left"/>
        <w:spacing w:line="360" w:lineRule="auto"/>
        <w:rPr>
          <w:rFonts w:ascii="宋体" w:hAnsi="宋体" w:cs="宋体"/>
          <w:sz w:val="28"/>
          <w:szCs w:val="28"/>
          <w:highlight w:val="none"/>
        </w:rPr>
      </w:pPr>
      <w:r/>
      <w:bookmarkStart w:id="24" w:name="_Toc9723"/>
      <w:r/>
      <w:bookmarkStart w:id="25" w:name="_Toc21350"/>
      <w:r/>
      <w:bookmarkStart w:id="26" w:name="_Toc487"/>
      <w:r/>
      <w:bookmarkStart w:id="27" w:name="_Toc4055"/>
      <w:r>
        <w:rPr>
          <w:rFonts w:hint="eastAsia" w:ascii="宋体" w:hAnsi="宋体" w:cs="宋体"/>
          <w:b/>
          <w:bCs/>
          <w:sz w:val="28"/>
          <w:szCs w:val="28"/>
          <w:highlight w:val="none"/>
        </w:rPr>
        <w:t xml:space="preserve">第十一条 节能改造</w:t>
      </w:r>
      <w:bookmarkEnd w:id="24"/>
      <w:r/>
      <w:bookmarkEnd w:id="25"/>
      <w:r/>
      <w:bookmarkEnd w:id="26"/>
      <w:r/>
      <w:bookmarkEnd w:id="27"/>
      <w:r>
        <w:rPr>
          <w:rFonts w:ascii="宋体" w:hAnsi="宋体" w:cs="宋体"/>
          <w:sz w:val="28"/>
          <w:szCs w:val="28"/>
          <w:highlight w:val="none"/>
        </w:rPr>
      </w:r>
      <w:r/>
    </w:p>
    <w:p>
      <w:pPr>
        <w:pStyle w:val="687"/>
        <w:ind w:firstLine="480"/>
        <w:jc w:val="left"/>
        <w:spacing w:line="360" w:lineRule="auto"/>
        <w:rPr>
          <w:rFonts w:ascii="宋体" w:hAnsi="宋体" w:cs="宋体"/>
          <w:sz w:val="28"/>
          <w:szCs w:val="28"/>
        </w:rPr>
      </w:pPr>
      <w:r>
        <w:rPr>
          <w:rFonts w:hint="eastAsia" w:ascii="宋体" w:hAnsi="宋体" w:cs="宋体"/>
          <w:sz w:val="28"/>
          <w:szCs w:val="28"/>
          <w:highlight w:val="none"/>
        </w:rPr>
        <w:t xml:space="preserve">11.1 托管项目范围内，如需进行节能改造，乙方应当制定专项或者综合节能改造方案。甲、乙双方应当就改造的范围、</w:t>
      </w:r>
      <w:r>
        <w:rPr>
          <w:rFonts w:hint="eastAsia" w:ascii="宋体" w:hAnsi="宋体" w:cs="宋体"/>
          <w:sz w:val="28"/>
          <w:szCs w:val="28"/>
        </w:rPr>
        <w:t xml:space="preserve">拟使用的节能技术、产品、投资数额、投资形成的资产所有权、施工时间等问题进行协商，乙方在前述基础上就节能改造事项制定专项方案，并经甲方签字、盖章确认方可实施。</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11.2 节能改造所需投资和收益由甲乙双方本着经济合理性的原则协商确定。制定“节能改造方案”，作为本合同附件三。</w:t>
      </w:r>
      <w:r>
        <w:rPr>
          <w:rFonts w:ascii="宋体" w:hAnsi="宋体" w:cs="宋体"/>
          <w:sz w:val="28"/>
          <w:szCs w:val="28"/>
        </w:rPr>
      </w:r>
      <w:r/>
    </w:p>
    <w:p>
      <w:pPr>
        <w:pStyle w:val="687"/>
        <w:ind w:firstLine="437"/>
        <w:jc w:val="left"/>
        <w:spacing w:line="360" w:lineRule="auto"/>
        <w:rPr>
          <w:rFonts w:ascii="宋体" w:hAnsi="宋体" w:cs="宋体"/>
          <w:b/>
          <w:sz w:val="28"/>
          <w:szCs w:val="28"/>
        </w:rPr>
        <w:outlineLvl w:val="1"/>
      </w:pPr>
      <w:r/>
      <w:bookmarkStart w:id="28" w:name="_Toc31339"/>
      <w:r/>
      <w:bookmarkStart w:id="29" w:name="_Toc11720"/>
      <w:r/>
      <w:bookmarkStart w:id="30" w:name="_Toc17520"/>
      <w:r/>
      <w:bookmarkStart w:id="31" w:name="_Toc27749"/>
      <w:r>
        <w:rPr>
          <w:rFonts w:hint="eastAsia" w:ascii="宋体" w:hAnsi="宋体" w:cs="宋体"/>
          <w:b/>
          <w:sz w:val="28"/>
          <w:szCs w:val="28"/>
        </w:rPr>
        <w:t xml:space="preserve">第十二条 安全生产和环境保护</w:t>
      </w:r>
      <w:bookmarkEnd w:id="28"/>
      <w:r/>
      <w:bookmarkEnd w:id="29"/>
      <w:r/>
      <w:bookmarkEnd w:id="30"/>
      <w:r/>
      <w:bookmarkEnd w:id="31"/>
      <w:r>
        <w:rPr>
          <w:rFonts w:ascii="宋体" w:hAnsi="宋体" w:cs="宋体"/>
          <w:b/>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12.1 乙方在运营管理过程中应当严格遵守能源管理使用的法律法规、规章制度，因违章操作或不尽职尽责导致在运行期间出现安全事故和经济损失由乙方负责。因乙方设备运维不当导致安全事故造成第三方索赔的，乙方应全额承担赔偿责任且需先行赔付。</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12.2 乙方进行的节能改造部分，由于乙方原因导致改造自身存在系统缺陷，或施工质量导致安全事故和经济损失由乙方负责。</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12.3 甲方先期建设的能源供应和使用系统，由于系统缺陷或施工质量导致的安全事故和经济损失由甲方负责。</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12.4 针对安全生产和环境保护，甲、乙双方应当制定专项规范，划分相关的责任。制定“安全生产和环境保护规范”，作为本合同附件四。</w:t>
      </w:r>
      <w:r>
        <w:rPr>
          <w:rFonts w:ascii="宋体" w:hAnsi="宋体" w:cs="宋体"/>
          <w:sz w:val="28"/>
          <w:szCs w:val="28"/>
        </w:rPr>
      </w:r>
      <w:r/>
    </w:p>
    <w:p>
      <w:pPr>
        <w:pStyle w:val="687"/>
        <w:ind w:firstLine="437"/>
        <w:jc w:val="left"/>
        <w:spacing w:line="360" w:lineRule="auto"/>
        <w:rPr>
          <w:rFonts w:ascii="宋体" w:hAnsi="宋体" w:cs="宋体"/>
          <w:b/>
          <w:sz w:val="28"/>
          <w:szCs w:val="28"/>
        </w:rPr>
        <w:outlineLvl w:val="1"/>
      </w:pPr>
      <w:r/>
      <w:bookmarkStart w:id="32" w:name="_Toc19732"/>
      <w:r/>
      <w:bookmarkStart w:id="33" w:name="_Toc3684"/>
      <w:r/>
      <w:bookmarkStart w:id="34" w:name="_Toc2878"/>
      <w:r/>
      <w:bookmarkStart w:id="35" w:name="_Toc2040"/>
      <w:r>
        <w:rPr>
          <w:rFonts w:hint="eastAsia" w:ascii="宋体" w:hAnsi="宋体" w:cs="宋体"/>
          <w:b/>
          <w:sz w:val="28"/>
          <w:szCs w:val="28"/>
        </w:rPr>
        <w:t xml:space="preserve">第十三条 禁止商业贿赂</w:t>
      </w:r>
      <w:bookmarkEnd w:id="32"/>
      <w:r/>
      <w:bookmarkEnd w:id="33"/>
      <w:r/>
      <w:bookmarkEnd w:id="34"/>
      <w:r/>
      <w:bookmarkEnd w:id="35"/>
      <w:r>
        <w:rPr>
          <w:rFonts w:ascii="宋体" w:hAnsi="宋体" w:cs="宋体"/>
          <w:b/>
          <w:sz w:val="28"/>
          <w:szCs w:val="28"/>
        </w:rPr>
      </w:r>
      <w:r/>
    </w:p>
    <w:p>
      <w:pPr>
        <w:pStyle w:val="687"/>
        <w:ind w:firstLine="480"/>
        <w:jc w:val="left"/>
        <w:spacing w:line="360" w:lineRule="auto"/>
        <w:rPr>
          <w:rFonts w:ascii="宋体" w:hAnsi="宋体" w:cs="宋体"/>
          <w:bCs/>
          <w:sz w:val="28"/>
          <w:szCs w:val="28"/>
        </w:rPr>
      </w:pPr>
      <w:r>
        <w:rPr>
          <w:rFonts w:hint="eastAsia" w:ascii="宋体" w:hAnsi="宋体" w:cs="宋体"/>
          <w:sz w:val="28"/>
          <w:szCs w:val="28"/>
        </w:rPr>
        <w:t xml:space="preserve">甲、乙双方应当遵守廉洁从政、廉洁经商的有关规定，禁止一方向另一方提供实物、现金、有价证券、超标准宴请、高消费娱乐活动等违反“廉洁协议书”约定的行为。</w:t>
      </w:r>
      <w:r>
        <w:rPr>
          <w:rFonts w:hint="eastAsia" w:ascii="宋体" w:hAnsi="宋体" w:cs="宋体"/>
          <w:bCs/>
          <w:sz w:val="28"/>
          <w:szCs w:val="28"/>
        </w:rPr>
        <w:t xml:space="preserve">制定“廉洁协议书”，作为本合同附件五。</w:t>
      </w:r>
      <w:r>
        <w:rPr>
          <w:rFonts w:ascii="宋体" w:hAnsi="宋体" w:cs="宋体"/>
          <w:bCs/>
          <w:sz w:val="28"/>
          <w:szCs w:val="28"/>
        </w:rPr>
      </w:r>
      <w:r/>
    </w:p>
    <w:p>
      <w:pPr>
        <w:pStyle w:val="687"/>
        <w:ind w:firstLine="437"/>
        <w:jc w:val="left"/>
        <w:spacing w:line="360" w:lineRule="auto"/>
        <w:rPr>
          <w:rFonts w:ascii="宋体" w:hAnsi="宋体" w:cs="宋体"/>
          <w:b/>
          <w:sz w:val="28"/>
          <w:szCs w:val="28"/>
        </w:rPr>
        <w:outlineLvl w:val="1"/>
      </w:pPr>
      <w:r>
        <w:rPr>
          <w:rFonts w:hint="eastAsia" w:ascii="宋体" w:hAnsi="宋体" w:cs="宋体"/>
          <w:b/>
          <w:sz w:val="28"/>
          <w:szCs w:val="28"/>
        </w:rPr>
        <w:t xml:space="preserve">第十四条 保密义务</w:t>
      </w:r>
      <w:r>
        <w:rPr>
          <w:rFonts w:ascii="宋体" w:hAnsi="宋体" w:cs="宋体"/>
          <w:b/>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14.1 甲、乙双方及其项目参加人员应对在合同履行过程中了解到的涉及对方技术信息、经验信息、商业秘密以及其他尚未公开的有关信息、资料负有保密义务，并采取相应的保密措施。双方应承担的保密义务包括但不限于：</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14.1.1 未经对方书面同意，不得将上述信息、资料披露给任何第三人。</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14.1.2 不得将上述信息、资料用于本合同以外的其他目的。</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14.1.3 在本合同终止或解除后应按对方要求，及时将上述信息、资料返还对方或按对方要求做适当处理。</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14.2 本合同项下的保密义务至相关商业秘密信息、资料正式向社会公开之日或一方书面解除另一方本合同项下保密义务之日起终止。</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14.3 本条约定在本合同终止后仍然继续有效，且不受合同解除、终止或无效的影响。</w:t>
      </w:r>
      <w:r>
        <w:rPr>
          <w:rFonts w:ascii="宋体" w:hAnsi="宋体" w:cs="宋体"/>
          <w:sz w:val="28"/>
          <w:szCs w:val="28"/>
        </w:rPr>
      </w:r>
      <w:r/>
    </w:p>
    <w:p>
      <w:pPr>
        <w:pStyle w:val="687"/>
        <w:ind w:firstLine="437"/>
        <w:jc w:val="left"/>
        <w:spacing w:line="360" w:lineRule="auto"/>
        <w:rPr>
          <w:rFonts w:ascii="宋体" w:hAnsi="宋体" w:cs="宋体"/>
          <w:sz w:val="28"/>
          <w:szCs w:val="28"/>
        </w:rPr>
        <w:outlineLvl w:val="1"/>
      </w:pPr>
      <w:r/>
      <w:bookmarkStart w:id="36" w:name="_Toc4045"/>
      <w:r/>
      <w:bookmarkStart w:id="37" w:name="_Toc15748"/>
      <w:r/>
      <w:bookmarkStart w:id="38" w:name="_Toc15499"/>
      <w:r/>
      <w:bookmarkStart w:id="39" w:name="_Toc6919"/>
      <w:r>
        <w:rPr>
          <w:rFonts w:hint="eastAsia" w:ascii="宋体" w:hAnsi="宋体" w:cs="宋体"/>
          <w:b/>
          <w:sz w:val="28"/>
          <w:szCs w:val="28"/>
        </w:rPr>
        <w:t xml:space="preserve">第十五条 合同变更、中止、解除</w:t>
      </w:r>
      <w:bookmarkEnd w:id="36"/>
      <w:r/>
      <w:bookmarkEnd w:id="37"/>
      <w:r/>
      <w:bookmarkEnd w:id="38"/>
      <w:r/>
      <w:bookmarkEnd w:id="39"/>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15.1 出现需要变更合同内容的客观情形，或者一方提出合理的诉求，经双方协商一致可以变更合同内容，变更合同内容应该签署书面协议。</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15.2 本合同的权利义务不可转让。</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15.3 甲方发生必须停止办公或经营的情况，例如房屋大修或者部分拆除，可以中止合同履行。导致合同中止的事由消除后，恢复合同履行。</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15.4 双方协商一致可以解除本合同。</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15.5 一方严重违约，导致合同不能继续履行。严重违约情形包括但不限于：（1）乙方未经甲方同意擅自变更或转让合同权利义务；（2）乙方拖欠能源费用导致能源供应中断的；（3）乙方违反安全生产规定导致重大安全事故；（4）乙方违反廉洁协议或商业贿赂行为；（5）法律法规规定的其他情形。守约方有权解除合同，守约方应当书面通知对方，书面通知到达违约方时即产生解除合同的效力。合同因乙方严重违约被解除的，乙方应在合同解除后30日内向甲方支付相当于年度托管费用10%的违约金，并赔偿因此给甲方造成的损失。</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15.6 本合同经双方签字并盖章之日起30天内，乙方没有实际履行，甲方书面通知乙方解除合同。</w:t>
      </w:r>
      <w:r>
        <w:rPr>
          <w:rFonts w:ascii="宋体" w:hAnsi="宋体" w:cs="宋体"/>
          <w:sz w:val="28"/>
          <w:szCs w:val="28"/>
        </w:rPr>
      </w:r>
      <w:r/>
    </w:p>
    <w:p>
      <w:pPr>
        <w:pStyle w:val="687"/>
        <w:ind w:firstLine="437"/>
        <w:jc w:val="left"/>
        <w:spacing w:line="360" w:lineRule="auto"/>
        <w:rPr>
          <w:rFonts w:ascii="宋体" w:hAnsi="宋体" w:cs="宋体"/>
          <w:b/>
          <w:sz w:val="28"/>
          <w:szCs w:val="28"/>
        </w:rPr>
        <w:outlineLvl w:val="1"/>
      </w:pPr>
      <w:r/>
      <w:bookmarkStart w:id="40" w:name="_Toc21839"/>
      <w:r/>
      <w:bookmarkStart w:id="41" w:name="_Toc32665"/>
      <w:r/>
      <w:bookmarkStart w:id="42" w:name="_Toc32217"/>
      <w:r/>
      <w:bookmarkStart w:id="43" w:name="_Toc27201"/>
      <w:r>
        <w:rPr>
          <w:rFonts w:hint="eastAsia" w:ascii="宋体" w:hAnsi="宋体" w:cs="宋体"/>
          <w:b/>
          <w:sz w:val="28"/>
          <w:szCs w:val="28"/>
        </w:rPr>
        <w:t xml:space="preserve">第十六条 违约责任</w:t>
      </w:r>
      <w:bookmarkEnd w:id="40"/>
      <w:r/>
      <w:bookmarkEnd w:id="41"/>
      <w:r/>
      <w:bookmarkEnd w:id="42"/>
      <w:r/>
      <w:bookmarkEnd w:id="43"/>
      <w:r>
        <w:rPr>
          <w:rFonts w:ascii="宋体" w:hAnsi="宋体" w:cs="宋体"/>
          <w:b/>
          <w:sz w:val="28"/>
          <w:szCs w:val="28"/>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rPr>
        <w:t xml:space="preserve">16.</w:t>
      </w:r>
      <w:r>
        <w:rPr>
          <w:rFonts w:hint="eastAsia" w:ascii="宋体" w:hAnsi="宋体" w:cs="宋体"/>
          <w:sz w:val="28"/>
          <w:szCs w:val="28"/>
          <w:highlight w:val="none"/>
        </w:rPr>
        <w:t xml:space="preserve">1甲方违约责任</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16.1.1如甲方未能按时足额支付托管费用经乙方催告后仍不支付时，按照拖延支付的金额每日万分之五向乙方支付违约金。违约金总额不超过合同年度托管费用的</w:t>
      </w:r>
      <w:r>
        <w:rPr>
          <w:rFonts w:hint="eastAsia" w:ascii="宋体" w:hAnsi="宋体" w:cs="宋体"/>
          <w:sz w:val="28"/>
          <w:szCs w:val="28"/>
          <w:highlight w:val="none"/>
          <w:lang w:val="en-US" w:eastAsia="zh-CN"/>
        </w:rPr>
        <w:t xml:space="preserve">15</w:t>
      </w:r>
      <w:r>
        <w:rPr>
          <w:rFonts w:hint="eastAsia" w:ascii="宋体" w:hAnsi="宋体" w:cs="宋体"/>
          <w:sz w:val="28"/>
          <w:szCs w:val="28"/>
          <w:highlight w:val="none"/>
        </w:rPr>
        <w:t xml:space="preserve">%。</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16.1.2如甲方未遵守本合同附件及其他条款约定，导致乙方经济损失，甲方应当按照乙方的实际损失额向乙方赔偿。</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16.2乙方违约责任</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16.2.1如乙方未能按照服务标准提供服务，违反操作规章制度、违反相关的服务标准，经甲方催仍不能改正的，按照对甲方的实际影响，向甲方支付违约金</w:t>
      </w:r>
      <w:r>
        <w:rPr>
          <w:rFonts w:hint="eastAsia" w:ascii="宋体" w:hAnsi="宋体" w:cs="宋体"/>
          <w:sz w:val="28"/>
          <w:szCs w:val="28"/>
          <w:highlight w:val="none"/>
          <w:lang w:val="en-US" w:eastAsia="zh-CN"/>
        </w:rPr>
        <w:t xml:space="preserve">单次</w:t>
      </w:r>
      <w:r>
        <w:rPr>
          <w:rFonts w:hint="eastAsia" w:ascii="宋体" w:hAnsi="宋体" w:cs="宋体"/>
          <w:sz w:val="28"/>
          <w:szCs w:val="28"/>
          <w:highlight w:val="none"/>
        </w:rPr>
        <w:t xml:space="preserve">不少于</w:t>
      </w:r>
      <w:r>
        <w:rPr>
          <w:rFonts w:ascii="宋体" w:hAnsi="宋体" w:cs="宋体"/>
          <w:sz w:val="28"/>
          <w:szCs w:val="28"/>
          <w:highlight w:val="none"/>
        </w:rPr>
        <w:t xml:space="preserve">1</w:t>
      </w:r>
      <w:r>
        <w:rPr>
          <w:rFonts w:hint="eastAsia" w:ascii="宋体" w:hAnsi="宋体" w:cs="宋体"/>
          <w:sz w:val="28"/>
          <w:szCs w:val="28"/>
          <w:highlight w:val="none"/>
        </w:rPr>
        <w:t xml:space="preserve">万元</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累计不超过</w:t>
      </w:r>
      <w:r>
        <w:rPr>
          <w:rFonts w:hint="eastAsia" w:ascii="宋体" w:hAnsi="宋体" w:cs="宋体"/>
          <w:sz w:val="28"/>
          <w:szCs w:val="28"/>
          <w:highlight w:val="none"/>
        </w:rPr>
        <w:t xml:space="preserve">合同年度托管费用的</w:t>
      </w:r>
      <w:r>
        <w:rPr>
          <w:rFonts w:hint="eastAsia" w:ascii="宋体" w:hAnsi="宋体" w:cs="宋体"/>
          <w:sz w:val="28"/>
          <w:szCs w:val="28"/>
          <w:highlight w:val="none"/>
          <w:lang w:val="en-US" w:eastAsia="zh-CN"/>
        </w:rPr>
        <w:t xml:space="preserve"> 15</w:t>
      </w:r>
      <w:r>
        <w:rPr>
          <w:rFonts w:hint="eastAsia" w:ascii="宋体" w:hAnsi="宋体" w:cs="宋体"/>
          <w:sz w:val="28"/>
          <w:szCs w:val="28"/>
          <w:highlight w:val="none"/>
        </w:rPr>
        <w:t xml:space="preserve">%。</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16.2.2如乙方未遵守本合同附件及其他条款规定，导致甲方经济损失，应当按照甲方的实际损失额向甲方赔偿。</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16.2.3 乙方应始终本着服务至上、保障运行的原则，积极响应和满足甲方的特殊和应急用能需求，为保证托管项目的正常运行，所产生的额外能源费用先由乙方垫付，事后双方协商费用的最终承担。</w:t>
      </w:r>
      <w:r>
        <w:rPr>
          <w:rFonts w:ascii="宋体" w:hAnsi="宋体" w:cs="宋体"/>
          <w:sz w:val="28"/>
          <w:szCs w:val="28"/>
          <w:highlight w:val="none"/>
        </w:rPr>
      </w:r>
      <w:r/>
    </w:p>
    <w:p>
      <w:pPr>
        <w:pStyle w:val="687"/>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16.2.4乙方逾期交付改造工程的，乙方应按金额每日万分之五向甲方支付违约金，由甲方从待付款项中扣除。逾期超过约定日期10个工作日不能交付的，甲方可解除本合同。乙方因逾期交付或因其他违约行为导致甲方解除合同的，乙方应向甲方支付合同总值</w:t>
      </w:r>
      <w:r>
        <w:rPr>
          <w:rFonts w:hint="eastAsia" w:ascii="宋体" w:hAnsi="宋体" w:cs="宋体"/>
          <w:sz w:val="28"/>
          <w:szCs w:val="28"/>
          <w:highlight w:val="none"/>
          <w:u w:val="single"/>
        </w:rPr>
        <w:t xml:space="preserve"> 万分之五 </w:t>
      </w:r>
      <w:r>
        <w:rPr>
          <w:rFonts w:hint="eastAsia" w:ascii="宋体" w:hAnsi="宋体" w:cs="宋体"/>
          <w:sz w:val="28"/>
          <w:szCs w:val="28"/>
          <w:highlight w:val="none"/>
        </w:rPr>
        <w:t xml:space="preserve">的违约金，如造成甲方损失超过违约金的，超出部分由乙方继续承担赔偿责任。</w:t>
      </w:r>
      <w:r>
        <w:rPr>
          <w:rFonts w:ascii="宋体" w:hAnsi="宋体" w:cs="宋体"/>
          <w:sz w:val="28"/>
          <w:szCs w:val="28"/>
          <w:highlight w:val="none"/>
        </w:rPr>
      </w:r>
      <w:r/>
    </w:p>
    <w:p>
      <w:pPr>
        <w:pStyle w:val="687"/>
        <w:ind w:firstLine="437"/>
        <w:jc w:val="left"/>
        <w:spacing w:line="360" w:lineRule="auto"/>
        <w:rPr>
          <w:rFonts w:ascii="宋体" w:hAnsi="宋体" w:cs="宋体"/>
          <w:b/>
          <w:sz w:val="28"/>
          <w:szCs w:val="28"/>
          <w:highlight w:val="none"/>
        </w:rPr>
        <w:outlineLvl w:val="1"/>
      </w:pPr>
      <w:r/>
      <w:bookmarkStart w:id="44" w:name="_Toc28684"/>
      <w:r/>
      <w:bookmarkStart w:id="45" w:name="_Toc16076"/>
      <w:r/>
      <w:bookmarkStart w:id="46" w:name="_Toc15052"/>
      <w:r/>
      <w:bookmarkStart w:id="47" w:name="_Toc31239"/>
      <w:r>
        <w:rPr>
          <w:rFonts w:hint="eastAsia" w:ascii="宋体" w:hAnsi="宋体" w:cs="宋体"/>
          <w:b/>
          <w:sz w:val="28"/>
          <w:szCs w:val="28"/>
          <w:highlight w:val="none"/>
        </w:rPr>
        <w:t xml:space="preserve">第十七条 不可抗力</w:t>
      </w:r>
      <w:bookmarkEnd w:id="44"/>
      <w:r/>
      <w:bookmarkEnd w:id="45"/>
      <w:r/>
      <w:bookmarkEnd w:id="46"/>
      <w:r/>
      <w:bookmarkEnd w:id="47"/>
      <w:r>
        <w:rPr>
          <w:rFonts w:ascii="宋体" w:hAnsi="宋体" w:cs="宋体"/>
          <w:b/>
          <w:sz w:val="28"/>
          <w:szCs w:val="28"/>
          <w:highlight w:val="none"/>
        </w:rPr>
      </w:r>
      <w:r/>
    </w:p>
    <w:p>
      <w:pPr>
        <w:pStyle w:val="687"/>
        <w:ind w:firstLine="480"/>
        <w:jc w:val="left"/>
        <w:spacing w:line="360" w:lineRule="auto"/>
        <w:rPr>
          <w:rFonts w:ascii="宋体" w:hAnsi="宋体" w:cs="宋体"/>
          <w:sz w:val="28"/>
          <w:szCs w:val="28"/>
        </w:rPr>
      </w:pPr>
      <w:r>
        <w:rPr>
          <w:rFonts w:hint="eastAsia" w:ascii="宋体" w:hAnsi="宋体" w:cs="宋体"/>
          <w:sz w:val="28"/>
          <w:szCs w:val="28"/>
          <w:highlight w:val="none"/>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w:t>
      </w:r>
      <w:r>
        <w:rPr>
          <w:rFonts w:hint="eastAsia" w:ascii="宋体" w:hAnsi="宋体" w:cs="宋体"/>
          <w:sz w:val="28"/>
          <w:szCs w:val="28"/>
        </w:rPr>
        <w:t xml:space="preserve">：延期履行或终止合同。</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17.2 遇有不可抗力事件的一方可以中止履行，直至不可抗力事件结束，但中止最长时间不超过90天，超过90天，终止本合同的履行。</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17.3 遇有不可抗力事件的一方可以在通知另一方后10日内终止合同，任何一方将不对另一方继续承担义务，但甲方和乙方应当据实结算托管费用。仅仅发生不可抗力事件并不能必然减轻或影响具有付款义务的一方向另一方付款。</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17.4 遇有不可抗力事件的一方应采取措施，避免损失的扩大。如果因未采取相应的措施而导致损失扩大，应向另一方承担赔偿责任。</w:t>
      </w:r>
      <w:r>
        <w:rPr>
          <w:rFonts w:ascii="宋体" w:hAnsi="宋体" w:cs="宋体"/>
          <w:sz w:val="28"/>
          <w:szCs w:val="28"/>
        </w:rPr>
      </w:r>
      <w:r/>
    </w:p>
    <w:p>
      <w:pPr>
        <w:pStyle w:val="687"/>
        <w:ind w:firstLine="437"/>
        <w:jc w:val="left"/>
        <w:spacing w:line="360" w:lineRule="auto"/>
        <w:rPr>
          <w:rFonts w:ascii="宋体" w:hAnsi="宋体" w:cs="宋体"/>
          <w:b/>
          <w:sz w:val="28"/>
          <w:szCs w:val="28"/>
        </w:rPr>
        <w:outlineLvl w:val="1"/>
      </w:pPr>
      <w:r/>
      <w:bookmarkStart w:id="48" w:name="_Toc4458"/>
      <w:r/>
      <w:bookmarkStart w:id="49" w:name="_Toc8134"/>
      <w:r/>
      <w:bookmarkStart w:id="50" w:name="_Toc30122"/>
      <w:r/>
      <w:bookmarkStart w:id="51" w:name="_Toc7693"/>
      <w:r>
        <w:rPr>
          <w:rFonts w:hint="eastAsia" w:ascii="宋体" w:hAnsi="宋体" w:cs="宋体"/>
          <w:b/>
          <w:sz w:val="28"/>
          <w:szCs w:val="28"/>
        </w:rPr>
        <w:t xml:space="preserve">第十八条 法律适用和争议解决</w:t>
      </w:r>
      <w:bookmarkEnd w:id="48"/>
      <w:r/>
      <w:bookmarkEnd w:id="49"/>
      <w:r/>
      <w:bookmarkEnd w:id="50"/>
      <w:r/>
      <w:bookmarkEnd w:id="51"/>
      <w:r>
        <w:rPr>
          <w:rFonts w:ascii="宋体" w:hAnsi="宋体" w:cs="宋体"/>
          <w:b/>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18.1 本合同的订立、履行和解释，应遵守中华人民共和国法律法规，并应遵守行业惯例。</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18.2 因本合同的履行、解释等引起的争议，双方应友好协商解决。如在一方提出书面协商请求后</w:t>
      </w:r>
      <w:r>
        <w:rPr>
          <w:rFonts w:hint="eastAsia" w:ascii="宋体" w:hAnsi="宋体" w:cs="宋体"/>
          <w:sz w:val="28"/>
          <w:szCs w:val="28"/>
          <w:u w:val="single"/>
        </w:rPr>
        <w:t xml:space="preserve">15日内</w:t>
      </w:r>
      <w:r>
        <w:rPr>
          <w:rFonts w:hint="eastAsia" w:ascii="宋体" w:hAnsi="宋体" w:cs="宋体"/>
          <w:sz w:val="28"/>
          <w:szCs w:val="28"/>
        </w:rPr>
        <w:t xml:space="preserve">双方无法达成一致，任何一方均可选择</w:t>
      </w:r>
      <w:r>
        <w:rPr>
          <w:rFonts w:hint="eastAsia" w:ascii="宋体" w:hAnsi="宋体" w:cs="宋体"/>
          <w:sz w:val="28"/>
          <w:szCs w:val="28"/>
          <w:u w:val="single"/>
        </w:rPr>
        <w:t xml:space="preserve">第（2）种方式</w:t>
      </w:r>
      <w:r>
        <w:rPr>
          <w:rFonts w:hint="eastAsia" w:ascii="宋体" w:hAnsi="宋体" w:cs="宋体"/>
          <w:sz w:val="28"/>
          <w:szCs w:val="28"/>
        </w:rPr>
        <w:t xml:space="preserve">：</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（1）依法向项目所在地有管辖权的人民法院提起诉讼。</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（2）将争议提交</w:t>
      </w:r>
      <w:r>
        <w:rPr>
          <w:rFonts w:hint="eastAsia" w:ascii="宋体" w:hAnsi="宋体" w:cs="宋体"/>
          <w:sz w:val="28"/>
          <w:szCs w:val="28"/>
          <w:u w:val="single"/>
        </w:rPr>
        <w:t xml:space="preserve">徐州</w:t>
      </w:r>
      <w:r>
        <w:rPr>
          <w:rFonts w:hint="eastAsia" w:ascii="宋体" w:hAnsi="宋体" w:cs="宋体"/>
          <w:sz w:val="28"/>
          <w:szCs w:val="28"/>
        </w:rPr>
        <w:t xml:space="preserve">仲裁委员会，按照该会的仲裁程序和规则进行仲裁。</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18.3 无论采用仲裁还是诉讼，由此产生的律师代理费、交通差旅费、举证费、鉴定费及其他与仲裁或诉讼相关的费用，均由败诉方承担。</w:t>
      </w:r>
      <w:r>
        <w:rPr>
          <w:rFonts w:ascii="宋体" w:hAnsi="宋体" w:cs="宋体"/>
          <w:sz w:val="28"/>
          <w:szCs w:val="28"/>
        </w:rPr>
      </w:r>
      <w:r/>
    </w:p>
    <w:p>
      <w:pPr>
        <w:pStyle w:val="687"/>
        <w:ind w:firstLine="437"/>
        <w:jc w:val="left"/>
        <w:spacing w:line="360" w:lineRule="auto"/>
        <w:rPr>
          <w:rFonts w:ascii="宋体" w:hAnsi="宋体" w:cs="宋体"/>
          <w:b/>
          <w:sz w:val="28"/>
          <w:szCs w:val="28"/>
        </w:rPr>
        <w:outlineLvl w:val="1"/>
      </w:pPr>
      <w:r/>
      <w:bookmarkStart w:id="52" w:name="_Toc9245"/>
      <w:r/>
      <w:bookmarkStart w:id="53" w:name="_Toc10821"/>
      <w:r/>
      <w:bookmarkStart w:id="54" w:name="_Toc6913"/>
      <w:r/>
      <w:bookmarkStart w:id="55" w:name="_Toc20849"/>
      <w:r>
        <w:rPr>
          <w:rFonts w:hint="eastAsia" w:ascii="宋体" w:hAnsi="宋体" w:cs="宋体"/>
          <w:b/>
          <w:sz w:val="28"/>
          <w:szCs w:val="28"/>
        </w:rPr>
        <w:t xml:space="preserve">第十九条 合同的生效及其他</w:t>
      </w:r>
      <w:bookmarkEnd w:id="52"/>
      <w:r/>
      <w:bookmarkEnd w:id="53"/>
      <w:r/>
      <w:bookmarkEnd w:id="54"/>
      <w:r/>
      <w:bookmarkEnd w:id="55"/>
      <w:r>
        <w:rPr>
          <w:rFonts w:ascii="宋体" w:hAnsi="宋体" w:cs="宋体"/>
          <w:b/>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19.1 甲、乙双方发送给对方的通知，如用电话、微信、传真、电子邮件等形式发送通知时，凡涉及各方权利、义务的，应随之以书面形式通知对方。书面通知以签收回执或邮政特快专递签收日为生效日。本合同中所列甲、乙双方的地址即为甲、乙双方的收件地址。如果任何一方地址发生变化，应在15日内书面通知对方。</w:t>
      </w:r>
      <w:r>
        <w:rPr>
          <w:rFonts w:ascii="宋体" w:hAnsi="宋体" w:cs="宋体"/>
          <w:sz w:val="28"/>
          <w:szCs w:val="28"/>
        </w:rPr>
      </w:r>
      <w:r/>
    </w:p>
    <w:p>
      <w:pPr>
        <w:pStyle w:val="687"/>
        <w:ind w:firstLine="482"/>
        <w:jc w:val="left"/>
        <w:spacing w:line="360" w:lineRule="auto"/>
        <w:rPr>
          <w:rFonts w:ascii="宋体" w:hAnsi="宋体" w:cs="宋体"/>
          <w:sz w:val="28"/>
          <w:szCs w:val="28"/>
        </w:rPr>
      </w:pPr>
      <w:r>
        <w:rPr>
          <w:rFonts w:hint="eastAsia" w:ascii="宋体" w:hAnsi="宋体" w:cs="宋体"/>
          <w:sz w:val="28"/>
          <w:szCs w:val="28"/>
        </w:rPr>
        <w:t xml:space="preserve">19.2其他事宜：乙方保证其提供</w:t>
      </w:r>
      <w:r>
        <w:rPr>
          <w:rFonts w:hint="eastAsia" w:ascii="宋体" w:hAnsi="宋体" w:cs="宋体"/>
          <w:sz w:val="28"/>
          <w:szCs w:val="28"/>
        </w:rPr>
        <w:t xml:space="preserve">的设备、系统和服务不侵犯任何第三方的知识产权，并在签订本合同时向甲方提供其拥有或被许可使用的相关知识产权证明文件。因乙方导致甲方受到第三方关于侵犯其专利权、商标权或工业设计权、商业秘密等知识产权的指控，由乙方负责与第三方交涉并承担一切法律责任与因此产生的所有费用，甲方因此而遭致损失的，乙方应全额赔偿，该损失包括但不限于甲方的直接损失、间接损失、律师费、诉讼费、调查取证费用、交通食宿费用等所有款项。如因知识产权问题导致甲方无法继续使用相关设备或系统，乙方应立即提供不侵权的替代方案，确保甲方能源系统的正常运行。</w:t>
      </w:r>
      <w:r>
        <w:rPr>
          <w:rFonts w:ascii="宋体" w:hAnsi="宋体" w:cs="宋体"/>
          <w:sz w:val="28"/>
          <w:szCs w:val="28"/>
        </w:rPr>
      </w:r>
      <w:r/>
    </w:p>
    <w:p>
      <w:pPr>
        <w:pStyle w:val="687"/>
        <w:ind w:firstLine="482"/>
        <w:jc w:val="left"/>
        <w:spacing w:line="360" w:lineRule="auto"/>
        <w:rPr>
          <w:rFonts w:ascii="宋体" w:hAnsi="宋体" w:cs="宋体"/>
          <w:sz w:val="28"/>
          <w:szCs w:val="28"/>
        </w:rPr>
      </w:pPr>
      <w:r>
        <w:rPr>
          <w:rFonts w:hint="eastAsia" w:ascii="宋体" w:hAnsi="宋体" w:cs="宋体"/>
          <w:sz w:val="28"/>
          <w:szCs w:val="28"/>
        </w:rPr>
        <w:t xml:space="preserve">19.3 建立联合监管小组：由甲乙双方派员或行业专家组成，每年对履约情况进行评估并形成改进指令。</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19.4本合同一式柒份，甲、乙双方各执叁份，招标代理机构壹份，具有同等法律效力。本合同经双方法定代表人或授权代表签字并加盖公章之日起生效。</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19.5 本合同的附件为本合同不可分割的组成部分，与本合同具有同等法律效力。本合同与附件及附件之间规定不一致时，以规定详细的文件为准。附件更新需经双方书面确认，未经确认的附件更新无效。</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附件共</w:t>
      </w:r>
      <w:r>
        <w:rPr>
          <w:rFonts w:hint="eastAsia" w:ascii="宋体" w:hAnsi="宋体" w:cs="宋体"/>
          <w:sz w:val="28"/>
          <w:szCs w:val="28"/>
          <w:u w:val="single"/>
        </w:rPr>
        <w:t xml:space="preserve">     </w:t>
      </w:r>
      <w:r>
        <w:rPr>
          <w:rFonts w:hint="eastAsia" w:ascii="宋体" w:hAnsi="宋体" w:cs="宋体"/>
          <w:sz w:val="28"/>
          <w:szCs w:val="28"/>
        </w:rPr>
        <w:t xml:space="preserve">份：</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附件一：项目现有用能情况；</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附件二：乙方的服务标准；</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附件三：节能改造方案；</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附件四：安全生产和环境保护规范；</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附件五：廉洁协议书。</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ascii="宋体" w:hAnsi="宋体" w:cs="宋体"/>
          <w:sz w:val="28"/>
          <w:szCs w:val="28"/>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甲方：（盖章）</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乙方：（盖章）</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地址：</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地址：</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法定代表人/授权代表：</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法定代表人/授权代表：</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联系电话：</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联系电话：</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日期：      年    月    日  </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87"/>
              <w:spacing w:before="120" w:after="120" w:line="360" w:lineRule="auto"/>
              <w:rPr>
                <w:rFonts w:ascii="宋体" w:hAnsi="宋体" w:cs="宋体"/>
                <w:sz w:val="28"/>
                <w:szCs w:val="28"/>
              </w:rPr>
            </w:pPr>
            <w:r>
              <w:rPr>
                <w:rFonts w:hint="eastAsia" w:ascii="宋体" w:hAnsi="宋体" w:cs="宋体"/>
                <w:sz w:val="28"/>
                <w:szCs w:val="28"/>
              </w:rPr>
              <w:t xml:space="preserve">日期：     年     月    日</w:t>
            </w:r>
            <w:r>
              <w:rPr>
                <w:rFonts w:ascii="宋体" w:hAnsi="宋体" w:cs="宋体"/>
                <w:sz w:val="28"/>
                <w:szCs w:val="28"/>
              </w:rPr>
            </w:r>
            <w:r/>
          </w:p>
        </w:tc>
      </w:tr>
    </w:tbl>
    <w:p>
      <w:pPr>
        <w:pStyle w:val="687"/>
        <w:jc w:val="center"/>
        <w:rPr>
          <w:rStyle w:val="853"/>
          <w:rFonts w:ascii="宋体" w:hAnsi="宋体" w:cs="宋体"/>
          <w:b/>
          <w:bCs/>
          <w:sz w:val="24"/>
          <w:highlight w:val="none"/>
        </w:rPr>
      </w:pPr>
      <w:r>
        <w:rPr>
          <w:rFonts w:hint="eastAsia" w:ascii="宋体" w:hAnsi="宋体" w:cs="宋体"/>
          <w:b/>
          <w:sz w:val="28"/>
          <w:szCs w:val="28"/>
        </w:rPr>
        <w:br w:type="page" w:clear="all"/>
      </w:r>
      <w:r>
        <w:rPr>
          <w:rFonts w:hint="eastAsia" w:ascii="宋体" w:hAnsi="宋体" w:cs="宋体"/>
          <w:b/>
          <w:sz w:val="32"/>
          <w:szCs w:val="32"/>
          <w:highlight w:val="none"/>
        </w:rPr>
        <w:t xml:space="preserve">第六章 采购需求</w:t>
      </w:r>
      <w:bookmarkStart w:id="56" w:name="_Toc324452802"/>
      <w:r/>
      <w:bookmarkEnd w:id="56"/>
      <w:r/>
      <w:bookmarkStart w:id="57" w:name="_Toc322457054"/>
      <w:r/>
      <w:bookmarkEnd w:id="57"/>
      <w:r>
        <w:rPr>
          <w:rStyle w:val="853"/>
          <w:rFonts w:ascii="宋体" w:hAnsi="宋体" w:cs="宋体"/>
          <w:b/>
          <w:bCs/>
          <w:sz w:val="24"/>
          <w:highlight w:val="none"/>
        </w:rPr>
      </w:r>
      <w:r/>
    </w:p>
    <w:p>
      <w:pPr>
        <w:pStyle w:val="687"/>
        <w:rPr>
          <w:rStyle w:val="1017"/>
          <w:rFonts w:ascii="宋体" w:hAnsi="宋体" w:cs="宋体"/>
          <w:b/>
          <w:bCs/>
          <w:szCs w:val="28"/>
          <w:highlight w:val="none"/>
        </w:rPr>
      </w:pPr>
      <w:r>
        <w:rPr>
          <w:rStyle w:val="1017"/>
          <w:rFonts w:ascii="宋体" w:hAnsi="宋体" w:cs="宋体"/>
          <w:b/>
          <w:bCs/>
          <w:szCs w:val="28"/>
          <w:highlight w:val="none"/>
        </w:rPr>
      </w:r>
      <w:r/>
    </w:p>
    <w:p>
      <w:pPr>
        <w:pStyle w:val="687"/>
        <w:spacing w:line="360" w:lineRule="auto"/>
        <w:rPr>
          <w:rStyle w:val="1017"/>
          <w:rFonts w:ascii="宋体" w:hAnsi="宋体" w:cs="宋体"/>
          <w:b/>
          <w:bCs/>
          <w:szCs w:val="28"/>
          <w:highlight w:val="none"/>
        </w:rPr>
      </w:pPr>
      <w:r>
        <w:rPr>
          <w:rStyle w:val="1017"/>
          <w:rFonts w:hint="eastAsia" w:ascii="宋体" w:hAnsi="宋体" w:cs="宋体"/>
          <w:b/>
          <w:bCs/>
          <w:szCs w:val="28"/>
          <w:highlight w:val="none"/>
        </w:rPr>
        <w:t xml:space="preserve">一、此项目不属于专门面向中小微企业采购的项目。</w:t>
      </w:r>
      <w:r>
        <w:rPr>
          <w:rStyle w:val="1017"/>
          <w:rFonts w:ascii="宋体" w:hAnsi="宋体" w:cs="宋体"/>
          <w:b/>
          <w:bCs/>
          <w:szCs w:val="28"/>
          <w:highlight w:val="none"/>
        </w:rPr>
      </w:r>
      <w:r/>
    </w:p>
    <w:p>
      <w:pPr>
        <w:pStyle w:val="687"/>
        <w:spacing w:line="360" w:lineRule="auto"/>
        <w:rPr>
          <w:rFonts w:ascii="宋体" w:hAnsi="宋体" w:cs="宋体"/>
          <w:b/>
          <w:bCs/>
          <w:sz w:val="28"/>
          <w:szCs w:val="28"/>
          <w:highlight w:val="none"/>
        </w:rPr>
      </w:pPr>
      <w:r>
        <w:rPr>
          <w:rStyle w:val="1017"/>
          <w:rFonts w:hint="eastAsia" w:ascii="宋体" w:hAnsi="宋体" w:cs="宋体"/>
          <w:b/>
          <w:bCs/>
          <w:szCs w:val="28"/>
          <w:highlight w:val="none"/>
        </w:rPr>
        <w:t xml:space="preserve">二、</w:t>
      </w:r>
      <w:r>
        <w:rPr>
          <w:rFonts w:hint="eastAsia" w:ascii="宋体" w:hAnsi="宋体" w:cs="宋体"/>
          <w:b/>
          <w:bCs/>
          <w:sz w:val="28"/>
          <w:szCs w:val="28"/>
          <w:highlight w:val="none"/>
        </w:rPr>
        <w:t xml:space="preserve">本项目不接受超过人民币3190.6万元（采购项目预算金额）的投标报价。</w:t>
      </w:r>
      <w:r>
        <w:rPr>
          <w:rFonts w:ascii="宋体" w:hAnsi="宋体" w:cs="宋体"/>
          <w:b/>
          <w:bCs/>
          <w:sz w:val="28"/>
          <w:szCs w:val="28"/>
          <w:highlight w:val="none"/>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三、项目概况</w:t>
      </w:r>
      <w:r>
        <w:rPr>
          <w:rFonts w:ascii="宋体" w:hAnsi="宋体" w:cs="宋体"/>
          <w:b/>
          <w:bCs/>
          <w:sz w:val="28"/>
          <w:szCs w:val="28"/>
        </w:rPr>
      </w:r>
      <w:r/>
    </w:p>
    <w:p>
      <w:pPr>
        <w:pStyle w:val="687"/>
        <w:spacing w:line="360" w:lineRule="auto"/>
        <w:rPr>
          <w:rFonts w:hint="eastAsia" w:ascii="宋体" w:hAnsi="宋体" w:cs="宋体"/>
          <w:b/>
          <w:bCs/>
          <w:sz w:val="28"/>
          <w:szCs w:val="28"/>
        </w:rPr>
      </w:pPr>
      <w:r>
        <w:rPr>
          <w:rFonts w:hint="eastAsia" w:ascii="宋体" w:hAnsi="宋体" w:cs="宋体"/>
          <w:b/>
          <w:bCs/>
          <w:sz w:val="28"/>
          <w:szCs w:val="28"/>
        </w:rPr>
        <w:t xml:space="preserve">（一）项目背景</w:t>
      </w:r>
      <w:r>
        <w:rPr>
          <w:rFonts w:hint="eastAsia" w:ascii="宋体" w:hAnsi="宋体" w:cs="宋体"/>
          <w:b/>
          <w:bCs/>
          <w:sz w:val="28"/>
          <w:szCs w:val="28"/>
        </w:rPr>
      </w:r>
      <w:r/>
    </w:p>
    <w:p>
      <w:pPr>
        <w:pStyle w:val="687"/>
        <w:ind w:firstLine="560"/>
        <w:spacing w:line="360" w:lineRule="auto"/>
        <w:rPr>
          <w:rFonts w:hint="eastAsia" w:ascii="宋体" w:hAnsi="宋体" w:cs="宋体"/>
          <w:sz w:val="28"/>
          <w:szCs w:val="28"/>
        </w:rPr>
      </w:pPr>
      <w:r>
        <w:rPr>
          <w:rFonts w:hint="eastAsia" w:ascii="宋体" w:hAnsi="宋体" w:cs="宋体"/>
          <w:sz w:val="28"/>
          <w:szCs w:val="28"/>
        </w:rPr>
        <w:t xml:space="preserve">为贯彻落实党中央、国务院关于加快推进生态文明建设的决策部署，深入</w:t>
      </w:r>
      <w:r>
        <w:rPr>
          <w:rFonts w:hint="eastAsia" w:ascii="宋体" w:hAnsi="宋体" w:cs="宋体"/>
          <w:sz w:val="28"/>
          <w:szCs w:val="28"/>
        </w:rPr>
        <w:t xml:space="preserve">推进“十四五”时期公共机构节约能源资源工作高质量发展，开创公共机构节约能源资源绿色低碳发展新局面，以习近平新时代中国特色社会主义思想为指导，深入贯彻党的二十大和二十届二中、三中全会精神，全面贯彻习近平生态文明思想，准确把握进入新发展阶段、贯彻新发展理念、构建新发展格局对公共机构节约能源资源提出的新任务新要求，以绿色低碳发展为目标，立足公共机构实际，完善体制机制，提升治理能力，强化创新驱动，推动绿色转型，扎实推进公共机构节约能源资源工作高质量发展，广泛形成绿色低碳生产生活方式，充分发挥公共机构的示范引领作用。</w:t>
      </w:r>
      <w:r>
        <w:rPr>
          <w:rFonts w:hint="eastAsia" w:ascii="宋体" w:hAnsi="宋体" w:cs="宋体"/>
          <w:sz w:val="28"/>
          <w:szCs w:val="28"/>
        </w:rPr>
      </w:r>
      <w:r/>
    </w:p>
    <w:p>
      <w:pPr>
        <w:pStyle w:val="687"/>
        <w:ind w:firstLine="560"/>
        <w:spacing w:line="360" w:lineRule="auto"/>
        <w:rPr>
          <w:rFonts w:hint="eastAsia" w:ascii="宋体" w:hAnsi="宋体" w:cs="宋体"/>
          <w:sz w:val="28"/>
          <w:szCs w:val="28"/>
        </w:rPr>
      </w:pPr>
      <w:r>
        <w:rPr>
          <w:rFonts w:hint="eastAsia" w:ascii="宋体" w:hAnsi="宋体" w:cs="宋体"/>
          <w:sz w:val="28"/>
          <w:szCs w:val="28"/>
        </w:rPr>
        <w:t xml:space="preserve">项目建筑单位面积能耗整体处于偏高水平，且当前能源管理系统不健全，建筑用能管理、分析和诊断存在较大困难，且部分空调年久失修，空调体感较差，空调维修费用较高。根据中央和省市工作部署和文件要求，拟对项目利用最新能源及信息技术发展成果，推进云龙区行政中心建筑能效提升工作，实现楼宇单位能耗指标显著降低，以及能源利用高效化、清洁化、智能化、数字化。</w:t>
      </w:r>
      <w:r>
        <w:rPr>
          <w:rFonts w:hint="eastAsia" w:ascii="宋体" w:hAnsi="宋体" w:cs="宋体"/>
          <w:sz w:val="28"/>
          <w:szCs w:val="28"/>
        </w:rPr>
      </w:r>
      <w:r/>
    </w:p>
    <w:p>
      <w:pPr>
        <w:pStyle w:val="687"/>
        <w:numPr>
          <w:ilvl w:val="0"/>
          <w:numId w:val="4"/>
        </w:numPr>
        <w:spacing w:line="360" w:lineRule="auto"/>
        <w:rPr>
          <w:rFonts w:hint="eastAsia" w:ascii="宋体" w:hAnsi="宋体" w:cs="宋体"/>
          <w:b/>
          <w:bCs/>
          <w:sz w:val="28"/>
          <w:szCs w:val="28"/>
        </w:rPr>
      </w:pPr>
      <w:r>
        <w:rPr>
          <w:rFonts w:hint="eastAsia" w:ascii="宋体" w:hAnsi="宋体" w:cs="宋体"/>
          <w:b/>
          <w:bCs/>
          <w:sz w:val="28"/>
          <w:szCs w:val="28"/>
        </w:rPr>
        <w:t xml:space="preserve">能源现状</w:t>
      </w:r>
      <w:r>
        <w:rPr>
          <w:rFonts w:hint="eastAsia" w:ascii="宋体" w:hAnsi="宋体" w:cs="宋体"/>
          <w:b/>
          <w:bCs/>
          <w:sz w:val="28"/>
          <w:szCs w:val="28"/>
        </w:rPr>
      </w:r>
      <w:r/>
    </w:p>
    <w:p>
      <w:pPr>
        <w:pStyle w:val="712"/>
        <w:ind w:firstLine="560"/>
        <w:rPr>
          <w:rFonts w:hint="eastAsia" w:ascii="宋体" w:hAnsi="宋体" w:eastAsia="宋体" w:cs="宋体"/>
          <w:szCs w:val="28"/>
        </w:rPr>
      </w:pPr>
      <w:r>
        <w:rPr>
          <w:rFonts w:hint="eastAsia" w:ascii="宋体" w:hAnsi="宋体" w:eastAsia="宋体" w:cs="宋体"/>
          <w:szCs w:val="28"/>
        </w:rPr>
        <w:t xml:space="preserve">徐州市云龙区行政中心坐落于和平大道66号，总占地2.61公顷（约50亩）。</w:t>
      </w:r>
      <w:r>
        <w:rPr>
          <w:rFonts w:ascii="宋体" w:hAnsi="宋体" w:eastAsia="宋体"/>
          <w:szCs w:val="28"/>
        </w:rPr>
        <w:t xml:space="preserve">总建</w:t>
      </w:r>
      <w:r>
        <w:rPr>
          <w:rFonts w:hint="eastAsia" w:ascii="宋体" w:hAnsi="宋体" w:eastAsia="宋体"/>
          <w:szCs w:val="28"/>
        </w:rPr>
        <w:t xml:space="preserve">总建筑面积4.37万m</w:t>
      </w:r>
      <w:r>
        <w:rPr>
          <w:rFonts w:hint="eastAsia" w:ascii="宋体" w:hAnsi="宋体" w:eastAsia="宋体"/>
          <w:szCs w:val="28"/>
          <w:vertAlign w:val="superscript"/>
        </w:rPr>
        <w:t xml:space="preserve">2</w:t>
      </w:r>
      <w:r>
        <w:rPr>
          <w:rFonts w:hint="eastAsia" w:ascii="宋体" w:hAnsi="宋体" w:eastAsia="宋体"/>
          <w:szCs w:val="28"/>
        </w:rPr>
        <w:t xml:space="preserve">，其中：办公大楼地面十二层，建筑面积3.3万m</w:t>
      </w:r>
      <w:r>
        <w:rPr>
          <w:rFonts w:hint="eastAsia" w:ascii="宋体" w:hAnsi="宋体" w:eastAsia="宋体"/>
          <w:szCs w:val="28"/>
          <w:vertAlign w:val="superscript"/>
        </w:rPr>
        <w:t xml:space="preserve">2</w:t>
      </w:r>
      <w:r>
        <w:rPr>
          <w:rFonts w:hint="eastAsia" w:ascii="宋体" w:hAnsi="宋体" w:eastAsia="宋体"/>
          <w:szCs w:val="28"/>
        </w:rPr>
        <w:t xml:space="preserve">；地下一层，建筑面积5100m</w:t>
      </w:r>
      <w:r>
        <w:rPr>
          <w:rFonts w:hint="eastAsia" w:ascii="宋体" w:hAnsi="宋体" w:eastAsia="宋体"/>
          <w:szCs w:val="28"/>
          <w:vertAlign w:val="superscript"/>
        </w:rPr>
        <w:t xml:space="preserve">2</w:t>
      </w:r>
      <w:r>
        <w:rPr>
          <w:rFonts w:hint="eastAsia" w:ascii="宋体" w:hAnsi="宋体" w:eastAsia="宋体"/>
          <w:szCs w:val="28"/>
        </w:rPr>
        <w:t xml:space="preserve">，大楼东侧信访楼为两层，建筑面积1000m</w:t>
      </w:r>
      <w:r>
        <w:rPr>
          <w:rFonts w:hint="eastAsia" w:ascii="宋体" w:hAnsi="宋体" w:eastAsia="宋体"/>
          <w:szCs w:val="28"/>
          <w:vertAlign w:val="superscript"/>
        </w:rPr>
        <w:t xml:space="preserve">2</w:t>
      </w:r>
      <w:r>
        <w:rPr>
          <w:rFonts w:hint="eastAsia" w:ascii="宋体" w:hAnsi="宋体" w:eastAsia="宋体"/>
          <w:szCs w:val="28"/>
        </w:rPr>
        <w:t xml:space="preserve">，会议中心、机关餐厅三层建筑面积4650m</w:t>
      </w:r>
      <w:r>
        <w:rPr>
          <w:rFonts w:hint="eastAsia" w:ascii="宋体" w:hAnsi="宋体" w:eastAsia="宋体"/>
          <w:szCs w:val="28"/>
          <w:vertAlign w:val="superscript"/>
        </w:rPr>
        <w:t xml:space="preserve">2</w:t>
      </w:r>
      <w:r>
        <w:rPr>
          <w:rFonts w:hint="eastAsia" w:ascii="宋体" w:hAnsi="宋体" w:eastAsia="宋体"/>
          <w:szCs w:val="28"/>
        </w:rPr>
        <w:t xml:space="preserve">。</w:t>
      </w:r>
      <w:r>
        <w:rPr>
          <w:rFonts w:ascii="宋体" w:hAnsi="宋体" w:eastAsia="宋体" w:cs="宋体"/>
          <w:szCs w:val="28"/>
        </w:rPr>
        <w:t xml:space="preserve">建筑运行时间：周一至周五，</w:t>
      </w:r>
      <w:r>
        <w:rPr>
          <w:rFonts w:hint="eastAsia" w:ascii="宋体" w:hAnsi="宋体" w:eastAsia="宋体" w:cs="宋体"/>
          <w:szCs w:val="28"/>
        </w:rPr>
        <w:t xml:space="preserve">9:00-17:30</w:t>
      </w:r>
      <w:r>
        <w:rPr>
          <w:rFonts w:ascii="宋体" w:hAnsi="宋体" w:eastAsia="宋体" w:cs="宋体"/>
          <w:szCs w:val="28"/>
        </w:rPr>
        <w:t xml:space="preserve">，法定节假日休息</w:t>
      </w:r>
      <w:r>
        <w:rPr>
          <w:rFonts w:hint="eastAsia" w:ascii="宋体" w:hAnsi="宋体" w:eastAsia="宋体" w:cs="宋体"/>
          <w:szCs w:val="28"/>
        </w:rPr>
        <w:t xml:space="preserve">。主要能源构成为电力、水、天然气，主要用能设备为照明、电梯、办公设备、暖通空调等。用能人数约1900人。</w:t>
      </w:r>
      <w:r>
        <w:rPr>
          <w:rFonts w:hint="eastAsia" w:ascii="宋体" w:hAnsi="宋体" w:eastAsia="宋体" w:cs="宋体"/>
          <w:szCs w:val="28"/>
        </w:rPr>
      </w:r>
      <w:r/>
    </w:p>
    <w:p>
      <w:pPr>
        <w:pStyle w:val="712"/>
        <w:ind w:firstLine="560"/>
        <w:rPr>
          <w:rFonts w:ascii="宋体" w:hAnsi="宋体" w:eastAsia="宋体" w:cs="宋体"/>
          <w:szCs w:val="28"/>
          <w:highlight w:val="none"/>
        </w:rPr>
      </w:pPr>
      <w:r>
        <w:rPr>
          <w:rFonts w:hint="eastAsia" w:ascii="宋体" w:hAnsi="宋体" w:eastAsia="宋体" w:cs="宋体"/>
          <w:szCs w:val="28"/>
          <w:highlight w:val="none"/>
        </w:rPr>
        <w:t xml:space="preserve">2023-2025年能源资源消费量数据表：</w:t>
      </w:r>
      <w:r>
        <w:rPr>
          <w:rFonts w:ascii="宋体" w:hAnsi="宋体" w:eastAsia="宋体" w:cs="宋体"/>
          <w:szCs w:val="28"/>
          <w:highlight w:val="none"/>
        </w:rPr>
      </w:r>
      <w:r/>
    </w:p>
    <w:tbl>
      <w:tblPr>
        <w:tblW w:w="8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2"/>
        <w:gridCol w:w="1185"/>
        <w:gridCol w:w="2191"/>
        <w:gridCol w:w="1961"/>
        <w:gridCol w:w="1935"/>
      </w:tblGrid>
      <w:tr>
        <w:trPr>
          <w:trHeight w:val="1203"/>
        </w:trPr>
        <w:tc>
          <w:tcPr>
            <w:gridSpan w:val="2"/>
            <w:tcW w:w="2547"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r>
            <w:r/>
          </w:p>
        </w:tc>
        <w:tc>
          <w:tcPr>
            <w:tcW w:w="2191" w:type="dxa"/>
            <w:vAlign w:val="center"/>
            <w:textDirection w:val="lrTb"/>
            <w:noWrap/>
          </w:tcPr>
          <w:p>
            <w:pPr>
              <w:pStyle w:val="712"/>
              <w:jc w:val="center"/>
              <w:spacing w:line="240" w:lineRule="auto"/>
              <w:rPr>
                <w:rFonts w:ascii="宋体" w:hAnsi="宋体" w:eastAsia="宋体" w:cs="宋体"/>
                <w:sz w:val="32"/>
                <w:szCs w:val="32"/>
              </w:rPr>
            </w:pPr>
            <w:r>
              <w:rPr>
                <w:rFonts w:hint="eastAsia" w:ascii="宋体" w:hAnsi="宋体" w:eastAsia="宋体" w:cs="宋体"/>
                <w:sz w:val="32"/>
                <w:szCs w:val="32"/>
              </w:rPr>
              <w:t xml:space="preserve">2023年</w:t>
            </w:r>
            <w:r>
              <w:rPr>
                <w:rFonts w:ascii="宋体" w:hAnsi="宋体" w:eastAsia="宋体" w:cs="宋体"/>
                <w:sz w:val="32"/>
                <w:szCs w:val="32"/>
              </w:rPr>
            </w:r>
            <w:r/>
          </w:p>
          <w:p>
            <w:pPr>
              <w:pStyle w:val="687"/>
              <w:rPr>
                <w:rFonts w:hint="eastAsia"/>
              </w:rPr>
            </w:pPr>
            <w:r>
              <w:rPr>
                <w:rFonts w:hint="eastAsia" w:ascii="宋体" w:hAnsi="宋体" w:cs="宋体"/>
                <w:sz w:val="32"/>
                <w:szCs w:val="32"/>
              </w:rPr>
              <w:t xml:space="preserve">（1-12月）</w:t>
            </w:r>
            <w:r>
              <w:rPr>
                <w:rFonts w:hint="eastAsia"/>
              </w:rPr>
            </w:r>
            <w:r/>
          </w:p>
        </w:tc>
        <w:tc>
          <w:tcPr>
            <w:tcW w:w="1961" w:type="dxa"/>
            <w:vAlign w:val="center"/>
            <w:textDirection w:val="lrTb"/>
            <w:noWrap/>
          </w:tcPr>
          <w:p>
            <w:pPr>
              <w:pStyle w:val="712"/>
              <w:jc w:val="center"/>
              <w:spacing w:line="240" w:lineRule="auto"/>
              <w:rPr>
                <w:rFonts w:ascii="宋体" w:hAnsi="宋体" w:eastAsia="宋体" w:cs="宋体"/>
                <w:sz w:val="32"/>
                <w:szCs w:val="32"/>
              </w:rPr>
            </w:pPr>
            <w:r>
              <w:rPr>
                <w:rFonts w:hint="eastAsia" w:ascii="宋体" w:hAnsi="宋体" w:eastAsia="宋体" w:cs="宋体"/>
                <w:sz w:val="32"/>
                <w:szCs w:val="32"/>
              </w:rPr>
              <w:t xml:space="preserve">2024年</w:t>
            </w:r>
            <w:r>
              <w:rPr>
                <w:rFonts w:ascii="宋体" w:hAnsi="宋体" w:eastAsia="宋体" w:cs="宋体"/>
                <w:sz w:val="32"/>
                <w:szCs w:val="32"/>
              </w:rPr>
            </w:r>
            <w:r/>
          </w:p>
          <w:p>
            <w:pPr>
              <w:pStyle w:val="687"/>
              <w:rPr>
                <w:rFonts w:hint="eastAsia"/>
              </w:rPr>
            </w:pPr>
            <w:r>
              <w:rPr>
                <w:rFonts w:hint="eastAsia" w:ascii="宋体" w:hAnsi="宋体" w:cs="宋体"/>
                <w:sz w:val="32"/>
                <w:szCs w:val="32"/>
              </w:rPr>
              <w:t xml:space="preserve">（1-12月）</w:t>
            </w:r>
            <w:r>
              <w:rPr>
                <w:rFonts w:hint="eastAsia"/>
              </w:rPr>
            </w:r>
            <w:r/>
          </w:p>
        </w:tc>
        <w:tc>
          <w:tcPr>
            <w:tcW w:w="1935" w:type="dxa"/>
            <w:vAlign w:val="center"/>
            <w:textDirection w:val="lrTb"/>
            <w:noWrap/>
          </w:tcPr>
          <w:p>
            <w:pPr>
              <w:pStyle w:val="712"/>
              <w:jc w:val="center"/>
              <w:spacing w:line="240" w:lineRule="auto"/>
              <w:rPr>
                <w:rFonts w:ascii="宋体" w:hAnsi="宋体" w:eastAsia="宋体" w:cs="宋体"/>
                <w:sz w:val="32"/>
                <w:szCs w:val="32"/>
              </w:rPr>
            </w:pPr>
            <w:r>
              <w:rPr>
                <w:rFonts w:ascii="宋体" w:hAnsi="宋体" w:eastAsia="宋体" w:cs="宋体"/>
                <w:sz w:val="32"/>
                <w:szCs w:val="32"/>
              </w:rPr>
              <w:t xml:space="preserve">2025年</w:t>
            </w:r>
            <w:r>
              <w:rPr>
                <w:rFonts w:ascii="宋体" w:hAnsi="宋体" w:eastAsia="宋体" w:cs="宋体"/>
                <w:sz w:val="32"/>
                <w:szCs w:val="32"/>
              </w:rPr>
            </w:r>
            <w:r/>
          </w:p>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（1-7月）</w:t>
            </w:r>
            <w:r>
              <w:rPr>
                <w:rFonts w:hint="eastAsia" w:ascii="宋体" w:hAnsi="宋体" w:eastAsia="宋体" w:cs="宋体"/>
                <w:sz w:val="32"/>
                <w:szCs w:val="32"/>
              </w:rPr>
            </w:r>
            <w:r/>
          </w:p>
        </w:tc>
      </w:tr>
      <w:tr>
        <w:trPr>
          <w:trHeight w:val="301"/>
        </w:trPr>
        <w:tc>
          <w:tcPr>
            <w:tcW w:w="1362"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电</w:t>
            </w:r>
            <w:r>
              <w:rPr>
                <w:rFonts w:hint="eastAsia" w:ascii="宋体" w:hAnsi="宋体" w:eastAsia="宋体" w:cs="宋体"/>
                <w:sz w:val="32"/>
                <w:szCs w:val="32"/>
              </w:rPr>
            </w:r>
            <w:r/>
          </w:p>
        </w:tc>
        <w:tc>
          <w:tcPr>
            <w:tcW w:w="1185"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kWh</w:t>
            </w:r>
            <w:r>
              <w:rPr>
                <w:rFonts w:hint="eastAsia" w:ascii="宋体" w:hAnsi="宋体" w:eastAsia="宋体" w:cs="宋体"/>
                <w:sz w:val="32"/>
                <w:szCs w:val="32"/>
              </w:rPr>
            </w:r>
            <w:r/>
          </w:p>
        </w:tc>
        <w:tc>
          <w:tcPr>
            <w:tcW w:w="2191"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3462231</w:t>
            </w:r>
            <w:r>
              <w:rPr>
                <w:rFonts w:hint="eastAsia" w:ascii="宋体" w:hAnsi="宋体" w:eastAsia="宋体" w:cs="宋体"/>
                <w:sz w:val="32"/>
                <w:szCs w:val="32"/>
              </w:rPr>
            </w:r>
            <w:r/>
          </w:p>
        </w:tc>
        <w:tc>
          <w:tcPr>
            <w:tcW w:w="1961"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3645133</w:t>
            </w:r>
            <w:r>
              <w:rPr>
                <w:rFonts w:hint="eastAsia" w:ascii="宋体" w:hAnsi="宋体" w:eastAsia="宋体" w:cs="宋体"/>
                <w:sz w:val="32"/>
                <w:szCs w:val="32"/>
              </w:rPr>
            </w:r>
            <w:r/>
          </w:p>
        </w:tc>
        <w:tc>
          <w:tcPr>
            <w:tcW w:w="1935"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2119708</w:t>
            </w:r>
            <w:r>
              <w:rPr>
                <w:rFonts w:hint="eastAsia" w:ascii="宋体" w:hAnsi="宋体" w:eastAsia="宋体" w:cs="宋体"/>
                <w:sz w:val="32"/>
                <w:szCs w:val="32"/>
              </w:rPr>
            </w:r>
            <w:r/>
          </w:p>
        </w:tc>
      </w:tr>
      <w:tr>
        <w:trPr>
          <w:trHeight w:val="301"/>
        </w:trPr>
        <w:tc>
          <w:tcPr>
            <w:tcW w:w="1362"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水</w:t>
            </w:r>
            <w:r>
              <w:rPr>
                <w:rFonts w:hint="eastAsia" w:ascii="宋体" w:hAnsi="宋体" w:eastAsia="宋体" w:cs="宋体"/>
                <w:sz w:val="32"/>
                <w:szCs w:val="32"/>
              </w:rPr>
            </w:r>
            <w:r/>
          </w:p>
        </w:tc>
        <w:tc>
          <w:tcPr>
            <w:tcW w:w="1185"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t</w:t>
            </w:r>
            <w:r>
              <w:rPr>
                <w:rFonts w:hint="eastAsia" w:ascii="宋体" w:hAnsi="宋体" w:eastAsia="宋体" w:cs="宋体"/>
                <w:sz w:val="32"/>
                <w:szCs w:val="32"/>
              </w:rPr>
            </w:r>
            <w:r/>
          </w:p>
        </w:tc>
        <w:tc>
          <w:tcPr>
            <w:tcW w:w="2191"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23924</w:t>
            </w:r>
            <w:r>
              <w:rPr>
                <w:rFonts w:hint="eastAsia" w:ascii="宋体" w:hAnsi="宋体" w:eastAsia="宋体" w:cs="宋体"/>
                <w:sz w:val="32"/>
                <w:szCs w:val="32"/>
              </w:rPr>
            </w:r>
            <w:r/>
          </w:p>
        </w:tc>
        <w:tc>
          <w:tcPr>
            <w:tcW w:w="1961"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23222</w:t>
            </w:r>
            <w:r>
              <w:rPr>
                <w:rFonts w:hint="eastAsia" w:ascii="宋体" w:hAnsi="宋体" w:eastAsia="宋体" w:cs="宋体"/>
                <w:sz w:val="32"/>
                <w:szCs w:val="32"/>
              </w:rPr>
            </w:r>
            <w:r/>
          </w:p>
        </w:tc>
        <w:tc>
          <w:tcPr>
            <w:tcW w:w="1935" w:type="dxa"/>
            <w:vAlign w:val="center"/>
            <w:textDirection w:val="lrTb"/>
            <w:noWrap/>
          </w:tcPr>
          <w:p>
            <w:pPr>
              <w:pStyle w:val="712"/>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13799</w:t>
            </w:r>
            <w:r>
              <w:rPr>
                <w:rFonts w:hint="eastAsia" w:ascii="宋体" w:hAnsi="宋体" w:eastAsia="宋体" w:cs="宋体"/>
                <w:sz w:val="32"/>
                <w:szCs w:val="32"/>
              </w:rPr>
            </w:r>
            <w:r/>
          </w:p>
        </w:tc>
      </w:tr>
    </w:tbl>
    <w:p>
      <w:pPr>
        <w:pStyle w:val="687"/>
        <w:rPr>
          <w:rFonts w:hint="eastAsia"/>
        </w:rPr>
      </w:pPr>
      <w:r>
        <w:rPr>
          <w:rFonts w:hint="eastAsia"/>
        </w:rPr>
      </w:r>
      <w:r/>
    </w:p>
    <w:p>
      <w:pPr>
        <w:pStyle w:val="712"/>
        <w:ind w:firstLine="560"/>
        <w:rPr>
          <w:rFonts w:hint="eastAsia" w:ascii="宋体" w:hAnsi="宋体" w:eastAsia="宋体" w:cs="宋体"/>
          <w:szCs w:val="28"/>
        </w:rPr>
      </w:pPr>
      <w:r>
        <w:rPr>
          <w:rFonts w:hint="eastAsia" w:ascii="宋体" w:hAnsi="宋体" w:eastAsia="宋体" w:cs="宋体"/>
          <w:szCs w:val="28"/>
        </w:rPr>
        <w:t xml:space="preserve">本项目用电区域主要为：办公大楼、餐厅、会议室、地下室、室外和线损。电力用于整个项目的办公系统、智能化系统、照明系统、动力设备、空调系统和消防系统，其中大部分区域用电设备工作时间运行，部分系统全年无休运行，如智能化系统、数据机房等。</w:t>
      </w:r>
      <w:r>
        <w:rPr>
          <w:rFonts w:hint="eastAsia" w:ascii="宋体" w:hAnsi="宋体" w:eastAsia="宋体" w:cs="宋体"/>
          <w:szCs w:val="28"/>
        </w:rPr>
      </w:r>
      <w:r/>
    </w:p>
    <w:p>
      <w:pPr>
        <w:pStyle w:val="712"/>
        <w:ind w:firstLine="560"/>
        <w:rPr>
          <w:rFonts w:ascii="宋体" w:hAnsi="宋体" w:eastAsia="宋体" w:cs="宋体"/>
          <w:szCs w:val="28"/>
        </w:rPr>
      </w:pPr>
      <w:r>
        <w:rPr>
          <w:rFonts w:hint="eastAsia" w:ascii="宋体" w:hAnsi="宋体" w:eastAsia="宋体" w:cs="宋体"/>
          <w:szCs w:val="28"/>
        </w:rPr>
        <w:t xml:space="preserve">行政中心空调机组</w:t>
      </w:r>
      <w:r>
        <w:rPr>
          <w:rFonts w:ascii="宋体" w:hAnsi="宋体" w:eastAsia="宋体" w:cs="宋体"/>
          <w:szCs w:val="28"/>
        </w:rPr>
        <w:t xml:space="preserve">于201</w:t>
      </w:r>
      <w:r>
        <w:rPr>
          <w:rFonts w:hint="eastAsia" w:ascii="宋体" w:hAnsi="宋体" w:eastAsia="宋体" w:cs="宋体"/>
          <w:szCs w:val="28"/>
        </w:rPr>
        <w:t xml:space="preserve">0</w:t>
      </w:r>
      <w:r>
        <w:rPr>
          <w:rFonts w:ascii="宋体" w:hAnsi="宋体" w:eastAsia="宋体" w:cs="宋体"/>
          <w:szCs w:val="28"/>
        </w:rPr>
        <w:t xml:space="preserve">年竣工，已运行1</w:t>
      </w:r>
      <w:r>
        <w:rPr>
          <w:rFonts w:hint="eastAsia" w:ascii="宋体" w:hAnsi="宋体" w:eastAsia="宋体" w:cs="宋体"/>
          <w:szCs w:val="28"/>
        </w:rPr>
        <w:t xml:space="preserve">6</w:t>
      </w:r>
      <w:r>
        <w:rPr>
          <w:rFonts w:ascii="宋体" w:hAnsi="宋体" w:eastAsia="宋体" w:cs="宋体"/>
          <w:szCs w:val="28"/>
        </w:rPr>
        <w:t xml:space="preserve">年，机组COP较低，耗电量增加</w:t>
      </w:r>
      <w:r>
        <w:rPr>
          <w:rFonts w:hint="eastAsia" w:ascii="宋体" w:hAnsi="宋体" w:eastAsia="宋体" w:cs="宋体"/>
          <w:szCs w:val="28"/>
        </w:rPr>
        <w:t xml:space="preserve">；部分室外机多次更换主板和压缩机，部分室外机已无法正常使用；部分室内机存在主板、控制器等设备多次维修、制冷制热效果较差等问题。</w:t>
      </w:r>
      <w:r>
        <w:rPr>
          <w:rFonts w:ascii="宋体" w:hAnsi="宋体" w:eastAsia="宋体" w:cs="宋体"/>
          <w:szCs w:val="28"/>
        </w:rPr>
      </w:r>
      <w:r/>
    </w:p>
    <w:p>
      <w:pPr>
        <w:pStyle w:val="712"/>
        <w:ind w:firstLine="560"/>
        <w:rPr>
          <w:rFonts w:hint="eastAsia" w:ascii="宋体" w:hAnsi="宋体" w:eastAsia="宋体" w:cs="宋体"/>
          <w:szCs w:val="28"/>
        </w:rPr>
      </w:pPr>
      <w:r>
        <w:rPr>
          <w:rFonts w:hint="eastAsia" w:ascii="宋体" w:hAnsi="宋体" w:eastAsia="宋体" w:cs="宋体"/>
          <w:szCs w:val="28"/>
        </w:rPr>
        <w:t xml:space="preserve">行政中心屋面已搭建分布式光伏发电系统，但未并网使用。行政中心入口西侧设有部分立柱式交流慢充新能源汽车充电桩。</w:t>
      </w:r>
      <w:r>
        <w:rPr>
          <w:rFonts w:hint="eastAsia" w:ascii="宋体" w:hAnsi="宋体" w:eastAsia="宋体" w:cs="宋体"/>
          <w:szCs w:val="28"/>
        </w:rPr>
      </w:r>
      <w:r/>
    </w:p>
    <w:p>
      <w:pPr>
        <w:pStyle w:val="687"/>
        <w:spacing w:line="360" w:lineRule="auto"/>
        <w:rPr>
          <w:rFonts w:ascii="宋体" w:hAnsi="宋体" w:cs="宋体"/>
          <w:sz w:val="28"/>
          <w:szCs w:val="28"/>
        </w:rPr>
      </w:pPr>
      <w:r>
        <w:rPr>
          <w:rFonts w:hint="eastAsia" w:ascii="宋体" w:hAnsi="宋体" w:cs="宋体"/>
          <w:b/>
          <w:bCs/>
          <w:sz w:val="28"/>
          <w:szCs w:val="28"/>
        </w:rPr>
        <w:t xml:space="preserve">（三）服务期限：</w:t>
      </w:r>
      <w:r>
        <w:rPr>
          <w:rFonts w:hint="eastAsia" w:ascii="宋体" w:hAnsi="宋体" w:cs="宋体"/>
          <w:sz w:val="28"/>
          <w:szCs w:val="28"/>
        </w:rPr>
        <w:t xml:space="preserve">改造期限自采购人与供应商书面签字确认开工令后，</w:t>
      </w:r>
      <w:r>
        <w:rPr>
          <w:rFonts w:hint="eastAsia" w:ascii="宋体" w:hAnsi="宋体" w:cs="宋体"/>
          <w:sz w:val="28"/>
          <w:szCs w:val="28"/>
          <w:highlight w:val="none"/>
        </w:rPr>
        <w:t xml:space="preserve">150天内</w:t>
      </w:r>
      <w:r>
        <w:rPr>
          <w:rFonts w:hint="eastAsia" w:ascii="宋体" w:hAnsi="宋体" w:cs="宋体"/>
          <w:sz w:val="28"/>
          <w:szCs w:val="28"/>
        </w:rPr>
        <w:t xml:space="preserve">改造完工并验收合格投入使用。服务期限10年，自项目改造完成投入使用之日起至托管期限届满。</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（四）质量要求：</w:t>
      </w:r>
      <w:r>
        <w:rPr>
          <w:rFonts w:hint="eastAsia" w:ascii="宋体" w:hAnsi="宋体" w:cs="宋体"/>
          <w:sz w:val="28"/>
          <w:szCs w:val="28"/>
        </w:rPr>
        <w:t xml:space="preserve">符合国家相关技术规范和要求。</w:t>
      </w:r>
      <w:r>
        <w:rPr>
          <w:rFonts w:ascii="宋体" w:hAnsi="宋体" w:cs="宋体"/>
          <w:b/>
          <w:bCs/>
          <w:sz w:val="28"/>
          <w:szCs w:val="28"/>
        </w:rPr>
      </w:r>
      <w:r/>
    </w:p>
    <w:p>
      <w:pPr>
        <w:pStyle w:val="687"/>
        <w:spacing w:line="360" w:lineRule="auto"/>
        <w:rPr>
          <w:rFonts w:hint="eastAsia" w:ascii="宋体" w:hAnsi="宋体" w:cs="宋体"/>
          <w:sz w:val="28"/>
          <w:szCs w:val="28"/>
        </w:rPr>
      </w:pPr>
      <w:r>
        <w:rPr>
          <w:rFonts w:hint="eastAsia" w:ascii="宋体" w:hAnsi="宋体" w:cs="宋体"/>
          <w:b/>
          <w:bCs/>
          <w:sz w:val="28"/>
          <w:szCs w:val="28"/>
        </w:rPr>
        <w:t xml:space="preserve">（五）节能率要求：</w:t>
      </w:r>
      <w:r>
        <w:rPr>
          <w:rFonts w:hint="eastAsia" w:ascii="宋体" w:hAnsi="宋体" w:cs="宋体"/>
          <w:sz w:val="28"/>
          <w:szCs w:val="28"/>
        </w:rPr>
        <w:t xml:space="preserve">整体项目实施改造后年综合节能率不低于10%。</w:t>
      </w:r>
      <w:r>
        <w:rPr>
          <w:rFonts w:hint="eastAsia" w:ascii="宋体" w:hAnsi="宋体" w:cs="宋体"/>
          <w:b/>
          <w:bCs/>
          <w:sz w:val="28"/>
          <w:szCs w:val="28"/>
        </w:rPr>
        <w:t xml:space="preserve">（六）能源基准：</w:t>
      </w:r>
      <w:r>
        <w:rPr>
          <w:rFonts w:hint="eastAsia" w:ascii="宋体" w:hAnsi="宋体" w:cs="宋体"/>
          <w:sz w:val="28"/>
          <w:szCs w:val="28"/>
        </w:rPr>
        <w:t xml:space="preserve">根据江苏省地方标准《公共机构能源托管规程》（DB 32/T 4446-2023）,公共机构实施能源托管前应以托管项目实施前 1 年至 3 年为基准期,开展能源审计，确定能源基准。</w:t>
      </w:r>
      <w:r>
        <w:rPr>
          <w:rFonts w:hint="eastAsia" w:ascii="宋体" w:hAnsi="宋体" w:cs="宋体"/>
          <w:sz w:val="28"/>
          <w:szCs w:val="28"/>
        </w:rPr>
      </w:r>
      <w:r/>
    </w:p>
    <w:p>
      <w:pPr>
        <w:pStyle w:val="68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能源资源消耗基准值核定报告中能源费用基数构成</w:t>
      </w:r>
      <w:r>
        <w:rPr>
          <w:rFonts w:hint="eastAsia" w:ascii="宋体" w:hAnsi="宋体" w:cs="宋体"/>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896"/>
        <w:gridCol w:w="2126"/>
        <w:gridCol w:w="1958"/>
      </w:tblGrid>
      <w:tr>
        <w:trPr>
          <w:trHeight w:val="894"/>
        </w:trPr>
        <w:tc>
          <w:tcPr>
            <w:tcW w:w="1455"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托管能源类型</w:t>
            </w:r>
            <w:r>
              <w:rPr>
                <w:rFonts w:hint="eastAsia" w:ascii="宋体" w:hAnsi="宋体" w:cs="宋体"/>
                <w:sz w:val="28"/>
                <w:szCs w:val="28"/>
                <w:highlight w:val="none"/>
              </w:rPr>
            </w:r>
            <w:r/>
          </w:p>
        </w:tc>
        <w:tc>
          <w:tcPr>
            <w:tcW w:w="189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基准和定期能源用量</w:t>
            </w:r>
            <w:r>
              <w:rPr>
                <w:rFonts w:hint="eastAsia" w:ascii="宋体" w:hAnsi="宋体" w:cs="宋体"/>
                <w:sz w:val="28"/>
                <w:szCs w:val="28"/>
                <w:highlight w:val="none"/>
              </w:rPr>
            </w:r>
            <w:r/>
          </w:p>
        </w:tc>
        <w:tc>
          <w:tcPr>
            <w:tcW w:w="212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基准和定期最新能源单价（元）</w:t>
            </w:r>
            <w:r>
              <w:rPr>
                <w:rFonts w:hint="eastAsia" w:ascii="宋体" w:hAnsi="宋体" w:cs="宋体"/>
                <w:sz w:val="28"/>
                <w:szCs w:val="28"/>
                <w:highlight w:val="none"/>
              </w:rPr>
            </w:r>
            <w:r/>
          </w:p>
        </w:tc>
        <w:tc>
          <w:tcPr>
            <w:tcW w:w="1958"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基准核定期能源费用基数（元）</w:t>
            </w:r>
            <w:r>
              <w:rPr>
                <w:rFonts w:hint="eastAsia" w:ascii="宋体" w:hAnsi="宋体" w:cs="宋体"/>
                <w:sz w:val="28"/>
                <w:szCs w:val="28"/>
                <w:highlight w:val="none"/>
              </w:rPr>
            </w:r>
            <w:r/>
          </w:p>
        </w:tc>
      </w:tr>
      <w:tr>
        <w:trPr>
          <w:trHeight w:val="832"/>
        </w:trPr>
        <w:tc>
          <w:tcPr>
            <w:tcW w:w="1455"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电</w:t>
            </w:r>
            <w:r>
              <w:rPr>
                <w:rFonts w:hint="eastAsia" w:ascii="宋体" w:hAnsi="宋体" w:cs="宋体"/>
                <w:sz w:val="28"/>
                <w:szCs w:val="28"/>
                <w:highlight w:val="none"/>
              </w:rPr>
            </w:r>
            <w:r/>
          </w:p>
        </w:tc>
        <w:tc>
          <w:tcPr>
            <w:tcW w:w="189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3553682kW·h</w:t>
            </w:r>
            <w:r>
              <w:rPr>
                <w:rFonts w:hint="eastAsia" w:ascii="宋体" w:hAnsi="宋体" w:cs="宋体"/>
                <w:sz w:val="28"/>
                <w:szCs w:val="28"/>
                <w:highlight w:val="none"/>
              </w:rPr>
            </w:r>
            <w:r/>
          </w:p>
        </w:tc>
        <w:tc>
          <w:tcPr>
            <w:tcW w:w="212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0.73/kW·h</w:t>
            </w:r>
            <w:r>
              <w:rPr>
                <w:rFonts w:hint="eastAsia" w:ascii="宋体" w:hAnsi="宋体" w:cs="宋体"/>
                <w:sz w:val="28"/>
                <w:szCs w:val="28"/>
                <w:highlight w:val="none"/>
              </w:rPr>
            </w:r>
            <w:r/>
          </w:p>
        </w:tc>
        <w:tc>
          <w:tcPr>
            <w:tcW w:w="1958"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2573600</w:t>
            </w:r>
            <w:r>
              <w:rPr>
                <w:rFonts w:hint="eastAsia" w:ascii="宋体" w:hAnsi="宋体" w:cs="宋体"/>
                <w:sz w:val="28"/>
                <w:szCs w:val="28"/>
                <w:highlight w:val="none"/>
              </w:rPr>
            </w:r>
            <w:r/>
          </w:p>
        </w:tc>
      </w:tr>
      <w:tr>
        <w:trPr>
          <w:trHeight w:val="621"/>
        </w:trPr>
        <w:tc>
          <w:tcPr>
            <w:tcW w:w="1455"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水</w:t>
            </w:r>
            <w:r>
              <w:rPr>
                <w:rFonts w:hint="eastAsia" w:ascii="宋体" w:hAnsi="宋体" w:cs="宋体"/>
                <w:sz w:val="28"/>
                <w:szCs w:val="28"/>
                <w:highlight w:val="none"/>
              </w:rPr>
            </w:r>
            <w:r/>
          </w:p>
        </w:tc>
        <w:tc>
          <w:tcPr>
            <w:tcW w:w="189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23573t</w:t>
            </w:r>
            <w:r>
              <w:rPr>
                <w:rFonts w:hint="eastAsia" w:ascii="宋体" w:hAnsi="宋体" w:cs="宋体"/>
                <w:sz w:val="28"/>
                <w:szCs w:val="28"/>
                <w:highlight w:val="none"/>
              </w:rPr>
            </w:r>
            <w:r/>
          </w:p>
        </w:tc>
        <w:tc>
          <w:tcPr>
            <w:tcW w:w="212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3.66元/t</w:t>
            </w:r>
            <w:r>
              <w:rPr>
                <w:rFonts w:hint="eastAsia" w:ascii="宋体" w:hAnsi="宋体" w:cs="宋体"/>
                <w:sz w:val="28"/>
                <w:szCs w:val="28"/>
                <w:highlight w:val="none"/>
              </w:rPr>
            </w:r>
            <w:r/>
          </w:p>
        </w:tc>
        <w:tc>
          <w:tcPr>
            <w:tcW w:w="1958"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87000</w:t>
            </w:r>
            <w:r>
              <w:rPr>
                <w:rFonts w:hint="eastAsia" w:ascii="宋体" w:hAnsi="宋体" w:cs="宋体"/>
                <w:sz w:val="28"/>
                <w:szCs w:val="28"/>
                <w:highlight w:val="none"/>
              </w:rPr>
            </w:r>
            <w:r/>
          </w:p>
        </w:tc>
      </w:tr>
      <w:tr>
        <w:trPr>
          <w:trHeight w:val="546"/>
        </w:trPr>
        <w:tc>
          <w:tcPr>
            <w:tcW w:w="1455"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合计</w:t>
            </w:r>
            <w:r>
              <w:rPr>
                <w:rFonts w:hint="eastAsia" w:ascii="宋体" w:hAnsi="宋体" w:cs="宋体"/>
                <w:sz w:val="28"/>
                <w:szCs w:val="28"/>
                <w:highlight w:val="none"/>
              </w:rPr>
            </w:r>
            <w:r/>
          </w:p>
        </w:tc>
        <w:tc>
          <w:tcPr>
            <w:tcW w:w="189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r>
            <w:r/>
          </w:p>
        </w:tc>
        <w:tc>
          <w:tcPr>
            <w:tcW w:w="2126"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r>
            <w:r/>
          </w:p>
        </w:tc>
        <w:tc>
          <w:tcPr>
            <w:tcW w:w="1958" w:type="dxa"/>
            <w:vAlign w:val="center"/>
            <w:textDirection w:val="lrTb"/>
            <w:noWrap w:val="false"/>
          </w:tcPr>
          <w:p>
            <w:pPr>
              <w:pStyle w:val="687"/>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2660600</w:t>
            </w:r>
            <w:r>
              <w:rPr>
                <w:rFonts w:hint="eastAsia" w:ascii="宋体" w:hAnsi="宋体" w:cs="宋体"/>
                <w:sz w:val="28"/>
                <w:szCs w:val="28"/>
                <w:highlight w:val="none"/>
              </w:rPr>
            </w:r>
            <w:r/>
          </w:p>
        </w:tc>
      </w:tr>
    </w:tbl>
    <w:p>
      <w:pPr>
        <w:pStyle w:val="687"/>
        <w:ind w:firstLine="480"/>
        <w:spacing w:line="360" w:lineRule="auto"/>
        <w:rPr>
          <w:rFonts w:hint="eastAsia" w:ascii="宋体" w:hAnsi="宋体" w:cs="宋体"/>
          <w:sz w:val="28"/>
          <w:szCs w:val="28"/>
        </w:rPr>
      </w:pPr>
      <w:r>
        <w:rPr>
          <w:rFonts w:hint="eastAsia" w:ascii="宋体" w:hAnsi="宋体" w:cs="宋体"/>
          <w:sz w:val="28"/>
          <w:szCs w:val="28"/>
          <w:highlight w:val="none"/>
        </w:rPr>
        <w:t xml:space="preserve">年度能源托管费用包括能源费用和能源系</w:t>
      </w:r>
      <w:r>
        <w:rPr>
          <w:rFonts w:hint="eastAsia" w:ascii="宋体" w:hAnsi="宋体" w:cs="宋体"/>
          <w:sz w:val="28"/>
          <w:szCs w:val="28"/>
        </w:rPr>
        <w:t xml:space="preserve">统的日常运营、维修维护管理费、消耗性材料费等。能源托管费用基数为</w:t>
      </w:r>
      <w:r>
        <w:rPr>
          <w:rFonts w:hint="eastAsia" w:ascii="宋体" w:hAnsi="宋体" w:cs="宋体"/>
          <w:sz w:val="28"/>
          <w:szCs w:val="28"/>
          <w:u w:val="single"/>
        </w:rPr>
        <w:t xml:space="preserve">：319.06 </w:t>
      </w:r>
      <w:r>
        <w:rPr>
          <w:rFonts w:hint="eastAsia" w:ascii="宋体" w:hAnsi="宋体" w:cs="宋体"/>
          <w:sz w:val="28"/>
          <w:szCs w:val="28"/>
        </w:rPr>
        <w:t xml:space="preserve">万元/年 ，分项费用分别为：</w:t>
      </w:r>
      <w:r>
        <w:rPr>
          <w:rFonts w:hint="eastAsia" w:ascii="宋体" w:hAnsi="宋体" w:cs="宋体"/>
          <w:sz w:val="28"/>
          <w:szCs w:val="28"/>
        </w:rPr>
      </w:r>
      <w:r/>
    </w:p>
    <w:tbl>
      <w:tblPr>
        <w:tblW w:w="8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276"/>
        <w:gridCol w:w="1555"/>
        <w:gridCol w:w="1134"/>
        <w:gridCol w:w="2428"/>
        <w:gridCol w:w="1190"/>
      </w:tblGrid>
      <w:tr>
        <w:trPr/>
        <w:tc>
          <w:tcPr>
            <w:gridSpan w:val="3"/>
            <w:tcW w:w="3823"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能源费用基数（元/年）</w:t>
            </w:r>
            <w:r>
              <w:rPr>
                <w:rFonts w:ascii="Times New Roman" w:eastAsia="方正仿宋_GBK"/>
                <w:szCs w:val="28"/>
                <w:highlight w:val="none"/>
                <w:lang w:bidi="en-US"/>
              </w:rPr>
            </w:r>
            <w:r/>
          </w:p>
        </w:tc>
        <w:tc>
          <w:tcPr>
            <w:gridSpan w:val="3"/>
            <w:tcW w:w="4752"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运维费用基数（元/年）</w:t>
            </w:r>
            <w:r>
              <w:rPr>
                <w:rFonts w:ascii="Times New Roman" w:eastAsia="方正仿宋_GBK"/>
                <w:szCs w:val="28"/>
                <w:highlight w:val="none"/>
                <w:lang w:bidi="en-US"/>
              </w:rPr>
            </w:r>
            <w:r/>
          </w:p>
        </w:tc>
      </w:tr>
      <w:tr>
        <w:trPr/>
        <w:tc>
          <w:tcPr>
            <w:tcW w:w="992" w:type="dxa"/>
            <w:vAlign w:val="center"/>
            <w:vMerge w:val="restart"/>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托管能源类型</w:t>
            </w:r>
            <w:r>
              <w:rPr>
                <w:rFonts w:ascii="Times New Roman" w:eastAsia="方正仿宋_GBK"/>
                <w:szCs w:val="28"/>
                <w:highlight w:val="none"/>
                <w:lang w:bidi="en-US"/>
              </w:rPr>
            </w:r>
            <w:r/>
          </w:p>
        </w:tc>
        <w:tc>
          <w:tcPr>
            <w:tcW w:w="1276"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电</w:t>
            </w:r>
            <w:r>
              <w:rPr>
                <w:rFonts w:ascii="Times New Roman" w:eastAsia="方正仿宋_GBK"/>
                <w:szCs w:val="28"/>
                <w:highlight w:val="none"/>
                <w:lang w:bidi="en-US"/>
              </w:rPr>
            </w:r>
            <w:r/>
          </w:p>
        </w:tc>
        <w:tc>
          <w:tcPr>
            <w:tcW w:w="1555"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rPr>
              <w:t xml:space="preserve">2573600</w:t>
            </w:r>
            <w:r>
              <w:rPr>
                <w:rFonts w:ascii="Times New Roman" w:eastAsia="方正仿宋_GBK"/>
                <w:szCs w:val="28"/>
                <w:highlight w:val="none"/>
                <w:lang w:bidi="en-US"/>
              </w:rPr>
            </w:r>
            <w:r/>
          </w:p>
        </w:tc>
        <w:tc>
          <w:tcPr>
            <w:tcW w:w="1134" w:type="dxa"/>
            <w:vAlign w:val="center"/>
            <w:vMerge w:val="restart"/>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托管运维费用类型</w:t>
            </w:r>
            <w:r>
              <w:rPr>
                <w:rFonts w:ascii="Times New Roman" w:eastAsia="方正仿宋_GBK"/>
                <w:szCs w:val="28"/>
                <w:highlight w:val="none"/>
                <w:lang w:bidi="en-US"/>
              </w:rPr>
            </w:r>
            <w:r/>
          </w:p>
        </w:tc>
        <w:tc>
          <w:tcPr>
            <w:tcW w:w="2428"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智慧建筑综合能效管控平台</w:t>
            </w:r>
            <w:r>
              <w:rPr>
                <w:rFonts w:ascii="Times New Roman" w:eastAsia="方正仿宋_GBK"/>
                <w:szCs w:val="28"/>
                <w:highlight w:val="none"/>
                <w:lang w:bidi="en-US"/>
              </w:rPr>
            </w:r>
            <w:r/>
          </w:p>
        </w:tc>
        <w:tc>
          <w:tcPr>
            <w:tcW w:w="1190" w:type="dxa"/>
            <w:vAlign w:val="center"/>
            <w:textDirection w:val="lrTb"/>
            <w:noWrap w:val="false"/>
          </w:tcPr>
          <w:p>
            <w:pPr>
              <w:pStyle w:val="712"/>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100000</w:t>
            </w:r>
            <w:r>
              <w:rPr>
                <w:rFonts w:hint="eastAsia" w:ascii="Times New Roman" w:eastAsia="方正仿宋_GBK"/>
                <w:szCs w:val="28"/>
                <w:highlight w:val="none"/>
                <w:lang w:bidi="en-US"/>
              </w:rPr>
            </w:r>
            <w:r/>
          </w:p>
        </w:tc>
      </w:tr>
      <w:tr>
        <w:trPr>
          <w:trHeight w:val="628"/>
        </w:trPr>
        <w:tc>
          <w:tcPr>
            <w:tcW w:w="992" w:type="dxa"/>
            <w:vAlign w:val="center"/>
            <w:vMerge w:val="continue"/>
            <w:textDirection w:val="lrTb"/>
            <w:noWrap w:val="false"/>
          </w:tcPr>
          <w:p>
            <w:pPr>
              <w:pStyle w:val="712"/>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276"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rPr>
              <w:t xml:space="preserve">水</w:t>
            </w:r>
            <w:r>
              <w:rPr>
                <w:rFonts w:ascii="Times New Roman" w:eastAsia="方正仿宋_GBK"/>
                <w:szCs w:val="28"/>
                <w:highlight w:val="none"/>
                <w:lang w:bidi="en-US"/>
              </w:rPr>
            </w:r>
            <w:r/>
          </w:p>
        </w:tc>
        <w:tc>
          <w:tcPr>
            <w:tcW w:w="1555"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rPr>
              <w:t xml:space="preserve">87000</w:t>
            </w:r>
            <w:r>
              <w:rPr>
                <w:rFonts w:ascii="Times New Roman" w:eastAsia="方正仿宋_GBK"/>
                <w:szCs w:val="28"/>
                <w:highlight w:val="none"/>
                <w:lang w:bidi="en-US"/>
              </w:rPr>
            </w:r>
            <w:r/>
          </w:p>
        </w:tc>
        <w:tc>
          <w:tcPr>
            <w:tcW w:w="1134" w:type="dxa"/>
            <w:vAlign w:val="center"/>
            <w:vMerge w:val="continue"/>
            <w:textDirection w:val="lrTb"/>
            <w:noWrap w:val="false"/>
          </w:tcPr>
          <w:p>
            <w:pPr>
              <w:pStyle w:val="712"/>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2428"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其他零星维修</w:t>
            </w:r>
            <w:r>
              <w:rPr>
                <w:rFonts w:ascii="Times New Roman" w:eastAsia="方正仿宋_GBK"/>
                <w:szCs w:val="28"/>
                <w:highlight w:val="none"/>
                <w:lang w:bidi="en-US"/>
              </w:rPr>
            </w:r>
            <w:r/>
          </w:p>
        </w:tc>
        <w:tc>
          <w:tcPr>
            <w:tcW w:w="1190" w:type="dxa"/>
            <w:vAlign w:val="center"/>
            <w:textDirection w:val="lrTb"/>
            <w:noWrap w:val="false"/>
          </w:tcPr>
          <w:p>
            <w:pPr>
              <w:pStyle w:val="712"/>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80000</w:t>
            </w:r>
            <w:r>
              <w:rPr>
                <w:rFonts w:hint="eastAsia" w:ascii="Times New Roman" w:eastAsia="方正仿宋_GBK"/>
                <w:szCs w:val="28"/>
                <w:highlight w:val="none"/>
                <w:lang w:bidi="en-US"/>
              </w:rPr>
            </w:r>
            <w:r/>
          </w:p>
        </w:tc>
      </w:tr>
      <w:tr>
        <w:trPr>
          <w:trHeight w:val="526"/>
        </w:trPr>
        <w:tc>
          <w:tcPr>
            <w:tcW w:w="992" w:type="dxa"/>
            <w:vAlign w:val="center"/>
            <w:vMerge w:val="continue"/>
            <w:textDirection w:val="lrTb"/>
            <w:noWrap w:val="false"/>
          </w:tcPr>
          <w:p>
            <w:pPr>
              <w:pStyle w:val="712"/>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276"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555"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134" w:type="dxa"/>
            <w:vAlign w:val="center"/>
            <w:vMerge w:val="continue"/>
            <w:textDirection w:val="lrTb"/>
            <w:noWrap w:val="false"/>
          </w:tcPr>
          <w:p>
            <w:pPr>
              <w:pStyle w:val="712"/>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2428" w:type="dxa"/>
            <w:vAlign w:val="center"/>
            <w:textDirection w:val="lrTb"/>
            <w:noWrap w:val="false"/>
          </w:tcPr>
          <w:p>
            <w:pPr>
              <w:pStyle w:val="712"/>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管理人工成本</w:t>
            </w:r>
            <w:r>
              <w:rPr>
                <w:rFonts w:hint="eastAsia" w:ascii="Times New Roman" w:eastAsia="方正仿宋_GBK"/>
                <w:szCs w:val="28"/>
                <w:highlight w:val="none"/>
                <w:lang w:bidi="en-US"/>
              </w:rPr>
            </w:r>
            <w:r/>
          </w:p>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（2个人）</w:t>
            </w:r>
            <w:r>
              <w:rPr>
                <w:rFonts w:ascii="Times New Roman" w:eastAsia="方正仿宋_GBK"/>
                <w:szCs w:val="28"/>
                <w:highlight w:val="none"/>
                <w:lang w:bidi="en-US"/>
              </w:rPr>
            </w:r>
            <w:r/>
          </w:p>
        </w:tc>
        <w:tc>
          <w:tcPr>
            <w:tcW w:w="1190" w:type="dxa"/>
            <w:vAlign w:val="center"/>
            <w:textDirection w:val="lrTb"/>
            <w:noWrap w:val="false"/>
          </w:tcPr>
          <w:p>
            <w:pPr>
              <w:pStyle w:val="712"/>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300000</w:t>
            </w:r>
            <w:r>
              <w:rPr>
                <w:rFonts w:hint="eastAsia" w:ascii="Times New Roman" w:eastAsia="方正仿宋_GBK"/>
                <w:szCs w:val="28"/>
                <w:highlight w:val="none"/>
                <w:lang w:bidi="en-US"/>
              </w:rPr>
            </w:r>
            <w:r/>
          </w:p>
        </w:tc>
      </w:tr>
      <w:tr>
        <w:trPr>
          <w:trHeight w:val="450"/>
        </w:trPr>
        <w:tc>
          <w:tcPr>
            <w:gridSpan w:val="2"/>
            <w:tcW w:w="2268"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w:t>
            </w:r>
            <w:r>
              <w:rPr>
                <w:rFonts w:ascii="Times New Roman" w:eastAsia="方正仿宋_GBK"/>
                <w:szCs w:val="28"/>
                <w:highlight w:val="none"/>
                <w:lang w:bidi="en-US"/>
              </w:rPr>
            </w:r>
            <w:r/>
          </w:p>
        </w:tc>
        <w:tc>
          <w:tcPr>
            <w:tcW w:w="1555"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w:t>
            </w:r>
            <w:r>
              <w:rPr>
                <w:rFonts w:ascii="Times New Roman" w:eastAsia="方正仿宋_GBK"/>
                <w:szCs w:val="28"/>
                <w:highlight w:val="none"/>
                <w:lang w:bidi="en-US"/>
              </w:rPr>
            </w:r>
            <w:r/>
          </w:p>
        </w:tc>
        <w:tc>
          <w:tcPr>
            <w:gridSpan w:val="2"/>
            <w:tcW w:w="3562"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能源审计报告</w:t>
            </w:r>
            <w:r>
              <w:rPr>
                <w:rFonts w:ascii="Times New Roman" w:eastAsia="方正仿宋_GBK"/>
                <w:szCs w:val="28"/>
                <w:highlight w:val="none"/>
                <w:lang w:bidi="en-US"/>
              </w:rPr>
            </w:r>
            <w:r/>
          </w:p>
        </w:tc>
        <w:tc>
          <w:tcPr>
            <w:tcW w:w="1190" w:type="dxa"/>
            <w:vAlign w:val="center"/>
            <w:textDirection w:val="lrTb"/>
            <w:noWrap w:val="false"/>
          </w:tcPr>
          <w:p>
            <w:pPr>
              <w:pStyle w:val="712"/>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50000</w:t>
            </w:r>
            <w:r>
              <w:rPr>
                <w:rFonts w:hint="eastAsia" w:ascii="Times New Roman" w:eastAsia="方正仿宋_GBK"/>
                <w:szCs w:val="28"/>
                <w:highlight w:val="none"/>
                <w:lang w:bidi="en-US"/>
              </w:rPr>
            </w:r>
            <w:r/>
          </w:p>
        </w:tc>
      </w:tr>
      <w:tr>
        <w:trPr>
          <w:trHeight w:val="553"/>
        </w:trPr>
        <w:tc>
          <w:tcPr>
            <w:gridSpan w:val="2"/>
            <w:tcW w:w="2268"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合计</w:t>
            </w:r>
            <w:r>
              <w:rPr>
                <w:rFonts w:ascii="Times New Roman" w:eastAsia="方正仿宋_GBK"/>
                <w:szCs w:val="28"/>
                <w:highlight w:val="none"/>
                <w:lang w:bidi="en-US"/>
              </w:rPr>
            </w:r>
            <w:r/>
          </w:p>
        </w:tc>
        <w:tc>
          <w:tcPr>
            <w:tcW w:w="1555"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2660600</w:t>
            </w:r>
            <w:r>
              <w:rPr>
                <w:rFonts w:ascii="Times New Roman" w:eastAsia="方正仿宋_GBK"/>
                <w:szCs w:val="28"/>
                <w:highlight w:val="none"/>
                <w:lang w:bidi="en-US"/>
              </w:rPr>
            </w:r>
            <w:r/>
          </w:p>
        </w:tc>
        <w:tc>
          <w:tcPr>
            <w:gridSpan w:val="2"/>
            <w:tcW w:w="3562" w:type="dxa"/>
            <w:vAlign w:val="center"/>
            <w:textDirection w:val="lrTb"/>
            <w:noWrap w:val="false"/>
          </w:tcPr>
          <w:p>
            <w:pPr>
              <w:pStyle w:val="712"/>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项目运维费用</w:t>
            </w:r>
            <w:r>
              <w:rPr>
                <w:rFonts w:ascii="Times New Roman" w:eastAsia="方正仿宋_GBK"/>
                <w:szCs w:val="28"/>
                <w:highlight w:val="none"/>
                <w:lang w:bidi="en-US"/>
              </w:rPr>
            </w:r>
            <w:r/>
          </w:p>
        </w:tc>
        <w:tc>
          <w:tcPr>
            <w:tcW w:w="1190" w:type="dxa"/>
            <w:vAlign w:val="center"/>
            <w:textDirection w:val="lrTb"/>
            <w:noWrap w:val="false"/>
          </w:tcPr>
          <w:p>
            <w:pPr>
              <w:pStyle w:val="712"/>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530000</w:t>
            </w:r>
            <w:r>
              <w:rPr>
                <w:rFonts w:hint="eastAsia" w:ascii="Times New Roman" w:eastAsia="方正仿宋_GBK"/>
                <w:szCs w:val="28"/>
                <w:highlight w:val="none"/>
                <w:lang w:bidi="en-US"/>
              </w:rPr>
            </w:r>
            <w:r/>
          </w:p>
        </w:tc>
      </w:tr>
    </w:tbl>
    <w:p>
      <w:pPr>
        <w:pStyle w:val="687"/>
        <w:ind w:firstLine="562"/>
        <w:spacing w:line="360" w:lineRule="auto"/>
        <w:rPr>
          <w:rFonts w:ascii="宋体" w:hAnsi="宋体" w:cs="宋体"/>
          <w:b/>
          <w:bCs/>
          <w:sz w:val="28"/>
          <w:szCs w:val="28"/>
        </w:rPr>
      </w:pPr>
      <w:r>
        <w:rPr>
          <w:rFonts w:hint="eastAsia" w:ascii="宋体" w:hAnsi="宋体" w:cs="宋体"/>
          <w:b/>
          <w:bCs/>
          <w:sz w:val="28"/>
          <w:szCs w:val="28"/>
        </w:rPr>
        <w:t xml:space="preserve">四、项目基本服务要求（未按照招标文件提供证明材料，视为不满足招标文件</w:t>
      </w:r>
      <w:r>
        <w:rPr>
          <w:rFonts w:hint="eastAsia" w:ascii="宋体" w:hAnsi="宋体" w:cs="宋体"/>
          <w:b/>
          <w:bCs/>
          <w:sz w:val="30"/>
        </w:rPr>
        <w:t xml:space="preserve">第四章</w:t>
      </w:r>
      <w:r>
        <w:rPr>
          <w:rFonts w:hint="eastAsia" w:ascii="宋体" w:hAnsi="宋体" w:cs="宋体"/>
          <w:b/>
          <w:bCs/>
          <w:sz w:val="28"/>
          <w:szCs w:val="28"/>
        </w:rPr>
        <w:t xml:space="preserve">《</w:t>
      </w:r>
      <w:r>
        <w:rPr>
          <w:rFonts w:hint="eastAsia" w:ascii="宋体" w:hAnsi="宋体" w:cs="宋体"/>
          <w:b/>
          <w:bCs/>
          <w:sz w:val="30"/>
        </w:rPr>
        <w:t xml:space="preserve">评标标准</w:t>
      </w:r>
      <w:r>
        <w:rPr>
          <w:rFonts w:hint="eastAsia" w:ascii="宋体" w:hAnsi="宋体" w:cs="宋体"/>
          <w:b/>
          <w:bCs/>
          <w:sz w:val="28"/>
          <w:szCs w:val="28"/>
        </w:rPr>
        <w:t xml:space="preserve">》中“技术及服务要求响应”的要求）</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1.本项目需提供本地化驻场服务，投标人需在签订合同之前，设立驻徐州当地的固定工作场所。投标文件中需提供租赁合同或房产证明或针对该需求的承诺书，格式自拟，并加盖供应商电子公章。</w:t>
      </w:r>
      <w:r>
        <w:rPr>
          <w:rFonts w:ascii="宋体" w:hAnsi="宋体" w:cs="宋体"/>
          <w:sz w:val="28"/>
          <w:szCs w:val="28"/>
        </w:rPr>
      </w:r>
      <w:r/>
    </w:p>
    <w:p>
      <w:pPr>
        <w:pStyle w:val="687"/>
        <w:ind w:firstLine="480"/>
        <w:spacing w:line="360" w:lineRule="auto"/>
        <w:rPr>
          <w:rFonts w:hint="eastAsia"/>
        </w:rPr>
      </w:pPr>
      <w:r>
        <w:rPr>
          <w:rFonts w:hint="eastAsia" w:ascii="宋体" w:hAnsi="宋体" w:cs="宋体"/>
          <w:sz w:val="28"/>
          <w:szCs w:val="28"/>
        </w:rPr>
        <w:t xml:space="preserve">2</w:t>
      </w:r>
      <w:r>
        <w:rPr>
          <w:rFonts w:hint="eastAsia" w:ascii="宋体" w:hAnsi="宋体" w:cs="宋体"/>
          <w:sz w:val="28"/>
          <w:szCs w:val="28"/>
          <w:highlight w:val="none"/>
        </w:rPr>
        <w:t xml:space="preserve">.投标人提供本地化驻场服务的工作人员不少于2人。投标人提供人员配备表，格式自拟，驻场人员变更需提前30日书面报备并经采购人背景审查，关键岗位人员半年内不得离职。本地化驻场服务的工作人员必须是投标单位的正式员工，须提供近六个月内任意一个月投标单位（若为联合体，提供联合体任何一方或联合体双方</w:t>
      </w:r>
      <w:r>
        <w:rPr>
          <w:rFonts w:hint="eastAsia" w:ascii="宋体" w:hAnsi="宋体" w:cs="宋体"/>
          <w:sz w:val="28"/>
          <w:szCs w:val="28"/>
          <w:highlight w:val="none"/>
          <w:lang w:val="en-US" w:eastAsia="zh-CN"/>
        </w:rPr>
        <w:t xml:space="preserve">均可</w:t>
      </w:r>
      <w:r>
        <w:rPr>
          <w:rFonts w:hint="eastAsia" w:ascii="宋体" w:hAnsi="宋体" w:cs="宋体"/>
          <w:sz w:val="28"/>
          <w:szCs w:val="28"/>
          <w:highlight w:val="none"/>
        </w:rPr>
        <w:t xml:space="preserve">）为其缴纳的社保证明资料扫描件，并加盖供应商电子公章。</w:t>
      </w:r>
      <w:r>
        <w:rPr>
          <w:rFonts w:hint="eastAsia"/>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3、使用现在先进、节能的冷热源设备替换原有设备，需要保证新投入设备符合国家相关规定保证，不会降低采购人的工作舒适度。投标人拟所选用的多联机室外机产品基本模块能效比COP或全年性能系数APF达到国家一级能效等级的要求。投标人需提供拟选用设备的空调能效报告或中国能效标识网上的能效查询截图，并加盖供应商电子公章。</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五、项目总体服务内容及要求</w:t>
      </w:r>
      <w:r>
        <w:rPr>
          <w:rFonts w:ascii="宋体" w:hAnsi="宋体" w:cs="宋体"/>
          <w:b/>
          <w:bCs/>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（一）改造内容</w:t>
      </w:r>
      <w:r>
        <w:rPr>
          <w:rFonts w:hint="eastAsia" w:ascii="宋体" w:hAnsi="宋体" w:cs="宋体"/>
          <w:sz w:val="28"/>
          <w:szCs w:val="28"/>
        </w:rPr>
      </w:r>
      <w:r/>
    </w:p>
    <w:p>
      <w:pPr>
        <w:pStyle w:val="1035"/>
        <w:spacing w:line="360" w:lineRule="auto"/>
        <w:rPr>
          <w:rFonts w:ascii="宋体" w:hAnsi="宋体" w:cs="宋体"/>
          <w:sz w:val="28"/>
          <w:szCs w:val="28"/>
          <w:lang w:val="en-US"/>
        </w:rPr>
      </w:pPr>
      <w:r>
        <w:rPr>
          <w:rFonts w:hint="eastAsia" w:ascii="宋体" w:hAnsi="宋体" w:cs="宋体"/>
          <w:sz w:val="28"/>
          <w:szCs w:val="28"/>
          <w:lang w:val="en-US"/>
        </w:rPr>
        <w:t xml:space="preserve">新建本项目智慧建筑综合能效管控平台实现电能计量管理系统、给水管网监测管理系统、空调智控系统，更换多联机中央空调室外机、室内机（需确保更换后的设备和原系统匹配）。用能设备包括冬季空调供暖、夏季空调供冷的建筑设施和生活、生产、工作用电、用水等设施。具体见下表：</w:t>
      </w:r>
      <w:r>
        <w:rPr>
          <w:rFonts w:ascii="宋体" w:hAnsi="宋体" w:cs="宋体"/>
          <w:sz w:val="28"/>
          <w:szCs w:val="28"/>
          <w:lang w:val="en-US"/>
        </w:rPr>
      </w:r>
      <w:r/>
    </w:p>
    <w:tbl>
      <w:tblPr>
        <w:tblW w:w="4821" w:type="pct"/>
        <w:jc w:val="center"/>
        <w:tblInd w:w="-358" w:type="dxa"/>
        <w:tblLayout w:type="autofit"/>
        <w:tblCellMar>
          <w:left w:w="108" w:type="dxa"/>
          <w:top w:w="0" w:type="dxa"/>
          <w:right w:w="108" w:type="dxa"/>
          <w:bottom w:w="0" w:type="dxa"/>
        </w:tblCellMar>
        <w:tblLook w:val="04A0" w:firstRow="1" w:lastRow="0" w:firstColumn="1" w:lastColumn="0" w:noHBand="0" w:noVBand="1"/>
      </w:tblPr>
      <w:tblGrid>
        <w:gridCol w:w="813"/>
        <w:gridCol w:w="1716"/>
        <w:gridCol w:w="5112"/>
        <w:gridCol w:w="1095"/>
      </w:tblGrid>
      <w:tr>
        <w:trPr>
          <w:trHeight w:val="290"/>
        </w:trPr>
        <w:tc>
          <w:tcPr>
            <w:tcBorders>
              <w:top w:val="single" w:color="000000" w:sz="8" w:space="0"/>
              <w:left w:val="single" w:color="000000" w:sz="8" w:space="0"/>
              <w:bottom w:val="single" w:color="000000" w:sz="8" w:space="0"/>
              <w:right w:val="single" w:color="000000" w:sz="8" w:space="0"/>
            </w:tcBorders>
            <w:tcW w:w="46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tcBorders>
              <w:top w:val="single" w:color="000000" w:sz="8" w:space="0"/>
              <w:left w:val="none" w:color="000000" w:sz="0" w:space="0"/>
              <w:bottom w:val="single" w:color="000000" w:sz="8" w:space="0"/>
              <w:right w:val="single" w:color="000000" w:sz="8" w:space="0"/>
            </w:tcBorders>
            <w:tcW w:w="98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建设内容</w:t>
            </w:r>
            <w:r>
              <w:rPr>
                <w:rFonts w:hint="eastAsia" w:ascii="宋体" w:hAnsi="宋体" w:cs="宋体"/>
                <w:sz w:val="28"/>
                <w:szCs w:val="28"/>
              </w:rPr>
            </w:r>
            <w:r/>
          </w:p>
        </w:tc>
        <w:tc>
          <w:tcPr>
            <w:tcBorders>
              <w:top w:val="single" w:color="000000" w:sz="8" w:space="0"/>
              <w:left w:val="none" w:color="000000" w:sz="0" w:space="0"/>
              <w:bottom w:val="single" w:color="000000" w:sz="8" w:space="0"/>
              <w:right w:val="single" w:color="000000" w:sz="8" w:space="0"/>
            </w:tcBorders>
            <w:tcW w:w="292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细化说明</w:t>
            </w:r>
            <w:r>
              <w:rPr>
                <w:rFonts w:hint="eastAsia" w:ascii="宋体" w:hAnsi="宋体" w:cs="宋体"/>
                <w:sz w:val="28"/>
                <w:szCs w:val="28"/>
              </w:rPr>
            </w:r>
            <w:r/>
          </w:p>
        </w:tc>
        <w:tc>
          <w:tcPr>
            <w:tcBorders>
              <w:top w:val="single" w:color="000000" w:sz="8" w:space="0"/>
              <w:left w:val="none" w:color="000000" w:sz="0" w:space="0"/>
              <w:bottom w:val="single" w:color="000000" w:sz="8" w:space="0"/>
              <w:right w:val="single" w:color="000000" w:sz="8" w:space="0"/>
            </w:tcBorders>
            <w:tcW w:w="626"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备注</w:t>
            </w:r>
            <w:r>
              <w:rPr>
                <w:rFonts w:hint="eastAsia" w:ascii="宋体" w:hAnsi="宋体" w:cs="宋体"/>
                <w:sz w:val="28"/>
                <w:szCs w:val="28"/>
              </w:rPr>
            </w:r>
            <w:r/>
          </w:p>
        </w:tc>
      </w:tr>
      <w:tr>
        <w:trPr>
          <w:trHeight w:val="790"/>
        </w:trPr>
        <w:tc>
          <w:tcPr>
            <w:tcBorders>
              <w:top w:val="none" w:color="000000" w:sz="0" w:space="0"/>
              <w:left w:val="single" w:color="000000" w:sz="8" w:space="0"/>
              <w:bottom w:val="single" w:color="000000" w:sz="8" w:space="0"/>
              <w:right w:val="single" w:color="000000" w:sz="8" w:space="0"/>
            </w:tcBorders>
            <w:tcW w:w="46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Borders>
              <w:top w:val="none" w:color="000000" w:sz="0" w:space="0"/>
              <w:left w:val="single" w:color="000000" w:sz="8" w:space="0"/>
              <w:bottom w:val="single" w:color="000000" w:sz="8" w:space="0"/>
              <w:right w:val="single" w:color="000000" w:sz="8" w:space="0"/>
            </w:tcBorders>
            <w:tcW w:w="98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中央空调系统改造</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2925" w:type="dxa"/>
            <w:vAlign w:val="center"/>
            <w:textDirection w:val="lrTb"/>
            <w:noWrap w:val="false"/>
          </w:tcPr>
          <w:p>
            <w:pPr>
              <w:pStyle w:val="687"/>
              <w:jc w:val="center"/>
              <w:rPr>
                <w:rFonts w:hint="eastAsia" w:ascii="宋体" w:hAnsi="宋体" w:cs="宋体"/>
                <w:sz w:val="28"/>
                <w:szCs w:val="28"/>
              </w:rPr>
            </w:pPr>
            <w:r>
              <w:rPr>
                <w:rFonts w:ascii="宋体" w:hAnsi="宋体" w:cs="宋体"/>
                <w:sz w:val="28"/>
                <w:szCs w:val="28"/>
              </w:rPr>
              <w:t xml:space="preserve">更换</w:t>
            </w:r>
            <w:r>
              <w:rPr>
                <w:rFonts w:hint="eastAsia" w:ascii="宋体" w:hAnsi="宋体" w:cs="宋体"/>
                <w:sz w:val="28"/>
                <w:szCs w:val="28"/>
              </w:rPr>
              <w:t xml:space="preserve">119组多联机空调</w:t>
            </w:r>
            <w:r>
              <w:rPr>
                <w:rFonts w:ascii="宋体" w:hAnsi="宋体" w:cs="宋体"/>
                <w:sz w:val="28"/>
                <w:szCs w:val="28"/>
              </w:rPr>
              <w:t xml:space="preserve">室外机</w:t>
            </w:r>
            <w:r>
              <w:rPr>
                <w:rFonts w:hint="eastAsia" w:ascii="宋体" w:hAnsi="宋体" w:cs="宋体"/>
                <w:sz w:val="28"/>
                <w:szCs w:val="28"/>
              </w:rPr>
              <w:t xml:space="preserve">及约628台配套室内机，搭建中央空调智控系统，实现对多联机空调系统的自动控制和集中控制。</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626" w:type="dxa"/>
            <w:vAlign w:val="center"/>
            <w:textDirection w:val="lrTb"/>
            <w:noWrap w:val="false"/>
          </w:tcPr>
          <w:p>
            <w:pPr>
              <w:pStyle w:val="687"/>
              <w:jc w:val="center"/>
              <w:rPr>
                <w:rFonts w:ascii="宋体" w:hAnsi="宋体" w:cs="宋体"/>
                <w:sz w:val="28"/>
                <w:szCs w:val="28"/>
              </w:rPr>
            </w:pPr>
            <w:r>
              <w:rPr>
                <w:rFonts w:hint="eastAsia" w:ascii="宋体" w:hAnsi="宋体" w:cs="宋体"/>
                <w:sz w:val="28"/>
                <w:szCs w:val="28"/>
              </w:rPr>
              <w:t xml:space="preserve">详细见清单</w:t>
            </w:r>
            <w:r>
              <w:rPr>
                <w:rFonts w:ascii="宋体" w:hAnsi="宋体" w:cs="宋体"/>
                <w:sz w:val="28"/>
                <w:szCs w:val="28"/>
              </w:rPr>
            </w:r>
            <w:r/>
          </w:p>
        </w:tc>
      </w:tr>
      <w:tr>
        <w:trPr>
          <w:trHeight w:val="558"/>
        </w:trPr>
        <w:tc>
          <w:tcPr>
            <w:tcBorders>
              <w:top w:val="none" w:color="000000" w:sz="0" w:space="0"/>
              <w:left w:val="single" w:color="000000" w:sz="8" w:space="0"/>
              <w:bottom w:val="single" w:color="000000" w:sz="8" w:space="0"/>
              <w:right w:val="single" w:color="000000" w:sz="8" w:space="0"/>
            </w:tcBorders>
            <w:tcW w:w="46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982"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智慧建筑综合能效管控平台</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292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新建1套智慧建筑综合能效管控平台</w:t>
            </w:r>
            <w:r>
              <w:rPr>
                <w:rFonts w:ascii="宋体" w:hAnsi="宋体" w:cs="宋体"/>
                <w:sz w:val="28"/>
                <w:szCs w:val="28"/>
              </w:rPr>
              <w:t xml:space="preserve">，</w:t>
            </w:r>
            <w:r>
              <w:rPr>
                <w:rFonts w:hint="eastAsia" w:ascii="宋体" w:hAnsi="宋体" w:cs="宋体"/>
                <w:sz w:val="28"/>
                <w:szCs w:val="28"/>
              </w:rPr>
              <w:t xml:space="preserve">新建电能计量管理系统、给水管网监测系统、中央空调群控和智控系统等</w:t>
            </w:r>
            <w:r>
              <w:rPr>
                <w:rFonts w:ascii="宋体" w:hAnsi="宋体" w:cs="宋体"/>
                <w:sz w:val="28"/>
                <w:szCs w:val="28"/>
              </w:rPr>
              <w:t xml:space="preserve">一系列软件部署调试</w:t>
            </w:r>
            <w:r>
              <w:rPr>
                <w:rFonts w:hint="eastAsia" w:ascii="宋体" w:hAnsi="宋体" w:cs="宋体"/>
                <w:sz w:val="28"/>
                <w:szCs w:val="28"/>
              </w:rPr>
              <w:t xml:space="preserve">，</w:t>
            </w:r>
            <w:r>
              <w:rPr>
                <w:rFonts w:ascii="宋体" w:hAnsi="宋体" w:cs="宋体"/>
                <w:sz w:val="28"/>
                <w:szCs w:val="28"/>
              </w:rPr>
              <w:t xml:space="preserve">增加</w:t>
            </w:r>
            <w:r>
              <w:rPr>
                <w:rFonts w:hint="eastAsia" w:ascii="宋体" w:hAnsi="宋体" w:cs="宋体"/>
                <w:sz w:val="28"/>
                <w:szCs w:val="28"/>
              </w:rPr>
              <w:t xml:space="preserve">1台</w:t>
            </w:r>
            <w:r>
              <w:rPr>
                <w:rFonts w:ascii="宋体" w:hAnsi="宋体" w:cs="宋体"/>
                <w:sz w:val="28"/>
                <w:szCs w:val="28"/>
              </w:rPr>
              <w:t xml:space="preserve">智能通讯网关、</w:t>
            </w:r>
            <w:r>
              <w:rPr>
                <w:rFonts w:hint="eastAsia" w:ascii="宋体" w:hAnsi="宋体" w:cs="宋体"/>
                <w:sz w:val="28"/>
                <w:szCs w:val="28"/>
              </w:rPr>
              <w:t xml:space="preserve">约50块</w:t>
            </w:r>
            <w:r>
              <w:rPr>
                <w:rFonts w:ascii="宋体" w:hAnsi="宋体" w:cs="宋体"/>
                <w:sz w:val="28"/>
                <w:szCs w:val="28"/>
              </w:rPr>
              <w:t xml:space="preserve">智能远传电表、</w:t>
            </w:r>
            <w:r>
              <w:rPr>
                <w:rFonts w:hint="eastAsia" w:ascii="宋体" w:hAnsi="宋体" w:cs="宋体"/>
                <w:sz w:val="28"/>
                <w:szCs w:val="28"/>
              </w:rPr>
              <w:t xml:space="preserve">1块智能远传水表和40套多联机控制网关</w:t>
            </w:r>
            <w:r>
              <w:rPr>
                <w:rFonts w:ascii="宋体" w:hAnsi="宋体" w:cs="宋体"/>
                <w:sz w:val="28"/>
                <w:szCs w:val="28"/>
              </w:rPr>
              <w:t xml:space="preserve">等</w:t>
            </w:r>
            <w:r>
              <w:rPr>
                <w:rFonts w:hint="eastAsia" w:ascii="宋体" w:hAnsi="宋体" w:cs="宋体"/>
                <w:sz w:val="28"/>
                <w:szCs w:val="28"/>
              </w:rPr>
              <w:t xml:space="preserve">硬件设备。</w:t>
            </w:r>
            <w:r>
              <w:rPr>
                <w:rFonts w:hint="eastAsia" w:ascii="宋体" w:hAnsi="宋体" w:cs="宋体"/>
                <w:sz w:val="28"/>
                <w:szCs w:val="28"/>
              </w:rPr>
            </w:r>
            <w:r/>
          </w:p>
        </w:tc>
        <w:tc>
          <w:tcPr>
            <w:tcBorders>
              <w:top w:val="none" w:color="000000" w:sz="0" w:space="0"/>
              <w:left w:val="single" w:color="000000" w:sz="8" w:space="0"/>
              <w:bottom w:val="single" w:color="000000" w:sz="8" w:space="0"/>
              <w:right w:val="single" w:color="000000" w:sz="8" w:space="0"/>
            </w:tcBorders>
            <w:tcW w:w="626"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r>
    </w:tbl>
    <w:p>
      <w:pPr>
        <w:pStyle w:val="687"/>
        <w:ind w:firstLine="480"/>
        <w:spacing w:line="360" w:lineRule="auto"/>
        <w:rPr>
          <w:rFonts w:hint="eastAsia" w:ascii="宋体" w:hAnsi="宋体" w:cs="宋体"/>
          <w:sz w:val="28"/>
          <w:szCs w:val="28"/>
        </w:rPr>
      </w:pPr>
      <w:r/>
      <w:bookmarkStart w:id="58" w:name="_Toc1506"/>
      <w:r/>
      <w:bookmarkStart w:id="59" w:name="_Toc212800950"/>
      <w:r>
        <w:rPr>
          <w:rFonts w:hint="eastAsia" w:ascii="宋体" w:hAnsi="宋体" w:cs="宋体"/>
          <w:sz w:val="28"/>
          <w:szCs w:val="28"/>
        </w:rPr>
        <w:t xml:space="preserve">（二）智慧建筑综合能源管理平台功能要求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智慧建筑综合能效管控平台：</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本项目提供的平台应基于分布式云架构，并提供项目管理、用户管理、统一登录、日志审计等基础服务，同时应提供MQTT协议的设备接入服务、提供物联配置与管理服务、提供应用场景配置与集成服务等。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基础功能应包括但不限于：基础管理中心、物联管理中心、物联网平台、应用服务中心等。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基础管理中心：提供对项目、角色等的管理功能，提供对用户注册、审核与授权的管理功能，提供对应用系统配置与授权的管理功能。</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物联管理中心：提供物联设备接入的通用配置管理功能：包括对设备测点与设备模板的管理功能、对调试场景的管理功能等。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能源管理平台：提供物联设备接入的项目化配置管理功能：包括空间模型配置管理功能、设备模板项目化配置功能、项目总体接入设备情况管理功能、各场景接入设备情况管理功能、设备运行监测功能、设备参数监测功能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应用服务中心：提供应用基础组件管理功能：包括规则引擎管理功能、现场组态管理功能、后台任务监测功能等。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电能计量管理系统</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bookmarkStart w:id="60" w:name="_Toc119140634"/>
      <w:r>
        <w:rPr>
          <w:rFonts w:hint="eastAsia" w:ascii="宋体" w:hAnsi="宋体" w:cs="宋体"/>
          <w:sz w:val="28"/>
          <w:szCs w:val="28"/>
        </w:rPr>
        <w:t xml:space="preserve">1）节能对标功能要求</w:t>
      </w:r>
      <w:bookmarkEnd w:id="60"/>
      <w:r>
        <w:rPr>
          <w:rFonts w:hint="eastAsia" w:ascii="宋体" w:hAnsi="宋体" w:cs="宋体"/>
          <w:sz w:val="28"/>
          <w:szCs w:val="28"/>
        </w:rPr>
        <w:t xml:space="preserve">：</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项目配置：配置托管周期、录入每个托管年用电费用指标、节能指标；根据能源资源种类建立能源账单户号。</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账单录入：根据能源资源种类，按托管周期录入逐月基准用量、费用数据；根据能源资源种类分，按托管周期录入分户号录入实际能源资源账号数据。</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统计对标：根据能源资源种类，按托管周期对标指定周期逐月节能对标结果，支持实际情况、价格变化因素影响情况和用能边界变化因素影响情况区分。</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bookmarkStart w:id="61" w:name="_Toc119140635"/>
      <w:r>
        <w:rPr>
          <w:rFonts w:hint="eastAsia" w:ascii="宋体" w:hAnsi="宋体" w:cs="宋体"/>
          <w:sz w:val="28"/>
          <w:szCs w:val="28"/>
        </w:rPr>
        <w:t xml:space="preserve">2）增量追溯功能要求</w:t>
      </w:r>
      <w:bookmarkEnd w:id="61"/>
      <w:r>
        <w:rPr>
          <w:rFonts w:hint="eastAsia" w:ascii="宋体" w:hAnsi="宋体" w:cs="宋体"/>
          <w:sz w:val="28"/>
          <w:szCs w:val="28"/>
        </w:rPr>
        <w:t xml:space="preserve">：</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根据能源资源种类，按增量时间类型对单个监测点，通过时间维度的横向和纵向对比，及时发现增量变化，便于定性定量异常回路，追溯发现异常用能问题。</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昨日增量：监测各用电回路昨日能耗、昨日非工作时段能耗、昨日增量、昨日增量变化率；支持按日能耗、非工作时段能耗、增量、增量变化率进行排序，以便快速定位昨日能耗异常增长回路。</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七日异常：监测昨日能耗大于前7日内最大日能耗设备；支持昨日能耗、7日内最大、最小日能耗排序，以便快速定位用电回路能耗异常增长情况。</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本月同比：监测各用电回路本月月度能耗、同比变化情况；支持按月度能耗、同比变化进行排序。</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上月同比：监测各用电回路上月月度能耗、同比变化情况；支持按月度能耗、同比变化进行排序。</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用电回路能耗日历：可查看用电回路任意月份逐日能耗数据。</w:t>
      </w:r>
      <w:r>
        <w:rPr>
          <w:rFonts w:hint="eastAsia"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用电回路72小时能耗：可查看用电回路任意日期最近72小时内逐时能耗数据。</w:t>
      </w:r>
      <w:r>
        <w:rPr>
          <w:rFonts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给水管网监测系统</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bookmarkStart w:id="62" w:name="_Toc119140638"/>
      <w:r>
        <w:rPr>
          <w:rFonts w:hint="eastAsia" w:ascii="宋体" w:hAnsi="宋体" w:cs="宋体"/>
          <w:sz w:val="28"/>
          <w:szCs w:val="28"/>
        </w:rPr>
        <w:t xml:space="preserve">1）节能对标功能要求</w:t>
      </w:r>
      <w:bookmarkEnd w:id="62"/>
      <w:r>
        <w:rPr>
          <w:rFonts w:hint="eastAsia" w:ascii="宋体" w:hAnsi="宋体" w:cs="宋体"/>
          <w:sz w:val="28"/>
          <w:szCs w:val="28"/>
        </w:rPr>
        <w:t xml:space="preserve">：</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项目配置</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配置托管周期、录入每个托管年用水费用指标、节能指标；根据能源资源种类建立能源账单户号。</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账单录入</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根据能源资源种类，按托管周期录入逐月基准用量、费用数据；根据能源资源种类分，按托管周期录入分户号录入实际能源资源账号数据。</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统计对标</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根据能源资源种类，按托管周期对标指定周期逐月节能对标结果，支持实际情况、价格变化因素影响情况和用能边界变化因素影响情况区分。</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bookmarkStart w:id="63" w:name="_Toc119140639"/>
      <w:r>
        <w:rPr>
          <w:rFonts w:hint="eastAsia" w:ascii="宋体" w:hAnsi="宋体" w:cs="宋体"/>
          <w:sz w:val="28"/>
          <w:szCs w:val="28"/>
        </w:rPr>
        <w:t xml:space="preserve">2）增量追溯功能要求</w:t>
      </w:r>
      <w:bookmarkEnd w:id="63"/>
      <w:r>
        <w:rPr>
          <w:rFonts w:hint="eastAsia" w:ascii="宋体" w:hAnsi="宋体" w:cs="宋体"/>
          <w:sz w:val="28"/>
          <w:szCs w:val="28"/>
        </w:rPr>
        <w:t xml:space="preserve">：</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根据能源资源种类，按增量时间类型对单个监测点，通过时间维度的横向和纵向对比，及时发现增量变化，便于定性定量异常回路，追溯发现异常用能问题。</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昨日增量</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监测各用水计量监测点昨日能耗、昨日非工作时段能耗、昨日增量、昨日增量变化率；支持按日能耗、非工作时段能耗、增量、增量变化率进行排序，以便快速定位昨日能耗异常增长回路。</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七日异常</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监测昨日能耗大于前7日内最大日能耗设备；支持昨日能耗、7日内最大、最小日能耗排序，以便快速定位用水计量监测点能耗异常增长情况。</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本月同比</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监测各用水计量监测点本月月度能耗、同比变化情况；支持按月度能耗、同比变化进行排序。</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上月同比</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监测各用水计量监测点上月月度能耗、同比变化情况；支持按月度能耗、同比变化进行排序。</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用水计量监测点能耗日历</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可查看用水计量监测点任意月份逐日能耗数据。</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用水计量监测点72小时能耗</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可查看用水计量监测点任意日期最近72小时内逐时能耗数据。</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多联机群控及智控系统</w:t>
      </w:r>
      <w:r>
        <w:rPr>
          <w:rFonts w:hint="eastAsia"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实时控制</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支持列表或卡片形式查看当前所有空调运行状态，包括开关、模式、设定温度、室内温度等。</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支持二次筛选功能，可以基于空间标签、管理标签、空调名称、运行状态条件等进行筛选定位。</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支持批量控制功能，可以勾选单个或多个空调进行开关、调温等批量控制。</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策略管理</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支持建立开关、调温控制策略，策略可以灵活设置周期、时间、执行动作、轮询时间、轮询次数等。策略支持指定前置条件，前置条件即空调运行参数的判断条件设置。</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策略可以批量关联空调设备，设备查询可以基于空间标签、管理标签、设备名称等进行筛选。</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可以对策略每次执行的日志进行查询，可以针对单个失败的设备进行重新控制操作。</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报警管理</w:t>
      </w:r>
      <w:r>
        <w:rPr>
          <w:rFonts w:ascii="宋体" w:hAnsi="宋体" w:cs="宋体"/>
          <w:sz w:val="28"/>
          <w:szCs w:val="28"/>
        </w:rPr>
      </w:r>
      <w:r/>
    </w:p>
    <w:p>
      <w:pPr>
        <w:pStyle w:val="687"/>
        <w:ind w:firstLine="480"/>
        <w:spacing w:line="360" w:lineRule="auto"/>
        <w:rPr>
          <w:rFonts w:ascii="宋体" w:hAnsi="宋体" w:cs="宋体"/>
          <w:sz w:val="28"/>
          <w:szCs w:val="28"/>
        </w:rPr>
      </w:pPr>
      <w:r>
        <w:rPr>
          <w:rFonts w:ascii="宋体" w:hAnsi="宋体" w:cs="宋体"/>
          <w:sz w:val="28"/>
          <w:szCs w:val="28"/>
        </w:rPr>
        <w:t xml:space="preserve">支持可视化方式配置空调阈值预警规则，规则支持设定触发对象（单设备、模板设备、预警参数）、判断条件（且或、持续时间等）、执行动作（推送指定用户）。</w:t>
      </w:r>
      <w:r>
        <w:rPr>
          <w:rFonts w:ascii="宋体" w:hAnsi="宋体" w:cs="宋体"/>
          <w:sz w:val="28"/>
          <w:szCs w:val="28"/>
        </w:rPr>
      </w:r>
      <w:r/>
    </w:p>
    <w:p>
      <w:pPr>
        <w:pStyle w:val="687"/>
        <w:ind w:firstLine="480"/>
        <w:spacing w:line="360" w:lineRule="auto"/>
        <w:rPr>
          <w:rFonts w:ascii="宋体" w:hAnsi="宋体" w:cs="宋体"/>
          <w:sz w:val="28"/>
          <w:szCs w:val="28"/>
          <w:highlight w:val="none"/>
        </w:rPr>
      </w:pPr>
      <w:r>
        <w:rPr>
          <w:rFonts w:hint="eastAsia" w:ascii="宋体" w:hAnsi="宋体" w:cs="宋体"/>
          <w:sz w:val="28"/>
          <w:szCs w:val="28"/>
        </w:rPr>
        <w:t xml:space="preserve">（三）中央空调</w:t>
      </w:r>
      <w:r>
        <w:rPr>
          <w:rFonts w:hint="eastAsia" w:ascii="宋体" w:hAnsi="宋体" w:cs="宋体"/>
          <w:sz w:val="28"/>
          <w:szCs w:val="28"/>
          <w:highlight w:val="none"/>
        </w:rPr>
        <w:t xml:space="preserve">系统改造要求</w:t>
      </w:r>
      <w:r>
        <w:rPr>
          <w:rFonts w:ascii="宋体" w:hAnsi="宋体" w:cs="宋体"/>
          <w:sz w:val="28"/>
          <w:szCs w:val="28"/>
          <w:highlight w:val="none"/>
        </w:rPr>
      </w:r>
      <w:r/>
    </w:p>
    <w:p>
      <w:pPr>
        <w:pStyle w:val="687"/>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区行政中心既有中央空调室外机</w:t>
      </w:r>
      <w:r>
        <w:rPr>
          <w:rFonts w:ascii="宋体" w:hAnsi="宋体" w:cs="宋体"/>
          <w:sz w:val="28"/>
          <w:szCs w:val="28"/>
          <w:highlight w:val="none"/>
        </w:rPr>
      </w:r>
      <w:r/>
    </w:p>
    <w:tbl>
      <w:tblPr>
        <w:tblW w:w="81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475"/>
        <w:gridCol w:w="1307"/>
        <w:gridCol w:w="1559"/>
        <w:gridCol w:w="1418"/>
        <w:gridCol w:w="1386"/>
      </w:tblGrid>
      <w:tr>
        <w:trPr>
          <w:trHeight w:val="624"/>
        </w:trPr>
        <w:tc>
          <w:tcPr>
            <w:tcW w:w="960" w:type="dxa"/>
            <w:vAlign w:val="center"/>
            <w:textDirection w:val="lrTb"/>
            <w:noWrap w:val="false"/>
          </w:tcPr>
          <w:p>
            <w:pPr>
              <w:pStyle w:val="687"/>
              <w:jc w:val="center"/>
              <w:spacing w:line="360" w:lineRule="auto"/>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tcW w:w="1475" w:type="dxa"/>
            <w:vAlign w:val="center"/>
            <w:textDirection w:val="lrTb"/>
            <w:noWrap w:val="false"/>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rPr>
            </w:r>
            <w:r/>
          </w:p>
        </w:tc>
        <w:tc>
          <w:tcPr>
            <w:tcW w:w="1307" w:type="dxa"/>
            <w:vAlign w:val="center"/>
            <w:textDirection w:val="lrTb"/>
            <w:noWrap w:val="false"/>
          </w:tcPr>
          <w:p>
            <w:pPr>
              <w:pStyle w:val="687"/>
              <w:jc w:val="center"/>
              <w:spacing w:line="360" w:lineRule="auto"/>
              <w:rPr>
                <w:rFonts w:ascii="宋体" w:hAnsi="宋体" w:cs="宋体"/>
                <w:sz w:val="28"/>
                <w:szCs w:val="28"/>
              </w:rPr>
            </w:pPr>
            <w:r>
              <w:rPr>
                <w:rFonts w:hint="eastAsia" w:ascii="宋体" w:hAnsi="宋体" w:cs="宋体"/>
                <w:sz w:val="28"/>
                <w:szCs w:val="28"/>
              </w:rPr>
              <w:t xml:space="preserve">品牌</w:t>
            </w:r>
            <w:r>
              <w:rPr>
                <w:rFonts w:ascii="宋体" w:hAnsi="宋体" w:cs="宋体"/>
                <w:sz w:val="28"/>
                <w:szCs w:val="28"/>
              </w:rPr>
            </w:r>
            <w:r/>
          </w:p>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型号</w:t>
            </w:r>
            <w:r>
              <w:rPr>
                <w:rFonts w:hint="eastAsia" w:ascii="宋体" w:hAnsi="宋体" w:cs="宋体"/>
                <w:sz w:val="28"/>
                <w:szCs w:val="28"/>
              </w:rPr>
            </w:r>
            <w:r/>
          </w:p>
        </w:tc>
        <w:tc>
          <w:tcPr>
            <w:tcW w:w="1559" w:type="dxa"/>
            <w:vAlign w:val="center"/>
            <w:textDirection w:val="lrTb"/>
            <w:noWrap w:val="false"/>
          </w:tcPr>
          <w:p>
            <w:pPr>
              <w:pStyle w:val="687"/>
              <w:jc w:val="center"/>
              <w:spacing w:line="360" w:lineRule="auto"/>
              <w:rPr>
                <w:rFonts w:ascii="宋体" w:hAnsi="宋体" w:cs="宋体"/>
                <w:sz w:val="28"/>
                <w:szCs w:val="28"/>
              </w:rPr>
            </w:pPr>
            <w:r>
              <w:rPr>
                <w:rFonts w:hint="eastAsia" w:ascii="宋体" w:hAnsi="宋体" w:cs="宋体"/>
                <w:sz w:val="28"/>
                <w:szCs w:val="28"/>
              </w:rPr>
              <w:t xml:space="preserve">制冷功率</w:t>
            </w:r>
            <w:r>
              <w:rPr>
                <w:rFonts w:ascii="宋体" w:hAnsi="宋体" w:cs="宋体"/>
                <w:sz w:val="28"/>
                <w:szCs w:val="28"/>
              </w:rPr>
            </w:r>
            <w:r/>
          </w:p>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（KW）</w:t>
            </w:r>
            <w:r>
              <w:rPr>
                <w:rFonts w:hint="eastAsia" w:ascii="宋体" w:hAnsi="宋体" w:cs="宋体"/>
                <w:sz w:val="28"/>
                <w:szCs w:val="28"/>
              </w:rPr>
            </w:r>
            <w:r/>
          </w:p>
        </w:tc>
        <w:tc>
          <w:tcPr>
            <w:tcW w:w="1418" w:type="dxa"/>
            <w:vAlign w:val="center"/>
            <w:textDirection w:val="lrTb"/>
            <w:noWrap w:val="false"/>
          </w:tcPr>
          <w:p>
            <w:pPr>
              <w:pStyle w:val="687"/>
              <w:jc w:val="center"/>
              <w:spacing w:line="360" w:lineRule="auto"/>
              <w:rPr>
                <w:rFonts w:ascii="宋体" w:hAnsi="宋体" w:cs="宋体"/>
                <w:sz w:val="28"/>
                <w:szCs w:val="28"/>
              </w:rPr>
            </w:pPr>
            <w:r>
              <w:rPr>
                <w:rFonts w:hint="eastAsia" w:ascii="宋体" w:hAnsi="宋体" w:cs="宋体"/>
                <w:sz w:val="28"/>
                <w:szCs w:val="28"/>
              </w:rPr>
              <w:t xml:space="preserve">制热功率</w:t>
            </w:r>
            <w:r>
              <w:rPr>
                <w:rFonts w:ascii="宋体" w:hAnsi="宋体" w:cs="宋体"/>
                <w:sz w:val="28"/>
                <w:szCs w:val="28"/>
              </w:rPr>
            </w:r>
            <w:r/>
          </w:p>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（KW）</w:t>
            </w:r>
            <w:r>
              <w:rPr>
                <w:rFonts w:hint="eastAsia" w:ascii="宋体" w:hAnsi="宋体" w:cs="宋体"/>
                <w:sz w:val="28"/>
                <w:szCs w:val="28"/>
              </w:rPr>
            </w:r>
            <w:r/>
          </w:p>
        </w:tc>
        <w:tc>
          <w:tcPr>
            <w:tcW w:w="1386" w:type="dxa"/>
            <w:vAlign w:val="center"/>
            <w:textDirection w:val="lrTb"/>
            <w:noWrap w:val="false"/>
          </w:tcPr>
          <w:p>
            <w:pPr>
              <w:pStyle w:val="687"/>
              <w:jc w:val="center"/>
              <w:spacing w:line="360" w:lineRule="auto"/>
              <w:rPr>
                <w:rFonts w:ascii="宋体" w:hAnsi="宋体" w:cs="宋体"/>
                <w:sz w:val="28"/>
                <w:szCs w:val="28"/>
              </w:rPr>
            </w:pPr>
            <w:r>
              <w:rPr>
                <w:rFonts w:hint="eastAsia" w:ascii="宋体" w:hAnsi="宋体" w:cs="宋体"/>
                <w:sz w:val="28"/>
                <w:szCs w:val="28"/>
              </w:rPr>
              <w:t xml:space="preserve">数量</w:t>
            </w:r>
            <w:r>
              <w:rPr>
                <w:rFonts w:ascii="宋体" w:hAnsi="宋体" w:cs="宋体"/>
                <w:sz w:val="28"/>
                <w:szCs w:val="28"/>
              </w:rPr>
            </w:r>
            <w:r/>
          </w:p>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（台）</w:t>
            </w:r>
            <w:r>
              <w:rPr>
                <w:rFonts w:hint="eastAsia" w:ascii="宋体" w:hAnsi="宋体" w:cs="宋体"/>
                <w:sz w:val="28"/>
                <w:szCs w:val="28"/>
              </w:rPr>
            </w:r>
            <w:r/>
          </w:p>
        </w:tc>
      </w:tr>
      <w:tr>
        <w:trPr>
          <w:trHeight w:val="276"/>
        </w:trPr>
        <w:tc>
          <w:tcPr>
            <w:tcW w:w="96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47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8.55</w:t>
            </w:r>
            <w:r>
              <w:rPr>
                <w:rFonts w:hint="eastAsia" w:ascii="宋体" w:hAnsi="宋体" w:cs="宋体"/>
                <w:sz w:val="28"/>
                <w:szCs w:val="28"/>
              </w:rPr>
            </w:r>
            <w:r/>
          </w:p>
        </w:tc>
        <w:tc>
          <w:tcPr>
            <w:tcW w:w="1418"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8.46</w:t>
            </w:r>
            <w:r>
              <w:rPr>
                <w:rFonts w:hint="eastAsia" w:ascii="宋体" w:hAnsi="宋体" w:cs="宋体"/>
                <w:sz w:val="28"/>
                <w:szCs w:val="28"/>
              </w:rPr>
            </w:r>
            <w:r/>
          </w:p>
        </w:tc>
        <w:tc>
          <w:tcPr>
            <w:tcW w:w="138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38</w:t>
            </w:r>
            <w:r>
              <w:rPr>
                <w:rFonts w:hint="eastAsia" w:ascii="宋体" w:hAnsi="宋体" w:cs="宋体"/>
                <w:sz w:val="28"/>
                <w:szCs w:val="28"/>
              </w:rPr>
            </w:r>
            <w:r/>
          </w:p>
        </w:tc>
      </w:tr>
      <w:tr>
        <w:trPr>
          <w:trHeight w:val="276"/>
        </w:trPr>
        <w:tc>
          <w:tcPr>
            <w:tcW w:w="96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47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14.3</w:t>
            </w:r>
            <w:r>
              <w:rPr>
                <w:rFonts w:hint="eastAsia" w:ascii="宋体" w:hAnsi="宋体" w:cs="宋体"/>
                <w:sz w:val="28"/>
                <w:szCs w:val="28"/>
              </w:rPr>
            </w:r>
            <w:r/>
          </w:p>
        </w:tc>
        <w:tc>
          <w:tcPr>
            <w:tcW w:w="1418"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13.8</w:t>
            </w:r>
            <w:r>
              <w:rPr>
                <w:rFonts w:hint="eastAsia" w:ascii="宋体" w:hAnsi="宋体" w:cs="宋体"/>
                <w:sz w:val="28"/>
                <w:szCs w:val="28"/>
              </w:rPr>
            </w:r>
            <w:r/>
          </w:p>
        </w:tc>
        <w:tc>
          <w:tcPr>
            <w:tcW w:w="138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r>
      <w:tr>
        <w:trPr>
          <w:trHeight w:val="276"/>
        </w:trPr>
        <w:tc>
          <w:tcPr>
            <w:tcW w:w="96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147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15.9</w:t>
            </w:r>
            <w:r>
              <w:rPr>
                <w:rFonts w:hint="eastAsia" w:ascii="宋体" w:hAnsi="宋体" w:cs="宋体"/>
                <w:sz w:val="28"/>
                <w:szCs w:val="28"/>
              </w:rPr>
            </w:r>
            <w:r/>
          </w:p>
        </w:tc>
        <w:tc>
          <w:tcPr>
            <w:tcW w:w="1418"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14.9</w:t>
            </w:r>
            <w:r>
              <w:rPr>
                <w:rFonts w:hint="eastAsia" w:ascii="宋体" w:hAnsi="宋体" w:cs="宋体"/>
                <w:sz w:val="28"/>
                <w:szCs w:val="28"/>
              </w:rPr>
            </w:r>
            <w:r/>
          </w:p>
        </w:tc>
        <w:tc>
          <w:tcPr>
            <w:tcW w:w="138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44</w:t>
            </w:r>
            <w:r>
              <w:rPr>
                <w:rFonts w:hint="eastAsia" w:ascii="宋体" w:hAnsi="宋体" w:cs="宋体"/>
                <w:sz w:val="28"/>
                <w:szCs w:val="28"/>
              </w:rPr>
            </w:r>
            <w:r/>
          </w:p>
        </w:tc>
      </w:tr>
      <w:tr>
        <w:trPr>
          <w:trHeight w:val="276"/>
        </w:trPr>
        <w:tc>
          <w:tcPr>
            <w:tcW w:w="96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47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r>
            <w:r/>
          </w:p>
        </w:tc>
        <w:tc>
          <w:tcPr>
            <w:tcW w:w="1418"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14.9</w:t>
            </w:r>
            <w:r>
              <w:rPr>
                <w:rFonts w:hint="eastAsia" w:ascii="宋体" w:hAnsi="宋体" w:cs="宋体"/>
                <w:sz w:val="28"/>
                <w:szCs w:val="28"/>
              </w:rPr>
            </w:r>
            <w:r/>
          </w:p>
        </w:tc>
        <w:tc>
          <w:tcPr>
            <w:tcW w:w="138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276"/>
        </w:trPr>
        <w:tc>
          <w:tcPr>
            <w:tcW w:w="96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47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10.5</w:t>
            </w:r>
            <w:r>
              <w:rPr>
                <w:rFonts w:hint="eastAsia" w:ascii="宋体" w:hAnsi="宋体" w:cs="宋体"/>
                <w:sz w:val="28"/>
                <w:szCs w:val="28"/>
              </w:rPr>
            </w:r>
            <w:r/>
          </w:p>
        </w:tc>
        <w:tc>
          <w:tcPr>
            <w:tcW w:w="1418"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10.2</w:t>
            </w:r>
            <w:r>
              <w:rPr>
                <w:rFonts w:hint="eastAsia" w:ascii="宋体" w:hAnsi="宋体" w:cs="宋体"/>
                <w:sz w:val="28"/>
                <w:szCs w:val="28"/>
              </w:rPr>
            </w:r>
            <w:r/>
          </w:p>
        </w:tc>
        <w:tc>
          <w:tcPr>
            <w:tcW w:w="138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31</w:t>
            </w:r>
            <w:r>
              <w:rPr>
                <w:rFonts w:hint="eastAsia" w:ascii="宋体" w:hAnsi="宋体" w:cs="宋体"/>
                <w:sz w:val="28"/>
                <w:szCs w:val="28"/>
              </w:rPr>
            </w:r>
            <w:r/>
          </w:p>
        </w:tc>
      </w:tr>
      <w:tr>
        <w:trPr>
          <w:trHeight w:val="276"/>
        </w:trPr>
        <w:tc>
          <w:tcPr>
            <w:tcW w:w="96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r>
            <w:r/>
          </w:p>
        </w:tc>
        <w:tc>
          <w:tcPr>
            <w:tcW w:w="147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17</w:t>
            </w:r>
            <w:r>
              <w:rPr>
                <w:rFonts w:hint="eastAsia" w:ascii="宋体" w:hAnsi="宋体" w:cs="宋体"/>
                <w:sz w:val="28"/>
                <w:szCs w:val="28"/>
              </w:rPr>
            </w:r>
            <w:r/>
          </w:p>
        </w:tc>
        <w:tc>
          <w:tcPr>
            <w:tcW w:w="1418"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r>
            <w:r/>
          </w:p>
        </w:tc>
        <w:tc>
          <w:tcPr>
            <w:tcW w:w="138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276"/>
        </w:trPr>
        <w:tc>
          <w:tcPr>
            <w:gridSpan w:val="4"/>
            <w:tcW w:w="5301"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合计台数</w:t>
            </w:r>
            <w:r>
              <w:rPr>
                <w:rFonts w:hint="eastAsia" w:ascii="宋体" w:hAnsi="宋体" w:cs="宋体"/>
                <w:sz w:val="28"/>
                <w:szCs w:val="28"/>
              </w:rPr>
            </w:r>
            <w:r/>
          </w:p>
        </w:tc>
        <w:tc>
          <w:tcPr>
            <w:gridSpan w:val="2"/>
            <w:tcW w:w="2804"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119台</w:t>
            </w:r>
            <w:r>
              <w:rPr>
                <w:rFonts w:hint="eastAsia" w:ascii="宋体" w:hAnsi="宋体" w:cs="宋体"/>
                <w:sz w:val="28"/>
                <w:szCs w:val="28"/>
              </w:rPr>
            </w:r>
            <w:r/>
          </w:p>
        </w:tc>
      </w:tr>
    </w:tbl>
    <w:p>
      <w:pPr>
        <w:pStyle w:val="687"/>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区行政中心既有中央空调室内机</w:t>
      </w:r>
      <w:r>
        <w:rPr>
          <w:rFonts w:ascii="宋体" w:hAnsi="宋体" w:cs="宋体"/>
          <w:sz w:val="28"/>
          <w:szCs w:val="28"/>
          <w:highlight w:val="none"/>
        </w:rPr>
      </w:r>
      <w:r/>
    </w:p>
    <w:tbl>
      <w:tblPr>
        <w:tblW w:w="78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280"/>
        <w:gridCol w:w="3429"/>
        <w:gridCol w:w="1856"/>
      </w:tblGrid>
      <w:tr>
        <w:trPr>
          <w:trHeight w:val="288"/>
        </w:trPr>
        <w:tc>
          <w:tcPr>
            <w:tcW w:w="1245" w:type="dxa"/>
            <w:vAlign w:val="center"/>
            <w:textDirection w:val="lrTb"/>
            <w:noWrap/>
          </w:tcPr>
          <w:p>
            <w:pPr>
              <w:pStyle w:val="687"/>
              <w:jc w:val="center"/>
              <w:spacing w:line="360" w:lineRule="auto"/>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tcW w:w="1280"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品名</w:t>
            </w:r>
            <w:r>
              <w:rPr>
                <w:rFonts w:hint="eastAsia"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型号</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数量（台）</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280" w:type="dxa"/>
            <w:vAlign w:val="center"/>
            <w:vMerge w:val="restart"/>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T2风管机</w:t>
            </w:r>
            <w:r>
              <w:rPr>
                <w:rFonts w:hint="eastAsia"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MDV-D71T2/N1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201</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MDV-D90T2/N1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115</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MDV-D100T2/N1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MDV-D125T2/N1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MDV-D140T2/N1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r>
            <w:r/>
          </w:p>
        </w:tc>
        <w:tc>
          <w:tcPr>
            <w:tcW w:w="1280" w:type="dxa"/>
            <w:vAlign w:val="center"/>
            <w:vMerge w:val="restart"/>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T3风管机</w:t>
            </w:r>
            <w:r>
              <w:rPr>
                <w:rFonts w:hint="eastAsia"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MDV-D28T3/N1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26</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MDV-D45T3/N1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MDV-D56T3/N1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231</w:t>
            </w:r>
            <w:r>
              <w:rPr>
                <w:rFonts w:hint="eastAsia" w:ascii="宋体" w:hAnsi="宋体" w:cs="宋体"/>
                <w:sz w:val="28"/>
                <w:szCs w:val="28"/>
              </w:rPr>
            </w:r>
            <w:r/>
          </w:p>
        </w:tc>
      </w:tr>
      <w:tr>
        <w:trPr>
          <w:trHeight w:val="576"/>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r>
            <w:r/>
          </w:p>
        </w:tc>
        <w:tc>
          <w:tcPr>
            <w:tcW w:w="1280" w:type="dxa"/>
            <w:vAlign w:val="center"/>
            <w:vMerge w:val="restart"/>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四出风</w:t>
            </w:r>
            <w:r>
              <w:rPr>
                <w:rFonts w:hint="eastAsia"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MDV-D56Q4/N1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576"/>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MDV-D71Q4/N1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576"/>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MDV-D125Q4/N1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r>
            <w:r/>
          </w:p>
        </w:tc>
      </w:tr>
      <w:tr>
        <w:trPr>
          <w:trHeight w:val="576"/>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r>
            <w:r/>
          </w:p>
        </w:tc>
        <w:tc>
          <w:tcPr>
            <w:tcW w:w="1280" w:type="dxa"/>
            <w:vAlign w:val="center"/>
            <w:vMerge w:val="restart"/>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新风室内机</w:t>
            </w:r>
            <w:r>
              <w:rPr>
                <w:rFonts w:hint="eastAsia"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MDV-D220T1/XFSYN1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288"/>
        </w:trPr>
        <w:tc>
          <w:tcPr>
            <w:tcW w:w="1245"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r>
            <w:r/>
          </w:p>
        </w:tc>
        <w:tc>
          <w:tcPr>
            <w:tcW w:w="1280" w:type="dxa"/>
            <w:vAlign w:val="center"/>
            <w:vMerge w:val="continue"/>
            <w:textDirection w:val="lrTb"/>
            <w:noWrap w:val="false"/>
          </w:tcPr>
          <w:p>
            <w:pPr>
              <w:pStyle w:val="687"/>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MDV-D280T1/XFSYN1</w:t>
            </w:r>
            <w:r>
              <w:rPr>
                <w:rFonts w:hint="eastAsia" w:ascii="宋体" w:hAnsi="宋体" w:cs="宋体"/>
                <w:sz w:val="28"/>
                <w:szCs w:val="28"/>
              </w:rPr>
            </w:r>
            <w:r/>
          </w:p>
        </w:tc>
        <w:tc>
          <w:tcPr>
            <w:tcW w:w="1856" w:type="dxa"/>
            <w:vAlign w:val="center"/>
            <w:textDirection w:val="lrTb"/>
            <w:noWrap/>
          </w:tcPr>
          <w:p>
            <w:pPr>
              <w:pStyle w:val="687"/>
              <w:jc w:val="center"/>
              <w:spacing w:line="36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r>
    </w:tbl>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设备参数要求：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1、投标人所选用的多联机产品应</w:t>
      </w:r>
      <w:r>
        <w:rPr>
          <w:rFonts w:hint="eastAsia" w:ascii="宋体" w:hAnsi="宋体" w:cs="宋体"/>
          <w:sz w:val="28"/>
          <w:szCs w:val="28"/>
          <w:highlight w:val="none"/>
        </w:rPr>
        <w:t xml:space="preserve">为先进的模块化组合式直流变频多联式中央空调产品系列，投标人所投多联机室外机采用模块化的组合机组，并写明单模块组合型号，采用R410A环保冷媒。</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2、投标人所选用的多联机空调设备室内机（单机）和室外机（单机）在标准工况下的额定制冷量、制热量参数等重要参数不低于本项目原使用设备参数，需满足本项目正常使用需求。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3、整个空调系统需满足制冷在环境温度55℃时、制热在环境温度-25℃时仍能正常工作，室外机噪音≤69dB。</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4、所选用的多联机产品具有室外机基础模块后备运转功能，包括室外机压缩机、风机、变频器、传感器、模块具备应急功能。</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5、所选用的多联机产品空调系统具备高效360°贴合冷媒冷却散热功能。</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6、所选用的空调机组具备防雷击保护功能。</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7、投标人所选用的机组应采用R410A环保制冷剂。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8、机组仓储及使用环境条件</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1）机组室外机均布置于房间所在建筑物屋顶原机组位置或附近。</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2）要求室外机占地面积小，安装方便快捷。</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9.货物的生产、安装、维修、检验、验收等按照以下原则执行：有国家标准的执行国家标准；无国家标准的执行行业标准；无行业标准的执行地方标准；无地方标准的执行企业标准。</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10.所有货物（包括零部件）须为全新的、未使用过的原装正品，并完全符合国家质量标准。</w:t>
      </w:r>
      <w:r>
        <w:rPr>
          <w:rFonts w:hint="eastAsia" w:ascii="宋体" w:hAnsi="宋体" w:cs="宋体"/>
          <w:sz w:val="28"/>
          <w:szCs w:val="28"/>
        </w:rPr>
      </w:r>
      <w:r/>
    </w:p>
    <w:p>
      <w:pPr>
        <w:pStyle w:val="687"/>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11.投标人需承担既有屋面多联机室外机和室内机的拆除工作、新屋面多联机室外机和室内机的安装及相关附属设施的恢复工作。既有多联机由采购人按照国有资产相关流程另行处置。</w:t>
      </w:r>
      <w:r>
        <w:rPr>
          <w:rFonts w:ascii="宋体" w:hAnsi="宋体" w:cs="宋体"/>
          <w:sz w:val="28"/>
          <w:szCs w:val="28"/>
          <w:highlight w:val="none"/>
        </w:rPr>
      </w:r>
      <w:r/>
    </w:p>
    <w:p>
      <w:pPr>
        <w:pStyle w:val="687"/>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上述既有空调清单中的多联机型号、参数、数量等内容仅为采购人根据项目现场情况初步统计，如有与现场实际情况不一致的，以现场实际情况为准。投标人在项目中标之后、实施之前，需详细勘查、统计既有多联机型号、参数、数量，确保所选用的多联机空调重要参数不低于本项目原使用设备参数。</w:t>
      </w:r>
      <w:r>
        <w:rPr>
          <w:rFonts w:ascii="宋体" w:hAnsi="宋体" w:cs="宋体"/>
          <w:sz w:val="28"/>
          <w:szCs w:val="28"/>
          <w:highlight w:val="none"/>
        </w:rPr>
      </w:r>
      <w:r/>
    </w:p>
    <w:p>
      <w:pPr>
        <w:pStyle w:val="687"/>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13.投标人在项目中标之后、实施之前需制订详细的施工计划并报招标人备案，经招标人同意后实施，确保空调系统更换不影响行政中心正常办公室秩序。</w:t>
      </w:r>
      <w:r>
        <w:rPr>
          <w:rFonts w:hint="eastAsia" w:ascii="宋体" w:hAnsi="宋体" w:cs="宋体"/>
          <w:sz w:val="28"/>
          <w:szCs w:val="28"/>
          <w:highlight w:val="none"/>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（四）服务内容及要求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基于现有硬件设施及平台控制能力条件下，提供如下基础服务内容：</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1.冷、热、电、自来水的供应</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保证区行政中心空调制冷、制暖、电能、自来水系统的正常供应，及时代缴各能源费用，保障能源日常使用。</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2.能源网软、硬件设施的安全、可靠运行技术支持</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研究区行政中心现有能源监控系统、能源子系统运行管理。对软、硬件安全、可靠运行、能源系统分析功能提出改进意见，包括但不限于对核心指标、能源网子系统指标以及整体运行情况分析（指标管理、能源指标分析、能源生产运行报告等），并在采购人同意后协助实施。在接到采购人关于项目运行故障的通知之后，供应商应根据相关规定和要求，及时完成相关维修或设备更换。</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3.对能源网系统和设备进行节能改造</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根据能源设备实际情况，寻找节能潜力，实施节能改造，降低整体能源消耗。供应商应在获得采购人的同意下，不断进行节能改造设备投入。实施节能改造需向相应的采购人或者其他第三方申请许可、同意或者批准的，由供应商组织申请，并在本合同期间保持其有效性。</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4.统计报表</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按月出具“能源网运行报告”，具体内容包括：当月用能情况分析、能源利用能力分析、运维情况分析等。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基于现有硬件设施及平台控制能力条件下，提供如下增值服务内容及要求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1.一体化解决方案</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通过对区行政中心能源系统的分析、改造，结合对于节能技术的深入研究，服务商提供能源系统的创新、提升等多方面的一体化解决方案。</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通过不断引进国内外先进技术，以完善能源网应用，确保采购人能源系统在国内政府机关领先的地位。</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2.个性化服务</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服务商要及时了解区行政中心能源系统的“个性”，开展个性化需求的收集工作，提供用能时间、温度等柔性的选择，满足采购人在冷、热、电等能源使用上的个性化需求。</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3.设备资产可靠性分析</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随着设备维护时间的增长，设备可靠性基础数据随之增多，通过对这些基础数据进行分析，得出设备可靠性分析数据，如：设备预保养时间、设备故障预判、设备报废时间等，通过分析数据，维护队伍可提前做出人员、物资等安排，为采购人提供更优质的服务。</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通过故障预判，提前消除设备缺陷、防范设备事故、延长设备寿命，降低设备维修保养成本。</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4.用能咨询</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对国家发布的相关政策进行分析与解读，提出合理的用能规划、管理规划、模式规划，持续提升能源系统理念、技术、管理的优越性；与此同时，侧重需求侧的用能分析，开展访谈工作，搜集相关历史用能信息，同时考虑区行政中心自身条件，依托服务商不断引进的新型节能和电能替代技术，对终端的用能能效水平提出合理化指导意见。</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5.搭建交流平台</w:t>
      </w:r>
      <w:r>
        <w:rPr>
          <w:rFonts w:hint="eastAsia" w:ascii="宋体" w:hAnsi="宋体" w:cs="宋体"/>
          <w:sz w:val="28"/>
          <w:szCs w:val="28"/>
        </w:rPr>
      </w:r>
      <w:r/>
    </w:p>
    <w:p>
      <w:pPr>
        <w:pStyle w:val="687"/>
        <w:ind w:firstLine="480"/>
        <w:spacing w:line="360" w:lineRule="auto"/>
        <w:rPr>
          <w:rFonts w:ascii="宋体" w:hAnsi="宋体" w:cs="宋体"/>
          <w:sz w:val="28"/>
          <w:szCs w:val="28"/>
          <w:highlight w:val="none"/>
        </w:rPr>
      </w:pPr>
      <w:r>
        <w:rPr>
          <w:rFonts w:hint="eastAsia" w:ascii="宋体" w:hAnsi="宋体" w:cs="宋体"/>
          <w:sz w:val="28"/>
          <w:szCs w:val="28"/>
        </w:rPr>
        <w:t xml:space="preserve">引进国内外大型机关或公共建筑群先进的节能管理理念、节能经验、节能技术，不断优化提升采购人能源系统的节能效益，奠定采购人</w:t>
      </w:r>
      <w:r>
        <w:rPr>
          <w:rFonts w:hint="eastAsia" w:ascii="宋体" w:hAnsi="宋体" w:cs="宋体"/>
          <w:sz w:val="28"/>
          <w:szCs w:val="28"/>
          <w:highlight w:val="none"/>
        </w:rPr>
        <w:t xml:space="preserve">在国内政府机关绿色节能综合应用方面的领先地位。</w:t>
      </w:r>
      <w:r>
        <w:rPr>
          <w:rFonts w:ascii="宋体" w:hAnsi="宋体" w:cs="宋体"/>
          <w:sz w:val="28"/>
          <w:szCs w:val="28"/>
          <w:highlight w:val="none"/>
        </w:rPr>
      </w:r>
      <w:r/>
    </w:p>
    <w:p>
      <w:pPr>
        <w:pStyle w:val="687"/>
        <w:numPr>
          <w:ilvl w:val="0"/>
          <w:numId w:val="5"/>
        </w:numPr>
        <w:spacing w:line="360" w:lineRule="auto"/>
        <w:tabs>
          <w:tab w:val="left" w:pos="312" w:leader="none"/>
        </w:tabs>
        <w:rPr>
          <w:rFonts w:hint="eastAsia" w:ascii="宋体" w:hAnsi="宋体" w:cs="宋体"/>
          <w:sz w:val="28"/>
          <w:szCs w:val="28"/>
          <w:highlight w:val="none"/>
        </w:rPr>
      </w:pPr>
      <w:r>
        <w:rPr>
          <w:rFonts w:hint="eastAsia" w:ascii="宋体" w:hAnsi="宋体" w:cs="宋体"/>
          <w:sz w:val="28"/>
          <w:szCs w:val="28"/>
          <w:highlight w:val="none"/>
        </w:rPr>
        <w:t xml:space="preserve">空调系统运维服务</w:t>
      </w:r>
      <w:r>
        <w:rPr>
          <w:rFonts w:hint="eastAsia" w:ascii="宋体" w:hAnsi="宋体" w:cs="宋体"/>
          <w:sz w:val="28"/>
          <w:szCs w:val="28"/>
          <w:highlight w:val="none"/>
        </w:rPr>
      </w:r>
      <w:r/>
    </w:p>
    <w:p>
      <w:pPr>
        <w:pStyle w:val="687"/>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由中标人提供配套的空调系统整体运行维护及保养服务。运维费用由采购人与中标人另行商议。</w:t>
      </w:r>
      <w:r>
        <w:rPr>
          <w:rFonts w:ascii="宋体" w:hAnsi="宋体" w:cs="宋体"/>
          <w:sz w:val="28"/>
          <w:szCs w:val="28"/>
          <w:highlight w:val="none"/>
        </w:rPr>
      </w:r>
      <w:r/>
    </w:p>
    <w:p>
      <w:pPr>
        <w:pStyle w:val="687"/>
        <w:numPr>
          <w:ilvl w:val="0"/>
          <w:numId w:val="5"/>
        </w:numPr>
        <w:spacing w:line="360" w:lineRule="auto"/>
        <w:tabs>
          <w:tab w:val="left" w:pos="312" w:leader="none"/>
        </w:tabs>
        <w:rPr>
          <w:rStyle w:val="744"/>
          <w:highlight w:val="none"/>
        </w:rPr>
      </w:pPr>
      <w:r>
        <w:rPr>
          <w:rFonts w:hint="eastAsia" w:ascii="宋体" w:hAnsi="宋体" w:cs="宋体"/>
          <w:sz w:val="28"/>
          <w:szCs w:val="28"/>
          <w:highlight w:val="none"/>
        </w:rPr>
        <w:t xml:space="preserve">代理市场化购电业务</w:t>
      </w:r>
      <w:r>
        <w:rPr>
          <w:rStyle w:val="744"/>
          <w:highlight w:val="none"/>
        </w:rPr>
      </w:r>
      <w:r/>
    </w:p>
    <w:p>
      <w:pPr>
        <w:pStyle w:val="687"/>
        <w:ind w:firstLine="480"/>
        <w:spacing w:line="360" w:lineRule="auto"/>
        <w:rPr>
          <w:rStyle w:val="744"/>
          <w:highlight w:val="none"/>
        </w:rPr>
      </w:pPr>
      <w:r>
        <w:rPr>
          <w:rFonts w:hint="eastAsia" w:ascii="宋体" w:hAnsi="宋体" w:cs="宋体"/>
          <w:sz w:val="28"/>
          <w:szCs w:val="28"/>
          <w:highlight w:val="none"/>
        </w:rPr>
        <w:t xml:space="preserve">由中标人代理区行政中心市场化购电业务。</w:t>
      </w:r>
      <w:r>
        <w:rPr>
          <w:rStyle w:val="744"/>
          <w:highlight w:val="none"/>
        </w:rPr>
      </w:r>
      <w:r/>
    </w:p>
    <w:p>
      <w:pPr>
        <w:pStyle w:val="687"/>
        <w:jc w:val="center"/>
        <w:spacing w:line="360" w:lineRule="auto"/>
        <w:rPr>
          <w:rFonts w:ascii="宋体" w:hAnsi="宋体" w:cs="宋体"/>
          <w:sz w:val="28"/>
          <w:szCs w:val="28"/>
        </w:rPr>
      </w:pPr>
      <w:r>
        <w:rPr>
          <w:rFonts w:hint="eastAsia" w:ascii="宋体" w:hAnsi="宋体" w:cs="宋体"/>
          <w:sz w:val="28"/>
          <w:szCs w:val="28"/>
        </w:rPr>
        <w:t xml:space="preserve">项目服务内容明细表</w:t>
      </w:r>
      <w:r>
        <w:rPr>
          <w:rFonts w:ascii="宋体" w:hAnsi="宋体" w:cs="宋体"/>
          <w:sz w:val="28"/>
          <w:szCs w:val="28"/>
        </w:rPr>
      </w:r>
      <w:r/>
    </w:p>
    <w:tbl>
      <w:tblPr>
        <w:tblW w:w="89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454"/>
        <w:gridCol w:w="6075"/>
      </w:tblGrid>
      <w:tr>
        <w:trPr/>
        <w:tc>
          <w:tcPr>
            <w:tcW w:w="1417"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类别</w:t>
            </w:r>
            <w:r>
              <w:rPr>
                <w:rFonts w:hint="eastAsia" w:ascii="宋体" w:hAnsi="宋体" w:cs="宋体"/>
                <w:sz w:val="28"/>
                <w:szCs w:val="28"/>
              </w:rPr>
            </w:r>
            <w:r/>
          </w:p>
        </w:tc>
        <w:tc>
          <w:tcPr>
            <w:gridSpan w:val="2"/>
            <w:tcW w:w="7529"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服务内容</w:t>
            </w:r>
            <w:r>
              <w:rPr>
                <w:rFonts w:hint="eastAsia" w:ascii="宋体" w:hAnsi="宋体" w:cs="宋体"/>
                <w:sz w:val="28"/>
                <w:szCs w:val="28"/>
              </w:rPr>
            </w:r>
            <w:r/>
          </w:p>
        </w:tc>
      </w:tr>
      <w:tr>
        <w:trPr/>
        <w:tc>
          <w:tcPr>
            <w:tcW w:w="1417" w:type="dxa"/>
            <w:vAlign w:val="center"/>
            <w:vMerge w:val="restart"/>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云龙区行政中心能源托管</w:t>
            </w:r>
            <w:r>
              <w:rPr>
                <w:rFonts w:hint="eastAsia" w:ascii="宋体" w:hAnsi="宋体" w:cs="宋体"/>
                <w:sz w:val="28"/>
                <w:szCs w:val="28"/>
              </w:rPr>
            </w:r>
            <w:r/>
          </w:p>
        </w:tc>
        <w:tc>
          <w:tcPr>
            <w:tcW w:w="1454" w:type="dxa"/>
            <w:vAlign w:val="center"/>
            <w:vMerge w:val="restart"/>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基本服务</w:t>
            </w: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冷、热、电、自来水的供应</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能源网软、硬件设施的安全、可靠运行技术支持</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能源网系统和设备进行换季维护保养指导</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统计报表</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restart"/>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增值服务</w:t>
            </w: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一体化解决方案</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个性化服务</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设备资产可靠性分析</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用能咨询</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t xml:space="preserve">搭建交流平台</w:t>
            </w:r>
            <w:r>
              <w:rPr>
                <w:rFonts w:hint="eastAsia" w:ascii="宋体" w:hAnsi="宋体" w:cs="宋体"/>
                <w:sz w:val="28"/>
                <w:szCs w:val="28"/>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hint="eastAsia" w:ascii="宋体" w:hAnsi="宋体" w:cs="宋体"/>
                <w:sz w:val="28"/>
                <w:szCs w:val="28"/>
                <w:highlight w:val="none"/>
              </w:rPr>
            </w:pPr>
            <w:r>
              <w:rPr>
                <w:rFonts w:hint="eastAsia" w:ascii="宋体" w:hAnsi="宋体" w:cs="宋体"/>
                <w:sz w:val="28"/>
                <w:szCs w:val="28"/>
                <w:highlight w:val="none"/>
              </w:rPr>
              <w:t xml:space="preserve">空调系统运维服务</w:t>
            </w:r>
            <w:r>
              <w:rPr>
                <w:rFonts w:hint="eastAsia" w:ascii="宋体" w:hAnsi="宋体" w:cs="宋体"/>
                <w:sz w:val="28"/>
                <w:szCs w:val="28"/>
                <w:highlight w:val="none"/>
              </w:rPr>
            </w:r>
            <w:r/>
          </w:p>
        </w:tc>
      </w:tr>
      <w:tr>
        <w:trPr/>
        <w:tc>
          <w:tcPr>
            <w:tcW w:w="1417"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687"/>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687"/>
              <w:jc w:val="center"/>
              <w:rPr>
                <w:rFonts w:ascii="宋体" w:hAnsi="宋体" w:cs="宋体"/>
                <w:sz w:val="28"/>
                <w:szCs w:val="28"/>
                <w:highlight w:val="none"/>
              </w:rPr>
            </w:pPr>
            <w:r>
              <w:rPr>
                <w:rFonts w:hint="eastAsia" w:ascii="宋体" w:hAnsi="宋体" w:cs="宋体"/>
                <w:sz w:val="28"/>
                <w:szCs w:val="28"/>
                <w:highlight w:val="none"/>
              </w:rPr>
              <w:t xml:space="preserve">代理市场化购电业务</w:t>
            </w:r>
            <w:r>
              <w:rPr>
                <w:rFonts w:ascii="宋体" w:hAnsi="宋体" w:cs="宋体"/>
                <w:sz w:val="28"/>
                <w:szCs w:val="28"/>
                <w:highlight w:val="none"/>
              </w:rPr>
            </w:r>
            <w:r/>
          </w:p>
        </w:tc>
      </w:tr>
    </w:tbl>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（四）相关说明</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1.供应商在合同期限内仅拥有供应商所投资的所有设备的产权，原采购人能源设备所有权均归采购人所有。</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2.合同履行期满后，供应商应按照合同约定，将其投资形成的项目资产以及竣工资料和日常运行所必需的相关全部文件资料移交给采购人，采购人按照国家统一的会计制度对移交的资产进行会计处理。项目财产的所有权移交时，应同时移交本项目继续运行所必需的资料。如该项目财产的继续使用需要供应商的相关技术和／或相关知识产权的授权，供应商应当无偿向采购人提供仅适用于本项目的该等授权。如该项目财产的继续使用涉及第三方的服务，该服务的费用由采购人承担。</w:t>
      </w:r>
      <w:r>
        <w:rPr>
          <w:rFonts w:hint="eastAsia" w:ascii="宋体" w:hAnsi="宋体" w:cs="宋体"/>
          <w:sz w:val="28"/>
          <w:szCs w:val="28"/>
        </w:rPr>
      </w:r>
      <w:r/>
    </w:p>
    <w:p>
      <w:pPr>
        <w:pStyle w:val="687"/>
        <w:spacing w:line="360" w:lineRule="auto"/>
        <w:rPr>
          <w:rFonts w:ascii="宋体" w:hAnsi="宋体" w:cs="宋体"/>
          <w:b/>
          <w:bCs/>
          <w:sz w:val="28"/>
          <w:szCs w:val="28"/>
        </w:rPr>
      </w:pPr>
      <w:r/>
      <w:bookmarkEnd w:id="58"/>
      <w:r/>
      <w:bookmarkEnd w:id="59"/>
      <w:r>
        <w:rPr>
          <w:rFonts w:hint="eastAsia" w:ascii="宋体" w:hAnsi="宋体" w:cs="宋体"/>
          <w:b/>
          <w:bCs/>
          <w:sz w:val="28"/>
          <w:szCs w:val="28"/>
        </w:rPr>
        <w:t xml:space="preserve">六、管理要求</w:t>
      </w:r>
      <w:r>
        <w:rPr>
          <w:rFonts w:ascii="宋体" w:hAnsi="宋体" w:cs="宋体"/>
          <w:b/>
          <w:bCs/>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（一）人员组织</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中标供应商应为本项目配备经验丰富的项目</w:t>
      </w:r>
      <w:r>
        <w:rPr>
          <w:rFonts w:hint="eastAsia" w:ascii="宋体" w:hAnsi="宋体" w:cs="宋体"/>
          <w:sz w:val="28"/>
          <w:szCs w:val="28"/>
        </w:rPr>
        <w:t xml:space="preserve">团队,团队骨干成员应有能源系统管理、公共建筑节能改造、空调系统运维等相关经验。中标供应商应保证项目团队的主要人员的稳定性，在未经过采购人同意的情况下，中标供应商不得随意更换人员。采购人或中标供应商认为需要更换项目经理或项目团队成员时，均应提早两周向对方申明原因，中标供应商应同时提出新的符合合同要求的项目经理或项目团队成员人选，经采购人同意并办理交接手续后方可更换。若中标供应商未经采购人同意擅自更换项目团队主要成员，采购人有权要求恢复原人员、拒绝更换人员的工作成果，并有权按合同约定扣减服务费用或追究违约责任。</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中标供应商应配备专业技术团队为本项目提供专业技术支持服务，专业技术人员应来自不同的专业领域，如网络专家、暖通设备专家、电力系统专家以及其他专业业务专家等。同时专家团队应对采购人指派的操作人员进行系统、全面、免费的操作与维护培训，确保培训内容覆盖操作规程、紧急预案和日常维护，中标供应商应提供培训材料、考核合格证书，并在项目终止或资产移交前完成所有交接和指导，未完成则不得视为完成移交。</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供应商应当确保其工作人员在项目实施、运行的整个过程中遵守采购人的相关规章制度。</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（二）进度管理</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中标供应商应有详细计划，明确每个阶段的阶段目标、阶段交付物的成果、验收依据、双方的责任和义务等。节能改造实施方案经采购人同意，中标供应商应按项目方案文件规定的技术标准和要求以及本合同的规定，按时完成本项目的方案设计、建设。</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（三）风险管理</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实际运行过程中，风险随时可能出现，中标供应商应根据项目实际情况加强风险管理，做好风险的识别，风险的量化分析，制定风险的应对预案,对中标供应商工作人员出现的安全问题由中标供应商负责。中标供应商应当确保其工作人员严格遵守采购人有关施工场地安全和卫生等方面的规定，并听从采购人合理的现场指挥。</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（四）服务质量</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中标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中标供应商应根据整个项目周期的工作计划，对阶段性工作成果进行审查和测试，并提交阶段性工作成果。通过保证各阶段性成果的质量，最终保证整个项目的质量。中标供应商应针对项目制定详细的质量管理方案。</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（五）文档要求</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中标供应商应依照要求提供服务周期内的各类文档。除特别要求的文档</w:t>
      </w:r>
      <w:r>
        <w:rPr>
          <w:rFonts w:hint="eastAsia" w:ascii="宋体" w:hAnsi="宋体" w:cs="宋体"/>
          <w:sz w:val="28"/>
          <w:szCs w:val="28"/>
        </w:rPr>
        <w:t xml:space="preserve">，可采用电子文档的形式；中标供应商应按照采购人规定的文档格式、文档要求、提交周期准时的相关文档；中标供应商应在项目完成和资产移交时，一次性、完整、准确、无保留地无偿移交所有运行、验收、维护、操作及技术资料（包括不限于电子与纸质文件、账号密码、源代码、接口文档等）及必要的操作授权，若因资料不完整、授权不到位造成采购人运营障碍，中标供应商负责整改或赔偿损失。除了常规报告类的文档，中标供应商需按照服务要求提供相关技术方案等临时性文档，还应配合采购人进行相关项目验收的资料准备、各项规章制度的编制、完善等文档类工作。</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（六）知识产权</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对于结合采购人专门服务需求开发的所有技术方案、平台及相关成果，其知识产权全面归属于采购人。中标供应商不得将相关技术、数据或成果用于除本项目以外的任何用途，对第三方产品侵权纠纷由中标供应商全额赔偿采购人因此遭受的直接及间接损失。中标供应商在项目服务过程中涉及第三方产品，若出现技术、经济或法律上的纠纷，应由中标供应商全面承担解决，确保不影响工作的正常开展。</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（七）合同变更要求</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如在项目服务过程中需要调整合同中规定的工作内容，需经中标供应商与采购人共同同意，按合同变更程序办理。采购人有权根据政策变化、实际需求或项目实施情况，单方提出合理变更要求，中标供应商不得无理拒绝。中标供应商无正当理由拒绝变更的，采购人有权暂停支付相关费用或解除合同并要求赔偿损失。</w:t>
      </w:r>
      <w:r>
        <w:rPr>
          <w:rFonts w:ascii="宋体" w:hAnsi="宋体" w:cs="宋体"/>
          <w:sz w:val="28"/>
          <w:szCs w:val="28"/>
        </w:rPr>
      </w:r>
      <w:r/>
    </w:p>
    <w:p>
      <w:pPr>
        <w:pStyle w:val="687"/>
        <w:spacing w:line="360" w:lineRule="auto"/>
        <w:rPr>
          <w:rFonts w:ascii="宋体" w:hAnsi="宋体" w:cs="宋体"/>
          <w:b/>
          <w:bCs/>
          <w:sz w:val="28"/>
          <w:szCs w:val="28"/>
        </w:rPr>
      </w:pPr>
      <w:r>
        <w:rPr>
          <w:rFonts w:hint="eastAsia" w:ascii="宋体" w:hAnsi="宋体" w:cs="宋体"/>
          <w:b/>
          <w:bCs/>
          <w:sz w:val="28"/>
          <w:szCs w:val="28"/>
        </w:rPr>
        <w:t xml:space="preserve">（八）保密要求</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1.中标供应商必须严格遵守采购人信息安全方面的要求。对于参与项目的人员均需要签订统一的信息保密协议。保密义务期限延长至合同终止后十年。若中标供应商或其雇员、分包人违反保密或信息安全要求，采购人有权要求中标供应商立即整改、赔偿全部损失，并支付合同总价20%的违约金。情节严重时，采购人可单方解除合同并追究中标供应商法律责任。</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2.中标供应商应对以下信息进行保密，确保采购人对能源管理数据的实时掌控和安全监管，未经采购人书面同意，不得外泄。具体包括：</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（1）项目信息：如业务流程、技术方案、业务数据（静态数据、动态数据、历史数据）、报表指标、技术指标、计算机软件、数据库、操作手册、技术资料等。</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（2）保密信息既包括书面认定为保密或专有的，又包括口头给予，随即被书面确认为保密或专有的信息。保密信息存储介质包括但不限于纸质文档、电子文档、光盘、U盘、服务器等文档。</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3.中标供应商组建的项目成员在项目单位履行职责期间，必须遵守采购人规定的保密规章、制度，履行保密职责。不向任何第三人披露采购人的秘密。</w:t>
      </w:r>
      <w:r>
        <w:rPr>
          <w:rFonts w:ascii="宋体" w:hAnsi="宋体" w:cs="宋体"/>
          <w:sz w:val="28"/>
          <w:szCs w:val="28"/>
        </w:rPr>
      </w:r>
      <w:r/>
    </w:p>
    <w:p>
      <w:pPr>
        <w:pStyle w:val="687"/>
        <w:jc w:val="left"/>
        <w:spacing w:line="360" w:lineRule="auto"/>
        <w:rPr>
          <w:rFonts w:ascii="宋体" w:hAnsi="宋体" w:cs="宋体"/>
          <w:b/>
          <w:bCs/>
          <w:sz w:val="28"/>
          <w:szCs w:val="28"/>
        </w:rPr>
      </w:pPr>
      <w:r>
        <w:rPr>
          <w:rFonts w:hint="eastAsia" w:ascii="宋体" w:hAnsi="宋体" w:cs="宋体"/>
          <w:b/>
          <w:bCs/>
          <w:sz w:val="28"/>
          <w:szCs w:val="28"/>
        </w:rPr>
        <w:t xml:space="preserve">七、相关要求</w:t>
      </w:r>
      <w:r>
        <w:rPr>
          <w:rFonts w:ascii="宋体" w:hAnsi="宋体" w:cs="宋体"/>
          <w:b/>
          <w:bCs/>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1.采购人根据项目整体节能降耗比例及核心数据达标情况，对供应商进行奖惩。</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2.因国家相关部门或能源供应公司给予采购人、投标人优惠政策而降低的能源费用应根据优惠政策条件由各方各自受益；该项目论证、评审、验收、招投标等产生的费用由中标人支付。</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3.如单位年度内发生用能设备增、减（5kW及以上），极端天气及设备损坏、遭外力破坏、办公人员增减（30人及以上）、能源资源价格调整等原因导致的能源消耗发生重大变化，双方可根据采购合同约定托管费用的调整和调节进行调整。</w:t>
      </w:r>
      <w:r>
        <w:rPr>
          <w:rFonts w:hint="eastAsia"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4.能源审计是采购人能源系统能源消耗状况的依据，能源审计费用由中标供应商承担。且在托管期内中标供应商须每年委托第三方能源审计机构进行节能量核定，该核定作为当年度节能目标考核依据，节能量核定费用由中标供应商承担。</w:t>
      </w:r>
      <w:r>
        <w:rPr>
          <w:rFonts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5. 托管期限届满，供应商需将托管的能源系统设备、设施移交给采购人或采购人指定的单位。移交的所有设备、设施有损坏的，由乙方负责维修后达到行业标准的良好使用状态，移交给采购人或采购人指定的单位。</w:t>
      </w:r>
      <w:r>
        <w:rPr>
          <w:rFonts w:hint="eastAsia" w:ascii="宋体" w:hAnsi="宋体" w:cs="宋体"/>
          <w:sz w:val="28"/>
          <w:szCs w:val="28"/>
        </w:rPr>
      </w:r>
      <w:r/>
    </w:p>
    <w:p>
      <w:pPr>
        <w:pStyle w:val="687"/>
        <w:jc w:val="left"/>
        <w:spacing w:line="360" w:lineRule="auto"/>
        <w:rPr>
          <w:rFonts w:ascii="宋体" w:hAnsi="宋体" w:cs="宋体"/>
          <w:b/>
          <w:bCs/>
          <w:sz w:val="28"/>
          <w:szCs w:val="28"/>
        </w:rPr>
      </w:pPr>
      <w:r>
        <w:rPr>
          <w:rFonts w:hint="eastAsia" w:ascii="宋体" w:hAnsi="宋体" w:cs="宋体"/>
          <w:b/>
          <w:bCs/>
          <w:sz w:val="28"/>
          <w:szCs w:val="28"/>
        </w:rPr>
        <w:t xml:space="preserve">八、服务要求</w:t>
      </w:r>
      <w:r>
        <w:rPr>
          <w:rFonts w:ascii="宋体" w:hAnsi="宋体" w:cs="宋体"/>
          <w:b/>
          <w:bCs/>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节能目标：</w:t>
      </w:r>
      <w:r>
        <w:rPr>
          <w:rFonts w:ascii="宋体" w:hAnsi="宋体" w:cs="宋体"/>
          <w:sz w:val="28"/>
          <w:szCs w:val="28"/>
        </w:rPr>
        <w:t xml:space="preserve">整体项目实施改造后年综合节能率不低于</w:t>
      </w:r>
      <w:r>
        <w:rPr>
          <w:rFonts w:hint="eastAsia" w:ascii="宋体" w:hAnsi="宋体" w:cs="宋体"/>
          <w:sz w:val="28"/>
          <w:szCs w:val="28"/>
        </w:rPr>
        <w:t xml:space="preserve">10</w:t>
      </w:r>
      <w:r>
        <w:rPr>
          <w:rFonts w:ascii="宋体" w:hAnsi="宋体" w:cs="宋体"/>
          <w:sz w:val="28"/>
          <w:szCs w:val="28"/>
        </w:rPr>
        <w:t xml:space="preserve">%。</w:t>
      </w:r>
      <w:r>
        <w:rPr>
          <w:rFonts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服务指标：项目服务满意率95%以上；能源消耗量、能源费用、峰谷电比等核心数据维持较好应用水平，并呈现持续改进态势。</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服务时间：提供365天*24小时的不间断运维服务指导，为用户提供最灵活的用能体验。</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故障响应时间：设备发生故障应在2小时内予以响应，8小时内修复，因特殊零配件原因48小时内修复，并持续协助故障的最终解答或解决。</w:t>
      </w:r>
      <w:r>
        <w:rPr>
          <w:rFonts w:hint="eastAsia" w:ascii="宋体" w:hAnsi="宋体" w:cs="宋体"/>
          <w:sz w:val="28"/>
          <w:szCs w:val="28"/>
        </w:rPr>
      </w:r>
      <w:r/>
    </w:p>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项目保障：建立健全项目相关组织构架、设备、系统、记录、创新、奖惩等各环节、多维度的规章制度，并执行到位。</w:t>
      </w:r>
      <w:r>
        <w:rPr>
          <w:rFonts w:hint="eastAsia"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供冷、供暖要求：具体见下表。</w:t>
      </w:r>
      <w:r>
        <w:rPr>
          <w:rFonts w:ascii="宋体" w:hAnsi="宋体" w:cs="宋体"/>
          <w:sz w:val="28"/>
          <w:szCs w:val="28"/>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2545"/>
        <w:gridCol w:w="2671"/>
        <w:gridCol w:w="2560"/>
        <w:gridCol w:w="236"/>
      </w:tblGrid>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5月20日至9月30日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11月21日至3月10日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室内温度</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夏季室内≥26℃且≤28℃，冬季室内≥18℃且≤20℃</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蒸汽标准</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r>
      <w:tr>
        <w:trPr/>
        <w:tc>
          <w:tcPr>
            <w:tcW w:w="1548" w:type="dxa"/>
            <w:vAlign w:val="center"/>
            <w:vMerge w:val="restart"/>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日供时段</w:t>
            </w:r>
            <w:r>
              <w:rPr>
                <w:rFonts w:hint="eastAsia" w:ascii="仿宋_GB2312" w:hAnsi="仿宋_GB2312" w:eastAsia="仿宋_GB2312" w:cs="仿宋_GB2312"/>
                <w:sz w:val="28"/>
                <w:szCs w:val="28"/>
              </w:rPr>
            </w:r>
            <w:r/>
          </w:p>
        </w:tc>
        <w:tc>
          <w:tcPr>
            <w:tcW w:w="2545"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w:t>
            </w:r>
            <w:r>
              <w:rPr>
                <w:rFonts w:hint="eastAsia" w:ascii="仿宋_GB2312" w:hAnsi="仿宋_GB2312" w:eastAsia="仿宋_GB2312" w:cs="仿宋_GB2312"/>
                <w:sz w:val="28"/>
                <w:szCs w:val="28"/>
              </w:rPr>
            </w:r>
            <w:r/>
          </w:p>
        </w:tc>
        <w:tc>
          <w:tcPr>
            <w:tcW w:w="2671"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w:t>
            </w:r>
            <w:r>
              <w:rPr>
                <w:rFonts w:hint="eastAsia" w:ascii="仿宋_GB2312" w:hAnsi="仿宋_GB2312" w:eastAsia="仿宋_GB2312" w:cs="仿宋_GB2312"/>
                <w:sz w:val="28"/>
                <w:szCs w:val="28"/>
              </w:rPr>
            </w:r>
            <w:r/>
          </w:p>
        </w:tc>
        <w:tc>
          <w:tcPr>
            <w:tcW w:w="2560"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w:t>
            </w:r>
            <w:r>
              <w:rPr>
                <w:rFonts w:hint="eastAsia" w:ascii="仿宋_GB2312" w:hAnsi="仿宋_GB2312" w:eastAsia="仿宋_GB2312" w:cs="仿宋_GB2312"/>
                <w:sz w:val="28"/>
                <w:szCs w:val="28"/>
              </w:rPr>
            </w:r>
            <w:r/>
          </w:p>
        </w:tc>
        <w:tc>
          <w:tcPr>
            <w:tcW w:w="236" w:type="dxa"/>
            <w:vAlign w:val="top"/>
            <w:textDirection w:val="lrTb"/>
            <w:noWrap w:val="false"/>
          </w:tcPr>
          <w:p>
            <w:pPr>
              <w:pStyle w:val="687"/>
              <w:rPr>
                <w:rFonts w:hint="eastAsia" w:ascii="仿宋_GB2312" w:hAnsi="仿宋_GB2312" w:eastAsia="仿宋_GB2312" w:cs="仿宋_GB2312"/>
              </w:rPr>
            </w:pPr>
            <w:r>
              <w:rPr>
                <w:rFonts w:hint="eastAsia" w:ascii="仿宋_GB2312" w:hAnsi="仿宋_GB2312" w:eastAsia="仿宋_GB2312" w:cs="仿宋_GB2312"/>
              </w:rPr>
            </w:r>
            <w:r/>
          </w:p>
        </w:tc>
      </w:tr>
      <w:tr>
        <w:trPr/>
        <w:tc>
          <w:tcPr>
            <w:tcW w:w="1548" w:type="dxa"/>
            <w:vAlign w:val="center"/>
            <w:vMerge w:val="continue"/>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2545" w:type="dxa"/>
            <w:vAlign w:val="center"/>
            <w:textDirection w:val="lrTb"/>
            <w:noWrap w:val="false"/>
          </w:tcPr>
          <w:p>
            <w:pPr>
              <w:pStyle w:val="687"/>
              <w:jc w:val="center"/>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ascii="仿宋_GB2312" w:hAnsi="仿宋_GB2312" w:eastAsia="仿宋_GB2312" w:cs="仿宋_GB2312"/>
                <w:sz w:val="28"/>
                <w:szCs w:val="28"/>
              </w:rPr>
            </w:r>
            <w:r/>
          </w:p>
        </w:tc>
        <w:tc>
          <w:tcPr>
            <w:tcW w:w="2671"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hint="eastAsia" w:ascii="仿宋_GB2312" w:hAnsi="仿宋_GB2312" w:eastAsia="仿宋_GB2312" w:cs="仿宋_GB2312"/>
                <w:sz w:val="28"/>
                <w:szCs w:val="28"/>
              </w:rPr>
            </w:r>
            <w:r/>
          </w:p>
        </w:tc>
        <w:tc>
          <w:tcPr>
            <w:tcW w:w="2560" w:type="dxa"/>
            <w:vAlign w:val="center"/>
            <w:textDirection w:val="lrTb"/>
            <w:noWrap w:val="false"/>
          </w:tcPr>
          <w:p>
            <w:pPr>
              <w:pStyle w:val="687"/>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c>
          <w:tcPr>
            <w:tcW w:w="236" w:type="dxa"/>
            <w:vAlign w:val="top"/>
            <w:textDirection w:val="lrTb"/>
            <w:noWrap w:val="false"/>
          </w:tcPr>
          <w:p>
            <w:pPr>
              <w:pStyle w:val="687"/>
              <w:rPr>
                <w:rFonts w:hint="eastAsia" w:ascii="仿宋_GB2312" w:hAnsi="仿宋_GB2312" w:eastAsia="仿宋_GB2312" w:cs="仿宋_GB2312"/>
              </w:rPr>
            </w:pPr>
            <w:r>
              <w:rPr>
                <w:rFonts w:hint="eastAsia" w:ascii="仿宋_GB2312" w:hAnsi="仿宋_GB2312" w:eastAsia="仿宋_GB2312" w:cs="仿宋_GB2312"/>
              </w:rPr>
            </w:r>
            <w:r/>
          </w:p>
        </w:tc>
      </w:tr>
    </w:tbl>
    <w:p>
      <w:pPr>
        <w:pStyle w:val="687"/>
        <w:ind w:firstLine="480"/>
        <w:spacing w:line="360" w:lineRule="auto"/>
        <w:rPr>
          <w:rFonts w:hint="eastAsia" w:ascii="宋体" w:hAnsi="宋体" w:cs="宋体"/>
          <w:sz w:val="28"/>
          <w:szCs w:val="28"/>
        </w:rPr>
      </w:pPr>
      <w:r>
        <w:rPr>
          <w:rFonts w:hint="eastAsia" w:ascii="宋体" w:hAnsi="宋体" w:cs="宋体"/>
          <w:sz w:val="28"/>
          <w:szCs w:val="28"/>
        </w:rPr>
        <w:t xml:space="preserve">注：非供冷和供热期时，室外气温32℃以上，或室外气温10℃以下时，乙方应提供供冷或供热服务。节假日、休息日或特殊情况时，托管服务范围内的会议室等公共场所，根据采购人实际工作安排，乙方应无条件配合采购人安排，提供供冷或供热服务。如采购人再后续项目运营过程中提出个性化需求，则以采购人需求为准。</w:t>
      </w:r>
      <w:r>
        <w:rPr>
          <w:rFonts w:hint="eastAsia" w:ascii="宋体" w:hAnsi="宋体" w:cs="宋体"/>
          <w:sz w:val="28"/>
          <w:szCs w:val="28"/>
        </w:rPr>
      </w:r>
      <w:r/>
    </w:p>
    <w:p>
      <w:pPr>
        <w:pStyle w:val="687"/>
        <w:ind w:firstLine="480"/>
        <w:jc w:val="left"/>
        <w:spacing w:line="560" w:lineRule="exact"/>
        <w:widowControl/>
        <w:rPr>
          <w:rFonts w:hint="eastAsia" w:ascii="宋体" w:hAnsi="宋体" w:cs="宋体"/>
          <w:sz w:val="28"/>
          <w:szCs w:val="28"/>
        </w:rPr>
      </w:pPr>
      <w:r>
        <w:rPr>
          <w:rFonts w:hint="eastAsia" w:ascii="宋体" w:hAnsi="宋体" w:cs="宋体"/>
          <w:sz w:val="28"/>
          <w:szCs w:val="28"/>
        </w:rPr>
        <w:t xml:space="preserve">托管项目的运维管理情况：采购人委托投标人新建本项目智慧建筑综合能效管控平台实现电能计量管理系统、给水管网监测管理系统、空调智控系统，更换多联机中央空调室外机、室内机。托管期限内，投标人在本项目设有专门的能源管理</w:t>
      </w:r>
      <w:r>
        <w:rPr>
          <w:rFonts w:hint="eastAsia" w:ascii="宋体" w:hAnsi="宋体" w:cs="宋体"/>
          <w:sz w:val="28"/>
          <w:szCs w:val="28"/>
        </w:rPr>
        <w:t xml:space="preserve">人员负责托管事宜，并建立专业的管理团队提供服务，对用能系统的设备及系统进行管理运营，设备开关及控制由投标人负责，日常管理/值班人员不少于2人次，值班周期为工作日。管理团队成员名单、相应的资质资格证书应提交采购人备案。如因特殊原因需要更换人员，更换人员的资质不得低于原团队成员。管理团队成员名单、相应的资质资格证书应在合同生效后10个工作日内提交采购人备案，团队核心成员变更须经采购人书面同意，乙方应提前7个工作日书面通知采购人，并提供替换人员的资质、资格证书，重要岗位人员（项目负责人）的更换须经采购人书面同意。</w:t>
      </w:r>
      <w:r>
        <w:rPr>
          <w:rFonts w:hint="eastAsia" w:ascii="宋体" w:hAnsi="宋体" w:cs="宋体"/>
          <w:sz w:val="28"/>
          <w:szCs w:val="28"/>
        </w:rPr>
      </w:r>
      <w:r/>
    </w:p>
    <w:p>
      <w:pPr>
        <w:pStyle w:val="687"/>
        <w:jc w:val="left"/>
        <w:spacing w:line="360" w:lineRule="auto"/>
        <w:rPr>
          <w:rFonts w:ascii="宋体" w:hAnsi="宋体" w:cs="宋体"/>
          <w:b/>
          <w:bCs/>
          <w:sz w:val="28"/>
          <w:szCs w:val="28"/>
        </w:rPr>
      </w:pPr>
      <w:r>
        <w:rPr>
          <w:rFonts w:hint="eastAsia" w:ascii="宋体" w:hAnsi="宋体" w:cs="宋体"/>
          <w:b/>
          <w:bCs/>
          <w:sz w:val="28"/>
          <w:szCs w:val="28"/>
        </w:rPr>
        <w:t xml:space="preserve">九、</w:t>
      </w:r>
      <w:r>
        <w:rPr>
          <w:rFonts w:ascii="宋体" w:hAnsi="宋体" w:cs="宋体"/>
          <w:b/>
          <w:bCs/>
          <w:sz w:val="28"/>
          <w:szCs w:val="28"/>
        </w:rPr>
        <w:t xml:space="preserve">付款方式及履约保证金</w:t>
      </w:r>
      <w:r>
        <w:rPr>
          <w:rFonts w:hint="eastAsia" w:ascii="宋体" w:hAnsi="宋体" w:cs="宋体"/>
          <w:b/>
          <w:bCs/>
          <w:sz w:val="28"/>
          <w:szCs w:val="28"/>
        </w:rPr>
        <w:t xml:space="preserve">：</w:t>
      </w:r>
      <w:r>
        <w:rPr>
          <w:rFonts w:ascii="宋体" w:hAnsi="宋体" w:cs="宋体"/>
          <w:b/>
          <w:bCs/>
          <w:sz w:val="28"/>
          <w:szCs w:val="28"/>
        </w:rPr>
      </w:r>
      <w:r/>
    </w:p>
    <w:p>
      <w:pPr>
        <w:pStyle w:val="687"/>
        <w:ind w:firstLine="480"/>
        <w:jc w:val="left"/>
        <w:spacing w:line="560" w:lineRule="exact"/>
        <w:widowControl/>
        <w:rPr>
          <w:rFonts w:ascii="宋体" w:hAnsi="宋体" w:cs="宋体"/>
          <w:sz w:val="28"/>
          <w:szCs w:val="28"/>
        </w:rPr>
      </w:pPr>
      <w:r>
        <w:rPr>
          <w:rFonts w:ascii="宋体" w:hAnsi="宋体" w:cs="宋体"/>
          <w:sz w:val="28"/>
          <w:szCs w:val="28"/>
        </w:rPr>
        <w:t xml:space="preserve">1.付款方式：本项目合同期限为 10年，共10 期</w:t>
      </w:r>
      <w:r>
        <w:rPr>
          <w:rFonts w:hint="eastAsia" w:ascii="宋体" w:hAnsi="宋体" w:cs="宋体"/>
          <w:sz w:val="28"/>
          <w:szCs w:val="28"/>
        </w:rPr>
        <w:t xml:space="preserve">，</w:t>
      </w:r>
      <w:r>
        <w:rPr>
          <w:rFonts w:ascii="宋体" w:hAnsi="宋体" w:cs="宋体"/>
          <w:sz w:val="28"/>
          <w:szCs w:val="28"/>
        </w:rPr>
        <w:t xml:space="preserve">每12个月为1期，从</w:t>
      </w:r>
      <w:r>
        <w:rPr>
          <w:rFonts w:hint="eastAsia" w:ascii="宋体" w:hAnsi="宋体" w:cs="宋体"/>
          <w:sz w:val="28"/>
          <w:szCs w:val="28"/>
        </w:rPr>
        <w:t xml:space="preserve">项目改造完成进入托管期的</w:t>
      </w:r>
      <w:r>
        <w:rPr>
          <w:rFonts w:ascii="宋体" w:hAnsi="宋体" w:cs="宋体"/>
          <w:sz w:val="28"/>
          <w:szCs w:val="28"/>
        </w:rPr>
        <w:t xml:space="preserve">次月1日起至第 12 个月</w:t>
      </w:r>
      <w:r>
        <w:rPr>
          <w:rFonts w:hint="eastAsia" w:ascii="宋体" w:hAnsi="宋体" w:cs="宋体"/>
          <w:sz w:val="28"/>
          <w:szCs w:val="28"/>
        </w:rPr>
        <w:t xml:space="preserve">结束</w:t>
      </w:r>
      <w:r>
        <w:rPr>
          <w:rFonts w:ascii="宋体" w:hAnsi="宋体" w:cs="宋体"/>
          <w:sz w:val="28"/>
          <w:szCs w:val="28"/>
        </w:rPr>
        <w:t xml:space="preserve">为第1期，第 13 个月至第 24 个月为第2期，以此类推。采购人1期分12次支付托管费用，每个月为1次，</w:t>
      </w:r>
      <w:r>
        <w:rPr>
          <w:rFonts w:hint="eastAsia" w:ascii="宋体" w:hAnsi="宋体" w:cs="宋体"/>
          <w:sz w:val="28"/>
          <w:szCs w:val="28"/>
        </w:rPr>
        <w:t xml:space="preserve">在收到投标人项目全额费用发票后10日之内支付</w:t>
      </w:r>
      <w:r>
        <w:rPr>
          <w:rFonts w:ascii="宋体" w:hAnsi="宋体" w:cs="宋体"/>
          <w:sz w:val="28"/>
          <w:szCs w:val="28"/>
        </w:rPr>
        <w:t xml:space="preserve">，因支付能源费用不及时导致停电、水、燃气或造成费用滞纳金由失误方承担。</w:t>
      </w:r>
      <w:r>
        <w:rPr>
          <w:rFonts w:ascii="宋体" w:hAnsi="宋体" w:cs="宋体"/>
          <w:sz w:val="28"/>
          <w:szCs w:val="28"/>
        </w:rPr>
      </w:r>
      <w:r/>
    </w:p>
    <w:p>
      <w:pPr>
        <w:pStyle w:val="687"/>
        <w:ind w:firstLine="480"/>
        <w:jc w:val="left"/>
        <w:spacing w:line="560" w:lineRule="exact"/>
        <w:widowControl/>
        <w:rPr>
          <w:rFonts w:ascii="宋体" w:hAnsi="宋体" w:cs="宋体"/>
          <w:sz w:val="28"/>
          <w:szCs w:val="28"/>
        </w:rPr>
      </w:pPr>
      <w:r>
        <w:rPr>
          <w:rFonts w:ascii="宋体" w:hAnsi="宋体" w:cs="宋体"/>
          <w:sz w:val="28"/>
          <w:szCs w:val="28"/>
        </w:rPr>
        <w:t xml:space="preserve">2.履约保证金：本项目不收取履约保证金。</w:t>
      </w:r>
      <w:r>
        <w:rPr>
          <w:rFonts w:ascii="宋体" w:hAnsi="宋体" w:cs="宋体"/>
          <w:sz w:val="28"/>
          <w:szCs w:val="28"/>
        </w:rPr>
      </w:r>
      <w:r/>
    </w:p>
    <w:p>
      <w:pPr>
        <w:pStyle w:val="687"/>
        <w:jc w:val="left"/>
        <w:spacing w:line="360" w:lineRule="auto"/>
        <w:rPr>
          <w:rFonts w:ascii="宋体" w:hAnsi="宋体" w:cs="宋体"/>
          <w:b/>
          <w:bCs/>
          <w:sz w:val="28"/>
          <w:szCs w:val="28"/>
        </w:rPr>
      </w:pPr>
      <w:r>
        <w:rPr>
          <w:rFonts w:hint="eastAsia" w:ascii="宋体" w:hAnsi="宋体" w:cs="宋体"/>
          <w:b/>
          <w:bCs/>
          <w:sz w:val="28"/>
          <w:szCs w:val="28"/>
        </w:rPr>
        <w:t xml:space="preserve">十、其他要求：</w:t>
      </w:r>
      <w:r>
        <w:rPr>
          <w:rFonts w:ascii="宋体" w:hAnsi="宋体" w:cs="宋体"/>
          <w:b/>
          <w:bCs/>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1.合同履行期间，如出现年度节能率连续两年未达10%或服务质量满意率低于90%，采购人有权提前终止合同并要求赔偿。</w:t>
      </w:r>
      <w:r>
        <w:rPr>
          <w:rFonts w:ascii="宋体" w:hAnsi="宋体" w:cs="宋体"/>
          <w:sz w:val="28"/>
          <w:szCs w:val="28"/>
        </w:rPr>
      </w:r>
      <w:r/>
    </w:p>
    <w:p>
      <w:pPr>
        <w:pStyle w:val="687"/>
        <w:ind w:firstLine="480"/>
        <w:jc w:val="left"/>
        <w:spacing w:line="360" w:lineRule="auto"/>
        <w:rPr>
          <w:rFonts w:ascii="宋体" w:hAnsi="宋体" w:cs="宋体"/>
          <w:sz w:val="28"/>
          <w:szCs w:val="28"/>
        </w:rPr>
      </w:pPr>
      <w:r>
        <w:rPr>
          <w:rFonts w:hint="eastAsia" w:ascii="宋体" w:hAnsi="宋体" w:cs="宋体"/>
          <w:sz w:val="28"/>
          <w:szCs w:val="28"/>
        </w:rPr>
        <w:t xml:space="preserve">2.若双方对节能率核算存在争议，应由双方共同委托第三方能源审计机构进行核查，核查费用由中标供应商承担。第三方能源审计机构出具的年度节能量核定报告作为费用结算依据。如中标供应商未能达成本约定节能目标，采购人有权扣减其托管服务费用或追究违约责任，具体处理办法以合同补充协议予以明确；如持续不达标，采购人有权解除合同并追究相关损失。</w:t>
      </w:r>
      <w:r>
        <w:rPr>
          <w:rFonts w:ascii="宋体" w:hAnsi="宋体" w:cs="宋体"/>
          <w:sz w:val="28"/>
          <w:szCs w:val="28"/>
        </w:rPr>
      </w:r>
      <w:r/>
    </w:p>
    <w:p>
      <w:pPr>
        <w:pStyle w:val="687"/>
        <w:ind w:firstLine="480"/>
        <w:jc w:val="left"/>
        <w:spacing w:line="360" w:lineRule="auto"/>
        <w:rPr>
          <w:rFonts w:ascii="宋体" w:hAnsi="宋体" w:cs="宋体"/>
          <w:b/>
          <w:bCs/>
          <w:sz w:val="28"/>
          <w:szCs w:val="28"/>
        </w:rPr>
      </w:pPr>
      <w:r>
        <w:rPr>
          <w:rFonts w:hint="eastAsia" w:ascii="宋体" w:hAnsi="宋体" w:cs="宋体"/>
          <w:b/>
          <w:bCs/>
          <w:sz w:val="28"/>
          <w:szCs w:val="28"/>
        </w:rPr>
        <w:t xml:space="preserve">3.其他要求：见招标文件第五章《拟签订的合同文本》。</w:t>
      </w:r>
      <w:r>
        <w:rPr>
          <w:rFonts w:ascii="宋体" w:hAnsi="宋体" w:cs="宋体"/>
          <w:b/>
          <w:bCs/>
          <w:sz w:val="28"/>
          <w:szCs w:val="28"/>
        </w:rPr>
      </w:r>
      <w:r/>
    </w:p>
    <w:p>
      <w:pPr>
        <w:pStyle w:val="687"/>
        <w:jc w:val="center"/>
        <w:rPr>
          <w:rFonts w:ascii="宋体" w:hAnsi="宋体" w:cs="宋体"/>
          <w:sz w:val="32"/>
        </w:rPr>
      </w:pPr>
      <w:r>
        <w:rPr>
          <w:rFonts w:hint="eastAsia" w:ascii="宋体" w:hAnsi="宋体" w:cs="宋体"/>
          <w:b/>
          <w:sz w:val="30"/>
        </w:rPr>
        <w:br w:type="page" w:clear="all"/>
      </w:r>
      <w:r>
        <w:rPr>
          <w:rFonts w:hint="eastAsia" w:ascii="宋体" w:hAnsi="宋体" w:cs="宋体"/>
          <w:b/>
          <w:sz w:val="30"/>
        </w:rPr>
        <w:t xml:space="preserve">              </w:t>
      </w:r>
      <w:r>
        <w:rPr>
          <w:rFonts w:hint="eastAsia" w:ascii="宋体" w:hAnsi="宋体" w:cs="宋体"/>
          <w:b/>
          <w:sz w:val="30"/>
        </w:rPr>
        <w:t xml:space="preserve">第七章 投标文件相关格式</w:t>
      </w:r>
      <w:r>
        <w:rPr>
          <w:rFonts w:ascii="宋体" w:hAnsi="宋体" w:cs="宋体"/>
          <w:sz w:val="32"/>
        </w:rPr>
      </w:r>
      <w:r/>
    </w:p>
    <w:p>
      <w:pPr>
        <w:pStyle w:val="687"/>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ascii="宋体" w:hAnsi="宋体" w:cs="宋体"/>
          <w:b/>
          <w:bCs/>
          <w:sz w:val="32"/>
          <w:szCs w:val="32"/>
        </w:rPr>
      </w:r>
      <w:r/>
    </w:p>
    <w:p>
      <w:pPr>
        <w:pStyle w:val="687"/>
        <w:spacing w:line="239" w:lineRule="atLeas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致：</w:t>
      </w:r>
      <w:r>
        <w:rPr>
          <w:rFonts w:hint="eastAsia" w:ascii="宋体" w:hAnsi="宋体" w:cs="宋体"/>
          <w:b/>
          <w:bCs/>
          <w:sz w:val="30"/>
          <w:u w:val="single"/>
        </w:rPr>
        <w:t xml:space="preserve">徐州市云龙区机关事务服务中心</w:t>
      </w:r>
      <w:r>
        <w:rPr>
          <w:rFonts w:hint="eastAsia" w:ascii="宋体" w:hAnsi="宋体" w:cs="宋体"/>
          <w:b/>
          <w:bCs/>
        </w:rPr>
      </w:r>
      <w:r/>
    </w:p>
    <w:p>
      <w:pPr>
        <w:pStyle w:val="687"/>
        <w:ind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根据</w:t>
      </w:r>
      <w:r>
        <w:rPr>
          <w:rFonts w:hint="eastAsia" w:ascii="宋体" w:hAnsi="宋体" w:cs="宋体"/>
          <w:sz w:val="30"/>
          <w:u w:val="single"/>
        </w:rPr>
        <w:t xml:space="preserve">    </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]招标文件，</w:t>
      </w:r>
      <w:r>
        <w:rPr>
          <w:rFonts w:hint="eastAsia" w:ascii="宋体" w:hAnsi="宋体" w:cs="宋体"/>
          <w:sz w:val="30"/>
          <w:u w:val="single"/>
        </w:rPr>
        <w:t xml:space="preserve">     </w:t>
      </w:r>
      <w:r>
        <w:rPr>
          <w:rFonts w:hint="eastAsia" w:ascii="宋体" w:hAnsi="宋体" w:cs="宋体"/>
          <w:sz w:val="30"/>
        </w:rPr>
        <w:t xml:space="preserve">(姓名)代表我方</w:t>
      </w:r>
      <w:r>
        <w:rPr>
          <w:rFonts w:hint="eastAsia" w:ascii="宋体" w:hAnsi="宋体" w:cs="宋体"/>
          <w:sz w:val="30"/>
          <w:u w:val="single"/>
        </w:rPr>
        <w:t xml:space="preserve">   </w:t>
      </w:r>
      <w:r>
        <w:rPr>
          <w:rFonts w:hint="eastAsia" w:ascii="宋体" w:hAnsi="宋体" w:cs="宋体"/>
          <w:sz w:val="30"/>
        </w:rPr>
        <w:t xml:space="preserve">（投标人的名称）全权处理本次投标的有关事宜。</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据此函，投标人承诺并同意如下： </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 投标人唯一投标报价见《开标一览表》。</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 投标人将按招标文件的规定履行合同责任和义务。</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 投标人已详细审查全部招标文件，包括第[插入编号] [补遗书][如果有的话]。投标人完全理解并同意放弃对这方面有不明及误解的权力。</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 投标有效期为开标之日后90天。</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 投标人在投标初始有效期内撤回投标，其投标保证金将不退还。</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 投标人同意提供按照贵方可能要求的与其投标有关的一切数据或资料，完全理解贵方不一定接受最低价的投标或收到的任何投标。</w:t>
      </w:r>
      <w:r>
        <w:rPr>
          <w:rFonts w:ascii="宋体" w:hAnsi="宋体" w:cs="宋体"/>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 投标人同意在授予合同后，按照有关规定支付公证费(如有)。</w:t>
      </w:r>
      <w:r>
        <w:rPr>
          <w:rFonts w:ascii="宋体" w:hAnsi="宋体" w:cs="宋体"/>
        </w:rPr>
      </w:r>
      <w:r/>
    </w:p>
    <w:p>
      <w:pPr>
        <w:pStyle w:val="687"/>
        <w:ind w:right="29"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 采购人或采购代理机构有权将我单位本项目的《开标一览表》和《分项价格表》予以公示，公示的方式由江苏天同工程咨询有限公司确定。</w:t>
      </w:r>
      <w:r>
        <w:rPr>
          <w:rFonts w:ascii="宋体" w:hAnsi="宋体" w:cs="宋体"/>
        </w:rPr>
      </w:r>
      <w:r/>
    </w:p>
    <w:p>
      <w:pPr>
        <w:pStyle w:val="687"/>
        <w:ind w:right="29"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 采购人有权对投标人投标文件的真实性进行核实，如投标人不能在采购人规定的时间内向采购人提供有效的证明文件，将被采购人视为放弃中标资格。</w:t>
      </w:r>
      <w:r>
        <w:rPr>
          <w:rFonts w:ascii="宋体" w:hAnsi="宋体" w:cs="宋体"/>
          <w:sz w:val="30"/>
        </w:rPr>
      </w:r>
      <w:r/>
    </w:p>
    <w:p>
      <w:pPr>
        <w:pStyle w:val="687"/>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 与本投标有关的一切正式往来信函请寄：</w:t>
      </w:r>
      <w:r>
        <w:rPr>
          <w:rFonts w:ascii="宋体" w:hAnsi="宋体" w:cs="宋体"/>
        </w:rPr>
      </w:r>
      <w:r/>
    </w:p>
    <w:p>
      <w:pPr>
        <w:pStyle w:val="687"/>
        <w:ind w:firstLine="12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地址： </w:t>
      </w:r>
      <w:r>
        <w:rPr>
          <w:rFonts w:ascii="宋体" w:hAnsi="宋体" w:cs="宋体"/>
        </w:rPr>
      </w:r>
      <w:r/>
    </w:p>
    <w:p>
      <w:pPr>
        <w:pStyle w:val="687"/>
        <w:ind w:firstLine="12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电话： </w:t>
      </w:r>
      <w:r>
        <w:rPr>
          <w:rFonts w:ascii="宋体" w:hAnsi="宋体" w:cs="宋体"/>
        </w:rPr>
      </w:r>
      <w:r/>
    </w:p>
    <w:p>
      <w:pPr>
        <w:pStyle w:val="687"/>
        <w:ind w:firstLine="27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sz w:val="30"/>
        </w:rPr>
      </w:r>
      <w:r/>
    </w:p>
    <w:p>
      <w:pPr>
        <w:pStyle w:val="687"/>
        <w:ind w:firstLine="27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687"/>
        <w:ind w:firstLine="27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hint="eastAsia" w:ascii="宋体" w:hAnsi="宋体" w:cs="宋体"/>
        </w:rPr>
        <w:br w:type="page" w:clear="all"/>
      </w:r>
      <w:r>
        <w:rPr>
          <w:rFonts w:ascii="宋体" w:hAnsi="宋体" w:cs="宋体"/>
        </w:rPr>
      </w:r>
      <w:r/>
    </w:p>
    <w:p>
      <w:pPr>
        <w:pStyle w:val="687"/>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w:t>
      </w:r>
      <w:r>
        <w:rPr>
          <w:rFonts w:ascii="宋体" w:hAnsi="宋体" w:cs="宋体"/>
          <w:b/>
          <w:bCs/>
          <w:sz w:val="32"/>
          <w:szCs w:val="32"/>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项目编号：</w:t>
      </w:r>
      <w:r>
        <w:rPr>
          <w:rFonts w:ascii="宋体" w:hAnsi="宋体" w:cs="宋体"/>
        </w:rPr>
      </w:r>
      <w:r/>
    </w:p>
    <w:p>
      <w:pPr>
        <w:pStyle w:val="687"/>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 </w:t>
      </w:r>
      <w:r>
        <w:rPr>
          <w:rFonts w:ascii="宋体" w:hAnsi="宋体" w:cs="宋体"/>
        </w:rPr>
      </w:r>
      <w:r/>
    </w:p>
    <w:p>
      <w:pPr>
        <w:pStyle w:val="687"/>
        <w:jc w:val="righ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货币单位：人民币元</w:t>
      </w:r>
      <w:r>
        <w:rPr>
          <w:rFonts w:ascii="宋体" w:hAnsi="宋体" w:cs="宋体"/>
          <w:sz w:val="28"/>
          <w:szCs w:val="28"/>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ascii="宋体" w:hAnsi="宋体" w:cs="宋体"/>
                <w:sz w:val="28"/>
                <w:szCs w:val="28"/>
              </w:rPr>
            </w:r>
            <w:r/>
          </w:p>
        </w:tc>
        <w:tc>
          <w:tcPr>
            <w:tcMar>
              <w:left w:w="108" w:type="dxa"/>
              <w:top w:w="0" w:type="dxa"/>
              <w:right w:w="108" w:type="dxa"/>
              <w:bottom w:w="0" w:type="dxa"/>
            </w:tcMar>
            <w:tcW w:w="2119"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项目内容</w:t>
            </w:r>
            <w:r>
              <w:rPr>
                <w:rFonts w:ascii="宋体" w:hAnsi="宋体" w:cs="宋体"/>
                <w:sz w:val="28"/>
                <w:szCs w:val="28"/>
              </w:rPr>
            </w:r>
            <w:r/>
          </w:p>
        </w:tc>
        <w:tc>
          <w:tcPr>
            <w:tcMar>
              <w:left w:w="108" w:type="dxa"/>
              <w:top w:w="0" w:type="dxa"/>
              <w:right w:w="108" w:type="dxa"/>
              <w:bottom w:w="0" w:type="dxa"/>
            </w:tcMar>
            <w:tcW w:w="2321"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总价（小写）</w:t>
            </w:r>
            <w:r>
              <w:rPr>
                <w:rFonts w:ascii="宋体" w:hAnsi="宋体" w:cs="宋体"/>
                <w:sz w:val="28"/>
                <w:szCs w:val="28"/>
              </w:rPr>
            </w:r>
            <w:r/>
          </w:p>
        </w:tc>
      </w:tr>
      <w:tr>
        <w:trPr>
          <w:trHeight w:val="1214"/>
        </w:trPr>
        <w:tc>
          <w:tcPr>
            <w:tcMar>
              <w:left w:w="108" w:type="dxa"/>
              <w:top w:w="0" w:type="dxa"/>
              <w:right w:w="108" w:type="dxa"/>
              <w:bottom w:w="0" w:type="dxa"/>
            </w:tcMar>
            <w:tcW w:w="4076" w:type="dxa"/>
            <w:vAlign w:val="center"/>
            <w:textDirection w:val="lrTb"/>
            <w:noWrap w:val="false"/>
          </w:tcPr>
          <w:p>
            <w:pPr>
              <w:pStyle w:val="687"/>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徐州市云龙区行政中心能源费用托管服务项目</w:t>
            </w:r>
            <w:r>
              <w:rPr>
                <w:rFonts w:hint="eastAsia" w:ascii="宋体" w:hAnsi="宋体" w:cs="宋体"/>
                <w:sz w:val="28"/>
                <w:szCs w:val="28"/>
              </w:rPr>
            </w:r>
            <w:r/>
          </w:p>
        </w:tc>
        <w:tc>
          <w:tcPr>
            <w:tcMar>
              <w:left w:w="108" w:type="dxa"/>
              <w:top w:w="0" w:type="dxa"/>
              <w:right w:w="108" w:type="dxa"/>
              <w:bottom w:w="0" w:type="dxa"/>
            </w:tcMar>
            <w:tcW w:w="2119"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详见投标文件</w:t>
            </w:r>
            <w:r>
              <w:rPr>
                <w:rFonts w:ascii="宋体" w:hAnsi="宋体" w:cs="宋体"/>
                <w:sz w:val="28"/>
                <w:szCs w:val="28"/>
              </w:rPr>
            </w:r>
            <w:r/>
          </w:p>
        </w:tc>
        <w:tc>
          <w:tcPr>
            <w:tcMar>
              <w:left w:w="108" w:type="dxa"/>
              <w:top w:w="0" w:type="dxa"/>
              <w:right w:w="108" w:type="dxa"/>
              <w:bottom w:w="0" w:type="dxa"/>
            </w:tcMar>
            <w:tcW w:w="2321"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947"/>
        </w:trPr>
        <w:tc>
          <w:tcPr>
            <w:tcMar>
              <w:left w:w="108" w:type="dxa"/>
              <w:top w:w="0" w:type="dxa"/>
              <w:right w:w="108" w:type="dxa"/>
              <w:bottom w:w="0" w:type="dxa"/>
            </w:tcMar>
            <w:tcW w:w="4076"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总价（大写）：</w:t>
            </w:r>
            <w:r>
              <w:rPr>
                <w:rFonts w:ascii="宋体" w:hAnsi="宋体" w:cs="宋体"/>
                <w:sz w:val="28"/>
                <w:szCs w:val="28"/>
              </w:rPr>
            </w:r>
            <w:r/>
          </w:p>
        </w:tc>
        <w:tc>
          <w:tcPr>
            <w:gridSpan w:val="2"/>
            <w:tcMar>
              <w:left w:w="108" w:type="dxa"/>
              <w:top w:w="0" w:type="dxa"/>
              <w:right w:w="108" w:type="dxa"/>
              <w:bottom w:w="0" w:type="dxa"/>
            </w:tcMar>
            <w:tcW w:w="4440"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68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ind w:firstLine="33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687"/>
        <w:ind w:firstLine="39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33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ascii="宋体" w:hAnsi="宋体" w:cs="宋体"/>
        </w:rPr>
      </w:r>
      <w:r/>
    </w:p>
    <w:p>
      <w:pPr>
        <w:pStyle w:val="687"/>
        <w:ind w:firstLine="600"/>
        <w:jc w:val="center"/>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三、分项价格表格式</w:t>
      </w:r>
      <w:r>
        <w:rPr>
          <w:rFonts w:ascii="宋体" w:hAnsi="宋体" w:cs="宋体"/>
          <w:b/>
          <w:bCs/>
          <w:sz w:val="32"/>
          <w:szCs w:val="32"/>
          <w:highlight w:val="none"/>
        </w:rPr>
      </w:r>
      <w:r/>
    </w:p>
    <w:p>
      <w:pPr>
        <w:pStyle w:val="687"/>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687"/>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687"/>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687"/>
        <w:jc w:val="right"/>
        <w:rPr>
          <w:rFonts w:ascii="宋体" w:hAnsi="宋体" w:cs="宋体"/>
          <w:sz w:val="28"/>
          <w:szCs w:val="28"/>
        </w:rPr>
      </w:pPr>
      <w:r>
        <w:rPr>
          <w:rFonts w:ascii="宋体" w:hAnsi="宋体" w:cs="宋体"/>
          <w:sz w:val="28"/>
          <w:szCs w:val="28"/>
        </w:rPr>
      </w:r>
      <w:r/>
    </w:p>
    <w:p>
      <w:pPr>
        <w:pStyle w:val="687"/>
        <w:jc w:val="center"/>
        <w:rPr>
          <w:rFonts w:ascii="宋体" w:hAnsi="宋体" w:cs="宋体"/>
          <w:sz w:val="28"/>
          <w:szCs w:val="28"/>
        </w:rPr>
      </w:pPr>
      <w:r>
        <w:rPr>
          <w:rFonts w:ascii="宋体" w:hAnsi="宋体" w:cs="宋体"/>
          <w:sz w:val="28"/>
          <w:szCs w:val="28"/>
        </w:rPr>
      </w:r>
      <w:r/>
    </w:p>
    <w:p>
      <w:pPr>
        <w:pStyle w:val="687"/>
        <w:jc w:val="center"/>
        <w:rPr>
          <w:rFonts w:ascii="宋体" w:hAnsi="宋体" w:cs="宋体"/>
          <w:sz w:val="28"/>
          <w:szCs w:val="28"/>
        </w:rPr>
      </w:pPr>
      <w:r>
        <w:rPr>
          <w:rFonts w:ascii="宋体" w:hAnsi="宋体" w:cs="宋体"/>
          <w:sz w:val="28"/>
          <w:szCs w:val="28"/>
        </w:rPr>
      </w:r>
      <w:r/>
    </w:p>
    <w:p>
      <w:pPr>
        <w:pStyle w:val="687"/>
        <w:jc w:val="center"/>
        <w:rPr>
          <w:rFonts w:ascii="宋体" w:hAnsi="宋体" w:cs="宋体"/>
          <w:sz w:val="28"/>
          <w:szCs w:val="28"/>
        </w:rPr>
      </w:pPr>
      <w:r>
        <w:rPr>
          <w:rFonts w:ascii="宋体" w:hAnsi="宋体" w:cs="宋体"/>
          <w:sz w:val="28"/>
          <w:szCs w:val="28"/>
        </w:rPr>
      </w:r>
      <w:r/>
    </w:p>
    <w:p>
      <w:pPr>
        <w:pStyle w:val="687"/>
        <w:jc w:val="center"/>
        <w:rPr>
          <w:rFonts w:ascii="宋体" w:hAnsi="宋体" w:cs="宋体"/>
          <w:sz w:val="28"/>
          <w:szCs w:val="28"/>
        </w:rPr>
      </w:pPr>
      <w:r>
        <w:rPr>
          <w:rFonts w:ascii="宋体" w:hAnsi="宋体" w:cs="宋体"/>
          <w:sz w:val="28"/>
          <w:szCs w:val="28"/>
        </w:rPr>
      </w:r>
      <w:r/>
    </w:p>
    <w:p>
      <w:pPr>
        <w:pStyle w:val="687"/>
        <w:jc w:val="center"/>
        <w:rPr>
          <w:rFonts w:ascii="宋体" w:hAnsi="宋体" w:cs="宋体"/>
          <w:sz w:val="28"/>
          <w:szCs w:val="28"/>
        </w:rPr>
      </w:pPr>
      <w:r>
        <w:rPr>
          <w:rFonts w:ascii="宋体" w:hAnsi="宋体" w:cs="宋体"/>
          <w:sz w:val="28"/>
          <w:szCs w:val="28"/>
        </w:rPr>
      </w:r>
      <w:r/>
    </w:p>
    <w:p>
      <w:pPr>
        <w:pStyle w:val="687"/>
        <w:jc w:val="center"/>
        <w:rPr>
          <w:rFonts w:ascii="宋体" w:hAnsi="宋体" w:cs="宋体"/>
          <w:sz w:val="28"/>
          <w:szCs w:val="28"/>
        </w:rPr>
      </w:pPr>
      <w:r>
        <w:rPr>
          <w:rFonts w:hint="eastAsia" w:ascii="宋体" w:hAnsi="宋体" w:cs="宋体"/>
          <w:sz w:val="28"/>
          <w:szCs w:val="28"/>
        </w:rPr>
        <w:t xml:space="preserve">格式自拟</w:t>
      </w:r>
      <w:r>
        <w:rPr>
          <w:rFonts w:ascii="宋体" w:hAnsi="宋体" w:cs="宋体"/>
          <w:sz w:val="28"/>
          <w:szCs w:val="28"/>
        </w:rPr>
      </w:r>
      <w:r/>
    </w:p>
    <w:p>
      <w:pPr>
        <w:pStyle w:val="687"/>
        <w:ind w:firstLine="3640"/>
        <w:spacing w:line="300" w:lineRule="auto"/>
        <w:rPr>
          <w:rFonts w:ascii="宋体" w:hAnsi="宋体" w:cs="宋体"/>
          <w:sz w:val="28"/>
          <w:szCs w:val="28"/>
        </w:rPr>
      </w:pPr>
      <w:r>
        <w:rPr>
          <w:rFonts w:ascii="宋体" w:hAnsi="宋体" w:cs="宋体"/>
          <w:sz w:val="28"/>
          <w:szCs w:val="28"/>
        </w:rPr>
      </w:r>
      <w:r/>
    </w:p>
    <w:p>
      <w:pPr>
        <w:pStyle w:val="687"/>
        <w:ind w:firstLine="3640"/>
        <w:spacing w:line="300" w:lineRule="auto"/>
        <w:rPr>
          <w:rFonts w:ascii="宋体" w:hAnsi="宋体" w:cs="宋体"/>
          <w:sz w:val="28"/>
          <w:szCs w:val="28"/>
        </w:rPr>
      </w:pPr>
      <w:r>
        <w:rPr>
          <w:rFonts w:ascii="宋体" w:hAnsi="宋体" w:cs="宋体"/>
          <w:sz w:val="28"/>
          <w:szCs w:val="28"/>
        </w:rPr>
      </w:r>
      <w:r/>
    </w:p>
    <w:p>
      <w:pPr>
        <w:pStyle w:val="687"/>
        <w:ind w:firstLine="3640"/>
        <w:spacing w:line="300" w:lineRule="auto"/>
        <w:rPr>
          <w:rFonts w:ascii="宋体" w:hAnsi="宋体" w:cs="宋体"/>
          <w:sz w:val="28"/>
          <w:szCs w:val="28"/>
        </w:rPr>
      </w:pPr>
      <w:r>
        <w:rPr>
          <w:rFonts w:ascii="宋体" w:hAnsi="宋体" w:cs="宋体"/>
          <w:sz w:val="28"/>
          <w:szCs w:val="28"/>
        </w:rPr>
      </w:r>
      <w:r/>
    </w:p>
    <w:p>
      <w:pPr>
        <w:pStyle w:val="687"/>
        <w:ind w:firstLine="3640"/>
        <w:spacing w:line="300" w:lineRule="auto"/>
        <w:rPr>
          <w:rFonts w:ascii="宋体" w:hAnsi="宋体" w:cs="宋体"/>
          <w:sz w:val="28"/>
          <w:szCs w:val="28"/>
        </w:rPr>
      </w:pPr>
      <w:r>
        <w:rPr>
          <w:rFonts w:ascii="宋体" w:hAnsi="宋体" w:cs="宋体"/>
          <w:sz w:val="28"/>
          <w:szCs w:val="28"/>
        </w:rPr>
      </w:r>
      <w:r/>
    </w:p>
    <w:p>
      <w:pPr>
        <w:pStyle w:val="687"/>
        <w:ind w:firstLine="3640"/>
        <w:spacing w:line="300" w:lineRule="auto"/>
        <w:rPr>
          <w:rFonts w:ascii="宋体" w:hAnsi="宋体" w:cs="宋体"/>
          <w:sz w:val="28"/>
          <w:szCs w:val="28"/>
        </w:rPr>
      </w:pPr>
      <w:r>
        <w:rPr>
          <w:rFonts w:ascii="宋体" w:hAnsi="宋体" w:cs="宋体"/>
          <w:sz w:val="28"/>
          <w:szCs w:val="28"/>
        </w:rPr>
      </w:r>
      <w:r/>
    </w:p>
    <w:p>
      <w:pPr>
        <w:pStyle w:val="687"/>
        <w:ind w:firstLine="3640"/>
        <w:spacing w:line="300" w:lineRule="auto"/>
        <w:rPr>
          <w:rFonts w:ascii="宋体" w:hAnsi="宋体" w:cs="宋体"/>
          <w:sz w:val="28"/>
          <w:szCs w:val="28"/>
        </w:rPr>
      </w:pPr>
      <w:r>
        <w:rPr>
          <w:rFonts w:ascii="宋体" w:hAnsi="宋体" w:cs="宋体"/>
          <w:sz w:val="28"/>
          <w:szCs w:val="28"/>
        </w:rPr>
      </w:r>
      <w:r/>
    </w:p>
    <w:p>
      <w:pPr>
        <w:pStyle w:val="687"/>
        <w:ind w:firstLine="364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30"/>
          <w:u w:val="single"/>
        </w:rPr>
        <w:t xml:space="preserve">    </w:t>
      </w:r>
      <w:r>
        <w:rPr>
          <w:rFonts w:hint="eastAsia" w:ascii="宋体" w:hAnsi="宋体" w:cs="宋体"/>
          <w:sz w:val="28"/>
          <w:szCs w:val="28"/>
        </w:rPr>
        <w:t xml:space="preserve">（电子签章）</w:t>
      </w:r>
      <w:r>
        <w:rPr>
          <w:rFonts w:ascii="宋体" w:hAnsi="宋体" w:cs="宋体"/>
          <w:sz w:val="28"/>
          <w:szCs w:val="28"/>
        </w:rPr>
      </w:r>
      <w:r/>
    </w:p>
    <w:p>
      <w:pPr>
        <w:pStyle w:val="687"/>
        <w:ind w:firstLine="3640"/>
        <w:spacing w:line="360" w:lineRule="auto"/>
        <w:rPr>
          <w:rFonts w:ascii="宋体" w:hAnsi="宋体" w:cs="宋体"/>
          <w:sz w:val="28"/>
          <w:szCs w:val="28"/>
        </w:rPr>
      </w:pPr>
      <w:r>
        <w:rPr>
          <w:rFonts w:ascii="宋体" w:hAnsi="宋体" w:cs="宋体"/>
          <w:sz w:val="28"/>
          <w:szCs w:val="28"/>
        </w:rPr>
      </w:r>
      <w:r/>
    </w:p>
    <w:p>
      <w:pPr>
        <w:pStyle w:val="687"/>
        <w:ind w:firstLine="3640"/>
        <w:spacing w:line="360" w:lineRule="auto"/>
        <w:rPr>
          <w:rFonts w:ascii="宋体" w:hAnsi="宋体" w:cs="宋体"/>
          <w:sz w:val="28"/>
          <w:szCs w:val="28"/>
        </w:rPr>
      </w:pPr>
      <w:r>
        <w:rPr>
          <w:rFonts w:hint="eastAsia" w:ascii="宋体" w:hAnsi="宋体" w:cs="宋体"/>
          <w:sz w:val="28"/>
          <w:szCs w:val="28"/>
        </w:rPr>
        <w:t xml:space="preserve">日期：   年  月  日</w:t>
      </w:r>
      <w:r>
        <w:rPr>
          <w:rFonts w:ascii="宋体" w:hAnsi="宋体" w:cs="宋体"/>
          <w:sz w:val="28"/>
          <w:szCs w:val="28"/>
        </w:rPr>
      </w:r>
      <w:r/>
    </w:p>
    <w:p>
      <w:pPr>
        <w:pStyle w:val="687"/>
        <w:jc w:val="left"/>
        <w:widowControl/>
        <w:rPr>
          <w:rFonts w:ascii="宋体" w:hAnsi="宋体" w:cs="宋体"/>
          <w:sz w:val="28"/>
          <w:szCs w:val="28"/>
        </w:rPr>
      </w:pPr>
      <w:r>
        <w:rPr>
          <w:rFonts w:ascii="宋体" w:hAnsi="宋体" w:cs="宋体"/>
          <w:sz w:val="28"/>
          <w:szCs w:val="28"/>
        </w:rPr>
      </w:r>
      <w:r/>
    </w:p>
    <w:p>
      <w:pPr>
        <w:pStyle w:val="687"/>
        <w:jc w:val="left"/>
        <w:widowControl/>
        <w:rPr>
          <w:rFonts w:ascii="宋体" w:hAnsi="宋体" w:cs="宋体"/>
          <w:sz w:val="28"/>
          <w:szCs w:val="28"/>
        </w:rPr>
      </w:pPr>
      <w:r>
        <w:rPr>
          <w:rFonts w:hint="eastAsia" w:ascii="宋体" w:hAnsi="宋体" w:cs="宋体"/>
          <w:sz w:val="28"/>
          <w:szCs w:val="28"/>
        </w:rPr>
        <w:t xml:space="preserve">注：</w:t>
      </w:r>
      <w:r>
        <w:rPr>
          <w:rFonts w:ascii="宋体" w:hAnsi="宋体" w:cs="宋体"/>
          <w:sz w:val="28"/>
          <w:szCs w:val="28"/>
        </w:rPr>
      </w:r>
      <w:r/>
    </w:p>
    <w:p>
      <w:pPr>
        <w:pStyle w:val="687"/>
        <w:jc w:val="left"/>
        <w:widowControl/>
        <w:rPr>
          <w:rFonts w:ascii="宋体" w:hAnsi="宋体" w:cs="宋体"/>
          <w:sz w:val="28"/>
          <w:szCs w:val="28"/>
        </w:rPr>
      </w:pPr>
      <w:r>
        <w:rPr>
          <w:rFonts w:hint="eastAsia" w:ascii="宋体" w:hAnsi="宋体" w:cs="宋体"/>
          <w:sz w:val="28"/>
          <w:szCs w:val="28"/>
        </w:rPr>
        <w:t xml:space="preserve">1、如果不提供详细分项报价将视为没有实质性响应招标文件。</w:t>
      </w:r>
      <w:r>
        <w:rPr>
          <w:rFonts w:ascii="宋体" w:hAnsi="宋体" w:cs="宋体"/>
          <w:sz w:val="28"/>
          <w:szCs w:val="28"/>
        </w:rPr>
      </w:r>
      <w:r/>
    </w:p>
    <w:p>
      <w:pPr>
        <w:pStyle w:val="687"/>
        <w:jc w:val="left"/>
        <w:widowControl/>
        <w:rPr>
          <w:rFonts w:ascii="宋体" w:hAnsi="宋体" w:cs="宋体"/>
          <w:sz w:val="28"/>
          <w:szCs w:val="28"/>
        </w:rPr>
      </w:pPr>
      <w:r>
        <w:rPr>
          <w:rFonts w:hint="eastAsia" w:ascii="宋体" w:hAnsi="宋体" w:cs="宋体"/>
          <w:sz w:val="28"/>
          <w:szCs w:val="28"/>
        </w:rPr>
        <w:t xml:space="preserve">2、投标人对以上数据的真实性负责。</w:t>
      </w:r>
      <w:r>
        <w:rPr>
          <w:rFonts w:ascii="宋体" w:hAnsi="宋体" w:cs="宋体"/>
          <w:sz w:val="28"/>
          <w:szCs w:val="28"/>
        </w:rPr>
      </w:r>
      <w:r/>
    </w:p>
    <w:p>
      <w:pPr>
        <w:pStyle w:val="687"/>
        <w:jc w:val="left"/>
        <w:widowControl/>
        <w:rPr>
          <w:rFonts w:ascii="宋体" w:hAnsi="宋体" w:cs="宋体"/>
          <w:b/>
          <w:bCs/>
          <w:sz w:val="28"/>
          <w:szCs w:val="28"/>
        </w:rPr>
      </w:pPr>
      <w:r>
        <w:rPr>
          <w:rFonts w:hint="eastAsia" w:ascii="宋体" w:hAnsi="宋体" w:cs="宋体"/>
          <w:b/>
          <w:bCs/>
          <w:sz w:val="28"/>
          <w:szCs w:val="28"/>
        </w:rPr>
        <w:t xml:space="preserve">采购人或采购代理机构有权将以上内容进行公示。</w:t>
      </w:r>
      <w:r>
        <w:rPr>
          <w:rFonts w:ascii="宋体" w:hAnsi="宋体" w:cs="宋体"/>
          <w:b/>
          <w:bCs/>
          <w:sz w:val="28"/>
          <w:szCs w:val="28"/>
        </w:rPr>
      </w:r>
      <w:r/>
    </w:p>
    <w:p>
      <w:pPr>
        <w:pStyle w:val="687"/>
        <w:ind w:firstLine="560"/>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t xml:space="preserve">            </w:t>
      </w:r>
      <w:r>
        <w:rPr>
          <w:rFonts w:hint="eastAsia" w:ascii="宋体" w:hAnsi="宋体" w:cs="宋体"/>
          <w:b/>
          <w:bCs/>
          <w:sz w:val="32"/>
          <w:szCs w:val="32"/>
        </w:rPr>
        <w:t xml:space="preserve">四、偏离表格式</w:t>
      </w:r>
      <w:r>
        <w:rPr>
          <w:rFonts w:ascii="宋体" w:hAnsi="宋体" w:cs="宋体"/>
          <w:b/>
          <w:bCs/>
          <w:sz w:val="32"/>
          <w:szCs w:val="32"/>
        </w:rPr>
      </w:r>
      <w:r/>
    </w:p>
    <w:p>
      <w:pPr>
        <w:pStyle w:val="687"/>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t xml:space="preserve"> </w:t>
      </w:r>
      <w:r>
        <w:rPr>
          <w:rFonts w:hint="eastAsia" w:ascii="宋体" w:hAnsi="宋体" w:cs="宋体"/>
          <w:sz w:val="30"/>
        </w:rPr>
        <w:t xml:space="preserve">项目编号：</w:t>
      </w:r>
      <w:r>
        <w:rPr>
          <w:rFonts w:ascii="宋体" w:hAnsi="宋体" w:cs="宋体"/>
          <w:sz w:val="30"/>
        </w:rPr>
      </w:r>
      <w:r/>
    </w:p>
    <w:p>
      <w:pPr>
        <w:pStyle w:val="687"/>
        <w:ind w:firstLine="9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w:t>
      </w:r>
      <w:r>
        <w:rPr>
          <w:rFonts w:ascii="宋体" w:hAnsi="宋体" w:cs="宋体"/>
        </w:rPr>
      </w:r>
      <w:r/>
    </w:p>
    <w:tbl>
      <w:tblPr>
        <w:tblW w:w="8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rPr>
                <w:rFonts w:ascii="宋体" w:hAnsi="宋体" w:cs="宋体"/>
                <w:sz w:val="28"/>
                <w:szCs w:val="28"/>
              </w:rPr>
            </w:r>
            <w:r/>
          </w:p>
        </w:tc>
        <w:tc>
          <w:tcPr>
            <w:tcMar>
              <w:left w:w="108" w:type="dxa"/>
              <w:top w:w="0" w:type="dxa"/>
              <w:right w:w="108" w:type="dxa"/>
              <w:bottom w:w="0" w:type="dxa"/>
            </w:tcMar>
            <w:tcW w:w="1513"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rPr>
                <w:rFonts w:ascii="宋体" w:hAnsi="宋体" w:cs="宋体"/>
                <w:sz w:val="28"/>
                <w:szCs w:val="28"/>
              </w:rPr>
            </w:r>
            <w:r/>
          </w:p>
        </w:tc>
        <w:tc>
          <w:tcPr>
            <w:tcMar>
              <w:left w:w="108" w:type="dxa"/>
              <w:top w:w="0" w:type="dxa"/>
              <w:right w:w="108" w:type="dxa"/>
              <w:bottom w:w="0" w:type="dxa"/>
            </w:tcMar>
            <w:tcW w:w="1515"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rPr>
                <w:rFonts w:ascii="宋体" w:hAnsi="宋体" w:cs="宋体"/>
                <w:sz w:val="28"/>
                <w:szCs w:val="28"/>
              </w:rPr>
            </w:r>
            <w:r/>
          </w:p>
        </w:tc>
        <w:tc>
          <w:tcPr>
            <w:tcMar>
              <w:left w:w="108" w:type="dxa"/>
              <w:top w:w="0" w:type="dxa"/>
              <w:right w:w="108" w:type="dxa"/>
              <w:bottom w:w="0" w:type="dxa"/>
            </w:tcMar>
            <w:tcW w:w="1830"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rPr>
                <w:rFonts w:ascii="宋体" w:hAnsi="宋体" w:cs="宋体"/>
                <w:sz w:val="28"/>
                <w:szCs w:val="28"/>
              </w:rPr>
            </w:r>
            <w:r/>
          </w:p>
        </w:tc>
        <w:tc>
          <w:tcPr>
            <w:tcMar>
              <w:left w:w="108" w:type="dxa"/>
              <w:top w:w="0" w:type="dxa"/>
              <w:right w:w="108" w:type="dxa"/>
              <w:bottom w:w="0" w:type="dxa"/>
            </w:tcMar>
            <w:tcW w:w="1380"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rPr>
                <w:rFonts w:ascii="宋体" w:hAnsi="宋体" w:cs="宋体"/>
                <w:sz w:val="28"/>
                <w:szCs w:val="28"/>
              </w:rPr>
            </w:r>
            <w:r/>
          </w:p>
        </w:tc>
        <w:tc>
          <w:tcPr>
            <w:tcMar>
              <w:left w:w="108" w:type="dxa"/>
              <w:top w:w="0" w:type="dxa"/>
              <w:right w:w="108" w:type="dxa"/>
              <w:bottom w:w="0" w:type="dxa"/>
            </w:tcMar>
            <w:tcW w:w="1597" w:type="dxa"/>
            <w:vAlign w:val="center"/>
            <w:textDirection w:val="lrTb"/>
            <w:noWrap w:val="false"/>
          </w:tcPr>
          <w:p>
            <w:pPr>
              <w:pStyle w:val="687"/>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687"/>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687"/>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注</w:t>
      </w:r>
      <w:r>
        <w:rPr>
          <w:rFonts w:hint="eastAsia" w:ascii="宋体" w:hAnsi="宋体" w:cs="宋体"/>
          <w:sz w:val="28"/>
        </w:rPr>
        <w:t xml:space="preserve">：投标人的投标文件中的内容与招标文件（含招标文件的澄清或者修改的内容）的要求不同时，逐条列在偏离表中，否则将视为投标人接受招标文件的要求。</w:t>
      </w:r>
      <w:r>
        <w:rPr>
          <w:rFonts w:ascii="宋体" w:hAnsi="宋体" w:cs="宋体"/>
        </w:rPr>
      </w:r>
      <w:r/>
    </w:p>
    <w:p>
      <w:pPr>
        <w:pStyle w:val="687"/>
        <w:ind w:firstLine="2850"/>
        <w:spacing w:line="71"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687"/>
        <w:spacing w:line="71"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687"/>
        <w:ind w:firstLine="390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687"/>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2041" w:right="1531" w:bottom="1928" w:left="1531" w:header="851" w:footer="680" w:gutter="0"/>
          <w:cols w:num="1" w:sep="0" w:space="1701" w:equalWidth="1"/>
          <w:docGrid w:linePitch="360"/>
        </w:sectPr>
      </w:pPr>
      <w:r>
        <w:rPr>
          <w:rFonts w:ascii="宋体" w:hAnsi="宋体" w:cs="宋体"/>
          <w:b/>
          <w:bCs/>
          <w:sz w:val="32"/>
          <w:szCs w:val="32"/>
        </w:rPr>
      </w:r>
      <w:r/>
    </w:p>
    <w:p>
      <w:pPr>
        <w:pStyle w:val="687"/>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30"/>
        </w:rPr>
        <w:t xml:space="preserve"> </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委托人：</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地址：</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法定代表人：               职务：</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统一社会信用代码：</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受托人：        性别：男（女）</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年龄：  岁      民族：  族</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职务：</w:t>
      </w:r>
      <w:r>
        <w:rPr>
          <w:rFonts w:ascii="宋体" w:hAnsi="宋体" w:cs="宋体"/>
        </w:rPr>
      </w:r>
      <w:r/>
    </w:p>
    <w:p>
      <w:pPr>
        <w:pStyle w:val="687"/>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身份证号：</w:t>
      </w:r>
      <w:r>
        <w:rPr>
          <w:rFonts w:ascii="宋体" w:hAnsi="宋体" w:cs="宋体"/>
        </w:rPr>
      </w:r>
      <w:r/>
    </w:p>
    <w:p>
      <w:pPr>
        <w:pStyle w:val="687"/>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兹委托（</w:t>
      </w:r>
      <w:r>
        <w:rPr>
          <w:rFonts w:hint="eastAsia" w:ascii="宋体" w:hAnsi="宋体" w:cs="宋体"/>
          <w:sz w:val="30"/>
          <w:u w:val="single"/>
        </w:rPr>
        <w:t xml:space="preserve">     </w:t>
      </w:r>
      <w:r>
        <w:rPr>
          <w:rFonts w:hint="eastAsia" w:ascii="宋体" w:hAnsi="宋体" w:cs="宋体"/>
          <w:sz w:val="30"/>
        </w:rPr>
        <w:t xml:space="preserve">）全权代表我企业（公司）参与（</w:t>
      </w:r>
      <w:r>
        <w:rPr>
          <w:rFonts w:hint="eastAsia" w:ascii="宋体" w:hAnsi="宋体" w:cs="宋体"/>
          <w:sz w:val="30"/>
          <w:u w:val="single"/>
        </w:rPr>
        <w:t xml:space="preserve">    </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）的招、投标活动及签订合同。（</w:t>
      </w:r>
      <w:r>
        <w:rPr>
          <w:rFonts w:hint="eastAsia" w:ascii="宋体" w:hAnsi="宋体" w:cs="宋体"/>
          <w:sz w:val="30"/>
          <w:u w:val="single"/>
        </w:rPr>
        <w:t xml:space="preserve">    </w:t>
      </w:r>
      <w:r>
        <w:rPr>
          <w:rFonts w:hint="eastAsia" w:ascii="宋体" w:hAnsi="宋体" w:cs="宋体"/>
          <w:sz w:val="30"/>
        </w:rPr>
        <w:t xml:space="preserve">）以我企业（公司）名义所为的法律行为及签署的文件，我企业（公司）均予以认可。有关法律责任均由我企业（公司）承担。（</w:t>
      </w:r>
      <w:r>
        <w:rPr>
          <w:rFonts w:hint="eastAsia" w:ascii="宋体" w:hAnsi="宋体" w:cs="宋体"/>
          <w:sz w:val="30"/>
          <w:u w:val="single"/>
        </w:rPr>
        <w:t xml:space="preserve">     </w:t>
      </w:r>
      <w:r>
        <w:rPr>
          <w:rFonts w:hint="eastAsia" w:ascii="宋体" w:hAnsi="宋体" w:cs="宋体"/>
          <w:sz w:val="30"/>
        </w:rPr>
        <w:t xml:space="preserve">）无转委托权。</w:t>
      </w:r>
      <w:r>
        <w:rPr>
          <w:rFonts w:ascii="宋体" w:hAnsi="宋体" w:cs="宋体"/>
          <w:sz w:val="30"/>
        </w:rPr>
      </w:r>
      <w:r/>
    </w:p>
    <w:p>
      <w:pPr>
        <w:pStyle w:val="687"/>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委托期限自</w:t>
      </w:r>
      <w:r>
        <w:rPr>
          <w:rFonts w:hint="eastAsia" w:ascii="宋体" w:hAnsi="宋体" w:cs="宋体"/>
          <w:sz w:val="30"/>
          <w:u w:val="single"/>
        </w:rPr>
        <w:t xml:space="preserve">   </w:t>
      </w:r>
      <w:r>
        <w:rPr>
          <w:rFonts w:hint="eastAsia" w:ascii="宋体" w:hAnsi="宋体" w:cs="宋体"/>
          <w:sz w:val="30"/>
        </w:rPr>
        <w:t xml:space="preserve">年</w:t>
      </w:r>
      <w:r>
        <w:rPr>
          <w:rFonts w:hint="eastAsia" w:ascii="宋体" w:hAnsi="宋体" w:cs="宋体"/>
          <w:sz w:val="30"/>
          <w:u w:val="single"/>
        </w:rPr>
        <w:t xml:space="preserve">  </w:t>
      </w:r>
      <w:r>
        <w:rPr>
          <w:rFonts w:hint="eastAsia" w:ascii="宋体" w:hAnsi="宋体" w:cs="宋体"/>
          <w:sz w:val="30"/>
        </w:rPr>
        <w:t xml:space="preserve">月</w:t>
      </w:r>
      <w:r>
        <w:rPr>
          <w:rFonts w:hint="eastAsia" w:ascii="宋体" w:hAnsi="宋体" w:cs="宋体"/>
          <w:sz w:val="30"/>
          <w:u w:val="single"/>
        </w:rPr>
        <w:t xml:space="preserve">  </w:t>
      </w:r>
      <w:r>
        <w:rPr>
          <w:rFonts w:hint="eastAsia" w:ascii="宋体" w:hAnsi="宋体" w:cs="宋体"/>
          <w:sz w:val="30"/>
        </w:rPr>
        <w:t xml:space="preserve">日起至</w:t>
      </w:r>
      <w:r>
        <w:rPr>
          <w:rFonts w:hint="eastAsia" w:ascii="宋体" w:hAnsi="宋体" w:cs="宋体"/>
          <w:sz w:val="30"/>
          <w:u w:val="single"/>
        </w:rPr>
        <w:t xml:space="preserve">  </w:t>
      </w:r>
      <w:r>
        <w:rPr>
          <w:rFonts w:hint="eastAsia" w:ascii="宋体" w:hAnsi="宋体" w:cs="宋体"/>
          <w:sz w:val="30"/>
        </w:rPr>
        <w:t xml:space="preserve">年</w:t>
      </w:r>
      <w:r>
        <w:rPr>
          <w:rFonts w:hint="eastAsia" w:ascii="宋体" w:hAnsi="宋体" w:cs="宋体"/>
          <w:sz w:val="30"/>
          <w:u w:val="single"/>
        </w:rPr>
        <w:t xml:space="preserve">  </w:t>
      </w:r>
      <w:r>
        <w:rPr>
          <w:rFonts w:hint="eastAsia" w:ascii="宋体" w:hAnsi="宋体" w:cs="宋体"/>
          <w:sz w:val="30"/>
        </w:rPr>
        <w:t xml:space="preserve">月</w:t>
      </w:r>
      <w:r>
        <w:rPr>
          <w:rFonts w:hint="eastAsia" w:ascii="宋体" w:hAnsi="宋体" w:cs="宋体"/>
          <w:sz w:val="30"/>
          <w:u w:val="single"/>
        </w:rPr>
        <w:t xml:space="preserve">  </w:t>
      </w:r>
      <w:r>
        <w:rPr>
          <w:rFonts w:hint="eastAsia" w:ascii="宋体" w:hAnsi="宋体" w:cs="宋体"/>
          <w:sz w:val="30"/>
        </w:rPr>
        <w:t xml:space="preserve">日止。</w:t>
      </w:r>
      <w:r>
        <w:rPr>
          <w:rFonts w:ascii="宋体" w:hAnsi="宋体" w:cs="宋体"/>
        </w:rPr>
      </w:r>
      <w:r/>
    </w:p>
    <w:p>
      <w:pPr>
        <w:pStyle w:val="687"/>
        <w:ind w:firstLine="63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特此授权委托。</w:t>
      </w:r>
      <w:r>
        <w:rPr>
          <w:rFonts w:ascii="宋体" w:hAnsi="宋体" w:cs="宋体"/>
        </w:rPr>
      </w:r>
      <w:r/>
    </w:p>
    <w:p>
      <w:pPr>
        <w:pStyle w:val="687"/>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687"/>
        <w:ind w:firstLine="600"/>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委托人（电子签章）：</w:t>
      </w:r>
      <w:r>
        <w:rPr>
          <w:rFonts w:ascii="宋体" w:hAnsi="宋体" w:cs="宋体"/>
          <w:b/>
          <w:bCs/>
          <w:sz w:val="30"/>
        </w:rPr>
      </w:r>
      <w:r/>
    </w:p>
    <w:p>
      <w:pPr>
        <w:pStyle w:val="687"/>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687"/>
        <w:ind w:firstLine="600"/>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法定代表人（签字或盖章）：</w:t>
      </w:r>
      <w:r>
        <w:rPr>
          <w:rFonts w:ascii="宋体" w:hAnsi="宋体" w:cs="宋体"/>
          <w:b/>
          <w:bCs/>
        </w:rPr>
      </w:r>
      <w:r/>
    </w:p>
    <w:p>
      <w:pPr>
        <w:pStyle w:val="687"/>
        <w:ind w:firstLine="600"/>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ascii="宋体" w:hAnsi="宋体" w:cs="宋体"/>
          <w:b/>
          <w:bCs/>
          <w:sz w:val="30"/>
        </w:rPr>
      </w:r>
      <w:r/>
    </w:p>
    <w:p>
      <w:pPr>
        <w:pStyle w:val="687"/>
        <w:ind w:firstLine="600"/>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受托人（签字或盖章）：</w:t>
      </w:r>
      <w:r>
        <w:rPr>
          <w:rFonts w:ascii="宋体" w:hAnsi="宋体" w:cs="宋体"/>
          <w:b/>
          <w:bCs/>
        </w:rPr>
      </w:r>
      <w:r/>
    </w:p>
    <w:p>
      <w:pPr>
        <w:pStyle w:val="687"/>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5"/>
        <w:ind w:left="0" w:firstLine="602"/>
        <w:rPr>
          <w:rFonts w:ascii="宋体" w:hAnsi="宋体" w:cs="宋体"/>
          <w:sz w:val="30"/>
        </w:rPr>
      </w:pPr>
      <w:r>
        <w:rPr>
          <w:rFonts w:hint="eastAsia" w:ascii="宋体" w:hAnsi="宋体" w:cs="宋体"/>
          <w:b/>
          <w:bCs/>
          <w:sz w:val="30"/>
        </w:rPr>
        <w:t xml:space="preserve">受托人联系方式：            邮箱：</w:t>
      </w:r>
      <w:r>
        <w:rPr>
          <w:rFonts w:ascii="宋体" w:hAnsi="宋体" w:cs="宋体"/>
          <w:sz w:val="30"/>
        </w:rPr>
      </w:r>
      <w:r/>
    </w:p>
    <w:p>
      <w:pPr>
        <w:pStyle w:val="687"/>
        <w:ind w:right="600" w:firstLine="4819"/>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日期：年  月 日</w:t>
      </w:r>
      <w:r>
        <w:rPr>
          <w:rFonts w:hint="eastAsia" w:ascii="宋体" w:hAnsi="宋体" w:cs="宋体"/>
          <w:sz w:val="30"/>
        </w:rPr>
        <w:t xml:space="preserve"> </w:t>
      </w:r>
      <w:r>
        <w:rPr>
          <w:rFonts w:ascii="宋体" w:hAnsi="宋体" w:cs="宋体"/>
          <w:b/>
          <w:bCs/>
          <w:sz w:val="30"/>
        </w:rPr>
      </w:r>
      <w:r/>
    </w:p>
    <w:p>
      <w:pPr>
        <w:pStyle w:val="687"/>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ascii="宋体" w:hAnsi="宋体" w:cs="宋体"/>
          <w:b/>
          <w:bCs/>
          <w:sz w:val="30"/>
        </w:rPr>
      </w:r>
      <w:r/>
    </w:p>
    <w:p>
      <w:pPr>
        <w:pStyle w:val="687"/>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(受托人身份证扫描件附后)</w:t>
      </w:r>
      <w:r>
        <w:rPr>
          <w:rFonts w:ascii="宋体" w:hAnsi="宋体" w:cs="宋体"/>
          <w:b/>
          <w:bCs/>
        </w:rPr>
      </w:r>
      <w:r/>
    </w:p>
    <w:p>
      <w:pPr>
        <w:pStyle w:val="687"/>
        <w:ind w:firstLine="447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 </w:t>
      </w:r>
      <w:r>
        <w:rPr>
          <w:rFonts w:ascii="宋体" w:hAnsi="宋体" w:cs="宋体"/>
        </w:rPr>
      </w:r>
      <w:r/>
    </w:p>
    <w:p>
      <w:pPr>
        <w:pStyle w:val="687"/>
        <w:ind w:firstLine="600"/>
        <w:jc w:val="center"/>
        <w:spacing w:before="100" w:after="100"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cols w:num="1" w:sep="0" w:space="1701" w:equalWidth="1"/>
          <w:docGrid w:linePitch="360"/>
        </w:sectPr>
      </w:pPr>
      <w:r>
        <w:rPr>
          <w:rFonts w:ascii="宋体" w:hAnsi="宋体" w:cs="宋体"/>
          <w:b/>
          <w:bCs/>
          <w:sz w:val="32"/>
          <w:szCs w:val="32"/>
        </w:rPr>
      </w:r>
      <w:r/>
    </w:p>
    <w:p>
      <w:pPr>
        <w:pStyle w:val="687"/>
        <w:ind w:firstLine="600"/>
        <w:jc w:val="center"/>
        <w:spacing w:before="100" w:after="100"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ascii="宋体" w:hAnsi="宋体" w:cs="宋体"/>
          <w:b/>
          <w:bCs/>
          <w:sz w:val="32"/>
          <w:szCs w:val="32"/>
        </w:rPr>
      </w:r>
      <w:r/>
    </w:p>
    <w:p>
      <w:pPr>
        <w:pStyle w:val="687"/>
        <w:spacing w:before="100" w:after="100"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687"/>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ascii="宋体" w:hAnsi="宋体" w:cs="宋体"/>
          <w:sz w:val="28"/>
          <w:szCs w:val="28"/>
        </w:rPr>
      </w:r>
      <w:r/>
    </w:p>
    <w:p>
      <w:pPr>
        <w:pStyle w:val="687"/>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ascii="宋体" w:hAnsi="宋体" w:cs="宋体"/>
          <w:sz w:val="28"/>
          <w:szCs w:val="28"/>
        </w:rPr>
      </w:r>
      <w:r/>
    </w:p>
    <w:p>
      <w:pPr>
        <w:pStyle w:val="687"/>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徐州市云龙区机关事务服务中心</w:t>
      </w:r>
      <w:r>
        <w:rPr>
          <w:rFonts w:hint="eastAsia" w:ascii="宋体" w:hAnsi="宋体" w:cs="宋体"/>
          <w:sz w:val="28"/>
          <w:szCs w:val="28"/>
        </w:rPr>
        <w:t xml:space="preserve">）的（</w:t>
      </w:r>
      <w:r>
        <w:rPr>
          <w:rFonts w:hint="eastAsia" w:ascii="宋体" w:hAnsi="宋体" w:cs="宋体"/>
          <w:sz w:val="28"/>
          <w:szCs w:val="28"/>
          <w:u w:val="single"/>
        </w:rPr>
        <w:t xml:space="preserve">徐州市云龙区行政中心能源费用托管服务项目</w:t>
      </w:r>
      <w:r>
        <w:rPr>
          <w:rFonts w:hint="eastAsia" w:ascii="宋体" w:hAnsi="宋体" w:cs="宋体"/>
          <w:sz w:val="28"/>
          <w:szCs w:val="28"/>
        </w:rPr>
        <w:t xml:space="preserve">）采购活动，服务全部由符合政策要求的中小企业承接。相关企业的具体情况如下：</w:t>
      </w:r>
      <w:r>
        <w:rPr>
          <w:rFonts w:ascii="宋体" w:hAnsi="宋体" w:cs="宋体"/>
          <w:sz w:val="28"/>
          <w:szCs w:val="28"/>
        </w:rPr>
      </w:r>
      <w:r/>
    </w:p>
    <w:p>
      <w:pPr>
        <w:pStyle w:val="792"/>
        <w:ind w:left="0" w:firstLine="560"/>
        <w:spacing w:line="360" w:lineRule="auto"/>
        <w:rPr>
          <w:rFonts w:ascii="宋体" w:hAnsi="宋体" w:cs="宋体"/>
          <w:sz w:val="28"/>
          <w:szCs w:val="28"/>
        </w:rPr>
      </w:pPr>
      <w:r>
        <w:rPr>
          <w:rFonts w:hint="eastAsia" w:ascii="宋体" w:hAnsi="宋体" w:cs="宋体"/>
          <w:sz w:val="28"/>
          <w:szCs w:val="28"/>
        </w:rPr>
        <w:t xml:space="preserve">1、（徐州市云龙区行政中心能源费用托管服务项目），属于（其他未列明）行业；承建（承接）企业为（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ascii="Wingdings" w:hAnsi="Wingdings" w:eastAsia="Wingdings" w:cs="Wingdings"/>
          <w:sz w:val="28"/>
          <w:szCs w:val="28"/>
        </w:rPr>
        <w:t xml:space="preserve">¨</w:t>
      </w:r>
      <w:r>
        <w:rPr>
          <w:rFonts w:hint="eastAsia" w:ascii="宋体" w:hAnsi="宋体" w:cs="宋体"/>
          <w:sz w:val="28"/>
          <w:szCs w:val="28"/>
        </w:rPr>
        <w:t xml:space="preserve">中型企业、</w:t>
      </w:r>
      <w:r>
        <w:rPr>
          <w:rFonts w:ascii="Wingdings" w:hAnsi="Wingdings" w:eastAsia="Wingdings" w:cs="Wingdings"/>
          <w:sz w:val="28"/>
          <w:szCs w:val="28"/>
        </w:rPr>
        <w:t xml:space="preserve">¨</w:t>
      </w:r>
      <w:r>
        <w:rPr>
          <w:rFonts w:hint="eastAsia" w:ascii="宋体" w:hAnsi="宋体" w:cs="宋体"/>
          <w:sz w:val="28"/>
          <w:szCs w:val="28"/>
        </w:rPr>
        <w:t xml:space="preserve">小型企业、</w:t>
      </w:r>
      <w:r>
        <w:rPr>
          <w:rFonts w:ascii="Wingdings" w:hAnsi="Wingdings" w:eastAsia="Wingdings" w:cs="Wingdings"/>
          <w:sz w:val="28"/>
          <w:szCs w:val="28"/>
        </w:rPr>
        <w:t xml:space="preserve">¨</w:t>
      </w:r>
      <w:r>
        <w:rPr>
          <w:rFonts w:hint="eastAsia" w:ascii="宋体" w:hAnsi="宋体" w:cs="宋体"/>
          <w:sz w:val="28"/>
          <w:szCs w:val="28"/>
        </w:rPr>
        <w:t xml:space="preserve">微型企业，</w:t>
      </w:r>
      <w:r>
        <w:rPr>
          <w:rFonts w:hint="eastAsia" w:ascii="宋体" w:hAnsi="宋体" w:cs="宋体"/>
          <w:color w:val="000000"/>
          <w:sz w:val="28"/>
          <w:szCs w:val="28"/>
        </w:rPr>
        <w:t xml:space="preserve">请勾选！）</w:t>
      </w:r>
      <w:r>
        <w:rPr>
          <w:rFonts w:hint="eastAsia" w:ascii="宋体" w:hAnsi="宋体" w:cs="宋体"/>
          <w:sz w:val="28"/>
          <w:szCs w:val="28"/>
        </w:rPr>
        <w:t xml:space="preserve">；</w:t>
      </w:r>
      <w:r>
        <w:rPr>
          <w:rFonts w:ascii="宋体" w:hAnsi="宋体" w:cs="宋体"/>
          <w:sz w:val="28"/>
          <w:szCs w:val="28"/>
        </w:rPr>
      </w:r>
      <w:r/>
    </w:p>
    <w:p>
      <w:pPr>
        <w:pStyle w:val="792"/>
        <w:ind w:left="0" w:firstLine="560"/>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92"/>
        <w:ind w:left="0" w:firstLine="56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687"/>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sz w:val="28"/>
          <w:szCs w:val="28"/>
        </w:rPr>
      </w:r>
      <w:r/>
    </w:p>
    <w:p>
      <w:pPr>
        <w:pStyle w:val="792"/>
        <w:spacing w:line="360" w:lineRule="auto"/>
        <w:rPr>
          <w:rFonts w:ascii="宋体" w:hAnsi="宋体" w:cs="宋体"/>
          <w:b/>
          <w:bCs/>
          <w:sz w:val="28"/>
          <w:szCs w:val="28"/>
        </w:rPr>
      </w:pPr>
      <w:r>
        <w:rPr>
          <w:rFonts w:ascii="宋体" w:hAnsi="宋体" w:cs="宋体"/>
          <w:b/>
          <w:bCs/>
          <w:sz w:val="28"/>
          <w:szCs w:val="28"/>
        </w:rPr>
      </w:r>
      <w:r/>
    </w:p>
    <w:p>
      <w:pPr>
        <w:pStyle w:val="792"/>
        <w:spacing w:line="360" w:lineRule="auto"/>
        <w:rPr>
          <w:rFonts w:ascii="宋体" w:hAnsi="宋体" w:cs="宋体"/>
          <w:b/>
          <w:bCs/>
          <w:sz w:val="28"/>
          <w:szCs w:val="28"/>
        </w:rPr>
      </w:pPr>
      <w:r>
        <w:rPr>
          <w:rFonts w:hint="eastAsia" w:ascii="宋体" w:hAnsi="宋体" w:cs="宋体"/>
          <w:b/>
          <w:bCs/>
          <w:sz w:val="28"/>
          <w:szCs w:val="28"/>
        </w:rPr>
        <w:t xml:space="preserve">企业名称（电子签章）：</w:t>
      </w:r>
      <w:r>
        <w:rPr>
          <w:rFonts w:ascii="宋体" w:hAnsi="宋体" w:cs="宋体"/>
          <w:b/>
          <w:bCs/>
          <w:sz w:val="28"/>
          <w:szCs w:val="28"/>
        </w:rPr>
      </w:r>
      <w:r/>
    </w:p>
    <w:p>
      <w:pPr>
        <w:pStyle w:val="792"/>
        <w:spacing w:line="360" w:lineRule="auto"/>
        <w:rPr>
          <w:rFonts w:ascii="宋体" w:hAnsi="宋体" w:cs="宋体"/>
          <w:b/>
          <w:bCs/>
          <w:sz w:val="28"/>
          <w:szCs w:val="28"/>
        </w:rPr>
      </w:pPr>
      <w:r>
        <w:rPr>
          <w:rFonts w:hint="eastAsia" w:ascii="宋体" w:hAnsi="宋体" w:cs="宋体"/>
          <w:b/>
          <w:bCs/>
          <w:sz w:val="28"/>
          <w:szCs w:val="28"/>
        </w:rPr>
        <w:t xml:space="preserve">日期：  年  月  日</w:t>
      </w:r>
      <w:r>
        <w:rPr>
          <w:rFonts w:ascii="宋体" w:hAnsi="宋体" w:cs="宋体"/>
          <w:b/>
          <w:bCs/>
          <w:sz w:val="28"/>
          <w:szCs w:val="28"/>
        </w:rPr>
      </w:r>
      <w:r/>
    </w:p>
    <w:p>
      <w:pPr>
        <w:pStyle w:val="792"/>
        <w:ind w:left="0"/>
        <w:jc w:val="left"/>
        <w:spacing w:after="0" w:line="360" w:lineRule="auto"/>
        <w:rPr>
          <w:rFonts w:ascii="宋体" w:hAnsi="宋体" w:cs="宋体"/>
          <w:b/>
          <w:bCs/>
          <w:sz w:val="28"/>
          <w:szCs w:val="28"/>
        </w:rPr>
      </w:pPr>
      <w:r>
        <w:rPr>
          <w:rFonts w:ascii="宋体" w:hAnsi="宋体" w:cs="宋体"/>
          <w:b/>
          <w:bCs/>
          <w:sz w:val="28"/>
          <w:szCs w:val="28"/>
        </w:rPr>
      </w:r>
      <w:r/>
    </w:p>
    <w:p>
      <w:pPr>
        <w:pStyle w:val="792"/>
        <w:ind w:left="0"/>
        <w:jc w:val="left"/>
        <w:spacing w:after="0" w:line="288" w:lineRule="auto"/>
        <w:rPr>
          <w:rFonts w:hint="eastAsia" w:ascii="宋体" w:hAnsi="宋体" w:cs="宋体"/>
          <w:szCs w:val="21"/>
        </w:rPr>
      </w:pPr>
      <w:r>
        <w:rPr>
          <w:rFonts w:hint="eastAsia" w:ascii="宋体" w:hAnsi="宋体" w:cs="宋体"/>
          <w:szCs w:val="21"/>
        </w:rPr>
      </w:r>
      <w:r/>
    </w:p>
    <w:p>
      <w:pPr>
        <w:pStyle w:val="792"/>
        <w:ind w:left="0"/>
        <w:jc w:val="left"/>
        <w:spacing w:after="0" w:line="288" w:lineRule="auto"/>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018"/>
        <w:ind w:left="0"/>
        <w:spacing w:after="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1、从业人员、营业收入、资产总额填报供应商上一年度数据，无上一年度数据的新成立企业可不填报。</w:t>
      </w:r>
      <w:r>
        <w:rPr>
          <w:rFonts w:ascii="仿宋" w:hAnsi="仿宋" w:eastAsia="仿宋" w:cs="仿宋"/>
          <w:color w:val="000000"/>
          <w:sz w:val="24"/>
          <w:highlight w:val="none"/>
        </w:rPr>
      </w:r>
      <w:r/>
    </w:p>
    <w:p>
      <w:pPr>
        <w:pStyle w:val="1018"/>
        <w:ind w:left="0"/>
        <w:spacing w:after="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2、供应商提供的《中小企业声明函》与事实不符的，依照《政府采购法》第七十七条第一款的规定追究法律责任。</w:t>
      </w:r>
      <w:r>
        <w:rPr>
          <w:rFonts w:ascii="仿宋" w:hAnsi="仿宋" w:eastAsia="仿宋" w:cs="仿宋"/>
          <w:color w:val="000000"/>
          <w:sz w:val="24"/>
          <w:highlight w:val="none"/>
        </w:rPr>
      </w:r>
      <w:r/>
    </w:p>
    <w:p>
      <w:pPr>
        <w:pStyle w:val="1018"/>
        <w:ind w:left="0"/>
        <w:spacing w:after="0"/>
        <w:rPr>
          <w:rFonts w:ascii="仿宋" w:hAnsi="仿宋" w:eastAsia="仿宋" w:cs="仿宋"/>
          <w:b/>
          <w:bCs/>
          <w:color w:val="000000"/>
          <w:sz w:val="28"/>
          <w:szCs w:val="28"/>
          <w:highlight w:val="none"/>
        </w:rPr>
      </w:pPr>
      <w:r>
        <w:rPr>
          <w:rFonts w:hint="eastAsia" w:ascii="仿宋" w:hAnsi="仿宋" w:eastAsia="仿宋" w:cs="仿宋"/>
          <w:color w:val="000000"/>
          <w:sz w:val="24"/>
          <w:highlight w:val="none"/>
        </w:rPr>
        <w:t xml:space="preserve">3、“中小企业声明函”查询渠道用微信搜索“中小企业规模类型自测小程序”。</w:t>
      </w:r>
      <w:r>
        <w:rPr>
          <w:rFonts w:ascii="仿宋" w:hAnsi="仿宋" w:eastAsia="仿宋" w:cs="仿宋"/>
          <w:b/>
          <w:bCs/>
          <w:color w:val="000000"/>
          <w:sz w:val="28"/>
          <w:szCs w:val="28"/>
          <w:highlight w:val="none"/>
        </w:rPr>
      </w:r>
      <w:r/>
    </w:p>
    <w:p>
      <w:pPr>
        <w:pStyle w:val="687"/>
        <w:ind w:firstLine="480"/>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仿宋" w:hAnsi="仿宋" w:eastAsia="仿宋" w:cs="仿宋"/>
          <w:color w:val="000000"/>
          <w:sz w:val="24"/>
          <w:szCs w:val="24"/>
          <w:highlight w:val="none"/>
          <w:lang w:val="en-US" w:eastAsia="zh-CN" w:bidi="ar-SA"/>
        </w:rPr>
      </w:r>
      <w:r/>
    </w:p>
    <w:p>
      <w:pPr>
        <w:pStyle w:val="687"/>
        <w:jc w:val="left"/>
        <w:spacing w:line="288" w:lineRule="auto"/>
        <w:widowControl/>
        <w:rPr>
          <w:rFonts w:hint="eastAsia" w:ascii="宋体" w:hAnsi="宋体" w:cs="宋体"/>
          <w:szCs w:val="21"/>
        </w:rPr>
      </w:pPr>
      <w:r>
        <w:rPr>
          <w:rFonts w:hint="eastAsia" w:ascii="宋体" w:hAnsi="宋体" w:cs="宋体"/>
          <w:szCs w:val="21"/>
        </w:rPr>
      </w:r>
      <w:r/>
    </w:p>
    <w:p>
      <w:pPr>
        <w:pStyle w:val="687"/>
        <w:jc w:val="left"/>
        <w:widowControl/>
        <w:rPr>
          <w:rFonts w:hint="eastAsia" w:ascii="宋体" w:hAnsi="宋体" w:cs="宋体"/>
          <w:szCs w:val="21"/>
        </w:rPr>
      </w:pPr>
      <w:r>
        <w:rPr>
          <w:rFonts w:hint="eastAsia" w:ascii="宋体" w:hAnsi="宋体" w:cs="宋体"/>
          <w:szCs w:val="21"/>
        </w:rPr>
      </w:r>
      <w:r/>
    </w:p>
    <w:p>
      <w:pPr>
        <w:pStyle w:val="687"/>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189124" cy="385164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826" r="0" b="0"/>
                        <a:stretch/>
                      </pic:blipFill>
                      <pic:spPr bwMode="auto">
                        <a:xfrm>
                          <a:off x="0" y="0"/>
                          <a:ext cx="2189124" cy="3851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2.4pt;height:303.3pt;mso-wrap-distance-left:0.0pt;mso-wrap-distance-top:0.0pt;mso-wrap-distance-right:0.0pt;mso-wrap-distance-bottom:0.0pt;" stroked="f">
                <v:path textboxrect="0,0,0,0"/>
                <v:imagedata r:id="rId12" o:title=""/>
              </v:shape>
            </w:pict>
          </mc:Fallback>
        </mc:AlternateContent>
      </w:r>
      <w:r>
        <w:rPr>
          <w:rFonts w:hint="eastAsia" w:ascii="宋体" w:hAnsi="宋体" w:cs="宋体"/>
        </w:rPr>
        <w:br w:type="page" w:clear="all"/>
      </w:r>
      <w:r>
        <w:rPr>
          <w:rFonts w:ascii="宋体" w:hAnsi="宋体" w:cs="宋体"/>
        </w:rPr>
      </w:r>
      <w:r/>
    </w:p>
    <w:p>
      <w:pPr>
        <w:pStyle w:val="687"/>
        <w:ind w:firstLine="60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七、残疾人福利性单位声明函格式</w:t>
      </w:r>
      <w:r>
        <w:rPr>
          <w:rFonts w:ascii="宋体" w:hAnsi="宋体" w:cs="宋体"/>
          <w:b/>
          <w:bCs/>
          <w:sz w:val="32"/>
          <w:szCs w:val="32"/>
        </w:rPr>
      </w:r>
      <w:r/>
    </w:p>
    <w:p>
      <w:pPr>
        <w:pStyle w:val="687"/>
        <w:jc w:val="center"/>
        <w:spacing w:line="360" w:lineRule="auto"/>
        <w:rPr>
          <w:rFonts w:ascii="宋体" w:hAnsi="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30"/>
        </w:rPr>
        <w:t xml:space="preserve">（如投标人不属于残疾人福利性单位不需要提供此声明函）</w:t>
      </w:r>
      <w:r>
        <w:rPr>
          <w:rFonts w:ascii="宋体" w:hAnsi="宋体" w:cs="宋体"/>
          <w:color w:val="ff0000"/>
        </w:rPr>
      </w:r>
      <w:r/>
    </w:p>
    <w:p>
      <w:pPr>
        <w:pStyle w:val="687"/>
        <w:spacing w:line="360" w:lineRule="auto"/>
        <w:rPr>
          <w:rFonts w:ascii="宋体" w:hAnsi="宋体" w:cs="宋体"/>
          <w:spacing w:val="6"/>
          <w:sz w:val="30"/>
        </w:rPr>
        <w:pBdr>
          <w:top w:val="none" w:color="000000" w:sz="0" w:space="0"/>
          <w:left w:val="none" w:color="000000" w:sz="0" w:space="0"/>
          <w:bottom w:val="none" w:color="000000" w:sz="0" w:space="0"/>
          <w:right w:val="none" w:color="000000" w:sz="0" w:space="0"/>
        </w:pBdr>
      </w:pPr>
      <w:r>
        <w:rPr>
          <w:rFonts w:ascii="宋体" w:hAnsi="宋体" w:cs="宋体"/>
          <w:spacing w:val="6"/>
          <w:sz w:val="30"/>
        </w:rPr>
      </w:r>
      <w:r/>
    </w:p>
    <w:p>
      <w:pPr>
        <w:pStyle w:val="687"/>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项目编号：</w:t>
      </w:r>
      <w:r>
        <w:rPr>
          <w:rFonts w:ascii="宋体" w:hAnsi="宋体" w:cs="宋体"/>
        </w:rPr>
      </w:r>
      <w:r/>
    </w:p>
    <w:p>
      <w:pPr>
        <w:pStyle w:val="687"/>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项目名称：</w:t>
      </w:r>
      <w:r>
        <w:rPr>
          <w:rFonts w:ascii="宋体" w:hAnsi="宋体" w:cs="宋体"/>
        </w:rPr>
      </w:r>
      <w:r/>
    </w:p>
    <w:p>
      <w:pPr>
        <w:pStyle w:val="687"/>
        <w:ind w:firstLine="624"/>
        <w:spacing w:line="360" w:lineRule="auto"/>
        <w:rPr>
          <w:rFonts w:ascii="宋体" w:hAnsi="宋体" w:cs="宋体"/>
          <w:spacing w:val="6"/>
          <w:sz w:val="30"/>
        </w:rPr>
        <w:pBdr>
          <w:top w:val="none" w:color="000000" w:sz="0" w:space="0"/>
          <w:left w:val="none" w:color="000000" w:sz="0" w:space="0"/>
          <w:bottom w:val="none" w:color="000000" w:sz="0" w:space="0"/>
          <w:right w:val="none" w:color="000000" w:sz="0" w:space="0"/>
        </w:pBdr>
      </w:pPr>
      <w:r>
        <w:rPr>
          <w:rFonts w:ascii="宋体" w:hAnsi="宋体" w:cs="宋体"/>
          <w:spacing w:val="6"/>
          <w:sz w:val="30"/>
        </w:rPr>
      </w:r>
      <w:r/>
    </w:p>
    <w:p>
      <w:pPr>
        <w:pStyle w:val="687"/>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30"/>
        </w:rPr>
        <w:t xml:space="preserve">______</w:t>
      </w:r>
      <w:r>
        <w:rPr>
          <w:rFonts w:hint="eastAsia" w:ascii="宋体" w:hAnsi="宋体" w:cs="宋体"/>
          <w:spacing w:val="6"/>
          <w:sz w:val="30"/>
        </w:rPr>
        <w:t xml:space="preserve">单位的</w:t>
      </w:r>
      <w:r>
        <w:rPr>
          <w:rFonts w:hint="eastAsia" w:ascii="宋体" w:hAnsi="宋体" w:cs="宋体"/>
          <w:sz w:val="30"/>
        </w:rPr>
        <w:t xml:space="preserve">______</w:t>
      </w:r>
      <w:r>
        <w:rPr>
          <w:rFonts w:hint="eastAsia" w:ascii="宋体" w:hAnsi="宋体" w:cs="宋体"/>
          <w:spacing w:val="6"/>
          <w:sz w:val="30"/>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687"/>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本单位对上述声明的真实性负责。如有虚假，将依法承担相应责任。</w:t>
      </w:r>
      <w:r>
        <w:rPr>
          <w:rFonts w:ascii="宋体" w:hAnsi="宋体" w:cs="宋体"/>
        </w:rPr>
      </w:r>
      <w:r/>
    </w:p>
    <w:p>
      <w:pPr>
        <w:pStyle w:val="687"/>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 </w:t>
      </w:r>
      <w:r>
        <w:rPr>
          <w:rFonts w:ascii="宋体" w:hAnsi="宋体" w:cs="宋体"/>
        </w:rPr>
      </w:r>
      <w:r/>
    </w:p>
    <w:p>
      <w:pPr>
        <w:pStyle w:val="687"/>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 </w:t>
      </w:r>
      <w:r>
        <w:rPr>
          <w:rFonts w:ascii="宋体" w:hAnsi="宋体" w:cs="宋体"/>
        </w:rPr>
      </w:r>
      <w:r/>
    </w:p>
    <w:p>
      <w:pPr>
        <w:pStyle w:val="687"/>
        <w:ind w:firstLine="255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687"/>
        <w:ind w:firstLine="45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24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687"/>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ascii="宋体" w:hAnsi="宋体" w:cs="宋体"/>
        </w:rPr>
      </w:r>
      <w:r/>
    </w:p>
    <w:p>
      <w:pPr>
        <w:pStyle w:val="687"/>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ascii="宋体" w:hAnsi="宋体" w:cs="宋体"/>
          <w:b/>
          <w:bCs/>
          <w:sz w:val="32"/>
          <w:szCs w:val="32"/>
        </w:rPr>
      </w:r>
      <w:r/>
    </w:p>
    <w:p>
      <w:pPr>
        <w:pStyle w:val="687"/>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我单位在参加</w:t>
      </w:r>
      <w:r>
        <w:rPr>
          <w:rFonts w:hint="eastAsia" w:ascii="宋体" w:hAnsi="宋体" w:cs="宋体"/>
          <w:sz w:val="30"/>
          <w:u w:val="single"/>
        </w:rPr>
        <w:t xml:space="preserve">徐州市云龙区行政中心能源费用托管服务项目</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 ）政府采购活动前3年内，在经营活动中没有重大违法记录。重大违法记录是指因违法经营受到刑事处罚或者责令停产停业、吊销许可证或者执照、较大数额罚款等行政处罚。</w:t>
      </w:r>
      <w:r>
        <w:rPr>
          <w:rFonts w:ascii="宋体" w:hAnsi="宋体" w:cs="宋体"/>
        </w:rPr>
      </w:r>
      <w:r/>
    </w:p>
    <w:p>
      <w:pPr>
        <w:pStyle w:val="687"/>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我单位对上述声明的真实性负责。如有虚假，将依法承担相应责任。</w:t>
      </w:r>
      <w:r>
        <w:rPr>
          <w:rFonts w:ascii="宋体" w:hAnsi="宋体" w:cs="宋体"/>
        </w:rPr>
      </w:r>
      <w:r/>
    </w:p>
    <w:p>
      <w:pPr>
        <w:pStyle w:val="687"/>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285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687"/>
        <w:ind w:firstLine="45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687"/>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687"/>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687"/>
        <w:jc w:val="center"/>
        <w:spacing w:line="85"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cols w:num="1" w:sep="0" w:space="1701" w:equalWidth="1"/>
          <w:docGrid w:linePitch="360"/>
        </w:sectPr>
      </w:pPr>
      <w:r>
        <w:rPr>
          <w:rFonts w:ascii="宋体" w:hAnsi="宋体" w:cs="宋体"/>
          <w:sz w:val="30"/>
        </w:rPr>
      </w:r>
      <w:r/>
    </w:p>
    <w:p>
      <w:pPr>
        <w:pStyle w:val="790"/>
        <w:spacing w:line="360" w:lineRule="auto"/>
        <w:rPr>
          <w:rFonts w:ascii="宋体" w:hAnsi="宋体" w:cs="宋体"/>
          <w:b/>
          <w:bCs/>
          <w:sz w:val="32"/>
          <w:szCs w:val="32"/>
        </w:rPr>
      </w:pPr>
      <w:r>
        <w:rPr>
          <w:rFonts w:hint="eastAsia" w:ascii="宋体" w:hAnsi="宋体" w:cs="宋体"/>
          <w:b/>
          <w:bCs/>
          <w:sz w:val="32"/>
          <w:szCs w:val="32"/>
        </w:rPr>
        <w:t xml:space="preserve">九、具备履行合同所必需的设备和专业技术能力的书面声明（附证明材料扫描件）格式</w:t>
      </w:r>
      <w:r>
        <w:rPr>
          <w:rFonts w:ascii="宋体" w:hAnsi="宋体" w:cs="宋体"/>
          <w:b/>
          <w:bCs/>
          <w:sz w:val="32"/>
          <w:szCs w:val="32"/>
        </w:rPr>
      </w:r>
      <w:r/>
    </w:p>
    <w:p>
      <w:pPr>
        <w:pStyle w:val="790"/>
        <w:ind w:firstLine="480"/>
        <w:spacing w:line="380" w:lineRule="exact"/>
        <w:rPr>
          <w:rFonts w:ascii="宋体" w:hAnsi="宋体" w:cs="宋体"/>
          <w:sz w:val="24"/>
        </w:rPr>
      </w:pPr>
      <w:r>
        <w:rPr>
          <w:rFonts w:ascii="宋体" w:hAnsi="宋体" w:cs="宋体"/>
          <w:sz w:val="24"/>
        </w:rPr>
      </w:r>
      <w:r/>
    </w:p>
    <w:p>
      <w:pPr>
        <w:pStyle w:val="790"/>
        <w:ind w:firstLine="480"/>
        <w:spacing w:line="360" w:lineRule="auto"/>
        <w:rPr>
          <w:rFonts w:ascii="宋体" w:hAnsi="宋体" w:cs="宋体"/>
          <w:sz w:val="28"/>
          <w:szCs w:val="28"/>
          <w:u w:val="single"/>
        </w:rPr>
      </w:pPr>
      <w:r>
        <w:rPr>
          <w:rFonts w:hint="eastAsia" w:ascii="宋体" w:hAnsi="宋体" w:cs="宋体"/>
          <w:sz w:val="28"/>
          <w:szCs w:val="28"/>
        </w:rPr>
        <w:t xml:space="preserve">项目名称：</w:t>
      </w:r>
      <w:r>
        <w:rPr>
          <w:rFonts w:ascii="宋体" w:hAnsi="宋体" w:cs="宋体"/>
          <w:sz w:val="28"/>
          <w:szCs w:val="28"/>
          <w:u w:val="single"/>
        </w:rPr>
      </w:r>
      <w:r/>
    </w:p>
    <w:p>
      <w:pPr>
        <w:pStyle w:val="790"/>
        <w:ind w:firstLine="480"/>
        <w:spacing w:line="360" w:lineRule="auto"/>
        <w:rPr>
          <w:rFonts w:ascii="宋体" w:hAnsi="宋体" w:cs="宋体"/>
          <w:spacing w:val="6"/>
          <w:sz w:val="28"/>
          <w:szCs w:val="28"/>
        </w:rPr>
      </w:pPr>
      <w:r>
        <w:rPr>
          <w:rFonts w:hint="eastAsia" w:ascii="宋体" w:hAnsi="宋体" w:cs="宋体"/>
          <w:sz w:val="28"/>
          <w:szCs w:val="28"/>
        </w:rPr>
        <w:t xml:space="preserve">项目编号：</w:t>
      </w:r>
      <w:r>
        <w:rPr>
          <w:rFonts w:ascii="宋体" w:hAnsi="宋体" w:cs="宋体"/>
          <w:spacing w:val="6"/>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 ，项目编号：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）所必需的设备和专业技术能力，具体为：</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790"/>
        <w:spacing w:line="380" w:lineRule="exact"/>
        <w:rPr>
          <w:rFonts w:ascii="宋体" w:hAnsi="宋体" w:cs="宋体"/>
          <w:sz w:val="28"/>
          <w:szCs w:val="28"/>
        </w:rPr>
      </w:pPr>
      <w:r>
        <w:rPr>
          <w:rFonts w:ascii="宋体" w:hAnsi="宋体" w:cs="宋体"/>
          <w:sz w:val="28"/>
          <w:szCs w:val="28"/>
        </w:rPr>
      </w:r>
      <w:r/>
    </w:p>
    <w:p>
      <w:pPr>
        <w:pStyle w:val="790"/>
        <w:spacing w:line="380" w:lineRule="exact"/>
        <w:rPr>
          <w:rFonts w:ascii="宋体" w:hAnsi="宋体" w:cs="宋体"/>
          <w:sz w:val="28"/>
          <w:szCs w:val="28"/>
        </w:rPr>
      </w:pPr>
      <w:r>
        <w:rPr>
          <w:rFonts w:ascii="宋体" w:hAnsi="宋体" w:cs="宋体"/>
          <w:sz w:val="28"/>
          <w:szCs w:val="28"/>
        </w:rPr>
      </w:r>
      <w:r/>
    </w:p>
    <w:p>
      <w:pPr>
        <w:pStyle w:val="790"/>
        <w:jc w:val="right"/>
        <w:spacing w:line="380" w:lineRule="exact"/>
        <w:rPr>
          <w:rFonts w:ascii="宋体" w:hAnsi="宋体" w:cs="宋体"/>
          <w:sz w:val="28"/>
          <w:szCs w:val="28"/>
        </w:rPr>
      </w:pPr>
      <w:r>
        <w:rPr>
          <w:rFonts w:hint="eastAsia" w:ascii="宋体" w:hAnsi="宋体" w:cs="宋体"/>
          <w:sz w:val="28"/>
          <w:szCs w:val="28"/>
        </w:rPr>
        <w:t xml:space="preserve">                            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ascii="宋体" w:hAnsi="宋体" w:cs="宋体"/>
          <w:sz w:val="28"/>
          <w:szCs w:val="28"/>
        </w:rPr>
      </w:r>
      <w:r/>
    </w:p>
    <w:p>
      <w:pPr>
        <w:pStyle w:val="790"/>
        <w:ind w:firstLine="480"/>
        <w:spacing w:line="380" w:lineRule="exact"/>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r>
      <w:r/>
    </w:p>
    <w:p>
      <w:pPr>
        <w:pStyle w:val="790"/>
        <w:spacing w:line="380" w:lineRule="exact"/>
        <w:rPr>
          <w:rFonts w:ascii="宋体" w:hAnsi="宋体" w:cs="宋体"/>
          <w:sz w:val="28"/>
          <w:szCs w:val="28"/>
        </w:rPr>
      </w:pPr>
      <w:r>
        <w:rPr>
          <w:rFonts w:ascii="宋体" w:hAnsi="宋体" w:cs="宋体"/>
          <w:sz w:val="28"/>
          <w:szCs w:val="28"/>
        </w:rPr>
      </w:r>
      <w:r/>
    </w:p>
    <w:p>
      <w:pPr>
        <w:pStyle w:val="790"/>
        <w:ind w:firstLine="3360"/>
        <w:jc w:val="center"/>
        <w:spacing w:line="480" w:lineRule="exact"/>
        <w:rPr>
          <w:rFonts w:ascii="宋体" w:hAnsi="宋体" w:cs="宋体"/>
          <w:sz w:val="28"/>
          <w:szCs w:val="28"/>
        </w:rPr>
      </w:pPr>
      <w:r>
        <w:rPr>
          <w:rFonts w:hint="eastAsia" w:ascii="宋体" w:hAnsi="宋体" w:cs="宋体"/>
          <w:sz w:val="28"/>
          <w:szCs w:val="28"/>
        </w:rPr>
        <w:t xml:space="preserve">        日期：    年    月   日</w:t>
      </w:r>
      <w:r>
        <w:rPr>
          <w:rFonts w:ascii="宋体" w:hAnsi="宋体" w:cs="宋体"/>
          <w:sz w:val="28"/>
          <w:szCs w:val="28"/>
        </w:rPr>
      </w:r>
      <w:r/>
    </w:p>
    <w:p>
      <w:pPr>
        <w:pStyle w:val="792"/>
        <w:rPr>
          <w:rFonts w:ascii="宋体" w:hAnsi="宋体" w:cs="宋体"/>
        </w:rPr>
      </w:pPr>
      <w:r>
        <w:rPr>
          <w:rFonts w:ascii="宋体" w:hAnsi="宋体" w:cs="宋体"/>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2"/>
        <w:rPr>
          <w:rFonts w:ascii="宋体" w:hAnsi="宋体" w:cs="宋体"/>
          <w:highlight w:val="none"/>
        </w:rPr>
      </w:pPr>
      <w:r>
        <w:rPr>
          <w:rFonts w:hint="eastAsia" w:ascii="宋体" w:hAnsi="宋体" w:cs="宋体"/>
          <w:b/>
          <w:iCs/>
          <w:highlight w:val="none"/>
        </w:rPr>
        <w:t xml:space="preserve">说明：以联合体形式提交</w:t>
      </w:r>
      <w:r>
        <w:rPr>
          <w:rFonts w:hint="eastAsia" w:ascii="宋体" w:hAnsi="宋体" w:cs="宋体"/>
          <w:b/>
          <w:bCs/>
          <w:highlight w:val="none"/>
        </w:rPr>
        <w:t xml:space="preserve">投标文件</w:t>
      </w:r>
      <w:r>
        <w:rPr>
          <w:rFonts w:hint="eastAsia" w:ascii="宋体" w:hAnsi="宋体" w:cs="宋体"/>
          <w:b/>
          <w:iCs/>
          <w:highlight w:val="none"/>
        </w:rPr>
        <w:t xml:space="preserve">的，联合体各方均须提供。联合体牵头单位加盖电子签章，其他联合体成员提供加盖公章的原件的扫描件。</w:t>
      </w:r>
      <w:r>
        <w:rPr>
          <w:rFonts w:ascii="宋体" w:hAnsi="宋体" w:cs="宋体"/>
          <w:highlight w:val="none"/>
        </w:rPr>
      </w:r>
      <w:r/>
    </w:p>
    <w:p>
      <w:pPr>
        <w:pStyle w:val="1029"/>
        <w:jc w:val="both"/>
        <w:spacing w:before="0" w:beforeAutospacing="0" w:after="0" w:afterAutospacing="0" w:line="520" w:lineRule="atLeast"/>
        <w:shd w:val="clear" w:color="auto" w:fill="ffffff"/>
        <w:rPr>
          <w:rFonts w:cs="宋体"/>
          <w:b/>
          <w:bCs/>
          <w:sz w:val="36"/>
          <w:szCs w:val="36"/>
          <w:highlight w:val="yellow"/>
        </w:rPr>
        <w:sectPr>
          <w:footnotePr/>
          <w:endnotePr/>
          <w:type w:val="nextPage"/>
          <w:pgSz w:w="11906" w:h="16838" w:orient="portrait"/>
          <w:pgMar w:top="1393" w:right="1418" w:bottom="1474" w:left="1474" w:header="851" w:footer="992" w:gutter="0"/>
          <w:cols w:num="1" w:sep="0" w:space="1701" w:equalWidth="1"/>
          <w:docGrid w:linePitch="360"/>
        </w:sectPr>
      </w:pPr>
      <w:r>
        <w:rPr>
          <w:rFonts w:cs="宋体"/>
          <w:b/>
          <w:bCs/>
          <w:sz w:val="36"/>
          <w:szCs w:val="36"/>
          <w:highlight w:val="yellow"/>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687"/>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十、预付款保函支付条款模板</w:t>
      </w:r>
      <w:r>
        <w:rPr>
          <w:rFonts w:ascii="宋体" w:hAnsi="宋体" w:cs="宋体"/>
          <w:b/>
          <w:bCs/>
          <w:sz w:val="32"/>
          <w:szCs w:val="32"/>
          <w:highlight w:val="none"/>
        </w:rPr>
      </w:r>
      <w:r/>
    </w:p>
    <w:p>
      <w:pPr>
        <w:pStyle w:val="687"/>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符合条件一：提交预付款保函的</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个工作日内，由甲方根据审批流程办理政府采购资金结算手续，经审核后支付给乙方合同价款的百分之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（2）合同标的全部交付并安装完毕并验收合格后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687"/>
        <w:ind w:firstLine="605"/>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rPr>
          <w:rFonts w:ascii="宋体" w:hAnsi="宋体" w:cs="宋体"/>
          <w:sz w:val="28"/>
          <w:szCs w:val="28"/>
        </w:rPr>
      </w:r>
      <w:r/>
    </w:p>
    <w:p>
      <w:pPr>
        <w:pStyle w:val="687"/>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符合条件二：不提交预付款保函的</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（2）合同标的全部交付并安装完毕并验收合格后，由甲方根据审批流程办理政府采购资金结算手续，经审核后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687"/>
        <w:ind w:firstLine="605"/>
        <w:spacing w:line="288" w:lineRule="auto"/>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rPr>
          <w:rFonts w:ascii="宋体" w:hAnsi="宋体" w:cs="宋体"/>
          <w:b/>
          <w:sz w:val="28"/>
          <w:szCs w:val="28"/>
        </w:rPr>
      </w:r>
      <w:r/>
    </w:p>
    <w:p>
      <w:pPr>
        <w:pStyle w:val="687"/>
        <w:ind w:firstLine="605"/>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1、付款条件一中，出具预付款保函后支付的合同款应当与保函金额一致。</w:t>
      </w:r>
      <w:r>
        <w:rPr>
          <w:rFonts w:ascii="宋体" w:hAnsi="宋体" w:cs="宋体"/>
          <w:sz w:val="28"/>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ascii="宋体" w:hAnsi="宋体" w:cs="宋体"/>
          <w:sz w:val="28"/>
          <w:szCs w:val="28"/>
        </w:rPr>
      </w:r>
      <w:r/>
    </w:p>
    <w:p>
      <w:pPr>
        <w:pStyle w:val="883"/>
        <w:ind w:firstLine="0"/>
        <w:jc w:val="center"/>
        <w:rPr>
          <w:rFonts w:hint="eastAsia" w:hAnsi="宋体" w:cs="宋体"/>
          <w:b/>
          <w:sz w:val="32"/>
          <w:szCs w:val="32"/>
        </w:rPr>
      </w:pPr>
      <w:r>
        <w:rPr>
          <w:rFonts w:hint="eastAsia" w:hAnsi="宋体" w:cs="宋体"/>
          <w:b/>
          <w:sz w:val="32"/>
          <w:szCs w:val="32"/>
        </w:rPr>
      </w:r>
      <w:r/>
    </w:p>
    <w:p>
      <w:pPr>
        <w:pStyle w:val="883"/>
        <w:ind w:firstLine="0"/>
        <w:jc w:val="center"/>
        <w:rPr>
          <w:rFonts w:hint="eastAsia" w:hAnsi="宋体" w:cs="宋体"/>
          <w:b/>
          <w:sz w:val="32"/>
          <w:szCs w:val="32"/>
        </w:rPr>
      </w:pPr>
      <w:r>
        <w:rPr>
          <w:rFonts w:hint="eastAsia" w:hAnsi="宋体" w:cs="宋体"/>
          <w:b/>
          <w:sz w:val="32"/>
          <w:szCs w:val="32"/>
        </w:rPr>
      </w:r>
      <w:r/>
    </w:p>
    <w:p>
      <w:pPr>
        <w:pStyle w:val="883"/>
        <w:ind w:firstLine="0"/>
        <w:jc w:val="center"/>
        <w:rPr>
          <w:rFonts w:hint="eastAsia" w:hAnsi="宋体" w:cs="宋体"/>
          <w:b/>
          <w:sz w:val="32"/>
          <w:szCs w:val="32"/>
        </w:rPr>
      </w:pPr>
      <w:r>
        <w:rPr>
          <w:rFonts w:hint="eastAsia" w:hAnsi="宋体" w:cs="宋体"/>
          <w:b/>
          <w:sz w:val="32"/>
          <w:szCs w:val="32"/>
        </w:rPr>
      </w:r>
      <w:r/>
    </w:p>
    <w:p>
      <w:pPr>
        <w:pStyle w:val="883"/>
        <w:ind w:firstLine="0"/>
        <w:jc w:val="center"/>
        <w:rPr>
          <w:rFonts w:hint="eastAsia" w:hAnsi="宋体" w:cs="宋体"/>
          <w:b/>
          <w:sz w:val="32"/>
          <w:szCs w:val="32"/>
        </w:rPr>
      </w:pPr>
      <w:r>
        <w:rPr>
          <w:rFonts w:hint="eastAsia" w:hAnsi="宋体" w:cs="宋体"/>
          <w:b/>
          <w:sz w:val="32"/>
          <w:szCs w:val="32"/>
        </w:rPr>
      </w:r>
      <w:r/>
    </w:p>
    <w:p>
      <w:pPr>
        <w:pStyle w:val="883"/>
        <w:ind w:firstLine="0"/>
        <w:jc w:val="left"/>
        <w:rPr>
          <w:rFonts w:hAnsi="宋体" w:cs="宋体"/>
          <w:b/>
          <w:bCs/>
          <w:sz w:val="32"/>
          <w:szCs w:val="32"/>
        </w:rPr>
      </w:pPr>
      <w:r>
        <w:rPr>
          <w:rFonts w:hint="eastAsia" w:hAnsi="宋体" w:cs="宋体"/>
          <w:b/>
          <w:sz w:val="32"/>
          <w:szCs w:val="32"/>
        </w:rPr>
        <w:t xml:space="preserve">十一、</w:t>
      </w:r>
      <w:r>
        <w:rPr>
          <w:rFonts w:hint="eastAsia" w:hAnsi="宋体" w:cs="宋体"/>
          <w:b/>
          <w:bCs/>
          <w:sz w:val="32"/>
          <w:szCs w:val="32"/>
        </w:rPr>
        <w:t xml:space="preserve">联合体协议书（格式）</w:t>
      </w:r>
      <w:r>
        <w:rPr>
          <w:rFonts w:hAnsi="宋体" w:cs="宋体"/>
          <w:b/>
          <w:bCs/>
          <w:sz w:val="32"/>
          <w:szCs w:val="32"/>
        </w:rPr>
      </w:r>
      <w:r/>
    </w:p>
    <w:p>
      <w:pPr>
        <w:pStyle w:val="790"/>
        <w:ind w:right="-23" w:firstLine="1124"/>
        <w:jc w:val="left"/>
        <w:spacing w:line="360" w:lineRule="auto"/>
        <w:tabs>
          <w:tab w:val="left" w:pos="2200" w:leader="none"/>
          <w:tab w:val="left" w:pos="6000" w:leader="none"/>
        </w:tabs>
        <w:rPr>
          <w:rFonts w:ascii="宋体" w:hAnsi="宋体" w:cs="宋体"/>
          <w:position w:val="-4"/>
          <w:sz w:val="24"/>
          <w:u w:val="single"/>
        </w:rPr>
      </w:pPr>
      <w:r>
        <w:rPr>
          <w:rFonts w:ascii="宋体" w:hAnsi="宋体" w:cs="宋体"/>
          <w:position w:val="-4"/>
          <w:sz w:val="24"/>
          <w:u w:val="single"/>
        </w:rPr>
      </w:r>
      <w:r/>
    </w:p>
    <w:p>
      <w:pPr>
        <w:pStyle w:val="790"/>
        <w:ind w:right="-23"/>
        <w:jc w:val="left"/>
        <w:spacing w:line="360" w:lineRule="auto"/>
        <w:tabs>
          <w:tab w:val="left" w:pos="2200" w:leader="none"/>
          <w:tab w:val="left" w:pos="6000" w:leader="none"/>
        </w:tabs>
        <w:rPr>
          <w:rFonts w:ascii="宋体" w:hAnsi="宋体" w:cs="宋体"/>
          <w:position w:val="-4"/>
          <w:sz w:val="28"/>
          <w:szCs w:val="28"/>
        </w:rPr>
      </w:pPr>
      <w:r>
        <w:rPr>
          <w:rFonts w:hint="eastAsia" w:ascii="宋体" w:hAnsi="宋体" w:cs="宋体"/>
          <w:position w:val="-4"/>
          <w:sz w:val="28"/>
          <w:szCs w:val="28"/>
          <w:u w:val="single"/>
        </w:rPr>
        <w:t xml:space="preserve"> </w:t>
      </w:r>
      <w:r>
        <w:rPr>
          <w:rFonts w:hint="eastAsia" w:ascii="宋体" w:hAnsi="宋体" w:cs="宋体"/>
          <w:position w:val="-4"/>
          <w:sz w:val="28"/>
          <w:szCs w:val="28"/>
          <w:u w:val="single"/>
        </w:rPr>
        <w:tab/>
      </w:r>
      <w:r>
        <w:rPr>
          <w:rFonts w:hint="eastAsia" w:ascii="宋体" w:hAnsi="宋体" w:cs="宋体"/>
          <w:position w:val="-4"/>
          <w:sz w:val="28"/>
          <w:szCs w:val="28"/>
        </w:rPr>
        <w:t xml:space="preserve">（所</w:t>
      </w:r>
      <w:r>
        <w:rPr>
          <w:rFonts w:hint="eastAsia" w:ascii="宋体" w:hAnsi="宋体" w:cs="宋体"/>
          <w:spacing w:val="-2"/>
          <w:position w:val="-4"/>
          <w:sz w:val="28"/>
          <w:szCs w:val="28"/>
        </w:rPr>
        <w:t xml:space="preserve">有</w:t>
      </w:r>
      <w:r>
        <w:rPr>
          <w:rFonts w:hint="eastAsia" w:ascii="宋体" w:hAnsi="宋体" w:cs="宋体"/>
          <w:position w:val="-4"/>
          <w:sz w:val="28"/>
          <w:szCs w:val="28"/>
        </w:rPr>
        <w:t xml:space="preserve">成员单位名称）自愿组</w:t>
      </w:r>
      <w:r>
        <w:rPr>
          <w:rFonts w:hint="eastAsia" w:ascii="宋体" w:hAnsi="宋体" w:cs="宋体"/>
          <w:spacing w:val="1"/>
          <w:position w:val="-4"/>
          <w:sz w:val="28"/>
          <w:szCs w:val="28"/>
        </w:rPr>
        <w:t xml:space="preserve">成</w:t>
      </w:r>
      <w:r>
        <w:rPr>
          <w:rFonts w:hint="eastAsia" w:ascii="宋体" w:hAnsi="宋体" w:cs="宋体"/>
          <w:position w:val="-4"/>
          <w:sz w:val="28"/>
          <w:szCs w:val="28"/>
          <w:u w:val="single"/>
        </w:rPr>
        <w:tab/>
      </w:r>
      <w:r>
        <w:rPr>
          <w:rFonts w:hint="eastAsia" w:ascii="宋体" w:hAnsi="宋体" w:cs="宋体"/>
          <w:position w:val="-4"/>
          <w:sz w:val="28"/>
          <w:szCs w:val="28"/>
          <w:u w:val="single"/>
        </w:rPr>
        <w:t xml:space="preserve">      </w:t>
      </w:r>
      <w:r>
        <w:rPr>
          <w:rFonts w:hint="eastAsia" w:ascii="宋体" w:hAnsi="宋体" w:cs="宋体"/>
          <w:position w:val="-4"/>
          <w:sz w:val="28"/>
          <w:szCs w:val="28"/>
        </w:rPr>
        <w:t xml:space="preserve">（联合体名称）联合体，共同</w:t>
      </w:r>
      <w:r>
        <w:rPr>
          <w:rFonts w:hint="eastAsia" w:ascii="宋体" w:hAnsi="宋体" w:cs="宋体"/>
          <w:position w:val="-2"/>
          <w:sz w:val="28"/>
          <w:szCs w:val="28"/>
        </w:rPr>
        <w:t xml:space="preserve">参加</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spacing w:val="-2"/>
          <w:position w:val="-2"/>
          <w:sz w:val="28"/>
          <w:szCs w:val="28"/>
        </w:rPr>
        <w:t xml:space="preserve">（</w:t>
      </w:r>
      <w:r>
        <w:rPr>
          <w:rFonts w:hint="eastAsia" w:ascii="宋体" w:hAnsi="宋体" w:cs="宋体"/>
          <w:position w:val="-2"/>
          <w:sz w:val="28"/>
          <w:szCs w:val="28"/>
        </w:rPr>
        <w:t xml:space="preserve">项目</w:t>
      </w:r>
      <w:r>
        <w:rPr>
          <w:rFonts w:hint="eastAsia" w:ascii="宋体" w:hAnsi="宋体" w:cs="宋体"/>
          <w:spacing w:val="-2"/>
          <w:position w:val="-2"/>
          <w:sz w:val="28"/>
          <w:szCs w:val="28"/>
        </w:rPr>
        <w:t xml:space="preserve">名</w:t>
      </w:r>
      <w:r>
        <w:rPr>
          <w:rFonts w:hint="eastAsia" w:ascii="宋体" w:hAnsi="宋体" w:cs="宋体"/>
          <w:position w:val="-2"/>
          <w:sz w:val="28"/>
          <w:szCs w:val="28"/>
        </w:rPr>
        <w:t xml:space="preserve">称</w:t>
      </w:r>
      <w:r>
        <w:rPr>
          <w:rFonts w:hint="eastAsia" w:ascii="宋体" w:hAnsi="宋体" w:cs="宋体"/>
          <w:spacing w:val="-2"/>
          <w:position w:val="-2"/>
          <w:sz w:val="28"/>
          <w:szCs w:val="28"/>
        </w:rPr>
        <w:t xml:space="preserve">）</w:t>
      </w:r>
      <w:r>
        <w:rPr>
          <w:rFonts w:hint="eastAsia" w:ascii="宋体" w:hAnsi="宋体" w:cs="宋体"/>
          <w:spacing w:val="-2"/>
          <w:position w:val="-2"/>
          <w:sz w:val="28"/>
          <w:szCs w:val="28"/>
          <w:u w:val="single"/>
        </w:rPr>
        <w:t xml:space="preserve">       </w:t>
      </w:r>
      <w:r>
        <w:rPr>
          <w:rFonts w:hint="eastAsia" w:ascii="宋体" w:hAnsi="宋体" w:cs="宋体"/>
          <w:spacing w:val="-2"/>
          <w:position w:val="-2"/>
          <w:sz w:val="28"/>
          <w:szCs w:val="28"/>
        </w:rPr>
        <w:t xml:space="preserve">（项目编号）</w:t>
      </w:r>
      <w:r>
        <w:rPr>
          <w:rFonts w:hint="eastAsia" w:ascii="宋体" w:hAnsi="宋体" w:cs="宋体"/>
          <w:position w:val="-2"/>
          <w:sz w:val="28"/>
          <w:szCs w:val="28"/>
        </w:rPr>
        <w:t xml:space="preserve">的投标活动</w:t>
      </w:r>
      <w:r>
        <w:rPr>
          <w:rFonts w:hint="eastAsia" w:ascii="宋体" w:hAnsi="宋体" w:cs="宋体"/>
          <w:spacing w:val="-2"/>
          <w:position w:val="-2"/>
          <w:sz w:val="28"/>
          <w:szCs w:val="28"/>
        </w:rPr>
        <w:t xml:space="preserve">。</w:t>
      </w:r>
      <w:r>
        <w:rPr>
          <w:rFonts w:hint="eastAsia" w:ascii="宋体" w:hAnsi="宋体" w:cs="宋体"/>
          <w:position w:val="-2"/>
          <w:sz w:val="28"/>
          <w:szCs w:val="28"/>
        </w:rPr>
        <w:t xml:space="preserve">现</w:t>
      </w:r>
      <w:r>
        <w:rPr>
          <w:rFonts w:hint="eastAsia" w:ascii="宋体" w:hAnsi="宋体" w:cs="宋体"/>
          <w:spacing w:val="-2"/>
          <w:position w:val="-2"/>
          <w:sz w:val="28"/>
          <w:szCs w:val="28"/>
        </w:rPr>
        <w:t xml:space="preserve">就</w:t>
      </w:r>
      <w:r>
        <w:rPr>
          <w:rFonts w:hint="eastAsia" w:ascii="宋体" w:hAnsi="宋体" w:cs="宋体"/>
          <w:position w:val="-2"/>
          <w:sz w:val="28"/>
          <w:szCs w:val="28"/>
        </w:rPr>
        <w:t xml:space="preserve">联</w:t>
      </w:r>
      <w:r>
        <w:rPr>
          <w:rFonts w:hint="eastAsia" w:ascii="宋体" w:hAnsi="宋体" w:cs="宋体"/>
          <w:spacing w:val="-2"/>
          <w:position w:val="-2"/>
          <w:sz w:val="28"/>
          <w:szCs w:val="28"/>
        </w:rPr>
        <w:t xml:space="preserve">合</w:t>
      </w:r>
      <w:r>
        <w:rPr>
          <w:rFonts w:hint="eastAsia" w:ascii="宋体" w:hAnsi="宋体" w:cs="宋体"/>
          <w:spacing w:val="2"/>
          <w:position w:val="-2"/>
          <w:sz w:val="28"/>
          <w:szCs w:val="28"/>
        </w:rPr>
        <w:t xml:space="preserve">体</w:t>
      </w:r>
      <w:r>
        <w:rPr>
          <w:rFonts w:hint="eastAsia" w:ascii="宋体" w:hAnsi="宋体" w:cs="宋体"/>
          <w:position w:val="-2"/>
          <w:sz w:val="28"/>
          <w:szCs w:val="28"/>
        </w:rPr>
        <w:t xml:space="preserve">投</w:t>
      </w:r>
      <w:r>
        <w:rPr>
          <w:rFonts w:hint="eastAsia" w:ascii="宋体" w:hAnsi="宋体" w:cs="宋体"/>
          <w:spacing w:val="2"/>
          <w:position w:val="-2"/>
          <w:sz w:val="28"/>
          <w:szCs w:val="28"/>
        </w:rPr>
        <w:t xml:space="preserve">标</w:t>
      </w:r>
      <w:r>
        <w:rPr>
          <w:rFonts w:hint="eastAsia" w:ascii="宋体" w:hAnsi="宋体" w:cs="宋体"/>
          <w:position w:val="-2"/>
          <w:sz w:val="28"/>
          <w:szCs w:val="28"/>
        </w:rPr>
        <w:t xml:space="preserve">事</w:t>
      </w:r>
      <w:r>
        <w:rPr>
          <w:rFonts w:hint="eastAsia" w:ascii="宋体" w:hAnsi="宋体" w:cs="宋体"/>
          <w:spacing w:val="2"/>
          <w:position w:val="-2"/>
          <w:sz w:val="28"/>
          <w:szCs w:val="28"/>
        </w:rPr>
        <w:t xml:space="preserve">宜订</w:t>
      </w:r>
      <w:r>
        <w:rPr>
          <w:rFonts w:hint="eastAsia" w:ascii="宋体" w:hAnsi="宋体" w:cs="宋体"/>
          <w:position w:val="-2"/>
          <w:sz w:val="28"/>
          <w:szCs w:val="28"/>
        </w:rPr>
        <w:t xml:space="preserve">立</w:t>
      </w:r>
      <w:r>
        <w:rPr>
          <w:rFonts w:hint="eastAsia" w:ascii="宋体" w:hAnsi="宋体" w:cs="宋体"/>
          <w:spacing w:val="2"/>
          <w:position w:val="-2"/>
          <w:sz w:val="28"/>
          <w:szCs w:val="28"/>
        </w:rPr>
        <w:t xml:space="preserve">如</w:t>
      </w:r>
      <w:r>
        <w:rPr>
          <w:rFonts w:hint="eastAsia" w:ascii="宋体" w:hAnsi="宋体" w:cs="宋体"/>
          <w:position w:val="-2"/>
          <w:sz w:val="28"/>
          <w:szCs w:val="28"/>
        </w:rPr>
        <w:t xml:space="preserve">下</w:t>
      </w:r>
      <w:r>
        <w:rPr>
          <w:rFonts w:hint="eastAsia" w:ascii="宋体" w:hAnsi="宋体" w:cs="宋体"/>
          <w:spacing w:val="2"/>
          <w:position w:val="-2"/>
          <w:sz w:val="28"/>
          <w:szCs w:val="28"/>
        </w:rPr>
        <w:t xml:space="preserve">协</w:t>
      </w:r>
      <w:r>
        <w:rPr>
          <w:rFonts w:hint="eastAsia" w:ascii="宋体" w:hAnsi="宋体" w:cs="宋体"/>
          <w:position w:val="-2"/>
          <w:sz w:val="28"/>
          <w:szCs w:val="28"/>
        </w:rPr>
        <w:t xml:space="preserve">议。</w:t>
      </w:r>
      <w:r>
        <w:rPr>
          <w:rFonts w:ascii="宋体" w:hAnsi="宋体" w:cs="宋体"/>
          <w:position w:val="-4"/>
          <w:sz w:val="28"/>
          <w:szCs w:val="28"/>
        </w:rPr>
      </w:r>
      <w:r/>
    </w:p>
    <w:p>
      <w:pPr>
        <w:pStyle w:val="790"/>
        <w:ind w:left="520" w:right="-20"/>
        <w:jc w:val="left"/>
        <w:spacing w:line="360" w:lineRule="auto"/>
        <w:tabs>
          <w:tab w:val="left" w:pos="2660" w:leader="none"/>
          <w:tab w:val="left" w:pos="5600" w:leader="none"/>
        </w:tabs>
        <w:rPr>
          <w:rFonts w:ascii="宋体" w:hAnsi="宋体" w:cs="宋体"/>
          <w:sz w:val="28"/>
          <w:szCs w:val="28"/>
        </w:rPr>
      </w:pPr>
      <w:r>
        <w:rPr>
          <w:rFonts w:hint="eastAsia" w:ascii="宋体" w:hAnsi="宋体" w:cs="宋体"/>
          <w:position w:val="-1"/>
          <w:sz w:val="28"/>
          <w:szCs w:val="28"/>
        </w:rPr>
        <w:t xml:space="preserve">1、</w:t>
      </w:r>
      <w:r>
        <w:rPr>
          <w:rFonts w:hint="eastAsia" w:ascii="宋体" w:hAnsi="宋体" w:cs="宋体"/>
          <w:position w:val="-1"/>
          <w:sz w:val="28"/>
          <w:szCs w:val="28"/>
          <w:u w:val="single"/>
        </w:rPr>
        <w:t xml:space="preserve"> </w:t>
      </w:r>
      <w:r>
        <w:rPr>
          <w:rFonts w:hint="eastAsia" w:ascii="宋体" w:hAnsi="宋体" w:cs="宋体"/>
          <w:position w:val="-1"/>
          <w:sz w:val="28"/>
          <w:szCs w:val="28"/>
          <w:u w:val="single"/>
        </w:rPr>
        <w:tab/>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某成</w:t>
      </w:r>
      <w:r>
        <w:rPr>
          <w:rFonts w:hint="eastAsia" w:ascii="宋体" w:hAnsi="宋体" w:cs="宋体"/>
          <w:spacing w:val="-2"/>
          <w:position w:val="-1"/>
          <w:sz w:val="28"/>
          <w:szCs w:val="28"/>
        </w:rPr>
        <w:t xml:space="preserve">员</w:t>
      </w:r>
      <w:r>
        <w:rPr>
          <w:rFonts w:hint="eastAsia" w:ascii="宋体" w:hAnsi="宋体" w:cs="宋体"/>
          <w:position w:val="-1"/>
          <w:sz w:val="28"/>
          <w:szCs w:val="28"/>
        </w:rPr>
        <w:t xml:space="preserve">单</w:t>
      </w:r>
      <w:r>
        <w:rPr>
          <w:rFonts w:hint="eastAsia" w:ascii="宋体" w:hAnsi="宋体" w:cs="宋体"/>
          <w:spacing w:val="-2"/>
          <w:position w:val="-1"/>
          <w:sz w:val="28"/>
          <w:szCs w:val="28"/>
        </w:rPr>
        <w:t xml:space="preserve">位</w:t>
      </w:r>
      <w:r>
        <w:rPr>
          <w:rFonts w:hint="eastAsia" w:ascii="宋体" w:hAnsi="宋体" w:cs="宋体"/>
          <w:position w:val="-1"/>
          <w:sz w:val="28"/>
          <w:szCs w:val="28"/>
        </w:rPr>
        <w:t xml:space="preserve">名</w:t>
      </w:r>
      <w:r>
        <w:rPr>
          <w:rFonts w:hint="eastAsia" w:ascii="宋体" w:hAnsi="宋体" w:cs="宋体"/>
          <w:spacing w:val="-2"/>
          <w:position w:val="-1"/>
          <w:sz w:val="28"/>
          <w:szCs w:val="28"/>
        </w:rPr>
        <w:t xml:space="preserve">称</w:t>
      </w:r>
      <w:r>
        <w:rPr>
          <w:rFonts w:hint="eastAsia" w:ascii="宋体" w:hAnsi="宋体" w:cs="宋体"/>
          <w:position w:val="-1"/>
          <w:sz w:val="28"/>
          <w:szCs w:val="28"/>
        </w:rPr>
        <w:t xml:space="preserve">）</w:t>
      </w:r>
      <w:r>
        <w:rPr>
          <w:rFonts w:hint="eastAsia" w:ascii="宋体" w:hAnsi="宋体" w:cs="宋体"/>
          <w:spacing w:val="-3"/>
          <w:position w:val="-1"/>
          <w:sz w:val="28"/>
          <w:szCs w:val="28"/>
        </w:rPr>
        <w:t xml:space="preserve">为</w:t>
      </w:r>
      <w:r>
        <w:rPr>
          <w:rFonts w:hint="eastAsia" w:ascii="宋体" w:hAnsi="宋体" w:cs="宋体"/>
          <w:position w:val="-1"/>
          <w:sz w:val="28"/>
          <w:szCs w:val="28"/>
          <w:u w:val="single"/>
        </w:rPr>
        <w:t xml:space="preserve">     </w:t>
      </w:r>
      <w:r>
        <w:rPr>
          <w:rFonts w:hint="eastAsia" w:ascii="宋体" w:hAnsi="宋体" w:cs="宋体"/>
          <w:spacing w:val="1"/>
          <w:position w:val="-1"/>
          <w:sz w:val="28"/>
          <w:szCs w:val="28"/>
          <w:u w:val="single"/>
        </w:rPr>
        <w:t xml:space="preserve"> </w:t>
      </w:r>
      <w:r>
        <w:rPr>
          <w:rFonts w:hint="eastAsia" w:ascii="宋体" w:hAnsi="宋体" w:cs="宋体"/>
          <w:position w:val="-1"/>
          <w:sz w:val="28"/>
          <w:szCs w:val="28"/>
          <w:u w:val="single"/>
        </w:rPr>
        <w:tab/>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项目名称</w:t>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牵</w:t>
      </w:r>
      <w:r>
        <w:rPr>
          <w:rFonts w:hint="eastAsia" w:ascii="宋体" w:hAnsi="宋体" w:cs="宋体"/>
          <w:spacing w:val="-2"/>
          <w:position w:val="-1"/>
          <w:sz w:val="28"/>
          <w:szCs w:val="28"/>
        </w:rPr>
        <w:t xml:space="preserve">头单位</w:t>
      </w:r>
      <w:r>
        <w:rPr>
          <w:rFonts w:hint="eastAsia" w:ascii="宋体" w:hAnsi="宋体" w:cs="宋体"/>
          <w:position w:val="-1"/>
          <w:sz w:val="28"/>
          <w:szCs w:val="28"/>
        </w:rPr>
        <w:t xml:space="preserve">。</w:t>
      </w:r>
      <w:r>
        <w:rPr>
          <w:rFonts w:ascii="宋体" w:hAnsi="宋体" w:cs="宋体"/>
          <w:sz w:val="28"/>
          <w:szCs w:val="28"/>
        </w:rPr>
      </w:r>
      <w:r/>
    </w:p>
    <w:p>
      <w:pPr>
        <w:pStyle w:val="790"/>
        <w:ind w:right="-20" w:firstLine="480"/>
        <w:jc w:val="left"/>
        <w:spacing w:line="360" w:lineRule="auto"/>
        <w:tabs>
          <w:tab w:val="left" w:pos="7240" w:leader="none"/>
        </w:tabs>
        <w:rPr>
          <w:rFonts w:ascii="宋体" w:hAnsi="宋体" w:cs="宋体"/>
          <w:sz w:val="28"/>
          <w:szCs w:val="28"/>
        </w:rPr>
      </w:pPr>
      <w:r>
        <w:rPr>
          <w:rFonts w:hint="eastAsia" w:ascii="宋体" w:hAnsi="宋体" w:cs="宋体"/>
          <w:sz w:val="28"/>
          <w:szCs w:val="28"/>
        </w:rPr>
        <w:t xml:space="preserve">2、联合体各成员授权牵头人代表联合体参加招标采购活动，签署文件，提交和接收相关的资料、信息及指示，进行合同谈判活动，负责合同实施阶段的组织和协调工作，以及处理与本采购项目有关的一切事宜。</w:t>
      </w:r>
      <w:r>
        <w:rPr>
          <w:rFonts w:ascii="宋体" w:hAnsi="宋体" w:cs="宋体"/>
          <w:sz w:val="28"/>
          <w:szCs w:val="28"/>
        </w:rPr>
      </w:r>
      <w:r/>
    </w:p>
    <w:p>
      <w:pPr>
        <w:pStyle w:val="790"/>
        <w:ind w:right="-20" w:firstLine="480"/>
        <w:jc w:val="left"/>
        <w:spacing w:line="360" w:lineRule="auto"/>
        <w:tabs>
          <w:tab w:val="left" w:pos="7240" w:leader="none"/>
        </w:tabs>
        <w:rPr>
          <w:rFonts w:ascii="宋体" w:hAnsi="宋体" w:cs="宋体"/>
          <w:sz w:val="28"/>
          <w:szCs w:val="28"/>
        </w:rPr>
      </w:pPr>
      <w:r>
        <w:rPr>
          <w:rFonts w:hint="eastAsia" w:ascii="宋体" w:hAnsi="宋体" w:cs="宋体"/>
          <w:sz w:val="28"/>
          <w:szCs w:val="28"/>
        </w:rPr>
        <w:t xml:space="preserve">3、联合体牵头人在本项目中签署的一切文件和处理的一切事宜，联合体各成员均予以承认。联合体各成员将严格按照招标文件、投标文件和合同的要求全面履行义务，并向采购人承担连带责任。任一成员方违约时，采购人有权要求联合体整体承担连带责任，并可直接向任一成员方主张全部权利。</w:t>
      </w:r>
      <w:r>
        <w:rPr>
          <w:rFonts w:ascii="宋体" w:hAnsi="宋体" w:cs="宋体"/>
          <w:sz w:val="28"/>
          <w:szCs w:val="28"/>
        </w:rPr>
      </w:r>
      <w:r/>
    </w:p>
    <w:p>
      <w:pPr>
        <w:pStyle w:val="790"/>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4、联合体各成员单位内部的职责分工如下： </w:t>
      </w:r>
      <w:r>
        <w:rPr>
          <w:rFonts w:ascii="宋体" w:hAnsi="宋体" w:cs="宋体"/>
          <w:position w:val="-1"/>
          <w:sz w:val="28"/>
          <w:szCs w:val="28"/>
        </w:rPr>
      </w:r>
      <w:r/>
    </w:p>
    <w:p>
      <w:pPr>
        <w:pStyle w:val="790"/>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联合体牵头单位负责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rPr>
          <w:rFonts w:ascii="宋体" w:hAnsi="宋体" w:cs="宋体"/>
          <w:position w:val="-1"/>
          <w:sz w:val="28"/>
          <w:szCs w:val="28"/>
        </w:rPr>
      </w:r>
      <w:r/>
    </w:p>
    <w:p>
      <w:pPr>
        <w:pStyle w:val="790"/>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联合体成员负责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rPr>
          <w:rFonts w:ascii="宋体" w:hAnsi="宋体" w:cs="宋体"/>
          <w:position w:val="-1"/>
          <w:sz w:val="28"/>
          <w:szCs w:val="28"/>
        </w:rPr>
      </w:r>
      <w:r/>
    </w:p>
    <w:p>
      <w:pPr>
        <w:pStyle w:val="792"/>
        <w:ind w:left="480"/>
        <w:spacing w:line="360" w:lineRule="auto"/>
        <w:rPr>
          <w:rFonts w:ascii="宋体" w:hAnsi="宋体" w:cs="宋体"/>
          <w:sz w:val="28"/>
          <w:szCs w:val="28"/>
        </w:rPr>
      </w:pPr>
      <w:r>
        <w:rPr>
          <w:rFonts w:hint="eastAsia" w:ascii="宋体" w:hAnsi="宋体" w:cs="宋体"/>
          <w:sz w:val="28"/>
          <w:szCs w:val="28"/>
        </w:rPr>
        <w:t xml:space="preserve">5、联合体各成员单位内部根据职责分工占合同金额比例如下： </w:t>
      </w:r>
      <w:r>
        <w:rPr>
          <w:rFonts w:ascii="宋体" w:hAnsi="宋体" w:cs="宋体"/>
          <w:sz w:val="28"/>
          <w:szCs w:val="28"/>
        </w:rPr>
      </w:r>
      <w:r/>
    </w:p>
    <w:p>
      <w:pPr>
        <w:pStyle w:val="792"/>
        <w:ind w:left="400"/>
        <w:spacing w:line="360" w:lineRule="auto"/>
        <w:rPr>
          <w:rFonts w:ascii="宋体" w:hAnsi="宋体" w:cs="宋体"/>
          <w:sz w:val="28"/>
          <w:szCs w:val="28"/>
        </w:rPr>
      </w:pPr>
      <w:r>
        <w:rPr>
          <w:rFonts w:hint="eastAsia" w:ascii="宋体" w:hAnsi="宋体" w:cs="宋体"/>
          <w:sz w:val="28"/>
          <w:szCs w:val="28"/>
        </w:rPr>
        <w:t xml:space="preserve">联合体牵头单位占合同金额：</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92"/>
        <w:ind w:left="400"/>
        <w:spacing w:line="360" w:lineRule="auto"/>
        <w:rPr>
          <w:rFonts w:ascii="宋体" w:hAnsi="宋体" w:cs="宋体"/>
          <w:sz w:val="28"/>
          <w:szCs w:val="28"/>
        </w:rPr>
      </w:pPr>
      <w:r>
        <w:rPr>
          <w:rFonts w:hint="eastAsia" w:ascii="宋体" w:hAnsi="宋体" w:cs="宋体"/>
          <w:sz w:val="28"/>
          <w:szCs w:val="28"/>
        </w:rPr>
        <w:t xml:space="preserve">联合体成员单位占合同金额：</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790"/>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6、投标工作和联合体在中标后项目实施过程中的有关费用按各自承担的工作量分摊。 </w:t>
      </w:r>
      <w:r>
        <w:rPr>
          <w:rFonts w:ascii="宋体" w:hAnsi="宋体" w:cs="宋体"/>
          <w:position w:val="-1"/>
          <w:sz w:val="28"/>
          <w:szCs w:val="28"/>
        </w:rPr>
      </w:r>
      <w:r/>
    </w:p>
    <w:p>
      <w:pPr>
        <w:pStyle w:val="790"/>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7、联合体主办单位的项目负责人为</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，联合体协办单位的项目负责人为</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 </w:t>
      </w:r>
      <w:r>
        <w:rPr>
          <w:rFonts w:ascii="宋体" w:hAnsi="宋体" w:cs="宋体"/>
          <w:position w:val="-1"/>
          <w:sz w:val="28"/>
          <w:szCs w:val="28"/>
        </w:rPr>
      </w:r>
      <w:r/>
    </w:p>
    <w:p>
      <w:pPr>
        <w:pStyle w:val="790"/>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8、联合体中标后，本联合体协议是合同的附件，对联合体各成员单位有合同约束力。 </w:t>
      </w:r>
      <w:r>
        <w:rPr>
          <w:rFonts w:ascii="宋体" w:hAnsi="宋体" w:cs="宋体"/>
          <w:position w:val="-1"/>
          <w:sz w:val="28"/>
          <w:szCs w:val="28"/>
        </w:rPr>
      </w:r>
      <w:r/>
    </w:p>
    <w:p>
      <w:pPr>
        <w:pStyle w:val="790"/>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9、本协议书自签署之日起生效，联合体未中标或者合同履行完毕后自动失效。 </w:t>
      </w:r>
      <w:r>
        <w:rPr>
          <w:rFonts w:ascii="宋体" w:hAnsi="宋体" w:cs="宋体"/>
          <w:position w:val="-1"/>
          <w:sz w:val="28"/>
          <w:szCs w:val="28"/>
        </w:rPr>
      </w:r>
      <w:r/>
    </w:p>
    <w:p>
      <w:pPr>
        <w:pStyle w:val="790"/>
        <w:ind w:left="520" w:right="-20"/>
        <w:jc w:val="left"/>
        <w:spacing w:line="360" w:lineRule="auto"/>
        <w:tabs>
          <w:tab w:val="left" w:pos="2660" w:leader="none"/>
          <w:tab w:val="left" w:pos="5600" w:leader="none"/>
        </w:tabs>
        <w:rPr>
          <w:rFonts w:ascii="宋体" w:hAnsi="宋体" w:cs="宋体"/>
          <w:sz w:val="28"/>
          <w:szCs w:val="28"/>
        </w:rPr>
      </w:pPr>
      <w:r>
        <w:rPr>
          <w:rFonts w:hint="eastAsia" w:ascii="宋体" w:hAnsi="宋体" w:cs="宋体"/>
          <w:position w:val="-1"/>
          <w:sz w:val="28"/>
          <w:szCs w:val="28"/>
        </w:rPr>
        <w:t xml:space="preserve">10、本协议书一式</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份，签约双方各持</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份。</w:t>
      </w:r>
      <w:r>
        <w:rPr>
          <w:rFonts w:ascii="宋体" w:hAnsi="宋体" w:cs="宋体"/>
          <w:sz w:val="28"/>
          <w:szCs w:val="28"/>
        </w:rPr>
      </w:r>
      <w:r/>
    </w:p>
    <w:p>
      <w:pPr>
        <w:pStyle w:val="790"/>
        <w:ind w:right="-20" w:firstLine="480"/>
        <w:jc w:val="left"/>
        <w:spacing w:line="360" w:lineRule="auto"/>
        <w:tabs>
          <w:tab w:val="left" w:pos="7240" w:leader="none"/>
        </w:tabs>
        <w:rPr>
          <w:rFonts w:ascii="宋体" w:hAnsi="宋体" w:cs="宋体"/>
          <w:position w:val="-4"/>
          <w:sz w:val="28"/>
          <w:szCs w:val="28"/>
        </w:rPr>
      </w:pPr>
      <w:r>
        <w:rPr>
          <w:rFonts w:hint="eastAsia" w:ascii="宋体" w:hAnsi="宋体" w:cs="宋体"/>
          <w:sz w:val="28"/>
          <w:szCs w:val="28"/>
        </w:rPr>
        <w:t xml:space="preserve">注：本协议书由法定代表人签字的，应附法定代表人身份证明；由委托代理人签字的，应附授权委托书。</w:t>
      </w:r>
      <w:r>
        <w:rPr>
          <w:rFonts w:hint="eastAsia" w:ascii="宋体" w:hAnsi="宋体" w:cs="宋体"/>
          <w:position w:val="-4"/>
          <w:sz w:val="28"/>
          <w:szCs w:val="28"/>
        </w:rPr>
        <w:t xml:space="preserve">                     </w:t>
      </w:r>
      <w:r>
        <w:rPr>
          <w:rFonts w:ascii="宋体" w:hAnsi="宋体" w:cs="宋体"/>
          <w:position w:val="-4"/>
          <w:sz w:val="28"/>
          <w:szCs w:val="28"/>
        </w:rPr>
      </w:r>
      <w:r/>
    </w:p>
    <w:p>
      <w:pPr>
        <w:pStyle w:val="790"/>
        <w:ind w:right="-20" w:firstLine="2640"/>
        <w:jc w:val="right"/>
        <w:spacing w:line="360" w:lineRule="auto"/>
        <w:tabs>
          <w:tab w:val="left" w:pos="7240" w:leader="none"/>
        </w:tabs>
        <w:rPr>
          <w:rFonts w:ascii="宋体" w:hAnsi="宋体" w:cs="宋体"/>
          <w:position w:val="-4"/>
          <w:sz w:val="28"/>
          <w:szCs w:val="28"/>
        </w:rPr>
      </w:pPr>
      <w:r>
        <w:rPr>
          <w:rFonts w:ascii="宋体" w:hAnsi="宋体" w:cs="宋体"/>
          <w:position w:val="-4"/>
          <w:sz w:val="28"/>
          <w:szCs w:val="28"/>
        </w:rPr>
      </w:r>
      <w:r/>
    </w:p>
    <w:p>
      <w:pPr>
        <w:pStyle w:val="790"/>
        <w:ind w:right="-20"/>
        <w:jc w:val="right"/>
        <w:spacing w:line="360" w:lineRule="auto"/>
        <w:tabs>
          <w:tab w:val="left" w:pos="7240" w:leader="none"/>
        </w:tabs>
        <w:rPr>
          <w:rFonts w:ascii="宋体" w:hAnsi="宋体" w:cs="宋体"/>
          <w:sz w:val="28"/>
          <w:szCs w:val="28"/>
        </w:rPr>
      </w:pPr>
      <w:r>
        <w:rPr>
          <w:rFonts w:hint="eastAsia" w:ascii="宋体" w:hAnsi="宋体" w:cs="宋体"/>
          <w:position w:val="-4"/>
          <w:sz w:val="28"/>
          <w:szCs w:val="28"/>
        </w:rPr>
        <w:t xml:space="preserve">联合</w:t>
      </w:r>
      <w:r>
        <w:rPr>
          <w:rFonts w:hint="eastAsia" w:ascii="宋体" w:hAnsi="宋体" w:cs="宋体"/>
          <w:spacing w:val="-2"/>
          <w:position w:val="-4"/>
          <w:sz w:val="28"/>
          <w:szCs w:val="28"/>
        </w:rPr>
        <w:t xml:space="preserve">体</w:t>
      </w:r>
      <w:r>
        <w:rPr>
          <w:rFonts w:hint="eastAsia" w:ascii="宋体" w:hAnsi="宋体" w:cs="宋体"/>
          <w:position w:val="-4"/>
          <w:sz w:val="28"/>
          <w:szCs w:val="28"/>
        </w:rPr>
        <w:t xml:space="preserve">牵</w:t>
      </w:r>
      <w:r>
        <w:rPr>
          <w:rFonts w:hint="eastAsia" w:ascii="宋体" w:hAnsi="宋体" w:cs="宋体"/>
          <w:spacing w:val="-2"/>
          <w:position w:val="-4"/>
          <w:sz w:val="28"/>
          <w:szCs w:val="28"/>
        </w:rPr>
        <w:t xml:space="preserve">头</w:t>
      </w:r>
      <w:r>
        <w:rPr>
          <w:rFonts w:hint="eastAsia" w:ascii="宋体" w:hAnsi="宋体" w:cs="宋体"/>
          <w:position w:val="-4"/>
          <w:sz w:val="28"/>
          <w:szCs w:val="28"/>
        </w:rPr>
        <w:t xml:space="preserve">人</w:t>
      </w:r>
      <w:r>
        <w:rPr>
          <w:rFonts w:hint="eastAsia" w:ascii="宋体" w:hAnsi="宋体" w:cs="宋体"/>
          <w:spacing w:val="-2"/>
          <w:position w:val="-4"/>
          <w:sz w:val="28"/>
          <w:szCs w:val="28"/>
        </w:rPr>
        <w:t xml:space="preserve">名</w:t>
      </w:r>
      <w:r>
        <w:rPr>
          <w:rFonts w:hint="eastAsia" w:ascii="宋体" w:hAnsi="宋体" w:cs="宋体"/>
          <w:position w:val="-4"/>
          <w:sz w:val="28"/>
          <w:szCs w:val="28"/>
        </w:rPr>
        <w:t xml:space="preserve">称</w:t>
      </w:r>
      <w:r>
        <w:rPr>
          <w:rFonts w:hint="eastAsia" w:ascii="宋体" w:hAnsi="宋体" w:cs="宋体"/>
          <w:spacing w:val="-3"/>
          <w:position w:val="-4"/>
          <w:sz w:val="28"/>
          <w:szCs w:val="28"/>
        </w:rPr>
        <w:t xml:space="preserve">：</w:t>
      </w:r>
      <w:r>
        <w:rPr>
          <w:rFonts w:hint="eastAsia" w:ascii="宋体" w:hAnsi="宋体" w:cs="宋体"/>
          <w:position w:val="-4"/>
          <w:sz w:val="28"/>
          <w:szCs w:val="28"/>
          <w:u w:val="single"/>
        </w:rPr>
        <w:t xml:space="preserve"> </w:t>
      </w:r>
      <w:r>
        <w:rPr>
          <w:rFonts w:hint="eastAsia" w:ascii="宋体" w:hAnsi="宋体" w:cs="宋体"/>
          <w:spacing w:val="1"/>
          <w:position w:val="-4"/>
          <w:sz w:val="28"/>
          <w:szCs w:val="28"/>
          <w:u w:val="single"/>
        </w:rPr>
        <w:t xml:space="preserve">           </w:t>
      </w:r>
      <w:r>
        <w:rPr>
          <w:rFonts w:hint="eastAsia" w:ascii="宋体" w:hAnsi="宋体" w:cs="宋体"/>
          <w:position w:val="-4"/>
          <w:sz w:val="28"/>
          <w:szCs w:val="28"/>
        </w:rPr>
        <w:t xml:space="preserve">（盖</w:t>
      </w:r>
      <w:r>
        <w:rPr>
          <w:rFonts w:hint="eastAsia" w:ascii="宋体" w:hAnsi="宋体" w:cs="宋体"/>
          <w:spacing w:val="-2"/>
          <w:position w:val="-4"/>
          <w:sz w:val="28"/>
          <w:szCs w:val="28"/>
        </w:rPr>
        <w:t xml:space="preserve">单</w:t>
      </w:r>
      <w:r>
        <w:rPr>
          <w:rFonts w:hint="eastAsia" w:ascii="宋体" w:hAnsi="宋体" w:cs="宋体"/>
          <w:position w:val="-4"/>
          <w:sz w:val="28"/>
          <w:szCs w:val="28"/>
        </w:rPr>
        <w:t xml:space="preserve">位</w:t>
      </w:r>
      <w:r>
        <w:rPr>
          <w:rFonts w:hint="eastAsia" w:ascii="宋体" w:hAnsi="宋体" w:cs="宋体"/>
          <w:spacing w:val="-2"/>
          <w:position w:val="-4"/>
          <w:sz w:val="28"/>
          <w:szCs w:val="28"/>
        </w:rPr>
        <w:t xml:space="preserve">章</w:t>
      </w:r>
      <w:r>
        <w:rPr>
          <w:rFonts w:hint="eastAsia" w:ascii="宋体" w:hAnsi="宋体" w:cs="宋体"/>
          <w:position w:val="-4"/>
          <w:sz w:val="28"/>
          <w:szCs w:val="28"/>
        </w:rPr>
        <w:t xml:space="preserve">）</w:t>
      </w:r>
      <w:r>
        <w:rPr>
          <w:rFonts w:ascii="宋体" w:hAnsi="宋体" w:cs="宋体"/>
          <w:sz w:val="28"/>
          <w:szCs w:val="28"/>
        </w:rPr>
      </w:r>
      <w:r/>
    </w:p>
    <w:p>
      <w:pPr>
        <w:pStyle w:val="790"/>
        <w:ind w:right="-20"/>
        <w:jc w:val="center"/>
        <w:spacing w:line="360" w:lineRule="auto"/>
        <w:tabs>
          <w:tab w:val="left" w:pos="6400" w:leader="none"/>
        </w:tabs>
        <w:rPr>
          <w:rFonts w:ascii="宋体" w:hAnsi="宋体" w:cs="宋体"/>
          <w:sz w:val="28"/>
          <w:szCs w:val="28"/>
        </w:rPr>
      </w:pPr>
      <w:r>
        <w:rPr>
          <w:rFonts w:hint="eastAsia" w:ascii="宋体" w:hAnsi="宋体" w:cs="宋体"/>
          <w:position w:val="-2"/>
          <w:sz w:val="28"/>
          <w:szCs w:val="28"/>
        </w:rPr>
        <w:t xml:space="preserve">                 法定</w:t>
      </w:r>
      <w:r>
        <w:rPr>
          <w:rFonts w:hint="eastAsia" w:ascii="宋体" w:hAnsi="宋体" w:cs="宋体"/>
          <w:spacing w:val="-2"/>
          <w:position w:val="-2"/>
          <w:sz w:val="28"/>
          <w:szCs w:val="28"/>
        </w:rPr>
        <w:t xml:space="preserve">代</w:t>
      </w:r>
      <w:r>
        <w:rPr>
          <w:rFonts w:hint="eastAsia" w:ascii="宋体" w:hAnsi="宋体" w:cs="宋体"/>
          <w:position w:val="-2"/>
          <w:sz w:val="28"/>
          <w:szCs w:val="28"/>
        </w:rPr>
        <w:t xml:space="preserve">表</w:t>
      </w:r>
      <w:r>
        <w:rPr>
          <w:rFonts w:hint="eastAsia" w:ascii="宋体" w:hAnsi="宋体" w:cs="宋体"/>
          <w:spacing w:val="-2"/>
          <w:position w:val="-2"/>
          <w:sz w:val="28"/>
          <w:szCs w:val="28"/>
        </w:rPr>
        <w:t xml:space="preserve">人</w:t>
      </w:r>
      <w:r>
        <w:rPr>
          <w:rFonts w:hint="eastAsia" w:ascii="宋体" w:hAnsi="宋体" w:cs="宋体"/>
          <w:position w:val="-2"/>
          <w:sz w:val="28"/>
          <w:szCs w:val="28"/>
        </w:rPr>
        <w:t xml:space="preserve">或</w:t>
      </w:r>
      <w:r>
        <w:rPr>
          <w:rFonts w:hint="eastAsia" w:ascii="宋体" w:hAnsi="宋体" w:cs="宋体"/>
          <w:spacing w:val="-2"/>
          <w:position w:val="-2"/>
          <w:sz w:val="28"/>
          <w:szCs w:val="28"/>
        </w:rPr>
        <w:t xml:space="preserve">其</w:t>
      </w:r>
      <w:r>
        <w:rPr>
          <w:rFonts w:hint="eastAsia" w:ascii="宋体" w:hAnsi="宋体" w:cs="宋体"/>
          <w:position w:val="-2"/>
          <w:sz w:val="28"/>
          <w:szCs w:val="28"/>
        </w:rPr>
        <w:t xml:space="preserve">委</w:t>
      </w:r>
      <w:r>
        <w:rPr>
          <w:rFonts w:hint="eastAsia" w:ascii="宋体" w:hAnsi="宋体" w:cs="宋体"/>
          <w:spacing w:val="-2"/>
          <w:position w:val="-2"/>
          <w:sz w:val="28"/>
          <w:szCs w:val="28"/>
        </w:rPr>
        <w:t xml:space="preserve">托</w:t>
      </w:r>
      <w:r>
        <w:rPr>
          <w:rFonts w:hint="eastAsia" w:ascii="宋体" w:hAnsi="宋体" w:cs="宋体"/>
          <w:position w:val="-2"/>
          <w:sz w:val="28"/>
          <w:szCs w:val="28"/>
        </w:rPr>
        <w:t xml:space="preserve">代</w:t>
      </w:r>
      <w:r>
        <w:rPr>
          <w:rFonts w:hint="eastAsia" w:ascii="宋体" w:hAnsi="宋体" w:cs="宋体"/>
          <w:spacing w:val="-2"/>
          <w:position w:val="-2"/>
          <w:sz w:val="28"/>
          <w:szCs w:val="28"/>
        </w:rPr>
        <w:t xml:space="preserve">理</w:t>
      </w:r>
      <w:r>
        <w:rPr>
          <w:rFonts w:hint="eastAsia" w:ascii="宋体" w:hAnsi="宋体" w:cs="宋体"/>
          <w:position w:val="-2"/>
          <w:sz w:val="28"/>
          <w:szCs w:val="28"/>
        </w:rPr>
        <w:t xml:space="preserve">人：</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（签</w:t>
      </w:r>
      <w:r>
        <w:rPr>
          <w:rFonts w:hint="eastAsia" w:ascii="宋体" w:hAnsi="宋体" w:cs="宋体"/>
          <w:spacing w:val="-2"/>
          <w:position w:val="-2"/>
          <w:sz w:val="28"/>
          <w:szCs w:val="28"/>
        </w:rPr>
        <w:t xml:space="preserve">字或盖章</w:t>
      </w:r>
      <w:r>
        <w:rPr>
          <w:rFonts w:hint="eastAsia" w:ascii="宋体" w:hAnsi="宋体" w:cs="宋体"/>
          <w:position w:val="-2"/>
          <w:sz w:val="28"/>
          <w:szCs w:val="28"/>
        </w:rPr>
        <w:t xml:space="preserve">）</w:t>
      </w:r>
      <w:r>
        <w:rPr>
          <w:rFonts w:ascii="宋体" w:hAnsi="宋体" w:cs="宋体"/>
          <w:sz w:val="28"/>
          <w:szCs w:val="28"/>
        </w:rPr>
      </w:r>
      <w:r/>
    </w:p>
    <w:p>
      <w:pPr>
        <w:pStyle w:val="790"/>
        <w:ind w:left="2511" w:right="-20"/>
        <w:jc w:val="left"/>
        <w:spacing w:line="360" w:lineRule="auto"/>
        <w:tabs>
          <w:tab w:val="left" w:pos="7240" w:leader="none"/>
        </w:tabs>
        <w:rPr>
          <w:rFonts w:ascii="宋体" w:hAnsi="宋体" w:cs="宋体"/>
          <w:position w:val="-2"/>
          <w:sz w:val="28"/>
          <w:szCs w:val="28"/>
        </w:rPr>
      </w:pPr>
      <w:r>
        <w:rPr>
          <w:rFonts w:ascii="宋体" w:hAnsi="宋体" w:cs="宋体"/>
          <w:position w:val="-2"/>
          <w:sz w:val="28"/>
          <w:szCs w:val="28"/>
        </w:rPr>
      </w:r>
      <w:r/>
    </w:p>
    <w:p>
      <w:pPr>
        <w:pStyle w:val="790"/>
        <w:ind w:left="2511" w:right="-20"/>
        <w:spacing w:line="360" w:lineRule="auto"/>
        <w:tabs>
          <w:tab w:val="left" w:pos="7240" w:leader="none"/>
        </w:tabs>
        <w:rPr>
          <w:rFonts w:ascii="宋体" w:hAnsi="宋体" w:cs="宋体"/>
          <w:sz w:val="28"/>
          <w:szCs w:val="28"/>
        </w:rPr>
      </w:pPr>
      <w:r>
        <w:rPr>
          <w:rFonts w:hint="eastAsia" w:ascii="宋体" w:hAnsi="宋体" w:cs="宋体"/>
          <w:position w:val="-2"/>
          <w:sz w:val="28"/>
          <w:szCs w:val="28"/>
        </w:rPr>
        <w:t xml:space="preserve">联合</w:t>
      </w:r>
      <w:r>
        <w:rPr>
          <w:rFonts w:hint="eastAsia" w:ascii="宋体" w:hAnsi="宋体" w:cs="宋体"/>
          <w:spacing w:val="-2"/>
          <w:position w:val="-2"/>
          <w:sz w:val="28"/>
          <w:szCs w:val="28"/>
        </w:rPr>
        <w:t xml:space="preserve">体</w:t>
      </w:r>
      <w:r>
        <w:rPr>
          <w:rFonts w:hint="eastAsia" w:ascii="宋体" w:hAnsi="宋体" w:cs="宋体"/>
          <w:position w:val="-2"/>
          <w:sz w:val="28"/>
          <w:szCs w:val="28"/>
        </w:rPr>
        <w:t xml:space="preserve">成</w:t>
      </w:r>
      <w:r>
        <w:rPr>
          <w:rFonts w:hint="eastAsia" w:ascii="宋体" w:hAnsi="宋体" w:cs="宋体"/>
          <w:spacing w:val="-2"/>
          <w:position w:val="-2"/>
          <w:sz w:val="28"/>
          <w:szCs w:val="28"/>
        </w:rPr>
        <w:t xml:space="preserve">员</w:t>
      </w:r>
      <w:r>
        <w:rPr>
          <w:rFonts w:hint="eastAsia" w:ascii="宋体" w:hAnsi="宋体" w:cs="宋体"/>
          <w:position w:val="-2"/>
          <w:sz w:val="28"/>
          <w:szCs w:val="28"/>
        </w:rPr>
        <w:t xml:space="preserve">名</w:t>
      </w:r>
      <w:r>
        <w:rPr>
          <w:rFonts w:hint="eastAsia" w:ascii="宋体" w:hAnsi="宋体" w:cs="宋体"/>
          <w:spacing w:val="-2"/>
          <w:position w:val="-2"/>
          <w:sz w:val="28"/>
          <w:szCs w:val="28"/>
        </w:rPr>
        <w:t xml:space="preserve">称</w:t>
      </w:r>
      <w:r>
        <w:rPr>
          <w:rFonts w:hint="eastAsia" w:ascii="宋体" w:hAnsi="宋体" w:cs="宋体"/>
          <w:position w:val="-2"/>
          <w:sz w:val="28"/>
          <w:szCs w:val="28"/>
        </w:rPr>
        <w:t xml:space="preserve">：</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（盖</w:t>
      </w:r>
      <w:r>
        <w:rPr>
          <w:rFonts w:hint="eastAsia" w:ascii="宋体" w:hAnsi="宋体" w:cs="宋体"/>
          <w:spacing w:val="-2"/>
          <w:position w:val="-2"/>
          <w:sz w:val="28"/>
          <w:szCs w:val="28"/>
        </w:rPr>
        <w:t xml:space="preserve">单</w:t>
      </w:r>
      <w:r>
        <w:rPr>
          <w:rFonts w:hint="eastAsia" w:ascii="宋体" w:hAnsi="宋体" w:cs="宋体"/>
          <w:position w:val="-2"/>
          <w:sz w:val="28"/>
          <w:szCs w:val="28"/>
        </w:rPr>
        <w:t xml:space="preserve">位</w:t>
      </w:r>
      <w:r>
        <w:rPr>
          <w:rFonts w:hint="eastAsia" w:ascii="宋体" w:hAnsi="宋体" w:cs="宋体"/>
          <w:spacing w:val="-2"/>
          <w:position w:val="-2"/>
          <w:sz w:val="28"/>
          <w:szCs w:val="28"/>
        </w:rPr>
        <w:t xml:space="preserve">章</w:t>
      </w:r>
      <w:r>
        <w:rPr>
          <w:rFonts w:hint="eastAsia" w:ascii="宋体" w:hAnsi="宋体" w:cs="宋体"/>
          <w:position w:val="-2"/>
          <w:sz w:val="28"/>
          <w:szCs w:val="28"/>
        </w:rPr>
        <w:t xml:space="preserve">）</w:t>
      </w:r>
      <w:r>
        <w:rPr>
          <w:rFonts w:ascii="宋体" w:hAnsi="宋体" w:cs="宋体"/>
          <w:sz w:val="28"/>
          <w:szCs w:val="28"/>
        </w:rPr>
      </w:r>
      <w:r/>
    </w:p>
    <w:p>
      <w:pPr>
        <w:pStyle w:val="790"/>
        <w:ind w:left="2511" w:right="-20"/>
        <w:spacing w:line="360" w:lineRule="auto"/>
        <w:tabs>
          <w:tab w:val="left" w:pos="6180" w:leader="none"/>
        </w:tabs>
        <w:rPr>
          <w:rFonts w:ascii="宋体" w:hAnsi="宋体" w:cs="宋体"/>
          <w:sz w:val="28"/>
          <w:szCs w:val="28"/>
        </w:rPr>
      </w:pPr>
      <w:r>
        <w:rPr>
          <w:rFonts w:hint="eastAsia" w:ascii="宋体" w:hAnsi="宋体" w:cs="宋体"/>
          <w:position w:val="-2"/>
          <w:sz w:val="28"/>
          <w:szCs w:val="28"/>
        </w:rPr>
        <w:t xml:space="preserve">法定</w:t>
      </w:r>
      <w:r>
        <w:rPr>
          <w:rFonts w:hint="eastAsia" w:ascii="宋体" w:hAnsi="宋体" w:cs="宋体"/>
          <w:spacing w:val="-2"/>
          <w:position w:val="-2"/>
          <w:sz w:val="28"/>
          <w:szCs w:val="28"/>
        </w:rPr>
        <w:t xml:space="preserve">代</w:t>
      </w:r>
      <w:r>
        <w:rPr>
          <w:rFonts w:hint="eastAsia" w:ascii="宋体" w:hAnsi="宋体" w:cs="宋体"/>
          <w:position w:val="-2"/>
          <w:sz w:val="28"/>
          <w:szCs w:val="28"/>
        </w:rPr>
        <w:t xml:space="preserve">表</w:t>
      </w:r>
      <w:r>
        <w:rPr>
          <w:rFonts w:hint="eastAsia" w:ascii="宋体" w:hAnsi="宋体" w:cs="宋体"/>
          <w:spacing w:val="-2"/>
          <w:position w:val="-2"/>
          <w:sz w:val="28"/>
          <w:szCs w:val="28"/>
        </w:rPr>
        <w:t xml:space="preserve">人</w:t>
      </w:r>
      <w:r>
        <w:rPr>
          <w:rFonts w:hint="eastAsia" w:ascii="宋体" w:hAnsi="宋体" w:cs="宋体"/>
          <w:position w:val="-2"/>
          <w:sz w:val="28"/>
          <w:szCs w:val="28"/>
        </w:rPr>
        <w:t xml:space="preserve">或</w:t>
      </w:r>
      <w:r>
        <w:rPr>
          <w:rFonts w:hint="eastAsia" w:ascii="宋体" w:hAnsi="宋体" w:cs="宋体"/>
          <w:spacing w:val="-2"/>
          <w:position w:val="-2"/>
          <w:sz w:val="28"/>
          <w:szCs w:val="28"/>
        </w:rPr>
        <w:t xml:space="preserve">其</w:t>
      </w:r>
      <w:r>
        <w:rPr>
          <w:rFonts w:hint="eastAsia" w:ascii="宋体" w:hAnsi="宋体" w:cs="宋体"/>
          <w:position w:val="-2"/>
          <w:sz w:val="28"/>
          <w:szCs w:val="28"/>
        </w:rPr>
        <w:t xml:space="preserve">委</w:t>
      </w:r>
      <w:r>
        <w:rPr>
          <w:rFonts w:hint="eastAsia" w:ascii="宋体" w:hAnsi="宋体" w:cs="宋体"/>
          <w:spacing w:val="-2"/>
          <w:position w:val="-2"/>
          <w:sz w:val="28"/>
          <w:szCs w:val="28"/>
        </w:rPr>
        <w:t xml:space="preserve">托</w:t>
      </w:r>
      <w:r>
        <w:rPr>
          <w:rFonts w:hint="eastAsia" w:ascii="宋体" w:hAnsi="宋体" w:cs="宋体"/>
          <w:position w:val="-2"/>
          <w:sz w:val="28"/>
          <w:szCs w:val="28"/>
        </w:rPr>
        <w:t xml:space="preserve">代</w:t>
      </w:r>
      <w:r>
        <w:rPr>
          <w:rFonts w:hint="eastAsia" w:ascii="宋体" w:hAnsi="宋体" w:cs="宋体"/>
          <w:spacing w:val="-2"/>
          <w:position w:val="-2"/>
          <w:sz w:val="28"/>
          <w:szCs w:val="28"/>
        </w:rPr>
        <w:t xml:space="preserve">理</w:t>
      </w:r>
      <w:r>
        <w:rPr>
          <w:rFonts w:hint="eastAsia" w:ascii="宋体" w:hAnsi="宋体" w:cs="宋体"/>
          <w:position w:val="-2"/>
          <w:sz w:val="28"/>
          <w:szCs w:val="28"/>
        </w:rPr>
        <w:t xml:space="preserve">人：</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w:t>
      </w:r>
      <w:r>
        <w:rPr>
          <w:rFonts w:hint="eastAsia" w:ascii="宋体" w:hAnsi="宋体" w:cs="宋体"/>
          <w:spacing w:val="-2"/>
          <w:position w:val="-2"/>
          <w:sz w:val="28"/>
          <w:szCs w:val="28"/>
        </w:rPr>
        <w:t xml:space="preserve">签</w:t>
      </w:r>
      <w:r>
        <w:rPr>
          <w:rFonts w:hint="eastAsia" w:ascii="宋体" w:hAnsi="宋体" w:cs="宋体"/>
          <w:position w:val="-2"/>
          <w:sz w:val="28"/>
          <w:szCs w:val="28"/>
        </w:rPr>
        <w:t xml:space="preserve">字或盖章）</w:t>
      </w:r>
      <w:r>
        <w:rPr>
          <w:rFonts w:ascii="宋体" w:hAnsi="宋体" w:cs="宋体"/>
          <w:sz w:val="28"/>
          <w:szCs w:val="28"/>
        </w:rPr>
      </w:r>
      <w:r/>
    </w:p>
    <w:p>
      <w:pPr>
        <w:pStyle w:val="785"/>
        <w:ind w:left="0" w:firstLine="0"/>
        <w:jc w:val="right"/>
        <w:rPr>
          <w:rFonts w:ascii="宋体" w:hAnsi="宋体" w:eastAsia="宋体" w:cs="宋体"/>
          <w:position w:val="-1"/>
          <w:szCs w:val="28"/>
        </w:rPr>
      </w:pPr>
      <w:r>
        <w:rPr>
          <w:rFonts w:hint="eastAsia" w:ascii="宋体" w:hAnsi="宋体" w:eastAsia="宋体" w:cs="宋体"/>
          <w:position w:val="-1"/>
          <w:szCs w:val="28"/>
          <w:u w:val="single"/>
        </w:rPr>
        <w:tab/>
      </w:r>
      <w:r>
        <w:rPr>
          <w:rFonts w:hint="eastAsia" w:ascii="宋体" w:hAnsi="宋体" w:eastAsia="宋体" w:cs="宋体"/>
          <w:position w:val="-1"/>
          <w:szCs w:val="28"/>
        </w:rPr>
        <w:t xml:space="preserve">年</w:t>
      </w:r>
      <w:r>
        <w:rPr>
          <w:rFonts w:hint="eastAsia" w:ascii="宋体" w:hAnsi="宋体" w:eastAsia="宋体" w:cs="宋体"/>
          <w:position w:val="-1"/>
          <w:szCs w:val="28"/>
          <w:u w:val="single"/>
        </w:rPr>
        <w:t xml:space="preserve"> </w:t>
      </w:r>
      <w:r>
        <w:rPr>
          <w:rFonts w:hint="eastAsia" w:ascii="宋体" w:hAnsi="宋体" w:eastAsia="宋体" w:cs="宋体"/>
          <w:spacing w:val="1"/>
          <w:position w:val="-1"/>
          <w:szCs w:val="28"/>
          <w:u w:val="single"/>
        </w:rPr>
        <w:t xml:space="preserve"> </w:t>
      </w:r>
      <w:r>
        <w:rPr>
          <w:rFonts w:hint="eastAsia" w:ascii="宋体" w:hAnsi="宋体" w:eastAsia="宋体" w:cs="宋体"/>
          <w:position w:val="-1"/>
          <w:szCs w:val="28"/>
          <w:u w:val="single"/>
        </w:rPr>
        <w:tab/>
      </w:r>
      <w:r>
        <w:rPr>
          <w:rFonts w:hint="eastAsia" w:ascii="宋体" w:hAnsi="宋体" w:eastAsia="宋体" w:cs="宋体"/>
          <w:spacing w:val="-2"/>
          <w:position w:val="-1"/>
          <w:szCs w:val="28"/>
        </w:rPr>
        <w:t xml:space="preserve">月</w:t>
      </w:r>
      <w:r>
        <w:rPr>
          <w:rFonts w:hint="eastAsia" w:ascii="宋体" w:hAnsi="宋体" w:eastAsia="宋体" w:cs="宋体"/>
          <w:position w:val="-1"/>
          <w:szCs w:val="28"/>
          <w:u w:val="single"/>
        </w:rPr>
        <w:t xml:space="preserve"> </w:t>
      </w:r>
      <w:r>
        <w:rPr>
          <w:rFonts w:hint="eastAsia" w:ascii="宋体" w:hAnsi="宋体" w:eastAsia="宋体" w:cs="宋体"/>
          <w:spacing w:val="1"/>
          <w:position w:val="-1"/>
          <w:szCs w:val="28"/>
          <w:u w:val="single"/>
        </w:rPr>
        <w:t xml:space="preserve"> </w:t>
      </w:r>
      <w:r>
        <w:rPr>
          <w:rFonts w:hint="eastAsia" w:ascii="宋体" w:hAnsi="宋体" w:eastAsia="宋体" w:cs="宋体"/>
          <w:position w:val="-1"/>
          <w:szCs w:val="28"/>
          <w:u w:val="single"/>
        </w:rPr>
        <w:tab/>
      </w:r>
      <w:r>
        <w:rPr>
          <w:rFonts w:hint="eastAsia" w:ascii="宋体" w:hAnsi="宋体" w:eastAsia="宋体" w:cs="宋体"/>
          <w:position w:val="-1"/>
          <w:szCs w:val="28"/>
        </w:rPr>
        <w:t xml:space="preserve">日</w:t>
      </w:r>
      <w:r>
        <w:rPr>
          <w:rFonts w:ascii="宋体" w:hAnsi="宋体" w:eastAsia="宋体" w:cs="宋体"/>
          <w:position w:val="-1"/>
          <w:szCs w:val="28"/>
        </w:rPr>
      </w:r>
      <w:r/>
    </w:p>
    <w:p>
      <w:pPr>
        <w:pStyle w:val="687"/>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12"/>
        <w:rPr>
          <w:rFonts w:ascii="宋体" w:hAnsi="宋体" w:cs="宋体"/>
          <w:szCs w:val="28"/>
        </w:rPr>
      </w:pPr>
      <w:r>
        <w:rPr>
          <w:rFonts w:ascii="宋体" w:hAnsi="宋体" w:cs="宋体"/>
          <w:szCs w:val="28"/>
        </w:rPr>
      </w:r>
      <w:r/>
    </w:p>
    <w:p>
      <w:pPr>
        <w:pStyle w:val="687"/>
        <w:rPr>
          <w:rFonts w:ascii="宋体" w:hAnsi="宋体" w:cs="宋体"/>
          <w:sz w:val="28"/>
          <w:szCs w:val="28"/>
        </w:rPr>
      </w:pPr>
      <w:r>
        <w:rPr>
          <w:rFonts w:ascii="宋体" w:hAnsi="宋体" w:cs="宋体"/>
          <w:sz w:val="28"/>
          <w:szCs w:val="28"/>
        </w:rPr>
      </w:r>
      <w:r/>
    </w:p>
    <w:p>
      <w:pPr>
        <w:pStyle w:val="712"/>
        <w:rPr>
          <w:rFonts w:ascii="宋体" w:hAnsi="宋体" w:cs="宋体"/>
          <w:szCs w:val="28"/>
        </w:rPr>
      </w:pPr>
      <w:r>
        <w:rPr>
          <w:rFonts w:ascii="宋体" w:hAnsi="宋体" w:cs="宋体"/>
          <w:szCs w:val="28"/>
        </w:rPr>
      </w:r>
      <w:r/>
    </w:p>
    <w:p>
      <w:pPr>
        <w:pStyle w:val="687"/>
        <w:rPr>
          <w:rFonts w:ascii="宋体" w:hAnsi="宋体" w:cs="宋体"/>
          <w:sz w:val="28"/>
          <w:szCs w:val="28"/>
        </w:rPr>
      </w:pPr>
      <w:r>
        <w:rPr>
          <w:rFonts w:ascii="宋体" w:hAnsi="宋体" w:cs="宋体"/>
          <w:sz w:val="28"/>
          <w:szCs w:val="28"/>
        </w:rPr>
      </w:r>
      <w:r/>
    </w:p>
    <w:p>
      <w:pPr>
        <w:pStyle w:val="712"/>
        <w:rPr>
          <w:rFonts w:ascii="宋体" w:hAnsi="宋体" w:cs="宋体"/>
          <w:szCs w:val="28"/>
        </w:rPr>
      </w:pPr>
      <w:r>
        <w:rPr>
          <w:rFonts w:ascii="宋体" w:hAnsi="宋体" w:cs="宋体"/>
          <w:szCs w:val="28"/>
        </w:rPr>
      </w:r>
      <w:r/>
    </w:p>
    <w:p>
      <w:pPr>
        <w:pStyle w:val="687"/>
        <w:rPr>
          <w:rFonts w:ascii="宋体" w:hAnsi="宋体" w:cs="宋体"/>
          <w:sz w:val="28"/>
          <w:szCs w:val="28"/>
        </w:rPr>
      </w:pPr>
      <w:r>
        <w:rPr>
          <w:rFonts w:ascii="宋体" w:hAnsi="宋体" w:cs="宋体"/>
          <w:sz w:val="28"/>
          <w:szCs w:val="28"/>
        </w:rPr>
      </w:r>
      <w:r/>
    </w:p>
    <w:p>
      <w:pPr>
        <w:pStyle w:val="712"/>
        <w:rPr>
          <w:rFonts w:ascii="宋体" w:hAnsi="宋体" w:cs="宋体"/>
          <w:szCs w:val="28"/>
        </w:rPr>
      </w:pPr>
      <w:r>
        <w:rPr>
          <w:rFonts w:ascii="宋体" w:hAnsi="宋体" w:cs="宋体"/>
          <w:szCs w:val="28"/>
        </w:rPr>
      </w:r>
      <w:r/>
    </w:p>
    <w:p>
      <w:pPr>
        <w:pStyle w:val="687"/>
        <w:rPr>
          <w:rFonts w:ascii="宋体" w:hAnsi="宋体" w:cs="宋体"/>
          <w:sz w:val="28"/>
          <w:szCs w:val="28"/>
        </w:rPr>
      </w:pPr>
      <w:r>
        <w:rPr>
          <w:rFonts w:ascii="宋体" w:hAnsi="宋体" w:cs="宋体"/>
          <w:sz w:val="28"/>
          <w:szCs w:val="28"/>
        </w:rPr>
      </w:r>
      <w:r/>
    </w:p>
    <w:p>
      <w:pPr>
        <w:pStyle w:val="712"/>
        <w:rPr>
          <w:rFonts w:ascii="宋体" w:hAnsi="宋体" w:cs="宋体"/>
          <w:szCs w:val="28"/>
        </w:rPr>
      </w:pPr>
      <w:r>
        <w:rPr>
          <w:rFonts w:ascii="宋体" w:hAnsi="宋体" w:cs="宋体"/>
          <w:szCs w:val="28"/>
        </w:rPr>
      </w:r>
      <w:r/>
    </w:p>
    <w:p>
      <w:pPr>
        <w:pStyle w:val="687"/>
        <w:spacing w:before="24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 十二、</w:t>
      </w:r>
      <w:r>
        <w:rPr>
          <w:rFonts w:hint="eastAsia" w:ascii="宋体" w:hAnsi="宋体" w:cs="宋体"/>
          <w:b/>
          <w:sz w:val="28"/>
        </w:rPr>
        <w:t xml:space="preserve">徐州市政府采购</w:t>
      </w:r>
      <w:r>
        <w:rPr>
          <w:rFonts w:ascii="宋体" w:hAnsi="宋体" w:cs="宋体"/>
          <w:b/>
          <w:sz w:val="28"/>
        </w:rPr>
        <w:t xml:space="preserve">代理服务收费标准</w:t>
      </w:r>
      <w:r>
        <w:rPr>
          <w:rFonts w:ascii="宋体" w:hAnsi="宋体" w:cs="宋体"/>
          <w:sz w:val="24"/>
        </w:rPr>
      </w:r>
      <w:r/>
    </w:p>
    <w:tbl>
      <w:tblPr>
        <w:tblW w:w="7296"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trHeight w:val="680" w:hRule="exact"/>
        </w:trPr>
        <w:tc>
          <w:tcPr>
            <w:tcW w:w="4746" w:type="dxa"/>
            <w:vAlign w:val="center"/>
            <w:textDirection w:val="lrTb"/>
            <w:noWrap w:val="false"/>
          </w:tcPr>
          <w:p>
            <w:pPr>
              <w:pStyle w:val="687"/>
              <w:ind w:firstLine="630"/>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中标或者成交金额</w:t>
            </w:r>
            <w:r>
              <w:rPr>
                <w:rFonts w:ascii="仿宋" w:hAnsi="仿宋" w:eastAsia="仿宋" w:cs="仿宋"/>
                <w:sz w:val="24"/>
                <w:lang w:eastAsia="en-US"/>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费率</w:t>
            </w:r>
            <w:r>
              <w:rPr>
                <w:rFonts w:ascii="仿宋" w:hAnsi="仿宋" w:eastAsia="仿宋" w:cs="仿宋"/>
                <w:sz w:val="24"/>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最低收费金额(每个委托项目)</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5000元</w:t>
            </w:r>
            <w:r>
              <w:rPr>
                <w:rFonts w:ascii="仿宋" w:hAnsi="仿宋" w:eastAsia="仿宋" w:cs="仿宋"/>
                <w:sz w:val="24"/>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w:t>
            </w:r>
            <w:r>
              <w:rPr>
                <w:rFonts w:hint="eastAsia" w:ascii="仿宋" w:hAnsi="仿宋" w:eastAsia="仿宋" w:cs="仿宋"/>
                <w:sz w:val="24"/>
                <w:lang w:eastAsia="en-US"/>
              </w:rPr>
              <w:t xml:space="preserve">0万以下</w:t>
            </w:r>
            <w:r>
              <w:rPr>
                <w:rFonts w:hint="eastAsia" w:ascii="仿宋" w:hAnsi="仿宋" w:eastAsia="仿宋" w:cs="仿宋"/>
                <w:sz w:val="24"/>
              </w:rPr>
              <w:t xml:space="preserve">（含50万元）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w:t>
            </w:r>
            <w:r>
              <w:rPr>
                <w:rFonts w:hint="eastAsia" w:ascii="仿宋" w:hAnsi="仿宋" w:eastAsia="仿宋" w:cs="仿宋"/>
                <w:sz w:val="24"/>
              </w:rPr>
              <w:t xml:space="preserve">6</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50-4</w:t>
            </w:r>
            <w:r>
              <w:rPr>
                <w:rFonts w:hint="eastAsia" w:ascii="仿宋" w:hAnsi="仿宋" w:eastAsia="仿宋" w:cs="仿宋"/>
                <w:sz w:val="24"/>
                <w:lang w:eastAsia="en-US"/>
              </w:rPr>
              <w:t xml:space="preserve">00万</w:t>
            </w:r>
            <w:r>
              <w:rPr>
                <w:rFonts w:hint="eastAsia" w:ascii="仿宋" w:hAnsi="仿宋" w:eastAsia="仿宋" w:cs="仿宋"/>
                <w:sz w:val="24"/>
              </w:rPr>
              <w:t xml:space="preserve">（含400万元）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w:t>
            </w:r>
            <w:r>
              <w:rPr>
                <w:rFonts w:hint="eastAsia" w:ascii="仿宋" w:hAnsi="仿宋" w:eastAsia="仿宋" w:cs="仿宋"/>
                <w:sz w:val="24"/>
              </w:rPr>
              <w:t xml:space="preserve">5</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w:t>
            </w:r>
            <w:r>
              <w:rPr>
                <w:rFonts w:hint="eastAsia" w:ascii="仿宋" w:hAnsi="仿宋" w:eastAsia="仿宋" w:cs="仿宋"/>
                <w:sz w:val="24"/>
                <w:lang w:eastAsia="en-US"/>
              </w:rPr>
              <w:t xml:space="preserve">00</w:t>
            </w:r>
            <w:r>
              <w:rPr>
                <w:rFonts w:hint="eastAsia" w:ascii="仿宋" w:hAnsi="仿宋" w:eastAsia="仿宋" w:cs="仿宋"/>
                <w:sz w:val="24"/>
              </w:rPr>
              <w:t xml:space="preserve">-</w:t>
            </w:r>
            <w:r>
              <w:rPr>
                <w:rFonts w:hint="eastAsia" w:ascii="仿宋" w:hAnsi="仿宋" w:eastAsia="仿宋" w:cs="仿宋"/>
                <w:sz w:val="24"/>
                <w:lang w:eastAsia="en-US"/>
              </w:rPr>
              <w:t xml:space="preserve">1000万</w:t>
            </w:r>
            <w:r>
              <w:rPr>
                <w:rFonts w:hint="eastAsia" w:ascii="仿宋" w:hAnsi="仿宋" w:eastAsia="仿宋" w:cs="仿宋"/>
                <w:sz w:val="24"/>
              </w:rPr>
              <w:t xml:space="preserve">（含1000万元）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jc w:val="center"/>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l000</w:t>
            </w:r>
            <w:r>
              <w:rPr>
                <w:rFonts w:hint="eastAsia" w:ascii="仿宋" w:hAnsi="仿宋" w:eastAsia="仿宋" w:cs="仿宋"/>
                <w:sz w:val="24"/>
              </w:rPr>
              <w:t xml:space="preserve">-</w:t>
            </w:r>
            <w:r>
              <w:rPr>
                <w:rFonts w:hint="eastAsia" w:ascii="仿宋" w:hAnsi="仿宋" w:eastAsia="仿宋" w:cs="仿宋"/>
                <w:sz w:val="24"/>
                <w:lang w:eastAsia="en-US"/>
              </w:rPr>
              <w:t xml:space="preserve">5000万</w:t>
            </w:r>
            <w:r>
              <w:rPr>
                <w:rFonts w:hint="eastAsia" w:ascii="仿宋" w:hAnsi="仿宋" w:eastAsia="仿宋" w:cs="仿宋"/>
                <w:sz w:val="24"/>
              </w:rPr>
              <w:t xml:space="preserve">（含5000万元）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w:t>
            </w:r>
            <w:r>
              <w:rPr>
                <w:rFonts w:hint="eastAsia" w:ascii="仿宋" w:hAnsi="仿宋" w:eastAsia="仿宋" w:cs="仿宋"/>
                <w:sz w:val="24"/>
              </w:rPr>
              <w:t xml:space="preserve">8</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5000</w:t>
            </w:r>
            <w:r>
              <w:rPr>
                <w:rFonts w:hint="eastAsia" w:ascii="仿宋" w:hAnsi="仿宋" w:eastAsia="仿宋" w:cs="仿宋"/>
                <w:sz w:val="24"/>
              </w:rPr>
              <w:t xml:space="preserve">-</w:t>
            </w:r>
            <w:r>
              <w:rPr>
                <w:rFonts w:hint="eastAsia" w:ascii="仿宋" w:hAnsi="仿宋" w:eastAsia="仿宋" w:cs="仿宋"/>
                <w:sz w:val="24"/>
                <w:lang w:eastAsia="en-US"/>
              </w:rPr>
              <w:t xml:space="preserve">l亿</w:t>
            </w:r>
            <w:r>
              <w:rPr>
                <w:rFonts w:hint="eastAsia" w:ascii="仿宋" w:hAnsi="仿宋" w:eastAsia="仿宋" w:cs="仿宋"/>
                <w:sz w:val="24"/>
              </w:rPr>
              <w:t xml:space="preserve">（含1亿元）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0.25%</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1亿</w:t>
            </w:r>
            <w:r>
              <w:rPr>
                <w:rFonts w:hint="eastAsia" w:ascii="仿宋" w:hAnsi="仿宋" w:eastAsia="仿宋" w:cs="仿宋"/>
                <w:sz w:val="24"/>
              </w:rPr>
              <w:t xml:space="preserve">-10</w:t>
            </w:r>
            <w:r>
              <w:rPr>
                <w:rFonts w:hint="eastAsia" w:ascii="仿宋" w:hAnsi="仿宋" w:eastAsia="仿宋" w:cs="仿宋"/>
                <w:sz w:val="24"/>
                <w:lang w:eastAsia="en-US"/>
              </w:rPr>
              <w:t xml:space="preserve">亿</w:t>
            </w:r>
            <w:r>
              <w:rPr>
                <w:rFonts w:hint="eastAsia" w:ascii="仿宋" w:hAnsi="仿宋" w:eastAsia="仿宋" w:cs="仿宋"/>
                <w:sz w:val="24"/>
              </w:rPr>
              <w:t xml:space="preserve">（含10亿元）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0.05%</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10-5</w:t>
            </w:r>
            <w:r>
              <w:rPr>
                <w:rFonts w:hint="eastAsia" w:ascii="仿宋" w:hAnsi="仿宋" w:eastAsia="仿宋" w:cs="仿宋"/>
                <w:sz w:val="24"/>
                <w:lang w:eastAsia="en-US"/>
              </w:rPr>
              <w:t xml:space="preserve">0亿</w:t>
            </w:r>
            <w:r>
              <w:rPr>
                <w:rFonts w:hint="eastAsia" w:ascii="仿宋" w:hAnsi="仿宋" w:eastAsia="仿宋" w:cs="仿宋"/>
                <w:sz w:val="24"/>
              </w:rPr>
              <w:t xml:space="preserve">（含50亿元）</w:t>
            </w:r>
            <w:r>
              <w:rPr>
                <w:rFonts w:ascii="仿宋" w:hAnsi="仿宋" w:eastAsia="仿宋" w:cs="仿宋"/>
                <w:sz w:val="24"/>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w:t>
            </w:r>
            <w:r>
              <w:rPr>
                <w:rFonts w:hint="eastAsia" w:ascii="仿宋" w:hAnsi="仿宋" w:eastAsia="仿宋" w:cs="仿宋"/>
                <w:sz w:val="24"/>
              </w:rPr>
              <w:t xml:space="preserve">1</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687"/>
              <w:ind w:firstLine="630"/>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50亿以上</w:t>
            </w:r>
            <w:r>
              <w:rPr>
                <w:rFonts w:ascii="仿宋" w:hAnsi="仿宋" w:eastAsia="仿宋" w:cs="仿宋"/>
                <w:sz w:val="24"/>
                <w:lang w:eastAsia="en-US"/>
              </w:rPr>
            </w:r>
            <w:r/>
          </w:p>
        </w:tc>
        <w:tc>
          <w:tcPr>
            <w:tcW w:w="2550" w:type="dxa"/>
            <w:vAlign w:val="center"/>
            <w:textDirection w:val="lrTb"/>
            <w:noWrap w:val="false"/>
          </w:tcPr>
          <w:p>
            <w:pPr>
              <w:pStyle w:val="687"/>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0.00</w:t>
            </w:r>
            <w:r>
              <w:rPr>
                <w:rFonts w:hint="eastAsia" w:ascii="仿宋" w:hAnsi="仿宋" w:eastAsia="仿宋" w:cs="仿宋"/>
                <w:sz w:val="24"/>
              </w:rPr>
              <w:t xml:space="preserve">5</w:t>
            </w:r>
            <w:r>
              <w:rPr>
                <w:rFonts w:hint="eastAsia" w:ascii="仿宋" w:hAnsi="仿宋" w:eastAsia="仿宋" w:cs="仿宋"/>
                <w:sz w:val="24"/>
                <w:lang w:eastAsia="en-US"/>
              </w:rPr>
              <w:t xml:space="preserve">%</w:t>
            </w:r>
            <w:r>
              <w:rPr>
                <w:rFonts w:ascii="仿宋" w:hAnsi="仿宋" w:eastAsia="仿宋" w:cs="仿宋"/>
                <w:sz w:val="24"/>
                <w:lang w:eastAsia="en-US"/>
              </w:rPr>
            </w:r>
            <w:r/>
          </w:p>
        </w:tc>
      </w:tr>
    </w:tbl>
    <w:p>
      <w:pPr>
        <w:pStyle w:val="687"/>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说明:1.按上表计算的收费为代理服务全过程的收费金额。各社会代理机构不再收取采购文件制作售卖费用。</w:t>
      </w:r>
      <w:r>
        <w:rPr>
          <w:rFonts w:hint="eastAsia" w:ascii="宋体" w:hAnsi="宋体" w:cs="宋体"/>
          <w:position w:val="-1"/>
          <w:sz w:val="28"/>
          <w:szCs w:val="28"/>
        </w:rPr>
      </w:r>
      <w:r/>
    </w:p>
    <w:p>
      <w:pPr>
        <w:pStyle w:val="687"/>
        <w:ind w:firstLine="84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2.代理服务费按差额定率累进法计算。</w:t>
      </w:r>
      <w:r>
        <w:rPr>
          <w:rFonts w:hint="eastAsia" w:ascii="宋体" w:hAnsi="宋体" w:cs="宋体"/>
          <w:position w:val="-1"/>
          <w:sz w:val="28"/>
          <w:szCs w:val="28"/>
        </w:rPr>
      </w:r>
      <w:r/>
    </w:p>
    <w:p>
      <w:pPr>
        <w:pStyle w:val="687"/>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3.代理服务费基准金额(按差额定率累进法计算的)=中标金额(按差额定率累进法计算的)*费率(%)</w:t>
      </w:r>
      <w:r>
        <w:rPr>
          <w:rFonts w:hint="eastAsia" w:ascii="宋体" w:hAnsi="宋体" w:cs="宋体"/>
          <w:position w:val="-1"/>
          <w:sz w:val="28"/>
          <w:szCs w:val="28"/>
        </w:rPr>
      </w:r>
      <w:r/>
    </w:p>
    <w:p>
      <w:pPr>
        <w:pStyle w:val="687"/>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4.代理服务费应收取金额=代理服务费基准金额(按差额定率累进法计算的)的合计数。</w:t>
      </w:r>
      <w:r>
        <w:rPr>
          <w:rFonts w:hint="eastAsia" w:ascii="宋体" w:hAnsi="宋体" w:cs="宋体"/>
          <w:position w:val="-1"/>
          <w:sz w:val="28"/>
          <w:szCs w:val="28"/>
        </w:rPr>
      </w:r>
      <w:r/>
    </w:p>
    <w:p>
      <w:pPr>
        <w:pStyle w:val="687"/>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5.定点类等无金额或事先不能计算出价格总额的项目，按中标(成交)金额 100万元计算。</w:t>
      </w:r>
      <w:r>
        <w:rPr>
          <w:rFonts w:hint="eastAsia" w:ascii="宋体" w:hAnsi="宋体" w:cs="宋体"/>
          <w:position w:val="-1"/>
          <w:sz w:val="28"/>
          <w:szCs w:val="28"/>
        </w:rPr>
      </w:r>
      <w:r/>
    </w:p>
    <w:p>
      <w:pPr>
        <w:pStyle w:val="687"/>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6.有分包(分标段)的按一个项目计算。</w:t>
      </w:r>
      <w:r>
        <w:rPr>
          <w:rFonts w:hint="eastAsia" w:ascii="宋体" w:hAnsi="宋体" w:cs="宋体"/>
          <w:position w:val="-1"/>
          <w:sz w:val="28"/>
          <w:szCs w:val="28"/>
        </w:rPr>
      </w:r>
      <w:r/>
    </w:p>
    <w:p>
      <w:pPr>
        <w:pStyle w:val="687"/>
        <w:ind w:firstLine="28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7.以上价格为协会指导价，双方可根据项目难易程度和优质优价原则协商确定。</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mbria">
    <w:panose1 w:val="02040503050406030204"/>
  </w:font>
  <w:font w:name="Wingdings">
    <w:panose1 w:val="05000000000000000000"/>
  </w:font>
  <w:font w:name="PMingLiU">
    <w:panose1 w:val="02020500000000000000"/>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仿宋">
    <w:panose1 w:val="02010609060101010101"/>
  </w:font>
  <w:font w:name="方正小标宋简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74015" cy="4381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74015" cy="438149"/>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687"/>
                          </w:pPr>
                          <w:r/>
                          <w:r/>
                        </w:p>
                        <w:p>
                          <w:pPr>
                            <w:pStyle w:val="687"/>
                          </w:pPr>
                          <w:r/>
                          <w:r/>
                        </w:p>
                        <w:p>
                          <w:pPr>
                            <w:pStyle w:val="68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9.4pt;height:34.5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687"/>
                    </w:pPr>
                    <w:r/>
                    <w:r/>
                  </w:p>
                  <w:p>
                    <w:pPr>
                      <w:pStyle w:val="687"/>
                    </w:pPr>
                    <w:r/>
                    <w:r/>
                  </w:p>
                  <w:p>
                    <w:pPr>
                      <w:pStyle w:val="6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right" w:pos="8306" w:leader="none"/>
      </w:tabs>
      <w:rPr>
        <w:rFonts w:hint="eastAsia"/>
      </w:rPr>
      <w:pBdr>
        <w:bottom w:val="single" w:color="000000" w:sz="4" w:space="0"/>
      </w:pBdr>
    </w:pPr>
    <w:r>
      <w:rPr>
        <w:rFonts w:hint="eastAsia"/>
      </w:rPr>
    </w:r>
    <w:r/>
  </w:p>
  <w:p>
    <w:pPr>
      <w:pStyle w:val="876"/>
      <w:jc w:val="both"/>
      <w:tabs>
        <w:tab w:val="center" w:pos="4153" w:leader="none"/>
        <w:tab w:val="right" w:pos="8306" w:leader="none"/>
      </w:tabs>
      <w:rPr>
        <w:rFonts w:hint="eastAsia"/>
      </w:rPr>
      <w:pBdr>
        <w:bottom w:val="single" w:color="000000" w:sz="4" w:space="0"/>
      </w:pBdr>
    </w:pPr>
    <w:r>
      <w:rPr>
        <w:rFonts w:hint="eastAsia"/>
      </w:rPr>
    </w:r>
    <w:r/>
  </w:p>
  <w:p>
    <w:pPr>
      <w:pStyle w:val="876"/>
      <w:jc w:val="right"/>
      <w:tabs>
        <w:tab w:val="center" w:pos="4153" w:leader="none"/>
        <w:tab w:val="right" w:pos="8306" w:leader="none"/>
      </w:tabs>
      <w:rPr>
        <w:rFonts w:hint="eastAsia"/>
      </w:rPr>
      <w:pBdr>
        <w:bottom w:val="single" w:color="000000" w:sz="4" w:space="0"/>
      </w:pBdr>
    </w:pPr>
    <w:r>
      <w:rPr>
        <w:rFonts w:hint="eastAsia"/>
      </w:rPr>
      <w:t xml:space="preserve">徐州市云龙区行政中心能源费用托管服务项目招标文件</w:t>
    </w:r>
    <w:r>
      <w:rPr>
        <w:rFonts w:hint="eastAsia"/>
      </w:rPr>
    </w:r>
    <w:r/>
  </w:p>
  <w:p>
    <w:pPr>
      <w:pStyle w:val="876"/>
      <w:jc w:val="right"/>
      <w:tabs>
        <w:tab w:val="center" w:pos="4153" w:leader="none"/>
        <w:tab w:val="right" w:pos="8306" w:leader="none"/>
      </w:tabs>
      <w:rPr>
        <w:rFonts w:hint="eastAsia"/>
      </w:rPr>
      <w:pBdr>
        <w:bottom w:val="single" w:color="000000" w:sz="4"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right"/>
      <w:rPr>
        <w:i/>
        <w:iCs/>
        <w:sz w:val="18"/>
      </w:rPr>
      <w:pBdr>
        <w:bottom w:val="single" w:color="000000" w:sz="4" w:space="0"/>
      </w:pBdr>
    </w:pPr>
    <w:r>
      <w:rPr>
        <w:rFonts w:hint="eastAsia"/>
        <w:sz w:val="18"/>
      </w:rPr>
      <w:t xml:space="preserve">徐州市云龙区行政中心能源费用托管服务项目招标文件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6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4"/>
      <w:isLgl w:val="false"/>
      <w:suff w:val="tab"/>
      <w:lvlText w:val="%1."/>
      <w:lvlJc w:val="left"/>
      <w:pPr>
        <w:pStyle w:val="687"/>
        <w:ind w:left="720" w:hanging="720"/>
        <w:tabs>
          <w:tab w:val="num" w:pos="720" w:leader="none"/>
        </w:tabs>
      </w:pPr>
    </w:lvl>
    <w:lvl w:ilvl="1">
      <w:start w:val="1"/>
      <w:numFmt w:val="decimal"/>
      <w:isLgl w:val="false"/>
      <w:suff w:val="tab"/>
      <w:lvlText w:val="%2."/>
      <w:lvlJc w:val="left"/>
      <w:pPr>
        <w:pStyle w:val="687"/>
        <w:ind w:left="1440" w:hanging="720"/>
        <w:tabs>
          <w:tab w:val="num" w:pos="1440" w:leader="none"/>
        </w:tabs>
      </w:pPr>
    </w:lvl>
    <w:lvl w:ilvl="2">
      <w:start w:val="1"/>
      <w:numFmt w:val="decimal"/>
      <w:isLgl w:val="false"/>
      <w:suff w:val="tab"/>
      <w:lvlText w:val="%3."/>
      <w:lvlJc w:val="left"/>
      <w:pPr>
        <w:pStyle w:val="687"/>
        <w:ind w:left="2160" w:hanging="720"/>
        <w:tabs>
          <w:tab w:val="num" w:pos="2160" w:leader="none"/>
        </w:tabs>
      </w:pPr>
    </w:lvl>
    <w:lvl w:ilvl="3">
      <w:start w:val="1"/>
      <w:numFmt w:val="decimal"/>
      <w:isLgl w:val="false"/>
      <w:suff w:val="tab"/>
      <w:lvlText w:val="%4."/>
      <w:lvlJc w:val="left"/>
      <w:pPr>
        <w:pStyle w:val="687"/>
        <w:ind w:left="2880" w:hanging="720"/>
        <w:tabs>
          <w:tab w:val="num" w:pos="2880" w:leader="none"/>
        </w:tabs>
      </w:pPr>
    </w:lvl>
    <w:lvl w:ilvl="4">
      <w:start w:val="1"/>
      <w:numFmt w:val="decimal"/>
      <w:isLgl w:val="false"/>
      <w:suff w:val="tab"/>
      <w:lvlText w:val="%5."/>
      <w:lvlJc w:val="left"/>
      <w:pPr>
        <w:pStyle w:val="687"/>
        <w:ind w:left="3600" w:hanging="720"/>
        <w:tabs>
          <w:tab w:val="num" w:pos="3600" w:leader="none"/>
        </w:tabs>
      </w:pPr>
    </w:lvl>
    <w:lvl w:ilvl="5">
      <w:start w:val="1"/>
      <w:numFmt w:val="decimal"/>
      <w:isLgl w:val="false"/>
      <w:suff w:val="tab"/>
      <w:lvlText w:val="%6."/>
      <w:lvlJc w:val="left"/>
      <w:pPr>
        <w:pStyle w:val="687"/>
        <w:ind w:left="4320" w:hanging="720"/>
        <w:tabs>
          <w:tab w:val="num" w:pos="4320" w:leader="none"/>
        </w:tabs>
      </w:pPr>
    </w:lvl>
    <w:lvl w:ilvl="6">
      <w:start w:val="1"/>
      <w:numFmt w:val="decimal"/>
      <w:isLgl w:val="false"/>
      <w:suff w:val="tab"/>
      <w:lvlText w:val="%7."/>
      <w:lvlJc w:val="left"/>
      <w:pPr>
        <w:pStyle w:val="687"/>
        <w:ind w:left="5040" w:hanging="720"/>
        <w:tabs>
          <w:tab w:val="num" w:pos="5040" w:leader="none"/>
        </w:tabs>
      </w:pPr>
    </w:lvl>
    <w:lvl w:ilvl="7">
      <w:start w:val="1"/>
      <w:numFmt w:val="decimal"/>
      <w:isLgl w:val="false"/>
      <w:suff w:val="tab"/>
      <w:lvlText w:val="%8."/>
      <w:lvlJc w:val="left"/>
      <w:pPr>
        <w:pStyle w:val="687"/>
        <w:ind w:left="5760" w:hanging="720"/>
        <w:tabs>
          <w:tab w:val="num" w:pos="5760" w:leader="none"/>
        </w:tabs>
      </w:pPr>
    </w:lvl>
    <w:lvl w:ilvl="8">
      <w:start w:val="1"/>
      <w:numFmt w:val="decimal"/>
      <w:isLgl w:val="false"/>
      <w:suff w:val="tab"/>
      <w:lvlText w:val="%9."/>
      <w:lvlJc w:val="left"/>
      <w:pPr>
        <w:pStyle w:val="687"/>
        <w:ind w:left="6480" w:hanging="720"/>
        <w:tabs>
          <w:tab w:val="num" w:pos="6480" w:leader="none"/>
        </w:tabs>
      </w:pPr>
    </w:lvl>
  </w:abstractNum>
  <w:abstractNum w:abstractNumId="2">
    <w:multiLevelType w:val="hybridMultilevel"/>
    <w:lvl w:ilvl="0">
      <w:start w:val="1"/>
      <w:numFmt w:val="chineseCounting"/>
      <w:isLgl w:val="false"/>
      <w:suff w:val="nothing"/>
      <w:lvlText w:val="%1、"/>
      <w:lvlJc w:val="left"/>
      <w:pPr>
        <w:pStyle w:val="687"/>
      </w:pPr>
      <w:rPr>
        <w:rFonts w:hint="eastAsia"/>
      </w:r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3">
    <w:multiLevelType w:val="hybridMultilevel"/>
    <w:lvl w:ilvl="0">
      <w:start w:val="1"/>
      <w:numFmt w:val="upperLetter"/>
      <w:pStyle w:val="1022"/>
      <w:isLgl w:val="false"/>
      <w:suff w:val="nothing"/>
      <w:lvlText w:val="附　录　%1"/>
      <w:lvlJc w:val="left"/>
      <w:pPr>
        <w:pStyle w:val="687"/>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pStyle w:val="687"/>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687"/>
        <w:ind w:left="284" w:firstLine="0"/>
      </w:pPr>
      <w:rPr>
        <w:rFonts w:hint="eastAsia" w:ascii="黑体" w:hAnsi="Times New Roman" w:eastAsia="黑体"/>
        <w:b w:val="0"/>
        <w:i w:val="0"/>
        <w:sz w:val="21"/>
      </w:rPr>
    </w:lvl>
    <w:lvl w:ilvl="3">
      <w:start w:val="1"/>
      <w:numFmt w:val="decimal"/>
      <w:isLgl w:val="false"/>
      <w:suff w:val="nothing"/>
      <w:lvlText w:val="%1.%2.%3.%4　"/>
      <w:lvlJc w:val="left"/>
      <w:pPr>
        <w:pStyle w:val="68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8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68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87"/>
        <w:ind w:left="0" w:firstLine="0"/>
      </w:pPr>
      <w:rPr>
        <w:rFonts w:hint="eastAsia" w:ascii="黑体" w:hAnsi="Times New Roman" w:eastAsia="黑体"/>
        <w:b w:val="0"/>
        <w:i w:val="0"/>
        <w:sz w:val="21"/>
      </w:rPr>
    </w:lvl>
    <w:lvl w:ilvl="7">
      <w:start w:val="1"/>
      <w:numFmt w:val="decimal"/>
      <w:isLgl w:val="false"/>
      <w:suff w:val="tab"/>
      <w:lvlText w:val="%1.%2.%3.%4.%5.%6.%7.%8"/>
      <w:lvlJc w:val="left"/>
      <w:pPr>
        <w:pStyle w:val="687"/>
        <w:ind w:left="4394" w:hanging="1418"/>
        <w:tabs>
          <w:tab w:val="num" w:pos="4394" w:leader="none"/>
        </w:tabs>
      </w:pPr>
      <w:rPr>
        <w:rFonts w:hint="eastAsia"/>
      </w:rPr>
    </w:lvl>
    <w:lvl w:ilvl="8">
      <w:start w:val="1"/>
      <w:numFmt w:val="decimal"/>
      <w:isLgl w:val="false"/>
      <w:suff w:val="tab"/>
      <w:lvlText w:val="%1.%2.%3.%4.%5.%6.%7.%8.%9"/>
      <w:lvlJc w:val="left"/>
      <w:pPr>
        <w:pStyle w:val="687"/>
        <w:ind w:left="5102" w:hanging="1700"/>
        <w:tabs>
          <w:tab w:val="num" w:pos="5102" w:leader="none"/>
        </w:tabs>
      </w:pPr>
      <w:rPr>
        <w:rFonts w:hint="eastAsia"/>
      </w:rPr>
    </w:lvl>
  </w:abstractNum>
  <w:abstractNum w:abstractNumId="4">
    <w:multiLevelType w:val="hybridMultilevel"/>
    <w:lvl w:ilvl="0">
      <w:start w:val="2"/>
      <w:numFmt w:val="chineseCounting"/>
      <w:isLgl w:val="false"/>
      <w:suff w:val="nothing"/>
      <w:lvlText w:val="（%1）"/>
      <w:lvlJc w:val="left"/>
      <w:pPr>
        <w:pStyle w:val="6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748"/>
    <w:uiPriority w:val="9"/>
    <w:qFormat/>
    <w:pPr>
      <w:keepLines/>
      <w:keepNext/>
      <w:spacing w:before="480" w:after="200"/>
      <w:outlineLvl w:val="0"/>
    </w:pPr>
    <w:rPr>
      <w:rFonts w:ascii="Arial" w:hAnsi="Arial" w:eastAsia="Arial" w:cs="Arial"/>
      <w:sz w:val="40"/>
      <w:szCs w:val="40"/>
    </w:rPr>
  </w:style>
  <w:style w:type="paragraph" w:styleId="14">
    <w:name w:val="Heading 2"/>
    <w:basedOn w:val="687"/>
    <w:next w:val="687"/>
    <w:link w:val="749"/>
    <w:uiPriority w:val="9"/>
    <w:unhideWhenUsed/>
    <w:qFormat/>
    <w:pPr>
      <w:keepLines/>
      <w:keepNext/>
      <w:spacing w:before="360" w:after="200"/>
      <w:outlineLvl w:val="1"/>
    </w:pPr>
    <w:rPr>
      <w:rFonts w:ascii="Arial" w:hAnsi="Arial" w:eastAsia="Arial" w:cs="Arial"/>
      <w:sz w:val="34"/>
    </w:rPr>
  </w:style>
  <w:style w:type="paragraph" w:styleId="16">
    <w:name w:val="Heading 3"/>
    <w:basedOn w:val="687"/>
    <w:next w:val="687"/>
    <w:link w:val="7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7"/>
    <w:next w:val="687"/>
    <w:link w:val="7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7"/>
    <w:next w:val="687"/>
    <w:link w:val="7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7"/>
    <w:next w:val="687"/>
    <w:link w:val="7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7"/>
    <w:next w:val="687"/>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7"/>
    <w:next w:val="687"/>
    <w:link w:val="7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7"/>
    <w:next w:val="687"/>
    <w:link w:val="75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757"/>
    <w:uiPriority w:val="10"/>
    <w:qFormat/>
    <w:pPr>
      <w:contextualSpacing/>
      <w:spacing w:before="300" w:after="200"/>
    </w:pPr>
    <w:rPr>
      <w:sz w:val="48"/>
      <w:szCs w:val="48"/>
    </w:rPr>
  </w:style>
  <w:style w:type="paragraph" w:styleId="35">
    <w:name w:val="Subtitle"/>
    <w:basedOn w:val="687"/>
    <w:next w:val="687"/>
    <w:link w:val="758"/>
    <w:uiPriority w:val="11"/>
    <w:qFormat/>
    <w:pPr>
      <w:spacing w:before="200" w:after="200"/>
    </w:pPr>
    <w:rPr>
      <w:sz w:val="24"/>
      <w:szCs w:val="24"/>
    </w:rPr>
  </w:style>
  <w:style w:type="paragraph" w:styleId="37">
    <w:name w:val="Quote"/>
    <w:basedOn w:val="687"/>
    <w:next w:val="687"/>
    <w:link w:val="759"/>
    <w:uiPriority w:val="29"/>
    <w:qFormat/>
    <w:pPr>
      <w:ind w:left="720" w:right="720"/>
    </w:pPr>
    <w:rPr>
      <w:i/>
    </w:rPr>
  </w:style>
  <w:style w:type="paragraph" w:styleId="39">
    <w:name w:val="Intense Quote"/>
    <w:basedOn w:val="687"/>
    <w:next w:val="687"/>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87"/>
    <w:link w:val="761"/>
    <w:uiPriority w:val="99"/>
    <w:unhideWhenUsed/>
    <w:pPr>
      <w:spacing w:after="0" w:line="240" w:lineRule="auto"/>
      <w:tabs>
        <w:tab w:val="center" w:pos="7143" w:leader="none"/>
        <w:tab w:val="right" w:pos="14287" w:leader="none"/>
      </w:tabs>
    </w:pPr>
  </w:style>
  <w:style w:type="paragraph" w:styleId="43">
    <w:name w:val="Footer"/>
    <w:basedOn w:val="687"/>
    <w:link w:val="762"/>
    <w:uiPriority w:val="99"/>
    <w:unhideWhenUsed/>
    <w:pPr>
      <w:spacing w:after="0" w:line="240" w:lineRule="auto"/>
      <w:tabs>
        <w:tab w:val="center" w:pos="7143" w:leader="none"/>
        <w:tab w:val="right" w:pos="14287" w:leader="none"/>
      </w:tabs>
    </w:pPr>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7"/>
    <w:link w:val="78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7"/>
    <w:link w:val="78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90">
    <w:name w:val="table of figures"/>
    <w:basedOn w:val="687"/>
    <w:next w:val="687"/>
    <w:uiPriority w:val="99"/>
    <w:unhideWhenUsed/>
    <w:pPr>
      <w:spacing w:after="0" w:afterAutospacing="0"/>
    </w:pPr>
  </w:style>
  <w:style w:type="paragraph" w:styleId="687" w:default="1">
    <w:name w:val="Normal"/>
    <w:next w:val="687"/>
    <w:link w:val="687"/>
    <w:qFormat/>
    <w:pPr>
      <w:jc w:val="both"/>
      <w:widowControl w:val="off"/>
    </w:pPr>
    <w:rPr>
      <w:sz w:val="21"/>
      <w:szCs w:val="24"/>
      <w:lang w:val="en-US" w:eastAsia="zh-CN" w:bidi="ar-SA"/>
    </w:rPr>
  </w:style>
  <w:style w:type="paragraph" w:styleId="688">
    <w:name w:val="标题 1"/>
    <w:basedOn w:val="687"/>
    <w:next w:val="687"/>
    <w:link w:val="699"/>
    <w:uiPriority w:val="9"/>
    <w:qFormat/>
    <w:pPr>
      <w:keepLines/>
      <w:keepNext/>
      <w:spacing w:before="480" w:after="200"/>
      <w:outlineLvl w:val="0"/>
    </w:pPr>
    <w:rPr>
      <w:rFonts w:ascii="Arial" w:hAnsi="Arial" w:eastAsia="Arial" w:cs="Arial"/>
      <w:sz w:val="40"/>
      <w:szCs w:val="40"/>
    </w:rPr>
  </w:style>
  <w:style w:type="paragraph" w:styleId="689">
    <w:name w:val="标题 2"/>
    <w:basedOn w:val="687"/>
    <w:next w:val="687"/>
    <w:link w:val="700"/>
    <w:uiPriority w:val="9"/>
    <w:qFormat/>
    <w:pPr>
      <w:keepLines/>
      <w:keepNext/>
      <w:spacing w:before="360" w:after="200"/>
      <w:outlineLvl w:val="1"/>
    </w:pPr>
    <w:rPr>
      <w:rFonts w:ascii="Arial" w:hAnsi="Arial" w:eastAsia="Arial" w:cs="Arial"/>
      <w:sz w:val="34"/>
    </w:rPr>
  </w:style>
  <w:style w:type="paragraph" w:styleId="690">
    <w:name w:val="标题 3"/>
    <w:basedOn w:val="687"/>
    <w:next w:val="687"/>
    <w:link w:val="701"/>
    <w:uiPriority w:val="9"/>
    <w:qFormat/>
    <w:pPr>
      <w:keepLines/>
      <w:keepNext/>
      <w:spacing w:before="320" w:after="200"/>
      <w:outlineLvl w:val="2"/>
    </w:pPr>
    <w:rPr>
      <w:rFonts w:ascii="Arial" w:hAnsi="Arial" w:eastAsia="Arial" w:cs="Arial"/>
      <w:sz w:val="30"/>
      <w:szCs w:val="30"/>
    </w:rPr>
  </w:style>
  <w:style w:type="paragraph" w:styleId="691">
    <w:name w:val="标题 4"/>
    <w:basedOn w:val="687"/>
    <w:next w:val="687"/>
    <w:link w:val="702"/>
    <w:uiPriority w:val="9"/>
    <w:qFormat/>
    <w:pPr>
      <w:keepLines/>
      <w:keepNext/>
      <w:spacing w:before="320" w:after="200"/>
      <w:outlineLvl w:val="3"/>
    </w:pPr>
    <w:rPr>
      <w:rFonts w:ascii="Arial" w:hAnsi="Arial" w:eastAsia="Arial" w:cs="Arial"/>
      <w:b/>
      <w:bCs/>
      <w:sz w:val="26"/>
      <w:szCs w:val="26"/>
    </w:rPr>
  </w:style>
  <w:style w:type="paragraph" w:styleId="692">
    <w:name w:val="标题 5"/>
    <w:basedOn w:val="687"/>
    <w:next w:val="687"/>
    <w:link w:val="703"/>
    <w:uiPriority w:val="9"/>
    <w:qFormat/>
    <w:pPr>
      <w:keepLines/>
      <w:keepNext/>
      <w:spacing w:before="320" w:after="200"/>
      <w:outlineLvl w:val="4"/>
    </w:pPr>
    <w:rPr>
      <w:rFonts w:ascii="Arial" w:hAnsi="Arial" w:eastAsia="Arial" w:cs="Arial"/>
      <w:b/>
      <w:bCs/>
      <w:sz w:val="24"/>
    </w:rPr>
  </w:style>
  <w:style w:type="paragraph" w:styleId="693">
    <w:name w:val="标题 6"/>
    <w:basedOn w:val="687"/>
    <w:next w:val="687"/>
    <w:link w:val="704"/>
    <w:uiPriority w:val="9"/>
    <w:qFormat/>
    <w:pPr>
      <w:keepLines/>
      <w:keepNext/>
      <w:spacing w:before="320" w:after="200"/>
      <w:outlineLvl w:val="5"/>
    </w:pPr>
    <w:rPr>
      <w:rFonts w:ascii="Arial" w:hAnsi="Arial" w:eastAsia="Arial" w:cs="Arial"/>
      <w:b/>
      <w:bCs/>
      <w:sz w:val="22"/>
      <w:szCs w:val="22"/>
    </w:rPr>
  </w:style>
  <w:style w:type="paragraph" w:styleId="694">
    <w:name w:val="标题 7"/>
    <w:basedOn w:val="687"/>
    <w:next w:val="687"/>
    <w:link w:val="705"/>
    <w:uiPriority w:val="9"/>
    <w:qFormat/>
    <w:pPr>
      <w:keepLines/>
      <w:keepNext/>
      <w:spacing w:before="320" w:after="200"/>
      <w:outlineLvl w:val="6"/>
    </w:pPr>
    <w:rPr>
      <w:rFonts w:ascii="Arial" w:hAnsi="Arial" w:eastAsia="Arial" w:cs="Arial"/>
      <w:b/>
      <w:bCs/>
      <w:i/>
      <w:iCs/>
      <w:sz w:val="22"/>
      <w:szCs w:val="22"/>
    </w:rPr>
  </w:style>
  <w:style w:type="paragraph" w:styleId="695">
    <w:name w:val="标题 8"/>
    <w:basedOn w:val="687"/>
    <w:next w:val="687"/>
    <w:link w:val="706"/>
    <w:uiPriority w:val="9"/>
    <w:qFormat/>
    <w:pPr>
      <w:keepLines/>
      <w:keepNext/>
      <w:spacing w:before="320" w:after="200"/>
      <w:outlineLvl w:val="7"/>
    </w:pPr>
    <w:rPr>
      <w:rFonts w:ascii="Arial" w:hAnsi="Arial" w:eastAsia="Arial" w:cs="Arial"/>
      <w:i/>
      <w:iCs/>
      <w:sz w:val="22"/>
      <w:szCs w:val="22"/>
    </w:rPr>
  </w:style>
  <w:style w:type="paragraph" w:styleId="696">
    <w:name w:val="标题 9"/>
    <w:basedOn w:val="687"/>
    <w:next w:val="687"/>
    <w:link w:val="707"/>
    <w:uiPriority w:val="9"/>
    <w:qFormat/>
    <w:pPr>
      <w:keepLines/>
      <w:keepNext/>
      <w:spacing w:before="320" w:after="200"/>
      <w:outlineLvl w:val="8"/>
    </w:pPr>
    <w:rPr>
      <w:rFonts w:ascii="Arial" w:hAnsi="Arial" w:eastAsia="Arial" w:cs="Arial"/>
      <w:i/>
      <w:iCs/>
      <w:szCs w:val="21"/>
    </w:rPr>
  </w:style>
  <w:style w:type="character" w:styleId="697">
    <w:name w:val="默认段落字体"/>
    <w:next w:val="697"/>
    <w:link w:val="687"/>
    <w:uiPriority w:val="1"/>
    <w:unhideWhenUsed/>
  </w:style>
  <w:style w:type="table" w:styleId="698">
    <w:name w:val="普通表格"/>
    <w:next w:val="698"/>
    <w:link w:val="687"/>
    <w:uiPriority w:val="99"/>
    <w:unhideWhenUsed/>
    <w:qFormat/>
    <w:tblPr/>
  </w:style>
  <w:style w:type="character" w:styleId="699">
    <w:name w:val="标题 1 字符1"/>
    <w:next w:val="699"/>
    <w:link w:val="688"/>
    <w:uiPriority w:val="9"/>
    <w:qFormat/>
    <w:rPr>
      <w:rFonts w:ascii="Arial" w:hAnsi="Arial" w:eastAsia="Arial" w:cs="Arial"/>
      <w:sz w:val="40"/>
      <w:szCs w:val="40"/>
    </w:rPr>
  </w:style>
  <w:style w:type="character" w:styleId="700">
    <w:name w:val="标题 2 字符1"/>
    <w:next w:val="700"/>
    <w:link w:val="689"/>
    <w:uiPriority w:val="9"/>
    <w:qFormat/>
    <w:rPr>
      <w:rFonts w:ascii="Arial" w:hAnsi="Arial" w:eastAsia="Arial" w:cs="Arial"/>
      <w:sz w:val="34"/>
    </w:rPr>
  </w:style>
  <w:style w:type="character" w:styleId="701">
    <w:name w:val="标题 3 字符1"/>
    <w:next w:val="701"/>
    <w:link w:val="690"/>
    <w:uiPriority w:val="9"/>
    <w:qFormat/>
    <w:rPr>
      <w:rFonts w:ascii="Arial" w:hAnsi="Arial" w:eastAsia="Arial" w:cs="Arial"/>
      <w:sz w:val="30"/>
      <w:szCs w:val="30"/>
    </w:rPr>
  </w:style>
  <w:style w:type="character" w:styleId="702">
    <w:name w:val="标题 4 字符1"/>
    <w:next w:val="702"/>
    <w:link w:val="691"/>
    <w:uiPriority w:val="9"/>
    <w:qFormat/>
    <w:rPr>
      <w:rFonts w:ascii="Arial" w:hAnsi="Arial" w:eastAsia="Arial" w:cs="Arial"/>
      <w:b/>
      <w:bCs/>
      <w:sz w:val="26"/>
      <w:szCs w:val="26"/>
    </w:rPr>
  </w:style>
  <w:style w:type="character" w:styleId="703">
    <w:name w:val="标题 5 字符1"/>
    <w:next w:val="703"/>
    <w:link w:val="692"/>
    <w:uiPriority w:val="9"/>
    <w:qFormat/>
    <w:rPr>
      <w:rFonts w:ascii="Arial" w:hAnsi="Arial" w:eastAsia="Arial" w:cs="Arial"/>
      <w:b/>
      <w:bCs/>
      <w:sz w:val="24"/>
      <w:szCs w:val="24"/>
    </w:rPr>
  </w:style>
  <w:style w:type="character" w:styleId="704">
    <w:name w:val="标题 6 字符1"/>
    <w:next w:val="704"/>
    <w:link w:val="693"/>
    <w:uiPriority w:val="9"/>
    <w:qFormat/>
    <w:rPr>
      <w:rFonts w:ascii="Arial" w:hAnsi="Arial" w:eastAsia="Arial" w:cs="Arial"/>
      <w:b/>
      <w:bCs/>
      <w:sz w:val="22"/>
      <w:szCs w:val="22"/>
    </w:rPr>
  </w:style>
  <w:style w:type="character" w:styleId="705">
    <w:name w:val="标题 7 字符1"/>
    <w:next w:val="705"/>
    <w:link w:val="694"/>
    <w:uiPriority w:val="9"/>
    <w:qFormat/>
    <w:rPr>
      <w:rFonts w:ascii="Arial" w:hAnsi="Arial" w:eastAsia="Arial" w:cs="Arial"/>
      <w:b/>
      <w:bCs/>
      <w:i/>
      <w:iCs/>
      <w:sz w:val="22"/>
      <w:szCs w:val="22"/>
    </w:rPr>
  </w:style>
  <w:style w:type="character" w:styleId="706">
    <w:name w:val="标题 8 字符1"/>
    <w:next w:val="706"/>
    <w:link w:val="695"/>
    <w:uiPriority w:val="9"/>
    <w:qFormat/>
    <w:rPr>
      <w:rFonts w:ascii="Arial" w:hAnsi="Arial" w:eastAsia="Arial" w:cs="Arial"/>
      <w:i/>
      <w:iCs/>
      <w:sz w:val="22"/>
      <w:szCs w:val="22"/>
    </w:rPr>
  </w:style>
  <w:style w:type="character" w:styleId="707">
    <w:name w:val="标题 9 字符1"/>
    <w:next w:val="707"/>
    <w:link w:val="696"/>
    <w:uiPriority w:val="9"/>
    <w:qFormat/>
    <w:rPr>
      <w:rFonts w:ascii="Arial" w:hAnsi="Arial" w:eastAsia="Arial" w:cs="Arial"/>
      <w:i/>
      <w:iCs/>
      <w:sz w:val="21"/>
      <w:szCs w:val="21"/>
    </w:rPr>
  </w:style>
  <w:style w:type="paragraph" w:styleId="708">
    <w:name w:val="目录 7"/>
    <w:basedOn w:val="687"/>
    <w:next w:val="687"/>
    <w:link w:val="687"/>
    <w:uiPriority w:val="39"/>
    <w:unhideWhenUsed/>
    <w:qFormat/>
    <w:pPr>
      <w:ind w:left="1701"/>
      <w:spacing w:after="57"/>
    </w:pPr>
  </w:style>
  <w:style w:type="paragraph" w:styleId="709">
    <w:name w:val="题注"/>
    <w:basedOn w:val="687"/>
    <w:next w:val="687"/>
    <w:link w:val="687"/>
    <w:uiPriority w:val="35"/>
    <w:qFormat/>
    <w:pPr>
      <w:spacing w:line="276" w:lineRule="auto"/>
    </w:pPr>
    <w:rPr>
      <w:b/>
      <w:bCs/>
      <w:color w:val="4f81bd"/>
      <w:sz w:val="18"/>
      <w:szCs w:val="18"/>
    </w:rPr>
  </w:style>
  <w:style w:type="paragraph" w:styleId="710">
    <w:name w:val="批注文字"/>
    <w:basedOn w:val="687"/>
    <w:next w:val="710"/>
    <w:link w:val="711"/>
    <w:uiPriority w:val="99"/>
    <w:unhideWhenUsed/>
    <w:qFormat/>
    <w:pPr>
      <w:jc w:val="left"/>
    </w:pPr>
  </w:style>
  <w:style w:type="character" w:styleId="711">
    <w:name w:val="批注文字 字符1"/>
    <w:next w:val="711"/>
    <w:link w:val="710"/>
    <w:uiPriority w:val="99"/>
    <w:rPr>
      <w:sz w:val="21"/>
      <w:szCs w:val="24"/>
    </w:rPr>
  </w:style>
  <w:style w:type="paragraph" w:styleId="712">
    <w:name w:val="正文文本"/>
    <w:basedOn w:val="687"/>
    <w:next w:val="687"/>
    <w:link w:val="713"/>
    <w:uiPriority w:val="99"/>
    <w:qFormat/>
    <w:pPr>
      <w:spacing w:line="360" w:lineRule="auto"/>
    </w:pPr>
    <w:rPr>
      <w:rFonts w:ascii="楷体_GB2312" w:hAnsi="Times New Roman" w:eastAsia="楷体_GB2312"/>
      <w:sz w:val="28"/>
      <w:szCs w:val="24"/>
    </w:rPr>
  </w:style>
  <w:style w:type="character" w:styleId="713">
    <w:name w:val="正文文本 字符"/>
    <w:next w:val="713"/>
    <w:link w:val="712"/>
    <w:uiPriority w:val="99"/>
    <w:qFormat/>
    <w:rPr>
      <w:rFonts w:ascii="楷体_GB2312" w:eastAsia="楷体_GB2312"/>
      <w:sz w:val="28"/>
      <w:szCs w:val="24"/>
    </w:rPr>
  </w:style>
  <w:style w:type="paragraph" w:styleId="714">
    <w:name w:val="正文文本缩进"/>
    <w:basedOn w:val="687"/>
    <w:next w:val="714"/>
    <w:link w:val="687"/>
    <w:uiPriority w:val="99"/>
    <w:unhideWhenUsed/>
    <w:qFormat/>
    <w:pPr>
      <w:ind w:left="420"/>
      <w:spacing w:after="120"/>
    </w:pPr>
  </w:style>
  <w:style w:type="paragraph" w:styleId="715">
    <w:name w:val="文本块"/>
    <w:basedOn w:val="687"/>
    <w:next w:val="715"/>
    <w:link w:val="687"/>
    <w:uiPriority w:val="99"/>
    <w:unhideWhenUsed/>
    <w:qFormat/>
    <w:pPr>
      <w:ind w:left="1440" w:right="1440"/>
      <w:spacing w:after="120"/>
    </w:pPr>
  </w:style>
  <w:style w:type="paragraph" w:styleId="716">
    <w:name w:val="索引 4"/>
    <w:basedOn w:val="687"/>
    <w:next w:val="687"/>
    <w:link w:val="687"/>
    <w:qFormat/>
    <w:pPr>
      <w:ind w:left="1260"/>
    </w:pPr>
  </w:style>
  <w:style w:type="paragraph" w:styleId="717">
    <w:name w:val="目录 5"/>
    <w:basedOn w:val="687"/>
    <w:next w:val="687"/>
    <w:link w:val="687"/>
    <w:uiPriority w:val="39"/>
    <w:unhideWhenUsed/>
    <w:qFormat/>
    <w:pPr>
      <w:ind w:left="1134"/>
      <w:spacing w:after="57"/>
    </w:pPr>
  </w:style>
  <w:style w:type="paragraph" w:styleId="718">
    <w:name w:val="目录 3"/>
    <w:basedOn w:val="687"/>
    <w:next w:val="687"/>
    <w:link w:val="687"/>
    <w:uiPriority w:val="39"/>
    <w:unhideWhenUsed/>
    <w:qFormat/>
    <w:pPr>
      <w:ind w:left="567"/>
      <w:spacing w:after="57"/>
    </w:pPr>
  </w:style>
  <w:style w:type="paragraph" w:styleId="719">
    <w:name w:val="纯文本"/>
    <w:basedOn w:val="687"/>
    <w:next w:val="719"/>
    <w:link w:val="687"/>
    <w:qFormat/>
    <w:rPr>
      <w:rFonts w:ascii="宋体" w:hAnsi="Courier New"/>
    </w:rPr>
  </w:style>
  <w:style w:type="paragraph" w:styleId="720">
    <w:name w:val="目录 8"/>
    <w:basedOn w:val="687"/>
    <w:next w:val="687"/>
    <w:link w:val="687"/>
    <w:uiPriority w:val="39"/>
    <w:unhideWhenUsed/>
    <w:qFormat/>
    <w:pPr>
      <w:ind w:left="1984"/>
      <w:spacing w:after="57"/>
    </w:pPr>
  </w:style>
  <w:style w:type="paragraph" w:styleId="721">
    <w:name w:val="尾注文本"/>
    <w:basedOn w:val="687"/>
    <w:next w:val="721"/>
    <w:link w:val="722"/>
    <w:uiPriority w:val="99"/>
    <w:unhideWhenUsed/>
    <w:qFormat/>
    <w:rPr>
      <w:sz w:val="20"/>
    </w:rPr>
  </w:style>
  <w:style w:type="character" w:styleId="722">
    <w:name w:val="尾注文本 字符1"/>
    <w:next w:val="722"/>
    <w:link w:val="721"/>
    <w:uiPriority w:val="99"/>
    <w:qFormat/>
    <w:rPr>
      <w:sz w:val="20"/>
    </w:rPr>
  </w:style>
  <w:style w:type="paragraph" w:styleId="723">
    <w:name w:val="页脚"/>
    <w:basedOn w:val="687"/>
    <w:next w:val="723"/>
    <w:link w:val="724"/>
    <w:uiPriority w:val="99"/>
    <w:unhideWhenUsed/>
    <w:qFormat/>
    <w:pPr>
      <w:tabs>
        <w:tab w:val="center" w:pos="7143" w:leader="none"/>
        <w:tab w:val="right" w:pos="14287" w:leader="none"/>
      </w:tabs>
    </w:pPr>
  </w:style>
  <w:style w:type="character" w:styleId="724">
    <w:name w:val="页脚 字符1"/>
    <w:next w:val="724"/>
    <w:link w:val="723"/>
    <w:uiPriority w:val="99"/>
    <w:qFormat/>
  </w:style>
  <w:style w:type="paragraph" w:styleId="725">
    <w:name w:val="页眉"/>
    <w:basedOn w:val="687"/>
    <w:next w:val="725"/>
    <w:link w:val="726"/>
    <w:uiPriority w:val="99"/>
    <w:unhideWhenUsed/>
    <w:qFormat/>
    <w:pPr>
      <w:tabs>
        <w:tab w:val="center" w:pos="7143" w:leader="none"/>
        <w:tab w:val="right" w:pos="14287" w:leader="none"/>
      </w:tabs>
    </w:pPr>
  </w:style>
  <w:style w:type="character" w:styleId="726">
    <w:name w:val="页眉 字符1"/>
    <w:next w:val="726"/>
    <w:link w:val="725"/>
    <w:uiPriority w:val="99"/>
    <w:qFormat/>
  </w:style>
  <w:style w:type="paragraph" w:styleId="727">
    <w:name w:val="目录 1"/>
    <w:basedOn w:val="687"/>
    <w:next w:val="687"/>
    <w:link w:val="687"/>
    <w:uiPriority w:val="39"/>
    <w:unhideWhenUsed/>
    <w:qFormat/>
    <w:pPr>
      <w:spacing w:after="57"/>
    </w:pPr>
  </w:style>
  <w:style w:type="paragraph" w:styleId="728">
    <w:name w:val="目录 4"/>
    <w:basedOn w:val="687"/>
    <w:next w:val="687"/>
    <w:link w:val="687"/>
    <w:uiPriority w:val="39"/>
    <w:unhideWhenUsed/>
    <w:qFormat/>
    <w:pPr>
      <w:ind w:left="850"/>
      <w:spacing w:after="57"/>
    </w:pPr>
  </w:style>
  <w:style w:type="paragraph" w:styleId="729">
    <w:name w:val="副标题"/>
    <w:basedOn w:val="687"/>
    <w:next w:val="687"/>
    <w:link w:val="730"/>
    <w:uiPriority w:val="11"/>
    <w:qFormat/>
    <w:pPr>
      <w:spacing w:before="200" w:after="200"/>
    </w:pPr>
    <w:rPr>
      <w:sz w:val="24"/>
    </w:rPr>
  </w:style>
  <w:style w:type="character" w:styleId="730">
    <w:name w:val="副标题 字符1"/>
    <w:next w:val="730"/>
    <w:link w:val="729"/>
    <w:uiPriority w:val="11"/>
    <w:qFormat/>
    <w:rPr>
      <w:sz w:val="24"/>
      <w:szCs w:val="24"/>
    </w:rPr>
  </w:style>
  <w:style w:type="paragraph" w:styleId="731">
    <w:name w:val="脚注文本"/>
    <w:basedOn w:val="687"/>
    <w:next w:val="731"/>
    <w:link w:val="732"/>
    <w:uiPriority w:val="99"/>
    <w:unhideWhenUsed/>
    <w:qFormat/>
    <w:pPr>
      <w:spacing w:after="40"/>
    </w:pPr>
    <w:rPr>
      <w:sz w:val="18"/>
    </w:rPr>
  </w:style>
  <w:style w:type="character" w:styleId="732">
    <w:name w:val="脚注文本 字符1"/>
    <w:next w:val="732"/>
    <w:link w:val="731"/>
    <w:uiPriority w:val="99"/>
    <w:qFormat/>
    <w:rPr>
      <w:sz w:val="18"/>
    </w:rPr>
  </w:style>
  <w:style w:type="paragraph" w:styleId="733">
    <w:name w:val="目录 6"/>
    <w:basedOn w:val="687"/>
    <w:next w:val="687"/>
    <w:link w:val="687"/>
    <w:uiPriority w:val="39"/>
    <w:unhideWhenUsed/>
    <w:qFormat/>
    <w:pPr>
      <w:ind w:left="1417"/>
      <w:spacing w:after="57"/>
    </w:pPr>
  </w:style>
  <w:style w:type="paragraph" w:styleId="734">
    <w:name w:val="图表目录"/>
    <w:basedOn w:val="687"/>
    <w:next w:val="687"/>
    <w:link w:val="687"/>
    <w:uiPriority w:val="99"/>
    <w:unhideWhenUsed/>
    <w:qFormat/>
  </w:style>
  <w:style w:type="paragraph" w:styleId="735">
    <w:name w:val="目录 2"/>
    <w:basedOn w:val="687"/>
    <w:next w:val="687"/>
    <w:link w:val="687"/>
    <w:uiPriority w:val="39"/>
    <w:unhideWhenUsed/>
    <w:qFormat/>
    <w:pPr>
      <w:ind w:left="283"/>
      <w:spacing w:after="57"/>
    </w:pPr>
  </w:style>
  <w:style w:type="paragraph" w:styleId="736">
    <w:name w:val="目录 9"/>
    <w:basedOn w:val="687"/>
    <w:next w:val="687"/>
    <w:link w:val="687"/>
    <w:uiPriority w:val="39"/>
    <w:unhideWhenUsed/>
    <w:qFormat/>
    <w:pPr>
      <w:ind w:left="2268"/>
      <w:spacing w:after="57"/>
    </w:pPr>
  </w:style>
  <w:style w:type="paragraph" w:styleId="737">
    <w:name w:val="标题"/>
    <w:basedOn w:val="687"/>
    <w:next w:val="687"/>
    <w:link w:val="738"/>
    <w:uiPriority w:val="10"/>
    <w:qFormat/>
    <w:pPr>
      <w:contextualSpacing/>
      <w:spacing w:before="300" w:after="200"/>
    </w:pPr>
    <w:rPr>
      <w:sz w:val="48"/>
      <w:szCs w:val="48"/>
    </w:rPr>
  </w:style>
  <w:style w:type="character" w:styleId="738">
    <w:name w:val="标题 字符1"/>
    <w:next w:val="738"/>
    <w:link w:val="737"/>
    <w:uiPriority w:val="10"/>
    <w:qFormat/>
    <w:rPr>
      <w:sz w:val="48"/>
      <w:szCs w:val="48"/>
    </w:rPr>
  </w:style>
  <w:style w:type="paragraph" w:styleId="739">
    <w:name w:val="批注主题"/>
    <w:basedOn w:val="710"/>
    <w:next w:val="710"/>
    <w:link w:val="740"/>
    <w:uiPriority w:val="99"/>
    <w:unhideWhenUsed/>
    <w:rPr>
      <w:b/>
      <w:bCs/>
    </w:rPr>
  </w:style>
  <w:style w:type="character" w:styleId="740">
    <w:name w:val="批注主题 字符1"/>
    <w:next w:val="740"/>
    <w:link w:val="739"/>
    <w:uiPriority w:val="99"/>
    <w:semiHidden/>
    <w:rPr>
      <w:b/>
      <w:bCs/>
      <w:sz w:val="21"/>
      <w:szCs w:val="24"/>
    </w:rPr>
  </w:style>
  <w:style w:type="table" w:styleId="741">
    <w:name w:val="网格型"/>
    <w:next w:val="741"/>
    <w:link w:val="687"/>
    <w:uiPriority w:val="59"/>
    <w:qFormat/>
    <w:rPr>
      <w:lang w:val="en-US" w:eastAsia="zh-CN" w:bidi="ar-SA"/>
    </w:rPr>
    <w:tblPr/>
  </w:style>
  <w:style w:type="character" w:styleId="742">
    <w:name w:val="尾注引用"/>
    <w:next w:val="742"/>
    <w:link w:val="687"/>
    <w:uiPriority w:val="99"/>
    <w:unhideWhenUsed/>
    <w:qFormat/>
    <w:rPr>
      <w:vertAlign w:val="superscript"/>
    </w:rPr>
  </w:style>
  <w:style w:type="character" w:styleId="743">
    <w:name w:val="超链接"/>
    <w:next w:val="743"/>
    <w:link w:val="687"/>
    <w:uiPriority w:val="99"/>
    <w:unhideWhenUsed/>
    <w:qFormat/>
    <w:rPr>
      <w:color w:val="0000ff"/>
      <w:u w:val="single"/>
    </w:rPr>
  </w:style>
  <w:style w:type="character" w:styleId="744">
    <w:name w:val="批注引用"/>
    <w:next w:val="744"/>
    <w:link w:val="687"/>
    <w:uiPriority w:val="99"/>
    <w:unhideWhenUsed/>
    <w:qFormat/>
    <w:rPr>
      <w:sz w:val="21"/>
      <w:szCs w:val="21"/>
    </w:rPr>
  </w:style>
  <w:style w:type="character" w:styleId="745">
    <w:name w:val="脚注引用"/>
    <w:next w:val="745"/>
    <w:link w:val="687"/>
    <w:uiPriority w:val="99"/>
    <w:unhideWhenUsed/>
    <w:qFormat/>
    <w:rPr>
      <w:vertAlign w:val="superscript"/>
    </w:rPr>
  </w:style>
  <w:style w:type="paragraph" w:styleId="746">
    <w:name w:val="信息标题1"/>
    <w:basedOn w:val="687"/>
    <w:next w:val="747"/>
    <w:link w:val="68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47">
    <w:name w:val="正文文本12"/>
    <w:basedOn w:val="687"/>
    <w:next w:val="687"/>
    <w:link w:val="687"/>
    <w:uiPriority w:val="99"/>
    <w:qFormat/>
    <w:pPr>
      <w:spacing w:after="120"/>
    </w:pPr>
  </w:style>
  <w:style w:type="character" w:styleId="748">
    <w:name w:val="Heading 1 Char"/>
    <w:next w:val="748"/>
    <w:link w:val="687"/>
    <w:uiPriority w:val="9"/>
    <w:qFormat/>
    <w:rPr>
      <w:rFonts w:ascii="Arial" w:hAnsi="Arial" w:eastAsia="Arial" w:cs="Arial"/>
      <w:sz w:val="40"/>
      <w:szCs w:val="40"/>
    </w:rPr>
  </w:style>
  <w:style w:type="character" w:styleId="749">
    <w:name w:val="Heading 2 Char"/>
    <w:next w:val="749"/>
    <w:link w:val="687"/>
    <w:uiPriority w:val="9"/>
    <w:qFormat/>
    <w:rPr>
      <w:rFonts w:ascii="Arial" w:hAnsi="Arial" w:eastAsia="Arial" w:cs="Arial"/>
      <w:sz w:val="34"/>
    </w:rPr>
  </w:style>
  <w:style w:type="character" w:styleId="750">
    <w:name w:val="Heading 3 Char"/>
    <w:next w:val="750"/>
    <w:link w:val="687"/>
    <w:uiPriority w:val="9"/>
    <w:qFormat/>
    <w:rPr>
      <w:rFonts w:ascii="Arial" w:hAnsi="Arial" w:eastAsia="Arial" w:cs="Arial"/>
      <w:sz w:val="30"/>
      <w:szCs w:val="30"/>
    </w:rPr>
  </w:style>
  <w:style w:type="character" w:styleId="751">
    <w:name w:val="Heading 4 Char"/>
    <w:next w:val="751"/>
    <w:link w:val="687"/>
    <w:uiPriority w:val="9"/>
    <w:qFormat/>
    <w:rPr>
      <w:rFonts w:ascii="Arial" w:hAnsi="Arial" w:eastAsia="Arial" w:cs="Arial"/>
      <w:b/>
      <w:bCs/>
      <w:sz w:val="26"/>
      <w:szCs w:val="26"/>
    </w:rPr>
  </w:style>
  <w:style w:type="character" w:styleId="752">
    <w:name w:val="Heading 5 Char"/>
    <w:next w:val="752"/>
    <w:link w:val="687"/>
    <w:uiPriority w:val="9"/>
    <w:qFormat/>
    <w:rPr>
      <w:rFonts w:ascii="Arial" w:hAnsi="Arial" w:eastAsia="Arial" w:cs="Arial"/>
      <w:b/>
      <w:bCs/>
      <w:sz w:val="24"/>
      <w:szCs w:val="24"/>
    </w:rPr>
  </w:style>
  <w:style w:type="character" w:styleId="753">
    <w:name w:val="Heading 6 Char"/>
    <w:next w:val="753"/>
    <w:link w:val="687"/>
    <w:uiPriority w:val="9"/>
    <w:qFormat/>
    <w:rPr>
      <w:rFonts w:ascii="Arial" w:hAnsi="Arial" w:eastAsia="Arial" w:cs="Arial"/>
      <w:b/>
      <w:bCs/>
      <w:sz w:val="22"/>
      <w:szCs w:val="22"/>
    </w:rPr>
  </w:style>
  <w:style w:type="character" w:styleId="754">
    <w:name w:val="Heading 7 Char"/>
    <w:next w:val="754"/>
    <w:link w:val="687"/>
    <w:uiPriority w:val="9"/>
    <w:qFormat/>
    <w:rPr>
      <w:rFonts w:ascii="Arial" w:hAnsi="Arial" w:eastAsia="Arial" w:cs="Arial"/>
      <w:b/>
      <w:bCs/>
      <w:i/>
      <w:iCs/>
      <w:sz w:val="22"/>
      <w:szCs w:val="22"/>
    </w:rPr>
  </w:style>
  <w:style w:type="character" w:styleId="755">
    <w:name w:val="Heading 8 Char"/>
    <w:next w:val="755"/>
    <w:link w:val="687"/>
    <w:uiPriority w:val="9"/>
    <w:qFormat/>
    <w:rPr>
      <w:rFonts w:ascii="Arial" w:hAnsi="Arial" w:eastAsia="Arial" w:cs="Arial"/>
      <w:i/>
      <w:iCs/>
      <w:sz w:val="22"/>
      <w:szCs w:val="22"/>
    </w:rPr>
  </w:style>
  <w:style w:type="character" w:styleId="756">
    <w:name w:val="Heading 9 Char"/>
    <w:next w:val="756"/>
    <w:link w:val="687"/>
    <w:uiPriority w:val="9"/>
    <w:qFormat/>
    <w:rPr>
      <w:rFonts w:ascii="Arial" w:hAnsi="Arial" w:eastAsia="Arial" w:cs="Arial"/>
      <w:i/>
      <w:iCs/>
      <w:sz w:val="21"/>
      <w:szCs w:val="21"/>
    </w:rPr>
  </w:style>
  <w:style w:type="character" w:styleId="757">
    <w:name w:val="Title Char"/>
    <w:next w:val="757"/>
    <w:link w:val="687"/>
    <w:uiPriority w:val="10"/>
    <w:qFormat/>
    <w:rPr>
      <w:sz w:val="48"/>
      <w:szCs w:val="48"/>
    </w:rPr>
  </w:style>
  <w:style w:type="character" w:styleId="758">
    <w:name w:val="Subtitle Char"/>
    <w:next w:val="758"/>
    <w:link w:val="687"/>
    <w:uiPriority w:val="11"/>
    <w:qFormat/>
    <w:rPr>
      <w:sz w:val="24"/>
      <w:szCs w:val="24"/>
    </w:rPr>
  </w:style>
  <w:style w:type="character" w:styleId="759">
    <w:name w:val="Quote Char"/>
    <w:next w:val="759"/>
    <w:link w:val="687"/>
    <w:uiPriority w:val="29"/>
    <w:qFormat/>
    <w:rPr>
      <w:i/>
    </w:rPr>
  </w:style>
  <w:style w:type="character" w:styleId="760">
    <w:name w:val="Intense Quote Char"/>
    <w:next w:val="760"/>
    <w:link w:val="687"/>
    <w:uiPriority w:val="30"/>
    <w:qFormat/>
    <w:rPr>
      <w:i/>
    </w:rPr>
  </w:style>
  <w:style w:type="character" w:styleId="761">
    <w:name w:val="Header Char"/>
    <w:next w:val="761"/>
    <w:link w:val="687"/>
    <w:uiPriority w:val="99"/>
    <w:qFormat/>
  </w:style>
  <w:style w:type="character" w:styleId="762">
    <w:name w:val="Caption Char"/>
    <w:next w:val="762"/>
    <w:link w:val="687"/>
    <w:uiPriority w:val="99"/>
    <w:qFormat/>
  </w:style>
  <w:style w:type="table" w:styleId="763">
    <w:name w:val="Plain Table 1"/>
    <w:basedOn w:val="698"/>
    <w:next w:val="763"/>
    <w:link w:val="687"/>
    <w:uiPriority w:val="59"/>
    <w:qFormat/>
    <w:tblPr/>
  </w:style>
  <w:style w:type="table" w:styleId="764">
    <w:name w:val="Plain Table 2"/>
    <w:basedOn w:val="698"/>
    <w:next w:val="764"/>
    <w:link w:val="687"/>
    <w:uiPriority w:val="59"/>
    <w:qFormat/>
    <w:tblPr/>
  </w:style>
  <w:style w:type="table" w:styleId="765">
    <w:name w:val="Plain Table 3"/>
    <w:basedOn w:val="698"/>
    <w:next w:val="765"/>
    <w:link w:val="687"/>
    <w:uiPriority w:val="99"/>
    <w:qFormat/>
    <w:tblPr/>
  </w:style>
  <w:style w:type="table" w:styleId="766">
    <w:name w:val="Plain Table 4"/>
    <w:basedOn w:val="698"/>
    <w:next w:val="766"/>
    <w:link w:val="687"/>
    <w:uiPriority w:val="99"/>
    <w:qFormat/>
    <w:tblPr/>
  </w:style>
  <w:style w:type="table" w:styleId="767">
    <w:name w:val="Plain Table 5"/>
    <w:basedOn w:val="698"/>
    <w:next w:val="767"/>
    <w:link w:val="687"/>
    <w:uiPriority w:val="99"/>
    <w:qFormat/>
    <w:tblPr/>
  </w:style>
  <w:style w:type="table" w:styleId="768">
    <w:name w:val="Grid Table 1 Light"/>
    <w:basedOn w:val="698"/>
    <w:next w:val="768"/>
    <w:link w:val="687"/>
    <w:uiPriority w:val="99"/>
    <w:qFormat/>
    <w:tblPr/>
  </w:style>
  <w:style w:type="table" w:styleId="769">
    <w:name w:val="Grid Table 2"/>
    <w:basedOn w:val="698"/>
    <w:next w:val="769"/>
    <w:link w:val="687"/>
    <w:uiPriority w:val="99"/>
    <w:qFormat/>
    <w:tblPr/>
  </w:style>
  <w:style w:type="table" w:styleId="770">
    <w:name w:val="Grid Table 3"/>
    <w:basedOn w:val="698"/>
    <w:next w:val="770"/>
    <w:link w:val="687"/>
    <w:uiPriority w:val="99"/>
    <w:qFormat/>
    <w:tblPr/>
  </w:style>
  <w:style w:type="table" w:styleId="771">
    <w:name w:val="Grid Table 4"/>
    <w:basedOn w:val="698"/>
    <w:next w:val="771"/>
    <w:link w:val="687"/>
    <w:uiPriority w:val="59"/>
    <w:qFormat/>
    <w:tblPr/>
  </w:style>
  <w:style w:type="table" w:styleId="772">
    <w:name w:val="Grid Table 5 Dark"/>
    <w:basedOn w:val="698"/>
    <w:next w:val="772"/>
    <w:link w:val="687"/>
    <w:uiPriority w:val="99"/>
    <w:qFormat/>
    <w:tblPr/>
  </w:style>
  <w:style w:type="table" w:styleId="773">
    <w:name w:val="Grid Table 6 Colorful"/>
    <w:basedOn w:val="698"/>
    <w:next w:val="773"/>
    <w:link w:val="687"/>
    <w:uiPriority w:val="99"/>
    <w:qFormat/>
    <w:tblPr/>
  </w:style>
  <w:style w:type="table" w:styleId="774">
    <w:name w:val="Grid Table 7 Colorful"/>
    <w:basedOn w:val="698"/>
    <w:next w:val="774"/>
    <w:link w:val="687"/>
    <w:uiPriority w:val="99"/>
    <w:qFormat/>
    <w:tblPr/>
  </w:style>
  <w:style w:type="table" w:styleId="775">
    <w:name w:val="List Table 1 Light"/>
    <w:basedOn w:val="698"/>
    <w:next w:val="775"/>
    <w:link w:val="687"/>
    <w:uiPriority w:val="99"/>
    <w:qFormat/>
    <w:tblPr/>
  </w:style>
  <w:style w:type="table" w:styleId="776">
    <w:name w:val="List Table 2"/>
    <w:basedOn w:val="698"/>
    <w:next w:val="776"/>
    <w:link w:val="687"/>
    <w:uiPriority w:val="99"/>
    <w:qFormat/>
    <w:tblPr/>
  </w:style>
  <w:style w:type="table" w:styleId="777">
    <w:name w:val="List Table 3"/>
    <w:basedOn w:val="698"/>
    <w:next w:val="777"/>
    <w:link w:val="687"/>
    <w:uiPriority w:val="99"/>
    <w:qFormat/>
    <w:tblPr/>
  </w:style>
  <w:style w:type="table" w:styleId="778">
    <w:name w:val="List Table 4"/>
    <w:basedOn w:val="698"/>
    <w:next w:val="778"/>
    <w:link w:val="687"/>
    <w:uiPriority w:val="99"/>
    <w:qFormat/>
    <w:tblPr/>
  </w:style>
  <w:style w:type="table" w:styleId="779">
    <w:name w:val="List Table 5 Dark"/>
    <w:basedOn w:val="698"/>
    <w:next w:val="779"/>
    <w:link w:val="687"/>
    <w:uiPriority w:val="99"/>
    <w:qFormat/>
    <w:tblPr/>
  </w:style>
  <w:style w:type="table" w:styleId="780">
    <w:name w:val="List Table 6 Colorful"/>
    <w:basedOn w:val="698"/>
    <w:next w:val="780"/>
    <w:link w:val="687"/>
    <w:uiPriority w:val="99"/>
    <w:qFormat/>
    <w:tblPr/>
  </w:style>
  <w:style w:type="table" w:styleId="781">
    <w:name w:val="List Table 7 Colorful"/>
    <w:basedOn w:val="698"/>
    <w:next w:val="781"/>
    <w:link w:val="687"/>
    <w:uiPriority w:val="99"/>
    <w:qFormat/>
    <w:tblPr/>
  </w:style>
  <w:style w:type="character" w:styleId="782">
    <w:name w:val="Footnote Text Char"/>
    <w:next w:val="782"/>
    <w:link w:val="687"/>
    <w:uiPriority w:val="99"/>
    <w:qFormat/>
    <w:rPr>
      <w:sz w:val="18"/>
    </w:rPr>
  </w:style>
  <w:style w:type="character" w:styleId="783">
    <w:name w:val="Endnote Text Char"/>
    <w:next w:val="783"/>
    <w:link w:val="687"/>
    <w:uiPriority w:val="99"/>
    <w:qFormat/>
    <w:rPr>
      <w:sz w:val="20"/>
    </w:rPr>
  </w:style>
  <w:style w:type="paragraph" w:styleId="784">
    <w:name w:val="TOC Heading"/>
    <w:next w:val="784"/>
    <w:link w:val="687"/>
    <w:uiPriority w:val="39"/>
    <w:unhideWhenUsed/>
    <w:qFormat/>
    <w:rPr>
      <w:lang w:val="en-US" w:eastAsia="zh-CN" w:bidi="ar-SA"/>
    </w:rPr>
  </w:style>
  <w:style w:type="paragraph" w:styleId="785">
    <w:name w:val="文本块11"/>
    <w:basedOn w:val="786"/>
    <w:next w:val="785"/>
    <w:link w:val="687"/>
    <w:qFormat/>
    <w:pPr>
      <w:ind w:left="256" w:right="6" w:firstLine="624"/>
    </w:pPr>
    <w:rPr>
      <w:rFonts w:ascii="Arial" w:hAnsi="Arial" w:eastAsia="仿宋"/>
      <w:sz w:val="28"/>
    </w:rPr>
  </w:style>
  <w:style w:type="paragraph" w:styleId="786">
    <w:name w:val="正文12"/>
    <w:next w:val="787"/>
    <w:link w:val="687"/>
    <w:qFormat/>
    <w:pPr>
      <w:jc w:val="both"/>
      <w:widowControl w:val="off"/>
    </w:pPr>
    <w:rPr>
      <w:sz w:val="21"/>
      <w:szCs w:val="24"/>
      <w:lang w:val="en-US" w:eastAsia="zh-CN" w:bidi="ar-SA"/>
    </w:rPr>
  </w:style>
  <w:style w:type="paragraph" w:styleId="787">
    <w:name w:val="正文文本1"/>
    <w:basedOn w:val="788"/>
    <w:next w:val="790"/>
    <w:link w:val="687"/>
    <w:uiPriority w:val="99"/>
    <w:qFormat/>
    <w:pPr>
      <w:spacing w:after="120"/>
    </w:pPr>
    <w:rPr>
      <w:rFonts w:ascii="Calibri" w:hAnsi="Calibri"/>
    </w:rPr>
  </w:style>
  <w:style w:type="paragraph" w:styleId="788">
    <w:name w:val="正文11"/>
    <w:next w:val="789"/>
    <w:link w:val="687"/>
    <w:qFormat/>
    <w:pPr>
      <w:jc w:val="both"/>
      <w:widowControl w:val="off"/>
    </w:pPr>
    <w:rPr>
      <w:sz w:val="21"/>
      <w:szCs w:val="24"/>
      <w:lang w:val="en-US" w:eastAsia="zh-CN" w:bidi="ar-SA"/>
    </w:rPr>
  </w:style>
  <w:style w:type="paragraph" w:styleId="789">
    <w:name w:val="正文文本 21"/>
    <w:basedOn w:val="790"/>
    <w:next w:val="789"/>
    <w:link w:val="687"/>
    <w:qFormat/>
    <w:pPr>
      <w:jc w:val="center"/>
      <w:widowControl/>
    </w:pPr>
    <w:rPr>
      <w:rFonts w:ascii="楷体_GB2312" w:eastAsia="楷体_GB2312"/>
      <w:sz w:val="28"/>
      <w:szCs w:val="28"/>
    </w:rPr>
  </w:style>
  <w:style w:type="paragraph" w:styleId="790">
    <w:name w:val="正文111"/>
    <w:next w:val="687"/>
    <w:link w:val="687"/>
    <w:qFormat/>
    <w:pPr>
      <w:jc w:val="both"/>
      <w:widowControl w:val="off"/>
    </w:pPr>
    <w:rPr>
      <w:sz w:val="21"/>
      <w:szCs w:val="24"/>
      <w:lang w:val="en-US" w:eastAsia="zh-CN" w:bidi="ar-SA"/>
    </w:rPr>
  </w:style>
  <w:style w:type="paragraph" w:styleId="791">
    <w:name w:val="正文1"/>
    <w:basedOn w:val="790"/>
    <w:next w:val="787"/>
    <w:link w:val="687"/>
    <w:qFormat/>
    <w:pPr>
      <w:jc w:val="left"/>
      <w:spacing w:line="360" w:lineRule="atLeast"/>
    </w:pPr>
    <w:rPr>
      <w:rFonts w:ascii="宋体" w:hAnsi="Calibri"/>
      <w:sz w:val="24"/>
      <w:szCs w:val="20"/>
    </w:rPr>
  </w:style>
  <w:style w:type="paragraph" w:styleId="792">
    <w:name w:val="正文文本缩进1"/>
    <w:basedOn w:val="788"/>
    <w:next w:val="793"/>
    <w:link w:val="687"/>
    <w:qFormat/>
    <w:pPr>
      <w:ind w:left="420"/>
      <w:spacing w:after="120"/>
    </w:pPr>
    <w:rPr>
      <w:rFonts w:ascii="Calibri" w:hAnsi="Calibri"/>
    </w:rPr>
  </w:style>
  <w:style w:type="paragraph" w:styleId="793">
    <w:name w:val="寄信人地址1"/>
    <w:basedOn w:val="790"/>
    <w:next w:val="793"/>
    <w:link w:val="687"/>
    <w:qFormat/>
    <w:rPr>
      <w:rFonts w:ascii="Arial" w:hAnsi="Arial"/>
    </w:rPr>
  </w:style>
  <w:style w:type="paragraph" w:styleId="794">
    <w:name w:val="目录 11"/>
    <w:basedOn w:val="788"/>
    <w:next w:val="788"/>
    <w:link w:val="687"/>
    <w:qFormat/>
    <w:pPr>
      <w:jc w:val="left"/>
      <w:spacing w:after="100" w:line="259" w:lineRule="auto"/>
      <w:widowControl/>
    </w:pPr>
    <w:rPr>
      <w:rFonts w:ascii="Calibri" w:hAnsi="Calibri"/>
      <w:sz w:val="22"/>
      <w:szCs w:val="22"/>
    </w:rPr>
  </w:style>
  <w:style w:type="paragraph" w:styleId="795">
    <w:name w:val="列表段落"/>
    <w:basedOn w:val="687"/>
    <w:next w:val="721"/>
    <w:link w:val="687"/>
    <w:uiPriority w:val="34"/>
    <w:qFormat/>
    <w:pPr>
      <w:contextualSpacing/>
      <w:ind w:left="720"/>
    </w:pPr>
  </w:style>
  <w:style w:type="paragraph" w:styleId="796">
    <w:name w:val="无间隔"/>
    <w:next w:val="796"/>
    <w:link w:val="687"/>
    <w:uiPriority w:val="1"/>
    <w:qFormat/>
    <w:rPr>
      <w:lang w:val="en-US" w:eastAsia="zh-CN" w:bidi="ar-SA"/>
    </w:rPr>
  </w:style>
  <w:style w:type="paragraph" w:styleId="797">
    <w:name w:val="引用"/>
    <w:basedOn w:val="687"/>
    <w:next w:val="687"/>
    <w:link w:val="798"/>
    <w:uiPriority w:val="29"/>
    <w:qFormat/>
    <w:pPr>
      <w:ind w:left="720" w:right="720"/>
    </w:pPr>
    <w:rPr>
      <w:i/>
    </w:rPr>
  </w:style>
  <w:style w:type="character" w:styleId="798">
    <w:name w:val="引用 字符1"/>
    <w:next w:val="798"/>
    <w:link w:val="797"/>
    <w:uiPriority w:val="29"/>
    <w:qFormat/>
    <w:rPr>
      <w:i/>
    </w:rPr>
  </w:style>
  <w:style w:type="paragraph" w:styleId="799">
    <w:name w:val="明显引用"/>
    <w:basedOn w:val="687"/>
    <w:next w:val="687"/>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明显引用 字符1"/>
    <w:next w:val="800"/>
    <w:link w:val="799"/>
    <w:uiPriority w:val="30"/>
    <w:qFormat/>
    <w:rPr>
      <w:i/>
    </w:rPr>
  </w:style>
  <w:style w:type="paragraph" w:styleId="801">
    <w:name w:val="标题 111"/>
    <w:basedOn w:val="687"/>
    <w:next w:val="687"/>
    <w:link w:val="802"/>
    <w:uiPriority w:val="9"/>
    <w:qFormat/>
    <w:pPr>
      <w:keepLines/>
      <w:keepNext/>
      <w:spacing w:before="480" w:after="200"/>
      <w:outlineLvl w:val="0"/>
    </w:pPr>
    <w:rPr>
      <w:rFonts w:ascii="Arial" w:hAnsi="Arial" w:eastAsia="Arial" w:cs="Arial"/>
      <w:sz w:val="40"/>
      <w:szCs w:val="40"/>
    </w:rPr>
  </w:style>
  <w:style w:type="character" w:styleId="802">
    <w:name w:val="标题 1 字符"/>
    <w:next w:val="802"/>
    <w:link w:val="801"/>
    <w:uiPriority w:val="9"/>
    <w:qFormat/>
    <w:rPr>
      <w:rFonts w:ascii="Arial" w:hAnsi="Arial" w:eastAsia="Arial" w:cs="Arial"/>
      <w:sz w:val="40"/>
      <w:szCs w:val="40"/>
    </w:rPr>
  </w:style>
  <w:style w:type="paragraph" w:styleId="803">
    <w:name w:val="标题 211"/>
    <w:basedOn w:val="687"/>
    <w:next w:val="687"/>
    <w:link w:val="804"/>
    <w:uiPriority w:val="9"/>
    <w:qFormat/>
    <w:pPr>
      <w:keepLines/>
      <w:keepNext/>
      <w:spacing w:before="360" w:after="200"/>
      <w:outlineLvl w:val="1"/>
    </w:pPr>
    <w:rPr>
      <w:rFonts w:ascii="Arial" w:hAnsi="Arial" w:eastAsia="Arial" w:cs="Arial"/>
      <w:sz w:val="34"/>
    </w:rPr>
  </w:style>
  <w:style w:type="character" w:styleId="804">
    <w:name w:val="标题 2 字符"/>
    <w:next w:val="804"/>
    <w:link w:val="803"/>
    <w:uiPriority w:val="9"/>
    <w:qFormat/>
    <w:rPr>
      <w:rFonts w:ascii="Arial" w:hAnsi="Arial" w:eastAsia="Arial" w:cs="Arial"/>
      <w:sz w:val="34"/>
    </w:rPr>
  </w:style>
  <w:style w:type="paragraph" w:styleId="805">
    <w:name w:val="标题 31"/>
    <w:basedOn w:val="687"/>
    <w:next w:val="687"/>
    <w:link w:val="806"/>
    <w:uiPriority w:val="9"/>
    <w:qFormat/>
    <w:pPr>
      <w:keepLines/>
      <w:keepNext/>
      <w:spacing w:before="320" w:after="200"/>
      <w:outlineLvl w:val="2"/>
    </w:pPr>
    <w:rPr>
      <w:rFonts w:ascii="Arial" w:hAnsi="Arial" w:eastAsia="Arial" w:cs="Arial"/>
      <w:sz w:val="30"/>
      <w:szCs w:val="30"/>
    </w:rPr>
  </w:style>
  <w:style w:type="character" w:styleId="806">
    <w:name w:val="标题 3 字符"/>
    <w:next w:val="806"/>
    <w:link w:val="805"/>
    <w:uiPriority w:val="9"/>
    <w:qFormat/>
    <w:rPr>
      <w:rFonts w:ascii="Arial" w:hAnsi="Arial" w:eastAsia="Arial" w:cs="Arial"/>
      <w:sz w:val="30"/>
      <w:szCs w:val="30"/>
    </w:rPr>
  </w:style>
  <w:style w:type="paragraph" w:styleId="807">
    <w:name w:val="标题 41"/>
    <w:basedOn w:val="687"/>
    <w:next w:val="687"/>
    <w:link w:val="808"/>
    <w:uiPriority w:val="9"/>
    <w:qFormat/>
    <w:pPr>
      <w:keepLines/>
      <w:keepNext/>
      <w:spacing w:before="320" w:after="200"/>
      <w:outlineLvl w:val="3"/>
    </w:pPr>
    <w:rPr>
      <w:rFonts w:ascii="Arial" w:hAnsi="Arial" w:eastAsia="Arial" w:cs="Arial"/>
      <w:b/>
      <w:bCs/>
      <w:sz w:val="26"/>
      <w:szCs w:val="26"/>
    </w:rPr>
  </w:style>
  <w:style w:type="character" w:styleId="808">
    <w:name w:val="标题 4 字符"/>
    <w:next w:val="808"/>
    <w:link w:val="807"/>
    <w:uiPriority w:val="9"/>
    <w:qFormat/>
    <w:rPr>
      <w:rFonts w:ascii="Arial" w:hAnsi="Arial" w:eastAsia="Arial" w:cs="Arial"/>
      <w:b/>
      <w:bCs/>
      <w:sz w:val="26"/>
      <w:szCs w:val="26"/>
    </w:rPr>
  </w:style>
  <w:style w:type="paragraph" w:styleId="809">
    <w:name w:val="标题 51"/>
    <w:basedOn w:val="687"/>
    <w:next w:val="687"/>
    <w:link w:val="810"/>
    <w:uiPriority w:val="9"/>
    <w:qFormat/>
    <w:pPr>
      <w:keepLines/>
      <w:keepNext/>
      <w:spacing w:before="320" w:after="200"/>
      <w:outlineLvl w:val="4"/>
    </w:pPr>
    <w:rPr>
      <w:rFonts w:ascii="Arial" w:hAnsi="Arial" w:eastAsia="Arial" w:cs="Arial"/>
      <w:b/>
      <w:bCs/>
      <w:sz w:val="24"/>
    </w:rPr>
  </w:style>
  <w:style w:type="character" w:styleId="810">
    <w:name w:val="标题 5 字符"/>
    <w:next w:val="810"/>
    <w:link w:val="809"/>
    <w:uiPriority w:val="9"/>
    <w:qFormat/>
    <w:rPr>
      <w:rFonts w:ascii="Arial" w:hAnsi="Arial" w:eastAsia="Arial" w:cs="Arial"/>
      <w:b/>
      <w:bCs/>
      <w:sz w:val="24"/>
      <w:szCs w:val="24"/>
    </w:rPr>
  </w:style>
  <w:style w:type="paragraph" w:styleId="811">
    <w:name w:val="标题 61"/>
    <w:basedOn w:val="687"/>
    <w:next w:val="687"/>
    <w:link w:val="812"/>
    <w:uiPriority w:val="9"/>
    <w:qFormat/>
    <w:pPr>
      <w:keepLines/>
      <w:keepNext/>
      <w:spacing w:before="320" w:after="200"/>
      <w:outlineLvl w:val="5"/>
    </w:pPr>
    <w:rPr>
      <w:rFonts w:ascii="Arial" w:hAnsi="Arial" w:eastAsia="Arial" w:cs="Arial"/>
      <w:b/>
      <w:bCs/>
      <w:sz w:val="22"/>
      <w:szCs w:val="22"/>
    </w:rPr>
  </w:style>
  <w:style w:type="character" w:styleId="812">
    <w:name w:val="标题 6 字符"/>
    <w:next w:val="812"/>
    <w:link w:val="811"/>
    <w:uiPriority w:val="9"/>
    <w:qFormat/>
    <w:rPr>
      <w:rFonts w:ascii="Arial" w:hAnsi="Arial" w:eastAsia="Arial" w:cs="Arial"/>
      <w:b/>
      <w:bCs/>
      <w:sz w:val="22"/>
      <w:szCs w:val="22"/>
    </w:rPr>
  </w:style>
  <w:style w:type="paragraph" w:styleId="813">
    <w:name w:val="标题 71"/>
    <w:basedOn w:val="687"/>
    <w:next w:val="687"/>
    <w:link w:val="814"/>
    <w:uiPriority w:val="9"/>
    <w:qFormat/>
    <w:pPr>
      <w:keepLines/>
      <w:keepNext/>
      <w:spacing w:before="320" w:after="200"/>
      <w:outlineLvl w:val="6"/>
    </w:pPr>
    <w:rPr>
      <w:rFonts w:ascii="Arial" w:hAnsi="Arial" w:eastAsia="Arial" w:cs="Arial"/>
      <w:b/>
      <w:bCs/>
      <w:i/>
      <w:iCs/>
      <w:sz w:val="22"/>
      <w:szCs w:val="22"/>
    </w:rPr>
  </w:style>
  <w:style w:type="character" w:styleId="814">
    <w:name w:val="标题 7 字符"/>
    <w:next w:val="814"/>
    <w:link w:val="813"/>
    <w:uiPriority w:val="9"/>
    <w:qFormat/>
    <w:rPr>
      <w:rFonts w:ascii="Arial" w:hAnsi="Arial" w:eastAsia="Arial" w:cs="Arial"/>
      <w:b/>
      <w:bCs/>
      <w:i/>
      <w:iCs/>
      <w:sz w:val="22"/>
      <w:szCs w:val="22"/>
    </w:rPr>
  </w:style>
  <w:style w:type="paragraph" w:styleId="815">
    <w:name w:val="标题 81"/>
    <w:basedOn w:val="687"/>
    <w:next w:val="687"/>
    <w:link w:val="816"/>
    <w:uiPriority w:val="9"/>
    <w:qFormat/>
    <w:pPr>
      <w:keepLines/>
      <w:keepNext/>
      <w:spacing w:before="320" w:after="200"/>
      <w:outlineLvl w:val="7"/>
    </w:pPr>
    <w:rPr>
      <w:rFonts w:ascii="Arial" w:hAnsi="Arial" w:eastAsia="Arial" w:cs="Arial"/>
      <w:i/>
      <w:iCs/>
      <w:sz w:val="22"/>
      <w:szCs w:val="22"/>
    </w:rPr>
  </w:style>
  <w:style w:type="character" w:styleId="816">
    <w:name w:val="标题 8 字符"/>
    <w:next w:val="816"/>
    <w:link w:val="815"/>
    <w:uiPriority w:val="9"/>
    <w:qFormat/>
    <w:rPr>
      <w:rFonts w:ascii="Arial" w:hAnsi="Arial" w:eastAsia="Arial" w:cs="Arial"/>
      <w:i/>
      <w:iCs/>
      <w:sz w:val="22"/>
      <w:szCs w:val="22"/>
    </w:rPr>
  </w:style>
  <w:style w:type="paragraph" w:styleId="817">
    <w:name w:val="标题 91"/>
    <w:basedOn w:val="687"/>
    <w:next w:val="687"/>
    <w:link w:val="818"/>
    <w:uiPriority w:val="9"/>
    <w:qFormat/>
    <w:pPr>
      <w:keepLines/>
      <w:keepNext/>
      <w:spacing w:before="320" w:after="200"/>
      <w:outlineLvl w:val="8"/>
    </w:pPr>
    <w:rPr>
      <w:rFonts w:ascii="Arial" w:hAnsi="Arial" w:eastAsia="Arial" w:cs="Arial"/>
      <w:i/>
      <w:iCs/>
      <w:szCs w:val="21"/>
    </w:rPr>
  </w:style>
  <w:style w:type="character" w:styleId="818">
    <w:name w:val="标题 9 字符"/>
    <w:next w:val="818"/>
    <w:link w:val="817"/>
    <w:uiPriority w:val="9"/>
    <w:qFormat/>
    <w:rPr>
      <w:rFonts w:ascii="Arial" w:hAnsi="Arial" w:eastAsia="Arial" w:cs="Arial"/>
      <w:i/>
      <w:iCs/>
      <w:sz w:val="21"/>
      <w:szCs w:val="21"/>
    </w:rPr>
  </w:style>
  <w:style w:type="character" w:styleId="819">
    <w:name w:val="默认段落字体11"/>
    <w:next w:val="819"/>
    <w:link w:val="687"/>
    <w:uiPriority w:val="1"/>
    <w:unhideWhenUsed/>
    <w:qFormat/>
  </w:style>
  <w:style w:type="table" w:styleId="820">
    <w:name w:val="普通表格11"/>
    <w:next w:val="820"/>
    <w:link w:val="687"/>
    <w:uiPriority w:val="99"/>
    <w:unhideWhenUsed/>
    <w:qFormat/>
    <w:rPr>
      <w:lang w:val="en-US" w:eastAsia="zh-CN" w:bidi="ar-SA"/>
    </w:rPr>
    <w:tblPr/>
  </w:style>
  <w:style w:type="character" w:styleId="821">
    <w:name w:val="脚注引用1"/>
    <w:next w:val="821"/>
    <w:link w:val="687"/>
    <w:uiPriority w:val="99"/>
    <w:unhideWhenUsed/>
    <w:qFormat/>
    <w:rPr>
      <w:vertAlign w:val="superscript"/>
    </w:rPr>
  </w:style>
  <w:style w:type="character" w:styleId="822">
    <w:name w:val="尾注引用1"/>
    <w:next w:val="822"/>
    <w:link w:val="687"/>
    <w:uiPriority w:val="99"/>
    <w:unhideWhenUsed/>
    <w:qFormat/>
    <w:rPr>
      <w:vertAlign w:val="superscript"/>
    </w:rPr>
  </w:style>
  <w:style w:type="character" w:styleId="823">
    <w:name w:val="超链接11"/>
    <w:next w:val="823"/>
    <w:link w:val="687"/>
    <w:uiPriority w:val="99"/>
    <w:unhideWhenUsed/>
    <w:qFormat/>
    <w:rPr>
      <w:color w:val="0000ff"/>
      <w:u w:val="single"/>
    </w:rPr>
  </w:style>
  <w:style w:type="character" w:styleId="824">
    <w:name w:val="Footer Char"/>
    <w:next w:val="824"/>
    <w:link w:val="687"/>
    <w:uiPriority w:val="99"/>
    <w:qFormat/>
  </w:style>
  <w:style w:type="character" w:styleId="825">
    <w:name w:val="批注框文本 字符"/>
    <w:next w:val="825"/>
    <w:link w:val="826"/>
    <w:qFormat/>
    <w:rPr>
      <w:rFonts w:ascii="Times New Roman" w:hAnsi="Times New Roman" w:eastAsia="宋体" w:cs="Times New Roman"/>
      <w:sz w:val="18"/>
      <w:szCs w:val="18"/>
    </w:rPr>
  </w:style>
  <w:style w:type="paragraph" w:styleId="826">
    <w:name w:val="批注框文本1"/>
    <w:basedOn w:val="687"/>
    <w:next w:val="826"/>
    <w:link w:val="825"/>
    <w:qFormat/>
    <w:rPr>
      <w:sz w:val="18"/>
      <w:szCs w:val="18"/>
    </w:rPr>
  </w:style>
  <w:style w:type="character" w:styleId="827">
    <w:name w:val="标题 字符"/>
    <w:next w:val="827"/>
    <w:link w:val="828"/>
    <w:uiPriority w:val="10"/>
    <w:qFormat/>
    <w:rPr>
      <w:sz w:val="48"/>
      <w:szCs w:val="48"/>
    </w:rPr>
  </w:style>
  <w:style w:type="paragraph" w:styleId="828">
    <w:name w:val="标题1"/>
    <w:basedOn w:val="687"/>
    <w:next w:val="687"/>
    <w:link w:val="827"/>
    <w:qFormat/>
    <w:pPr>
      <w:contextualSpacing/>
      <w:spacing w:before="300" w:after="200"/>
    </w:pPr>
    <w:rPr>
      <w:sz w:val="48"/>
      <w:szCs w:val="48"/>
    </w:rPr>
  </w:style>
  <w:style w:type="character" w:styleId="829">
    <w:name w:val="副标题 字符"/>
    <w:next w:val="829"/>
    <w:link w:val="830"/>
    <w:uiPriority w:val="11"/>
    <w:qFormat/>
    <w:rPr>
      <w:sz w:val="24"/>
      <w:szCs w:val="24"/>
    </w:rPr>
  </w:style>
  <w:style w:type="paragraph" w:styleId="830">
    <w:name w:val="副标题1"/>
    <w:basedOn w:val="687"/>
    <w:next w:val="687"/>
    <w:link w:val="829"/>
    <w:uiPriority w:val="11"/>
    <w:qFormat/>
    <w:pPr>
      <w:spacing w:before="200" w:after="200"/>
    </w:pPr>
    <w:rPr>
      <w:sz w:val="24"/>
    </w:rPr>
  </w:style>
  <w:style w:type="character" w:styleId="831">
    <w:name w:val="页眉 字符"/>
    <w:next w:val="831"/>
    <w:link w:val="832"/>
    <w:uiPriority w:val="99"/>
    <w:qFormat/>
  </w:style>
  <w:style w:type="paragraph" w:styleId="832">
    <w:name w:val="页眉11"/>
    <w:basedOn w:val="687"/>
    <w:next w:val="832"/>
    <w:link w:val="831"/>
    <w:uiPriority w:val="99"/>
    <w:unhideWhenUsed/>
    <w:qFormat/>
    <w:pPr>
      <w:tabs>
        <w:tab w:val="center" w:pos="7143" w:leader="none"/>
        <w:tab w:val="right" w:pos="14287" w:leader="none"/>
      </w:tabs>
    </w:pPr>
  </w:style>
  <w:style w:type="character" w:styleId="833">
    <w:name w:val="font121"/>
    <w:next w:val="833"/>
    <w:link w:val="687"/>
    <w:qFormat/>
    <w:rPr>
      <w:rFonts w:hint="eastAsia" w:ascii="宋体" w:hAnsi="宋体" w:eastAsia="宋体" w:cs="宋体"/>
      <w:color w:val="000000"/>
      <w:sz w:val="18"/>
      <w:szCs w:val="18"/>
      <w:u w:val="none"/>
    </w:rPr>
  </w:style>
  <w:style w:type="character" w:styleId="834">
    <w:name w:val="明显引用 字符"/>
    <w:next w:val="834"/>
    <w:link w:val="835"/>
    <w:uiPriority w:val="30"/>
    <w:qFormat/>
    <w:rPr>
      <w:i/>
    </w:rPr>
  </w:style>
  <w:style w:type="paragraph" w:styleId="835">
    <w:name w:val="明显引用1"/>
    <w:basedOn w:val="687"/>
    <w:next w:val="687"/>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引用 字符"/>
    <w:next w:val="836"/>
    <w:link w:val="837"/>
    <w:uiPriority w:val="29"/>
    <w:qFormat/>
    <w:rPr>
      <w:i/>
    </w:rPr>
  </w:style>
  <w:style w:type="paragraph" w:styleId="837">
    <w:name w:val="引用1"/>
    <w:basedOn w:val="687"/>
    <w:next w:val="687"/>
    <w:link w:val="836"/>
    <w:uiPriority w:val="29"/>
    <w:qFormat/>
    <w:pPr>
      <w:ind w:left="720" w:right="720"/>
    </w:pPr>
    <w:rPr>
      <w:i/>
    </w:rPr>
  </w:style>
  <w:style w:type="character" w:styleId="838">
    <w:name w:val="页脚 字符"/>
    <w:next w:val="838"/>
    <w:link w:val="839"/>
    <w:uiPriority w:val="99"/>
    <w:qFormat/>
  </w:style>
  <w:style w:type="paragraph" w:styleId="839">
    <w:name w:val="页脚11"/>
    <w:basedOn w:val="687"/>
    <w:next w:val="839"/>
    <w:link w:val="838"/>
    <w:uiPriority w:val="99"/>
    <w:unhideWhenUsed/>
    <w:qFormat/>
    <w:pPr>
      <w:tabs>
        <w:tab w:val="center" w:pos="7143" w:leader="none"/>
        <w:tab w:val="right" w:pos="14287" w:leader="none"/>
      </w:tabs>
    </w:pPr>
  </w:style>
  <w:style w:type="character" w:styleId="840">
    <w:name w:val="脚注文本 字符"/>
    <w:next w:val="840"/>
    <w:link w:val="841"/>
    <w:uiPriority w:val="99"/>
    <w:qFormat/>
    <w:rPr>
      <w:sz w:val="18"/>
    </w:rPr>
  </w:style>
  <w:style w:type="paragraph" w:styleId="841">
    <w:name w:val="脚注文本11"/>
    <w:basedOn w:val="687"/>
    <w:next w:val="841"/>
    <w:link w:val="840"/>
    <w:uiPriority w:val="99"/>
    <w:unhideWhenUsed/>
    <w:qFormat/>
    <w:pPr>
      <w:spacing w:after="40"/>
    </w:pPr>
    <w:rPr>
      <w:sz w:val="18"/>
    </w:rPr>
  </w:style>
  <w:style w:type="character" w:styleId="842">
    <w:name w:val="尾注文本 字符"/>
    <w:next w:val="842"/>
    <w:link w:val="843"/>
    <w:uiPriority w:val="99"/>
    <w:qFormat/>
    <w:rPr>
      <w:sz w:val="20"/>
    </w:rPr>
  </w:style>
  <w:style w:type="paragraph" w:styleId="843">
    <w:name w:val="尾注文本1"/>
    <w:basedOn w:val="687"/>
    <w:next w:val="843"/>
    <w:link w:val="842"/>
    <w:uiPriority w:val="99"/>
    <w:unhideWhenUsed/>
    <w:qFormat/>
    <w:rPr>
      <w:sz w:val="20"/>
    </w:rPr>
  </w:style>
  <w:style w:type="character" w:styleId="844">
    <w:name w:val="默认段落字体1"/>
    <w:next w:val="844"/>
    <w:link w:val="687"/>
    <w:uiPriority w:val="1"/>
    <w:unhideWhenUsed/>
    <w:qFormat/>
  </w:style>
  <w:style w:type="character" w:styleId="845">
    <w:name w:val="超链接1"/>
    <w:next w:val="845"/>
    <w:link w:val="687"/>
    <w:uiPriority w:val="99"/>
    <w:unhideWhenUsed/>
    <w:qFormat/>
    <w:rPr>
      <w:color w:val="0000ff"/>
      <w:u w:val="single"/>
    </w:rPr>
  </w:style>
  <w:style w:type="character" w:styleId="846">
    <w:name w:val="批注引用1"/>
    <w:next w:val="846"/>
    <w:link w:val="687"/>
    <w:qFormat/>
    <w:rPr>
      <w:sz w:val="21"/>
      <w:szCs w:val="21"/>
    </w:rPr>
  </w:style>
  <w:style w:type="character" w:styleId="847">
    <w:name w:val="批注文字 字符"/>
    <w:next w:val="847"/>
    <w:link w:val="848"/>
    <w:qFormat/>
    <w:rPr>
      <w:rFonts w:ascii="Times New Roman" w:hAnsi="Times New Roman" w:eastAsia="宋体" w:cs="Times New Roman"/>
      <w:sz w:val="21"/>
      <w:szCs w:val="24"/>
    </w:rPr>
  </w:style>
  <w:style w:type="paragraph" w:styleId="848">
    <w:name w:val="批注文字1"/>
    <w:basedOn w:val="687"/>
    <w:next w:val="848"/>
    <w:link w:val="847"/>
    <w:qFormat/>
    <w:pPr>
      <w:jc w:val="left"/>
    </w:pPr>
  </w:style>
  <w:style w:type="character" w:styleId="849">
    <w:name w:val="批注主题 字符"/>
    <w:next w:val="849"/>
    <w:link w:val="850"/>
    <w:qFormat/>
    <w:rPr>
      <w:rFonts w:ascii="Times New Roman" w:hAnsi="Times New Roman" w:eastAsia="宋体" w:cs="Times New Roman"/>
      <w:b/>
      <w:bCs/>
      <w:sz w:val="21"/>
      <w:szCs w:val="24"/>
    </w:rPr>
  </w:style>
  <w:style w:type="paragraph" w:styleId="850">
    <w:name w:val="批注主题1"/>
    <w:basedOn w:val="848"/>
    <w:next w:val="848"/>
    <w:link w:val="849"/>
    <w:qFormat/>
    <w:rPr>
      <w:b/>
      <w:bCs/>
    </w:rPr>
  </w:style>
  <w:style w:type="character" w:styleId="851">
    <w:name w:val="font11"/>
    <w:next w:val="851"/>
    <w:link w:val="687"/>
    <w:qFormat/>
    <w:rPr>
      <w:rFonts w:hint="eastAsia" w:ascii="黑体" w:hAnsi="宋体" w:eastAsia="黑体" w:cs="黑体"/>
      <w:color w:val="000000"/>
      <w:sz w:val="18"/>
      <w:szCs w:val="18"/>
      <w:u w:val="none"/>
    </w:rPr>
  </w:style>
  <w:style w:type="character" w:styleId="852">
    <w:name w:val="wyg1"/>
    <w:next w:val="852"/>
    <w:link w:val="687"/>
    <w:uiPriority w:val="6"/>
    <w:qFormat/>
    <w:rPr>
      <w:color w:val="000000"/>
      <w:sz w:val="20"/>
      <w:szCs w:val="20"/>
      <w:u w:val="none"/>
    </w:rPr>
  </w:style>
  <w:style w:type="character" w:styleId="853">
    <w:name w:val="NormalCharacter1"/>
    <w:next w:val="853"/>
    <w:link w:val="687"/>
    <w:semiHidden/>
    <w:qFormat/>
    <w:rPr>
      <w:sz w:val="28"/>
      <w:lang w:val="en-US" w:eastAsia="zh-CN" w:bidi="ar-SA"/>
    </w:rPr>
  </w:style>
  <w:style w:type="character" w:styleId="854">
    <w:name w:val="font21"/>
    <w:next w:val="854"/>
    <w:link w:val="687"/>
    <w:qFormat/>
    <w:rPr>
      <w:rFonts w:hint="eastAsia" w:ascii="宋体" w:hAnsi="宋体" w:eastAsia="宋体" w:cs="宋体"/>
      <w:b/>
      <w:bCs/>
      <w:color w:val="000000"/>
      <w:sz w:val="28"/>
      <w:szCs w:val="28"/>
      <w:u w:val="none"/>
    </w:rPr>
  </w:style>
  <w:style w:type="character" w:styleId="855">
    <w:name w:val="font131"/>
    <w:next w:val="855"/>
    <w:link w:val="687"/>
    <w:qFormat/>
    <w:rPr>
      <w:rFonts w:hint="eastAsia" w:ascii="宋体" w:hAnsi="宋体" w:eastAsia="宋体" w:cs="宋体"/>
      <w:color w:val="000000"/>
      <w:sz w:val="20"/>
      <w:szCs w:val="20"/>
      <w:u w:val="none"/>
    </w:rPr>
  </w:style>
  <w:style w:type="character" w:styleId="856">
    <w:name w:val="font41"/>
    <w:next w:val="856"/>
    <w:link w:val="687"/>
    <w:qFormat/>
    <w:rPr>
      <w:rFonts w:ascii="Arial" w:hAnsi="Arial" w:cs="Arial"/>
      <w:color w:val="000000"/>
      <w:sz w:val="22"/>
      <w:szCs w:val="22"/>
      <w:u w:val="none"/>
    </w:rPr>
  </w:style>
  <w:style w:type="character" w:styleId="857">
    <w:name w:val="NormalCharacter11"/>
    <w:next w:val="857"/>
    <w:link w:val="687"/>
    <w:semiHidden/>
    <w:qFormat/>
    <w:rPr>
      <w:rFonts w:ascii="Times New Roman" w:hAnsi="Times New Roman"/>
      <w:sz w:val="21"/>
      <w:szCs w:val="24"/>
      <w:lang w:val="en-US" w:eastAsia="zh-CN" w:bidi="ar-SA"/>
    </w:rPr>
  </w:style>
  <w:style w:type="paragraph" w:styleId="858">
    <w:name w:val="题注1"/>
    <w:basedOn w:val="687"/>
    <w:next w:val="687"/>
    <w:link w:val="687"/>
    <w:uiPriority w:val="35"/>
    <w:qFormat/>
    <w:pPr>
      <w:spacing w:line="276" w:lineRule="auto"/>
    </w:pPr>
    <w:rPr>
      <w:b/>
      <w:bCs/>
      <w:color w:val="4f81bd"/>
      <w:sz w:val="18"/>
      <w:szCs w:val="18"/>
    </w:rPr>
  </w:style>
  <w:style w:type="paragraph" w:styleId="859">
    <w:name w:val="目录 91"/>
    <w:basedOn w:val="687"/>
    <w:next w:val="687"/>
    <w:link w:val="687"/>
    <w:uiPriority w:val="39"/>
    <w:unhideWhenUsed/>
    <w:qFormat/>
    <w:pPr>
      <w:ind w:left="2268"/>
      <w:spacing w:after="57"/>
    </w:pPr>
  </w:style>
  <w:style w:type="paragraph" w:styleId="860">
    <w:name w:val="正文缩进11"/>
    <w:basedOn w:val="687"/>
    <w:next w:val="860"/>
    <w:link w:val="687"/>
    <w:unhideWhenUsed/>
    <w:qFormat/>
    <w:pPr>
      <w:ind w:firstLine="420"/>
    </w:pPr>
  </w:style>
  <w:style w:type="paragraph" w:styleId="861">
    <w:name w:val="目录 71"/>
    <w:basedOn w:val="687"/>
    <w:next w:val="687"/>
    <w:link w:val="687"/>
    <w:uiPriority w:val="39"/>
    <w:unhideWhenUsed/>
    <w:qFormat/>
    <w:pPr>
      <w:ind w:left="1701"/>
      <w:spacing w:after="57"/>
    </w:pPr>
  </w:style>
  <w:style w:type="paragraph" w:styleId="862">
    <w:name w:val="图表目录1"/>
    <w:basedOn w:val="687"/>
    <w:next w:val="687"/>
    <w:link w:val="687"/>
    <w:uiPriority w:val="99"/>
    <w:unhideWhenUsed/>
    <w:qFormat/>
  </w:style>
  <w:style w:type="paragraph" w:styleId="863">
    <w:name w:val="目录 31"/>
    <w:basedOn w:val="687"/>
    <w:next w:val="687"/>
    <w:link w:val="687"/>
    <w:uiPriority w:val="39"/>
    <w:unhideWhenUsed/>
    <w:qFormat/>
    <w:pPr>
      <w:ind w:left="567"/>
      <w:spacing w:after="57"/>
    </w:pPr>
  </w:style>
  <w:style w:type="paragraph" w:styleId="864">
    <w:name w:val="目录 61"/>
    <w:basedOn w:val="687"/>
    <w:next w:val="687"/>
    <w:link w:val="687"/>
    <w:uiPriority w:val="39"/>
    <w:unhideWhenUsed/>
    <w:qFormat/>
    <w:pPr>
      <w:ind w:left="1417"/>
      <w:spacing w:after="57"/>
    </w:pPr>
  </w:style>
  <w:style w:type="paragraph" w:styleId="865">
    <w:name w:val="目录 41"/>
    <w:basedOn w:val="687"/>
    <w:next w:val="687"/>
    <w:link w:val="687"/>
    <w:uiPriority w:val="39"/>
    <w:unhideWhenUsed/>
    <w:qFormat/>
    <w:pPr>
      <w:ind w:left="850"/>
      <w:spacing w:after="57"/>
    </w:pPr>
  </w:style>
  <w:style w:type="paragraph" w:styleId="866">
    <w:name w:val="正文缩进1"/>
    <w:basedOn w:val="687"/>
    <w:next w:val="866"/>
    <w:link w:val="687"/>
    <w:qFormat/>
    <w:pPr>
      <w:ind w:firstLine="420"/>
    </w:pPr>
  </w:style>
  <w:style w:type="paragraph" w:styleId="867">
    <w:name w:val="目录 21"/>
    <w:basedOn w:val="687"/>
    <w:next w:val="687"/>
    <w:link w:val="687"/>
    <w:uiPriority w:val="39"/>
    <w:unhideWhenUsed/>
    <w:qFormat/>
    <w:pPr>
      <w:ind w:left="283"/>
      <w:spacing w:after="57"/>
    </w:pPr>
  </w:style>
  <w:style w:type="paragraph" w:styleId="868">
    <w:name w:val="目录 51"/>
    <w:basedOn w:val="687"/>
    <w:next w:val="687"/>
    <w:link w:val="687"/>
    <w:uiPriority w:val="39"/>
    <w:unhideWhenUsed/>
    <w:qFormat/>
    <w:pPr>
      <w:ind w:left="1134"/>
      <w:spacing w:after="57"/>
    </w:pPr>
  </w:style>
  <w:style w:type="paragraph" w:styleId="869">
    <w:name w:val="目录 111"/>
    <w:basedOn w:val="687"/>
    <w:next w:val="687"/>
    <w:link w:val="687"/>
    <w:uiPriority w:val="39"/>
    <w:unhideWhenUsed/>
    <w:qFormat/>
    <w:pPr>
      <w:spacing w:after="57"/>
    </w:pPr>
  </w:style>
  <w:style w:type="paragraph" w:styleId="870">
    <w:name w:val="目录 81"/>
    <w:basedOn w:val="687"/>
    <w:next w:val="687"/>
    <w:link w:val="687"/>
    <w:uiPriority w:val="39"/>
    <w:unhideWhenUsed/>
    <w:qFormat/>
    <w:pPr>
      <w:ind w:left="1984"/>
      <w:spacing w:after="57"/>
    </w:pPr>
  </w:style>
  <w:style w:type="paragraph" w:styleId="871">
    <w:name w:val="普通(网站)1"/>
    <w:basedOn w:val="687"/>
    <w:next w:val="871"/>
    <w:link w:val="687"/>
    <w:qFormat/>
    <w:pPr>
      <w:jc w:val="left"/>
      <w:spacing w:before="100" w:beforeAutospacing="1" w:after="100" w:afterAutospacing="1"/>
      <w:widowControl/>
    </w:pPr>
    <w:rPr>
      <w:rFonts w:ascii="宋体" w:hAnsi="宋体" w:cs="宋体"/>
      <w:color w:val="000000"/>
      <w:sz w:val="24"/>
      <w:szCs w:val="20"/>
    </w:rPr>
  </w:style>
  <w:style w:type="paragraph" w:styleId="872">
    <w:name w:val="列表段落1"/>
    <w:basedOn w:val="687"/>
    <w:next w:val="872"/>
    <w:link w:val="687"/>
    <w:uiPriority w:val="34"/>
    <w:qFormat/>
    <w:pPr>
      <w:contextualSpacing/>
      <w:ind w:left="720"/>
    </w:pPr>
  </w:style>
  <w:style w:type="paragraph" w:styleId="873">
    <w:name w:val="TOC 标题1"/>
    <w:next w:val="873"/>
    <w:link w:val="687"/>
    <w:uiPriority w:val="39"/>
    <w:unhideWhenUsed/>
    <w:qFormat/>
    <w:rPr>
      <w:rFonts w:ascii="Calibri" w:hAnsi="Calibri"/>
      <w:lang w:val="en-US" w:eastAsia="zh-CN" w:bidi="ar-SA"/>
    </w:rPr>
  </w:style>
  <w:style w:type="paragraph" w:styleId="874">
    <w:name w:val="索引 51"/>
    <w:basedOn w:val="791"/>
    <w:next w:val="791"/>
    <w:link w:val="687"/>
    <w:qFormat/>
    <w:pPr>
      <w:ind w:left="798"/>
    </w:pPr>
    <w:rPr>
      <w:rFonts w:ascii="Calibri"/>
    </w:rPr>
  </w:style>
  <w:style w:type="paragraph" w:styleId="875">
    <w:name w:val="脚注文本1"/>
    <w:basedOn w:val="791"/>
    <w:next w:val="874"/>
    <w:link w:val="687"/>
    <w:qFormat/>
    <w:rPr>
      <w:rFonts w:eastAsia="Times New Roman"/>
      <w:sz w:val="18"/>
      <w:szCs w:val="18"/>
    </w:rPr>
  </w:style>
  <w:style w:type="paragraph" w:styleId="876">
    <w:name w:val="页眉1"/>
    <w:basedOn w:val="687"/>
    <w:next w:val="876"/>
    <w:link w:val="687"/>
    <w:uiPriority w:val="99"/>
    <w:qFormat/>
    <w:pPr>
      <w:jc w:val="center"/>
      <w:tabs>
        <w:tab w:val="center" w:pos="4153" w:leader="none"/>
        <w:tab w:val="right" w:pos="8306" w:leader="none"/>
      </w:tabs>
      <w:pBdr>
        <w:bottom w:val="single" w:color="000000" w:sz="6" w:space="1"/>
      </w:pBdr>
    </w:pPr>
    <w:rPr>
      <w:sz w:val="18"/>
      <w:szCs w:val="18"/>
    </w:rPr>
  </w:style>
  <w:style w:type="paragraph" w:styleId="877">
    <w:name w:val="标题 21"/>
    <w:basedOn w:val="687"/>
    <w:next w:val="687"/>
    <w:link w:val="687"/>
    <w:qFormat/>
    <w:pPr>
      <w:jc w:val="left"/>
      <w:keepLines/>
      <w:keepNext/>
      <w:spacing w:before="50"/>
      <w:tabs>
        <w:tab w:val="left" w:pos="0" w:leader="none"/>
      </w:tabs>
    </w:pPr>
    <w:rPr>
      <w:rFonts w:ascii="Arial" w:hAnsi="Arial" w:eastAsia="黑体"/>
      <w:sz w:val="32"/>
      <w:szCs w:val="20"/>
    </w:rPr>
  </w:style>
  <w:style w:type="paragraph" w:styleId="878">
    <w:name w:val="无间隔1"/>
    <w:next w:val="878"/>
    <w:link w:val="687"/>
    <w:uiPriority w:val="1"/>
    <w:qFormat/>
    <w:rPr>
      <w:rFonts w:ascii="Calibri" w:hAnsi="Calibri"/>
      <w:lang w:val="en-US" w:eastAsia="zh-CN" w:bidi="ar-SA"/>
    </w:rPr>
  </w:style>
  <w:style w:type="paragraph" w:styleId="879">
    <w:name w:val="EnvelopeReturn1"/>
    <w:basedOn w:val="687"/>
    <w:next w:val="879"/>
    <w:link w:val="687"/>
    <w:qFormat/>
    <w:rPr>
      <w:rFonts w:ascii="Arial" w:hAnsi="Arial"/>
    </w:rPr>
  </w:style>
  <w:style w:type="paragraph" w:styleId="880">
    <w:name w:val="EnvelopeReturn11"/>
    <w:basedOn w:val="687"/>
    <w:next w:val="880"/>
    <w:link w:val="687"/>
    <w:qFormat/>
    <w:rPr>
      <w:rFonts w:ascii="Arial" w:hAnsi="Arial"/>
    </w:rPr>
  </w:style>
  <w:style w:type="paragraph" w:styleId="881">
    <w:name w:val="文本块1"/>
    <w:basedOn w:val="687"/>
    <w:next w:val="881"/>
    <w:link w:val="687"/>
    <w:uiPriority w:val="99"/>
    <w:unhideWhenUsed/>
    <w:qFormat/>
    <w:pPr>
      <w:ind w:left="1440" w:right="1440"/>
      <w:spacing w:after="120"/>
    </w:pPr>
  </w:style>
  <w:style w:type="paragraph" w:styleId="882">
    <w:name w:val="标题 11"/>
    <w:basedOn w:val="687"/>
    <w:next w:val="687"/>
    <w:link w:val="687"/>
    <w:qFormat/>
    <w:pPr>
      <w:jc w:val="center"/>
      <w:keepLines/>
      <w:keepNext/>
      <w:spacing w:line="578" w:lineRule="auto"/>
      <w:outlineLvl w:val="0"/>
    </w:pPr>
    <w:rPr>
      <w:rFonts w:eastAsia="新宋体"/>
      <w:b/>
      <w:bCs/>
      <w:sz w:val="30"/>
      <w:szCs w:val="44"/>
    </w:rPr>
  </w:style>
  <w:style w:type="paragraph" w:styleId="883">
    <w:name w:val="段"/>
    <w:basedOn w:val="791"/>
    <w:next w:val="790"/>
    <w:link w:val="687"/>
    <w:qFormat/>
    <w:pPr>
      <w:ind w:firstLine="200"/>
      <w:widowControl/>
    </w:pPr>
    <w:rPr>
      <w:sz w:val="20"/>
    </w:rPr>
  </w:style>
  <w:style w:type="paragraph" w:styleId="884">
    <w:name w:val="BodyTextIndent1"/>
    <w:basedOn w:val="687"/>
    <w:next w:val="879"/>
    <w:link w:val="687"/>
    <w:qFormat/>
    <w:pPr>
      <w:ind w:left="420"/>
      <w:spacing w:after="120"/>
    </w:pPr>
  </w:style>
  <w:style w:type="paragraph" w:styleId="885">
    <w:name w:val="页脚1"/>
    <w:basedOn w:val="687"/>
    <w:next w:val="885"/>
    <w:link w:val="687"/>
    <w:uiPriority w:val="99"/>
    <w:qFormat/>
    <w:pPr>
      <w:jc w:val="left"/>
      <w:tabs>
        <w:tab w:val="center" w:pos="4153" w:leader="none"/>
        <w:tab w:val="right" w:pos="8306" w:leader="none"/>
      </w:tabs>
    </w:pPr>
    <w:rPr>
      <w:sz w:val="18"/>
      <w:szCs w:val="18"/>
    </w:rPr>
  </w:style>
  <w:style w:type="paragraph" w:styleId="886">
    <w:name w:val="正文缩进2"/>
    <w:basedOn w:val="687"/>
    <w:next w:val="886"/>
    <w:link w:val="687"/>
    <w:qFormat/>
    <w:pPr>
      <w:ind w:firstLine="420"/>
    </w:pPr>
  </w:style>
  <w:style w:type="paragraph" w:styleId="887">
    <w:name w:val="BodyTextIndent11"/>
    <w:basedOn w:val="687"/>
    <w:next w:val="880"/>
    <w:link w:val="687"/>
    <w:qFormat/>
    <w:pPr>
      <w:ind w:left="420"/>
      <w:spacing w:after="120"/>
    </w:pPr>
  </w:style>
  <w:style w:type="paragraph" w:styleId="888">
    <w:name w:val="Body text|21"/>
    <w:basedOn w:val="687"/>
    <w:next w:val="888"/>
    <w:link w:val="687"/>
    <w:qFormat/>
    <w:pPr>
      <w:spacing w:before="500" w:after="260" w:line="200" w:lineRule="exact"/>
      <w:shd w:val="clear" w:color="auto" w:fill="ffffff"/>
    </w:pPr>
    <w:rPr>
      <w:rFonts w:ascii="PMingLiU" w:hAnsi="PMingLiU" w:eastAsia="PMingLiU" w:cs="PMingLiU"/>
      <w:spacing w:val="10"/>
      <w:sz w:val="20"/>
      <w:szCs w:val="20"/>
    </w:rPr>
  </w:style>
  <w:style w:type="table" w:styleId="889">
    <w:name w:val="Grid Table 4 - Accent 2"/>
    <w:next w:val="889"/>
    <w:link w:val="687"/>
    <w:uiPriority w:val="59"/>
    <w:qFormat/>
    <w:rPr>
      <w:lang w:val="en-US" w:eastAsia="zh-CN" w:bidi="ar-SA"/>
    </w:rPr>
    <w:tblPr/>
  </w:style>
  <w:style w:type="table" w:styleId="890">
    <w:name w:val="Lined - Accent 3"/>
    <w:next w:val="890"/>
    <w:link w:val="687"/>
    <w:uiPriority w:val="99"/>
    <w:qFormat/>
    <w:rPr>
      <w:color w:val="404040"/>
      <w:lang w:val="en-US" w:eastAsia="zh-CN" w:bidi="ar-SA"/>
    </w:rPr>
    <w:tblPr/>
  </w:style>
  <w:style w:type="table" w:styleId="891">
    <w:name w:val="网格型11"/>
    <w:next w:val="891"/>
    <w:link w:val="687"/>
    <w:uiPriority w:val="59"/>
    <w:qFormat/>
    <w:rPr>
      <w:lang w:val="en-US" w:eastAsia="zh-CN" w:bidi="ar-SA"/>
    </w:rPr>
    <w:tblPr/>
  </w:style>
  <w:style w:type="table" w:styleId="892">
    <w:name w:val="List Table 6 Colorful - Accent 1"/>
    <w:next w:val="892"/>
    <w:link w:val="687"/>
    <w:uiPriority w:val="99"/>
    <w:qFormat/>
    <w:rPr>
      <w:lang w:val="en-US" w:eastAsia="zh-CN" w:bidi="ar-SA"/>
    </w:rPr>
    <w:tblPr/>
  </w:style>
  <w:style w:type="table" w:styleId="893">
    <w:name w:val="Grid Table 2 - Accent 4"/>
    <w:next w:val="893"/>
    <w:link w:val="687"/>
    <w:uiPriority w:val="99"/>
    <w:qFormat/>
    <w:rPr>
      <w:lang w:val="en-US" w:eastAsia="zh-CN" w:bidi="ar-SA"/>
    </w:rPr>
    <w:tblPr/>
  </w:style>
  <w:style w:type="table" w:styleId="894">
    <w:name w:val="List Table 3 - Accent 5"/>
    <w:next w:val="894"/>
    <w:link w:val="687"/>
    <w:uiPriority w:val="99"/>
    <w:qFormat/>
    <w:rPr>
      <w:lang w:val="en-US" w:eastAsia="zh-CN" w:bidi="ar-SA"/>
    </w:rPr>
    <w:tblPr/>
  </w:style>
  <w:style w:type="table" w:styleId="895">
    <w:name w:val="普通表格1"/>
    <w:next w:val="895"/>
    <w:link w:val="687"/>
    <w:uiPriority w:val="99"/>
    <w:unhideWhenUsed/>
    <w:qFormat/>
    <w:rPr>
      <w:lang w:val="en-US" w:eastAsia="zh-CN" w:bidi="ar-SA"/>
    </w:rPr>
    <w:tblPr/>
  </w:style>
  <w:style w:type="table" w:styleId="896">
    <w:name w:val="List Table 3 - Accent 3"/>
    <w:next w:val="896"/>
    <w:link w:val="687"/>
    <w:uiPriority w:val="99"/>
    <w:qFormat/>
    <w:rPr>
      <w:lang w:val="en-US" w:eastAsia="zh-CN" w:bidi="ar-SA"/>
    </w:rPr>
    <w:tblPr/>
  </w:style>
  <w:style w:type="table" w:styleId="897">
    <w:name w:val="List Table 4 - Accent 2"/>
    <w:next w:val="897"/>
    <w:link w:val="687"/>
    <w:uiPriority w:val="99"/>
    <w:qFormat/>
    <w:rPr>
      <w:lang w:val="en-US" w:eastAsia="zh-CN" w:bidi="ar-SA"/>
    </w:rPr>
    <w:tblPr/>
  </w:style>
  <w:style w:type="table" w:styleId="898">
    <w:name w:val="List Table 6 Colorful - Accent 2"/>
    <w:next w:val="898"/>
    <w:link w:val="687"/>
    <w:uiPriority w:val="99"/>
    <w:qFormat/>
    <w:rPr>
      <w:lang w:val="en-US" w:eastAsia="zh-CN" w:bidi="ar-SA"/>
    </w:rPr>
    <w:tblPr/>
  </w:style>
  <w:style w:type="table" w:styleId="899">
    <w:name w:val="List Table 4 - Accent 4"/>
    <w:next w:val="899"/>
    <w:link w:val="687"/>
    <w:uiPriority w:val="99"/>
    <w:qFormat/>
    <w:rPr>
      <w:lang w:val="en-US" w:eastAsia="zh-CN" w:bidi="ar-SA"/>
    </w:rPr>
    <w:tblPr/>
  </w:style>
  <w:style w:type="table" w:styleId="900">
    <w:name w:val="List Table 5 Dark - Accent 3"/>
    <w:next w:val="900"/>
    <w:link w:val="687"/>
    <w:uiPriority w:val="99"/>
    <w:qFormat/>
    <w:rPr>
      <w:lang w:val="en-US" w:eastAsia="zh-CN" w:bidi="ar-SA"/>
    </w:rPr>
    <w:tblPr/>
  </w:style>
  <w:style w:type="table" w:styleId="901">
    <w:name w:val="清单表 21"/>
    <w:next w:val="901"/>
    <w:link w:val="687"/>
    <w:uiPriority w:val="99"/>
    <w:qFormat/>
    <w:rPr>
      <w:lang w:val="en-US" w:eastAsia="zh-CN" w:bidi="ar-SA"/>
    </w:rPr>
    <w:tblPr/>
  </w:style>
  <w:style w:type="table" w:styleId="902">
    <w:name w:val="List Table 5 Dark - Accent 1"/>
    <w:next w:val="902"/>
    <w:link w:val="687"/>
    <w:uiPriority w:val="99"/>
    <w:qFormat/>
    <w:rPr>
      <w:lang w:val="en-US" w:eastAsia="zh-CN" w:bidi="ar-SA"/>
    </w:rPr>
    <w:tblPr/>
  </w:style>
  <w:style w:type="table" w:styleId="903">
    <w:name w:val="Grid Table 7 Colorful - Accent 5"/>
    <w:next w:val="903"/>
    <w:link w:val="687"/>
    <w:uiPriority w:val="99"/>
    <w:qFormat/>
    <w:rPr>
      <w:lang w:val="en-US" w:eastAsia="zh-CN" w:bidi="ar-SA"/>
    </w:rPr>
    <w:tblPr/>
  </w:style>
  <w:style w:type="table" w:styleId="904">
    <w:name w:val="List Table 2 - Accent 5"/>
    <w:next w:val="904"/>
    <w:link w:val="687"/>
    <w:uiPriority w:val="99"/>
    <w:qFormat/>
    <w:rPr>
      <w:lang w:val="en-US" w:eastAsia="zh-CN" w:bidi="ar-SA"/>
    </w:rPr>
    <w:tblPr/>
  </w:style>
  <w:style w:type="table" w:styleId="905">
    <w:name w:val="清单表 5 深色1"/>
    <w:next w:val="905"/>
    <w:link w:val="687"/>
    <w:uiPriority w:val="99"/>
    <w:qFormat/>
    <w:rPr>
      <w:lang w:val="en-US" w:eastAsia="zh-CN" w:bidi="ar-SA"/>
    </w:rPr>
    <w:tblPr/>
  </w:style>
  <w:style w:type="table" w:styleId="906">
    <w:name w:val="List Table 1 Light - Accent 5"/>
    <w:next w:val="906"/>
    <w:link w:val="687"/>
    <w:uiPriority w:val="99"/>
    <w:qFormat/>
    <w:rPr>
      <w:lang w:val="en-US" w:eastAsia="zh-CN" w:bidi="ar-SA"/>
    </w:rPr>
    <w:tblPr/>
  </w:style>
  <w:style w:type="table" w:styleId="907">
    <w:name w:val="Grid Table 7 Colorful - Accent 3"/>
    <w:next w:val="907"/>
    <w:link w:val="687"/>
    <w:uiPriority w:val="99"/>
    <w:qFormat/>
    <w:rPr>
      <w:lang w:val="en-US" w:eastAsia="zh-CN" w:bidi="ar-SA"/>
    </w:rPr>
    <w:tblPr/>
  </w:style>
  <w:style w:type="table" w:styleId="908">
    <w:name w:val="List Table 3 - Accent 6"/>
    <w:next w:val="908"/>
    <w:link w:val="687"/>
    <w:uiPriority w:val="99"/>
    <w:qFormat/>
    <w:rPr>
      <w:lang w:val="en-US" w:eastAsia="zh-CN" w:bidi="ar-SA"/>
    </w:rPr>
    <w:tblPr/>
  </w:style>
  <w:style w:type="table" w:styleId="909">
    <w:name w:val="List Table 5 Dark - Accent 6"/>
    <w:next w:val="909"/>
    <w:link w:val="687"/>
    <w:uiPriority w:val="99"/>
    <w:qFormat/>
    <w:rPr>
      <w:lang w:val="en-US" w:eastAsia="zh-CN" w:bidi="ar-SA"/>
    </w:rPr>
    <w:tblPr/>
  </w:style>
  <w:style w:type="table" w:styleId="910">
    <w:name w:val="List Table 4 - Accent 3"/>
    <w:next w:val="910"/>
    <w:link w:val="687"/>
    <w:uiPriority w:val="99"/>
    <w:qFormat/>
    <w:rPr>
      <w:lang w:val="en-US" w:eastAsia="zh-CN" w:bidi="ar-SA"/>
    </w:rPr>
    <w:tblPr/>
  </w:style>
  <w:style w:type="table" w:styleId="911">
    <w:name w:val="List Table 5 Dark - Accent 2"/>
    <w:next w:val="911"/>
    <w:link w:val="687"/>
    <w:uiPriority w:val="99"/>
    <w:qFormat/>
    <w:rPr>
      <w:lang w:val="en-US" w:eastAsia="zh-CN" w:bidi="ar-SA"/>
    </w:rPr>
    <w:tblPr/>
  </w:style>
  <w:style w:type="table" w:styleId="912">
    <w:name w:val="List Table 2 - Accent 3"/>
    <w:next w:val="912"/>
    <w:link w:val="687"/>
    <w:uiPriority w:val="99"/>
    <w:qFormat/>
    <w:rPr>
      <w:lang w:val="en-US" w:eastAsia="zh-CN" w:bidi="ar-SA"/>
    </w:rPr>
    <w:tblPr/>
  </w:style>
  <w:style w:type="table" w:styleId="913">
    <w:name w:val="网格表 7 彩色1"/>
    <w:next w:val="913"/>
    <w:link w:val="687"/>
    <w:uiPriority w:val="99"/>
    <w:qFormat/>
    <w:rPr>
      <w:lang w:val="en-US" w:eastAsia="zh-CN" w:bidi="ar-SA"/>
    </w:rPr>
    <w:tblPr/>
  </w:style>
  <w:style w:type="table" w:styleId="914">
    <w:name w:val="List Table 4 - Accent 5"/>
    <w:next w:val="914"/>
    <w:link w:val="687"/>
    <w:uiPriority w:val="99"/>
    <w:qFormat/>
    <w:rPr>
      <w:lang w:val="en-US" w:eastAsia="zh-CN" w:bidi="ar-SA"/>
    </w:rPr>
    <w:tblPr/>
  </w:style>
  <w:style w:type="table" w:styleId="915">
    <w:name w:val="网格型1"/>
    <w:basedOn w:val="895"/>
    <w:next w:val="915"/>
    <w:link w:val="687"/>
    <w:uiPriority w:val="39"/>
    <w:qFormat/>
    <w:tblPr/>
  </w:style>
  <w:style w:type="table" w:styleId="916">
    <w:name w:val="List Table 1 Light - Accent 4"/>
    <w:next w:val="916"/>
    <w:link w:val="687"/>
    <w:uiPriority w:val="99"/>
    <w:qFormat/>
    <w:rPr>
      <w:lang w:val="en-US" w:eastAsia="zh-CN" w:bidi="ar-SA"/>
    </w:rPr>
    <w:tblPr/>
  </w:style>
  <w:style w:type="table" w:styleId="917">
    <w:name w:val="List Table 6 Colorful - Accent 3"/>
    <w:next w:val="917"/>
    <w:link w:val="687"/>
    <w:uiPriority w:val="99"/>
    <w:qFormat/>
    <w:rPr>
      <w:lang w:val="en-US" w:eastAsia="zh-CN" w:bidi="ar-SA"/>
    </w:rPr>
    <w:tblPr/>
  </w:style>
  <w:style w:type="table" w:styleId="918">
    <w:name w:val="List Table 3 - Accent 2"/>
    <w:next w:val="918"/>
    <w:link w:val="687"/>
    <w:uiPriority w:val="99"/>
    <w:qFormat/>
    <w:rPr>
      <w:lang w:val="en-US" w:eastAsia="zh-CN" w:bidi="ar-SA"/>
    </w:rPr>
    <w:tblPr/>
  </w:style>
  <w:style w:type="table" w:styleId="919">
    <w:name w:val="清单表 1 浅色1"/>
    <w:next w:val="919"/>
    <w:link w:val="687"/>
    <w:uiPriority w:val="99"/>
    <w:qFormat/>
    <w:rPr>
      <w:lang w:val="en-US" w:eastAsia="zh-CN" w:bidi="ar-SA"/>
    </w:rPr>
    <w:tblPr/>
  </w:style>
  <w:style w:type="table" w:styleId="920">
    <w:name w:val="清单表 6 彩色1"/>
    <w:next w:val="920"/>
    <w:link w:val="687"/>
    <w:uiPriority w:val="99"/>
    <w:qFormat/>
    <w:rPr>
      <w:lang w:val="en-US" w:eastAsia="zh-CN" w:bidi="ar-SA"/>
    </w:rPr>
    <w:tblPr/>
  </w:style>
  <w:style w:type="table" w:styleId="921">
    <w:name w:val="Grid Table 7 Colorful - Accent 2"/>
    <w:next w:val="921"/>
    <w:link w:val="687"/>
    <w:uiPriority w:val="99"/>
    <w:qFormat/>
    <w:rPr>
      <w:lang w:val="en-US" w:eastAsia="zh-CN" w:bidi="ar-SA"/>
    </w:rPr>
    <w:tblPr/>
  </w:style>
  <w:style w:type="table" w:styleId="922">
    <w:name w:val="List Table 2 - Accent 4"/>
    <w:next w:val="922"/>
    <w:link w:val="687"/>
    <w:uiPriority w:val="99"/>
    <w:qFormat/>
    <w:rPr>
      <w:lang w:val="en-US" w:eastAsia="zh-CN" w:bidi="ar-SA"/>
    </w:rPr>
    <w:tblPr/>
  </w:style>
  <w:style w:type="table" w:styleId="923">
    <w:name w:val="Grid Table 6 Colorful - Accent 1"/>
    <w:next w:val="923"/>
    <w:link w:val="687"/>
    <w:uiPriority w:val="99"/>
    <w:qFormat/>
    <w:rPr>
      <w:lang w:val="en-US" w:eastAsia="zh-CN" w:bidi="ar-SA"/>
    </w:rPr>
    <w:tblPr/>
  </w:style>
  <w:style w:type="table" w:styleId="924">
    <w:name w:val="Grid Table 3 - Accent 2"/>
    <w:next w:val="924"/>
    <w:link w:val="687"/>
    <w:uiPriority w:val="99"/>
    <w:qFormat/>
    <w:rPr>
      <w:lang w:val="en-US" w:eastAsia="zh-CN" w:bidi="ar-SA"/>
    </w:rPr>
    <w:tblPr/>
  </w:style>
  <w:style w:type="table" w:styleId="925">
    <w:name w:val="Grid Table 5 Dark- Accent 4"/>
    <w:next w:val="925"/>
    <w:link w:val="687"/>
    <w:uiPriority w:val="99"/>
    <w:qFormat/>
    <w:rPr>
      <w:lang w:val="en-US" w:eastAsia="zh-CN" w:bidi="ar-SA"/>
    </w:rPr>
    <w:tblPr/>
  </w:style>
  <w:style w:type="table" w:styleId="926">
    <w:name w:val="List Table 7 Colorful - Accent 2"/>
    <w:next w:val="926"/>
    <w:link w:val="687"/>
    <w:uiPriority w:val="99"/>
    <w:qFormat/>
    <w:rPr>
      <w:lang w:val="en-US" w:eastAsia="zh-CN" w:bidi="ar-SA"/>
    </w:rPr>
    <w:tblPr/>
  </w:style>
  <w:style w:type="table" w:styleId="927">
    <w:name w:val="Grid Table 6 Colorful - Accent 4"/>
    <w:next w:val="927"/>
    <w:link w:val="687"/>
    <w:uiPriority w:val="99"/>
    <w:qFormat/>
    <w:rPr>
      <w:lang w:val="en-US" w:eastAsia="zh-CN" w:bidi="ar-SA"/>
    </w:rPr>
    <w:tblPr/>
  </w:style>
  <w:style w:type="table" w:styleId="928">
    <w:name w:val="清单表 31"/>
    <w:next w:val="928"/>
    <w:link w:val="687"/>
    <w:uiPriority w:val="99"/>
    <w:qFormat/>
    <w:rPr>
      <w:lang w:val="en-US" w:eastAsia="zh-CN" w:bidi="ar-SA"/>
    </w:rPr>
    <w:tblPr/>
  </w:style>
  <w:style w:type="table" w:styleId="929">
    <w:name w:val="Grid Table 2 - Accent 5"/>
    <w:next w:val="929"/>
    <w:link w:val="687"/>
    <w:uiPriority w:val="99"/>
    <w:qFormat/>
    <w:rPr>
      <w:lang w:val="en-US" w:eastAsia="zh-CN" w:bidi="ar-SA"/>
    </w:rPr>
    <w:tblPr/>
  </w:style>
  <w:style w:type="table" w:styleId="930">
    <w:name w:val="Grid Table 5 Dark - Accent 3"/>
    <w:next w:val="930"/>
    <w:link w:val="687"/>
    <w:uiPriority w:val="99"/>
    <w:qFormat/>
    <w:rPr>
      <w:lang w:val="en-US" w:eastAsia="zh-CN" w:bidi="ar-SA"/>
    </w:rPr>
    <w:tblPr/>
  </w:style>
  <w:style w:type="table" w:styleId="931">
    <w:name w:val="网格表 21"/>
    <w:next w:val="931"/>
    <w:link w:val="687"/>
    <w:uiPriority w:val="99"/>
    <w:qFormat/>
    <w:rPr>
      <w:lang w:val="en-US" w:eastAsia="zh-CN" w:bidi="ar-SA"/>
    </w:rPr>
    <w:tblPr/>
  </w:style>
  <w:style w:type="table" w:styleId="932">
    <w:name w:val="Lined - Accent 5"/>
    <w:next w:val="932"/>
    <w:link w:val="687"/>
    <w:uiPriority w:val="99"/>
    <w:qFormat/>
    <w:rPr>
      <w:color w:val="404040"/>
      <w:lang w:val="en-US" w:eastAsia="zh-CN" w:bidi="ar-SA"/>
    </w:rPr>
    <w:tblPr/>
  </w:style>
  <w:style w:type="table" w:styleId="933">
    <w:name w:val="Lined - Accent 4"/>
    <w:next w:val="933"/>
    <w:link w:val="687"/>
    <w:uiPriority w:val="99"/>
    <w:qFormat/>
    <w:rPr>
      <w:color w:val="404040"/>
      <w:lang w:val="en-US" w:eastAsia="zh-CN" w:bidi="ar-SA"/>
    </w:rPr>
    <w:tblPr/>
  </w:style>
  <w:style w:type="table" w:styleId="934">
    <w:name w:val="无格式表格 21"/>
    <w:next w:val="934"/>
    <w:link w:val="687"/>
    <w:uiPriority w:val="59"/>
    <w:qFormat/>
    <w:rPr>
      <w:lang w:val="en-US" w:eastAsia="zh-CN" w:bidi="ar-SA"/>
    </w:rPr>
    <w:tblPr/>
  </w:style>
  <w:style w:type="table" w:styleId="935">
    <w:name w:val="Bordered - Accent 6"/>
    <w:next w:val="935"/>
    <w:link w:val="687"/>
    <w:uiPriority w:val="99"/>
    <w:qFormat/>
    <w:rPr>
      <w:lang w:val="en-US" w:eastAsia="zh-CN" w:bidi="ar-SA"/>
    </w:rPr>
    <w:tblPr/>
  </w:style>
  <w:style w:type="table" w:styleId="936">
    <w:name w:val="Grid Table 3 - Accent 3"/>
    <w:next w:val="936"/>
    <w:link w:val="687"/>
    <w:uiPriority w:val="99"/>
    <w:qFormat/>
    <w:rPr>
      <w:lang w:val="en-US" w:eastAsia="zh-CN" w:bidi="ar-SA"/>
    </w:rPr>
    <w:tblPr/>
  </w:style>
  <w:style w:type="table" w:styleId="937">
    <w:name w:val="Table Grid Light"/>
    <w:next w:val="937"/>
    <w:link w:val="687"/>
    <w:uiPriority w:val="59"/>
    <w:qFormat/>
    <w:rPr>
      <w:lang w:val="en-US" w:eastAsia="zh-CN" w:bidi="ar-SA"/>
    </w:rPr>
    <w:tblPr/>
  </w:style>
  <w:style w:type="table" w:styleId="938">
    <w:name w:val="List Table 3 - Accent 4"/>
    <w:next w:val="938"/>
    <w:link w:val="687"/>
    <w:uiPriority w:val="99"/>
    <w:qFormat/>
    <w:rPr>
      <w:lang w:val="en-US" w:eastAsia="zh-CN" w:bidi="ar-SA"/>
    </w:rPr>
    <w:tblPr/>
  </w:style>
  <w:style w:type="table" w:styleId="939">
    <w:name w:val="List Table 7 Colorful - Accent 1"/>
    <w:next w:val="939"/>
    <w:link w:val="687"/>
    <w:uiPriority w:val="99"/>
    <w:qFormat/>
    <w:rPr>
      <w:lang w:val="en-US" w:eastAsia="zh-CN" w:bidi="ar-SA"/>
    </w:rPr>
    <w:tblPr/>
  </w:style>
  <w:style w:type="table" w:styleId="940">
    <w:name w:val="Grid Table 1 Light - Accent 1"/>
    <w:next w:val="940"/>
    <w:link w:val="687"/>
    <w:uiPriority w:val="99"/>
    <w:qFormat/>
    <w:rPr>
      <w:lang w:val="en-US" w:eastAsia="zh-CN" w:bidi="ar-SA"/>
    </w:rPr>
    <w:tblPr/>
  </w:style>
  <w:style w:type="table" w:styleId="941">
    <w:name w:val="Lined - Accent 1"/>
    <w:next w:val="941"/>
    <w:link w:val="687"/>
    <w:uiPriority w:val="99"/>
    <w:qFormat/>
    <w:rPr>
      <w:color w:val="404040"/>
      <w:lang w:val="en-US" w:eastAsia="zh-CN" w:bidi="ar-SA"/>
    </w:rPr>
    <w:tblPr/>
  </w:style>
  <w:style w:type="table" w:styleId="942">
    <w:name w:val="Grid Table 3 - Accent 6"/>
    <w:next w:val="942"/>
    <w:link w:val="687"/>
    <w:uiPriority w:val="99"/>
    <w:qFormat/>
    <w:rPr>
      <w:lang w:val="en-US" w:eastAsia="zh-CN" w:bidi="ar-SA"/>
    </w:rPr>
    <w:tblPr/>
  </w:style>
  <w:style w:type="table" w:styleId="943">
    <w:name w:val="无格式表格 31"/>
    <w:next w:val="943"/>
    <w:link w:val="687"/>
    <w:uiPriority w:val="99"/>
    <w:qFormat/>
    <w:rPr>
      <w:lang w:val="en-US" w:eastAsia="zh-CN" w:bidi="ar-SA"/>
    </w:rPr>
    <w:tblPr/>
  </w:style>
  <w:style w:type="table" w:styleId="944">
    <w:name w:val="Grid Table 4 - Accent 4"/>
    <w:next w:val="944"/>
    <w:link w:val="687"/>
    <w:uiPriority w:val="59"/>
    <w:qFormat/>
    <w:rPr>
      <w:lang w:val="en-US" w:eastAsia="zh-CN" w:bidi="ar-SA"/>
    </w:rPr>
    <w:tblPr/>
  </w:style>
  <w:style w:type="table" w:styleId="945">
    <w:name w:val="Grid Table 3 - Accent 5"/>
    <w:next w:val="945"/>
    <w:link w:val="687"/>
    <w:uiPriority w:val="99"/>
    <w:qFormat/>
    <w:rPr>
      <w:lang w:val="en-US" w:eastAsia="zh-CN" w:bidi="ar-SA"/>
    </w:rPr>
    <w:tblPr/>
  </w:style>
  <w:style w:type="table" w:styleId="946">
    <w:name w:val="无格式表格 11"/>
    <w:next w:val="946"/>
    <w:link w:val="687"/>
    <w:uiPriority w:val="59"/>
    <w:qFormat/>
    <w:rPr>
      <w:lang w:val="en-US" w:eastAsia="zh-CN" w:bidi="ar-SA"/>
    </w:rPr>
    <w:tblPr/>
  </w:style>
  <w:style w:type="table" w:styleId="947">
    <w:name w:val="Bordered - Accent 5"/>
    <w:next w:val="947"/>
    <w:link w:val="687"/>
    <w:uiPriority w:val="99"/>
    <w:qFormat/>
    <w:rPr>
      <w:lang w:val="en-US" w:eastAsia="zh-CN" w:bidi="ar-SA"/>
    </w:rPr>
    <w:tblPr/>
  </w:style>
  <w:style w:type="table" w:styleId="948">
    <w:name w:val="网格表 1 浅色1"/>
    <w:next w:val="948"/>
    <w:link w:val="687"/>
    <w:uiPriority w:val="99"/>
    <w:qFormat/>
    <w:rPr>
      <w:lang w:val="en-US" w:eastAsia="zh-CN" w:bidi="ar-SA"/>
    </w:rPr>
    <w:tblPr/>
  </w:style>
  <w:style w:type="table" w:styleId="949">
    <w:name w:val="Grid Table 6 Colorful - Accent 2"/>
    <w:next w:val="949"/>
    <w:link w:val="687"/>
    <w:uiPriority w:val="99"/>
    <w:qFormat/>
    <w:rPr>
      <w:lang w:val="en-US" w:eastAsia="zh-CN" w:bidi="ar-SA"/>
    </w:rPr>
    <w:tblPr/>
  </w:style>
  <w:style w:type="table" w:styleId="950">
    <w:name w:val="Grid Table 1 Light - Accent 4"/>
    <w:next w:val="950"/>
    <w:link w:val="687"/>
    <w:uiPriority w:val="99"/>
    <w:qFormat/>
    <w:rPr>
      <w:lang w:val="en-US" w:eastAsia="zh-CN" w:bidi="ar-SA"/>
    </w:rPr>
    <w:tblPr/>
  </w:style>
  <w:style w:type="table" w:styleId="951">
    <w:name w:val="无格式表格 41"/>
    <w:next w:val="951"/>
    <w:link w:val="687"/>
    <w:uiPriority w:val="99"/>
    <w:qFormat/>
    <w:rPr>
      <w:lang w:val="en-US" w:eastAsia="zh-CN" w:bidi="ar-SA"/>
    </w:rPr>
    <w:tblPr/>
  </w:style>
  <w:style w:type="table" w:styleId="952">
    <w:name w:val="Grid Table 4 - Accent 6"/>
    <w:next w:val="952"/>
    <w:link w:val="687"/>
    <w:uiPriority w:val="59"/>
    <w:qFormat/>
    <w:rPr>
      <w:lang w:val="en-US" w:eastAsia="zh-CN" w:bidi="ar-SA"/>
    </w:rPr>
    <w:tblPr/>
  </w:style>
  <w:style w:type="table" w:styleId="953">
    <w:name w:val="Grid Table 1 Light - Accent 3"/>
    <w:next w:val="953"/>
    <w:link w:val="687"/>
    <w:uiPriority w:val="99"/>
    <w:qFormat/>
    <w:rPr>
      <w:lang w:val="en-US" w:eastAsia="zh-CN" w:bidi="ar-SA"/>
    </w:rPr>
    <w:tblPr/>
  </w:style>
  <w:style w:type="table" w:styleId="954">
    <w:name w:val="Grid Table 1 Light - Accent 2"/>
    <w:next w:val="954"/>
    <w:link w:val="687"/>
    <w:uiPriority w:val="99"/>
    <w:qFormat/>
    <w:rPr>
      <w:lang w:val="en-US" w:eastAsia="zh-CN" w:bidi="ar-SA"/>
    </w:rPr>
    <w:tblPr/>
  </w:style>
  <w:style w:type="table" w:styleId="955">
    <w:name w:val="Grid Table 5 Dark- Accent 1"/>
    <w:next w:val="955"/>
    <w:link w:val="687"/>
    <w:uiPriority w:val="99"/>
    <w:qFormat/>
    <w:rPr>
      <w:lang w:val="en-US" w:eastAsia="zh-CN" w:bidi="ar-SA"/>
    </w:rPr>
    <w:tblPr/>
  </w:style>
  <w:style w:type="table" w:styleId="956">
    <w:name w:val="Grid Table 3 - Accent 1"/>
    <w:next w:val="956"/>
    <w:link w:val="687"/>
    <w:uiPriority w:val="99"/>
    <w:qFormat/>
    <w:rPr>
      <w:lang w:val="en-US" w:eastAsia="zh-CN" w:bidi="ar-SA"/>
    </w:rPr>
    <w:tblPr/>
  </w:style>
  <w:style w:type="table" w:styleId="957">
    <w:name w:val="无格式表格 51"/>
    <w:next w:val="957"/>
    <w:link w:val="687"/>
    <w:uiPriority w:val="99"/>
    <w:qFormat/>
    <w:rPr>
      <w:lang w:val="en-US" w:eastAsia="zh-CN" w:bidi="ar-SA"/>
    </w:rPr>
    <w:tblPr/>
  </w:style>
  <w:style w:type="table" w:styleId="958">
    <w:name w:val="Grid Table 4 - Accent 5"/>
    <w:next w:val="958"/>
    <w:link w:val="687"/>
    <w:uiPriority w:val="59"/>
    <w:qFormat/>
    <w:rPr>
      <w:lang w:val="en-US" w:eastAsia="zh-CN" w:bidi="ar-SA"/>
    </w:rPr>
    <w:tblPr/>
  </w:style>
  <w:style w:type="table" w:styleId="959">
    <w:name w:val="Grid Table 1 Light - Accent 5"/>
    <w:next w:val="959"/>
    <w:link w:val="687"/>
    <w:uiPriority w:val="99"/>
    <w:qFormat/>
    <w:rPr>
      <w:lang w:val="en-US" w:eastAsia="zh-CN" w:bidi="ar-SA"/>
    </w:rPr>
    <w:tblPr/>
  </w:style>
  <w:style w:type="table" w:styleId="960">
    <w:name w:val="List Table 7 Colorful - Accent 5"/>
    <w:next w:val="960"/>
    <w:link w:val="687"/>
    <w:uiPriority w:val="99"/>
    <w:qFormat/>
    <w:rPr>
      <w:lang w:val="en-US" w:eastAsia="zh-CN" w:bidi="ar-SA"/>
    </w:rPr>
    <w:tblPr/>
  </w:style>
  <w:style w:type="table" w:styleId="961">
    <w:name w:val="Grid Table 1 Light - Accent 6"/>
    <w:next w:val="961"/>
    <w:link w:val="687"/>
    <w:uiPriority w:val="99"/>
    <w:qFormat/>
    <w:rPr>
      <w:lang w:val="en-US" w:eastAsia="zh-CN" w:bidi="ar-SA"/>
    </w:rPr>
    <w:tblPr/>
  </w:style>
  <w:style w:type="table" w:styleId="962">
    <w:name w:val="Bordered &amp; Lined - Accent 5"/>
    <w:next w:val="962"/>
    <w:link w:val="687"/>
    <w:uiPriority w:val="99"/>
    <w:qFormat/>
    <w:rPr>
      <w:color w:val="404040"/>
      <w:lang w:val="en-US" w:eastAsia="zh-CN" w:bidi="ar-SA"/>
    </w:rPr>
    <w:tblPr/>
  </w:style>
  <w:style w:type="table" w:styleId="963">
    <w:name w:val="Lined - Accent"/>
    <w:next w:val="963"/>
    <w:link w:val="687"/>
    <w:uiPriority w:val="99"/>
    <w:qFormat/>
    <w:rPr>
      <w:color w:val="404040"/>
      <w:lang w:val="en-US" w:eastAsia="zh-CN" w:bidi="ar-SA"/>
    </w:rPr>
    <w:tblPr/>
  </w:style>
  <w:style w:type="table" w:styleId="964">
    <w:name w:val="Bordered &amp; Lined - Accent 4"/>
    <w:next w:val="964"/>
    <w:link w:val="687"/>
    <w:uiPriority w:val="99"/>
    <w:qFormat/>
    <w:rPr>
      <w:color w:val="404040"/>
      <w:lang w:val="en-US" w:eastAsia="zh-CN" w:bidi="ar-SA"/>
    </w:rPr>
    <w:tblPr/>
  </w:style>
  <w:style w:type="table" w:styleId="965">
    <w:name w:val="Grid Table 2 - Accent 1"/>
    <w:next w:val="965"/>
    <w:link w:val="687"/>
    <w:uiPriority w:val="99"/>
    <w:qFormat/>
    <w:rPr>
      <w:lang w:val="en-US" w:eastAsia="zh-CN" w:bidi="ar-SA"/>
    </w:rPr>
    <w:tblPr/>
  </w:style>
  <w:style w:type="table" w:styleId="966">
    <w:name w:val="List Table 5 Dark - Accent 5"/>
    <w:next w:val="966"/>
    <w:link w:val="687"/>
    <w:uiPriority w:val="99"/>
    <w:qFormat/>
    <w:rPr>
      <w:lang w:val="en-US" w:eastAsia="zh-CN" w:bidi="ar-SA"/>
    </w:rPr>
    <w:tblPr/>
  </w:style>
  <w:style w:type="table" w:styleId="967">
    <w:name w:val="List Table 7 Colorful - Accent 3"/>
    <w:next w:val="967"/>
    <w:link w:val="687"/>
    <w:uiPriority w:val="99"/>
    <w:qFormat/>
    <w:rPr>
      <w:lang w:val="en-US" w:eastAsia="zh-CN" w:bidi="ar-SA"/>
    </w:rPr>
    <w:tblPr/>
  </w:style>
  <w:style w:type="table" w:styleId="968">
    <w:name w:val="Bordered &amp; Lined - Accent 2"/>
    <w:next w:val="968"/>
    <w:link w:val="687"/>
    <w:uiPriority w:val="99"/>
    <w:qFormat/>
    <w:rPr>
      <w:color w:val="404040"/>
      <w:lang w:val="en-US" w:eastAsia="zh-CN" w:bidi="ar-SA"/>
    </w:rPr>
    <w:tblPr/>
  </w:style>
  <w:style w:type="table" w:styleId="969">
    <w:name w:val="Bordered &amp; Lined - Accent 6"/>
    <w:next w:val="969"/>
    <w:link w:val="687"/>
    <w:uiPriority w:val="99"/>
    <w:qFormat/>
    <w:rPr>
      <w:color w:val="404040"/>
      <w:lang w:val="en-US" w:eastAsia="zh-CN" w:bidi="ar-SA"/>
    </w:rPr>
    <w:tblPr/>
  </w:style>
  <w:style w:type="table" w:styleId="970">
    <w:name w:val="Grid Table 2 - Accent 2"/>
    <w:next w:val="970"/>
    <w:link w:val="687"/>
    <w:uiPriority w:val="99"/>
    <w:qFormat/>
    <w:rPr>
      <w:lang w:val="en-US" w:eastAsia="zh-CN" w:bidi="ar-SA"/>
    </w:rPr>
    <w:tblPr/>
  </w:style>
  <w:style w:type="table" w:styleId="971">
    <w:name w:val="Grid Table 6 Colorful - Accent 3"/>
    <w:next w:val="971"/>
    <w:link w:val="687"/>
    <w:uiPriority w:val="99"/>
    <w:qFormat/>
    <w:rPr>
      <w:lang w:val="en-US" w:eastAsia="zh-CN" w:bidi="ar-SA"/>
    </w:rPr>
    <w:tblPr/>
  </w:style>
  <w:style w:type="table" w:styleId="972">
    <w:name w:val="Grid Table 5 Dark - Accent 6"/>
    <w:next w:val="972"/>
    <w:link w:val="687"/>
    <w:uiPriority w:val="99"/>
    <w:qFormat/>
    <w:rPr>
      <w:lang w:val="en-US" w:eastAsia="zh-CN" w:bidi="ar-SA"/>
    </w:rPr>
    <w:tblPr/>
  </w:style>
  <w:style w:type="table" w:styleId="973">
    <w:name w:val="Grid Table 2 - Accent 3"/>
    <w:next w:val="973"/>
    <w:link w:val="687"/>
    <w:uiPriority w:val="99"/>
    <w:qFormat/>
    <w:rPr>
      <w:lang w:val="en-US" w:eastAsia="zh-CN" w:bidi="ar-SA"/>
    </w:rPr>
    <w:tblPr/>
  </w:style>
  <w:style w:type="table" w:styleId="974">
    <w:name w:val="Grid Table 5 Dark - Accent 2"/>
    <w:next w:val="974"/>
    <w:link w:val="687"/>
    <w:uiPriority w:val="99"/>
    <w:qFormat/>
    <w:rPr>
      <w:lang w:val="en-US" w:eastAsia="zh-CN" w:bidi="ar-SA"/>
    </w:rPr>
    <w:tblPr/>
  </w:style>
  <w:style w:type="table" w:styleId="975">
    <w:name w:val="Bordered &amp; Lined - Accent 3"/>
    <w:next w:val="975"/>
    <w:link w:val="687"/>
    <w:uiPriority w:val="99"/>
    <w:qFormat/>
    <w:rPr>
      <w:color w:val="404040"/>
      <w:lang w:val="en-US" w:eastAsia="zh-CN" w:bidi="ar-SA"/>
    </w:rPr>
    <w:tblPr/>
  </w:style>
  <w:style w:type="table" w:styleId="976">
    <w:name w:val="Grid Table 5 Dark - Accent 5"/>
    <w:next w:val="976"/>
    <w:link w:val="687"/>
    <w:uiPriority w:val="99"/>
    <w:qFormat/>
    <w:rPr>
      <w:lang w:val="en-US" w:eastAsia="zh-CN" w:bidi="ar-SA"/>
    </w:rPr>
    <w:tblPr/>
  </w:style>
  <w:style w:type="table" w:styleId="977">
    <w:name w:val="Grid Table 2 - Accent 6"/>
    <w:next w:val="977"/>
    <w:link w:val="687"/>
    <w:uiPriority w:val="99"/>
    <w:qFormat/>
    <w:rPr>
      <w:lang w:val="en-US" w:eastAsia="zh-CN" w:bidi="ar-SA"/>
    </w:rPr>
    <w:tblPr/>
  </w:style>
  <w:style w:type="table" w:styleId="978">
    <w:name w:val="Bordered &amp; Lined - Accent 1"/>
    <w:next w:val="978"/>
    <w:link w:val="687"/>
    <w:uiPriority w:val="99"/>
    <w:qFormat/>
    <w:rPr>
      <w:color w:val="404040"/>
      <w:lang w:val="en-US" w:eastAsia="zh-CN" w:bidi="ar-SA"/>
    </w:rPr>
    <w:tblPr/>
  </w:style>
  <w:style w:type="table" w:styleId="979">
    <w:name w:val="Bordered - Accent 3"/>
    <w:next w:val="979"/>
    <w:link w:val="687"/>
    <w:uiPriority w:val="99"/>
    <w:qFormat/>
    <w:rPr>
      <w:lang w:val="en-US" w:eastAsia="zh-CN" w:bidi="ar-SA"/>
    </w:rPr>
    <w:tblPr/>
  </w:style>
  <w:style w:type="table" w:styleId="980">
    <w:name w:val="网格表 41"/>
    <w:next w:val="980"/>
    <w:link w:val="687"/>
    <w:uiPriority w:val="59"/>
    <w:qFormat/>
    <w:rPr>
      <w:lang w:val="en-US" w:eastAsia="zh-CN" w:bidi="ar-SA"/>
    </w:rPr>
    <w:tblPr/>
  </w:style>
  <w:style w:type="table" w:styleId="981">
    <w:name w:val="网格表 31"/>
    <w:next w:val="981"/>
    <w:link w:val="687"/>
    <w:uiPriority w:val="99"/>
    <w:qFormat/>
    <w:rPr>
      <w:lang w:val="en-US" w:eastAsia="zh-CN" w:bidi="ar-SA"/>
    </w:rPr>
    <w:tblPr/>
  </w:style>
  <w:style w:type="table" w:styleId="982">
    <w:name w:val="Bordered &amp; Lined - Accent"/>
    <w:next w:val="982"/>
    <w:link w:val="687"/>
    <w:uiPriority w:val="99"/>
    <w:qFormat/>
    <w:rPr>
      <w:color w:val="404040"/>
      <w:lang w:val="en-US" w:eastAsia="zh-CN" w:bidi="ar-SA"/>
    </w:rPr>
    <w:tblPr/>
  </w:style>
  <w:style w:type="table" w:styleId="983">
    <w:name w:val="清单表 7 彩色1"/>
    <w:next w:val="983"/>
    <w:link w:val="687"/>
    <w:uiPriority w:val="99"/>
    <w:qFormat/>
    <w:rPr>
      <w:lang w:val="en-US" w:eastAsia="zh-CN" w:bidi="ar-SA"/>
    </w:rPr>
    <w:tblPr/>
  </w:style>
  <w:style w:type="table" w:styleId="984">
    <w:name w:val="网格表 6 彩色1"/>
    <w:next w:val="984"/>
    <w:link w:val="687"/>
    <w:uiPriority w:val="99"/>
    <w:qFormat/>
    <w:rPr>
      <w:lang w:val="en-US" w:eastAsia="zh-CN" w:bidi="ar-SA"/>
    </w:rPr>
    <w:tblPr/>
  </w:style>
  <w:style w:type="table" w:styleId="985">
    <w:name w:val="List Table 7 Colorful - Accent 6"/>
    <w:next w:val="985"/>
    <w:link w:val="687"/>
    <w:uiPriority w:val="99"/>
    <w:qFormat/>
    <w:rPr>
      <w:lang w:val="en-US" w:eastAsia="zh-CN" w:bidi="ar-SA"/>
    </w:rPr>
    <w:tblPr/>
  </w:style>
  <w:style w:type="table" w:styleId="986">
    <w:name w:val="Grid Table 4 - Accent 1"/>
    <w:next w:val="986"/>
    <w:link w:val="687"/>
    <w:uiPriority w:val="59"/>
    <w:qFormat/>
    <w:rPr>
      <w:lang w:val="en-US" w:eastAsia="zh-CN" w:bidi="ar-SA"/>
    </w:rPr>
    <w:tblPr/>
  </w:style>
  <w:style w:type="table" w:styleId="987">
    <w:name w:val="Bordered - Accent 1"/>
    <w:next w:val="987"/>
    <w:link w:val="687"/>
    <w:uiPriority w:val="99"/>
    <w:qFormat/>
    <w:rPr>
      <w:lang w:val="en-US" w:eastAsia="zh-CN" w:bidi="ar-SA"/>
    </w:rPr>
    <w:tblPr/>
  </w:style>
  <w:style w:type="table" w:styleId="988">
    <w:name w:val="网格表 5 深色1"/>
    <w:next w:val="988"/>
    <w:link w:val="687"/>
    <w:uiPriority w:val="99"/>
    <w:qFormat/>
    <w:rPr>
      <w:lang w:val="en-US" w:eastAsia="zh-CN" w:bidi="ar-SA"/>
    </w:rPr>
    <w:tblPr/>
  </w:style>
  <w:style w:type="table" w:styleId="989">
    <w:name w:val="Bordered - Accent 4"/>
    <w:next w:val="989"/>
    <w:link w:val="687"/>
    <w:uiPriority w:val="99"/>
    <w:qFormat/>
    <w:rPr>
      <w:lang w:val="en-US" w:eastAsia="zh-CN" w:bidi="ar-SA"/>
    </w:rPr>
    <w:tblPr/>
  </w:style>
  <w:style w:type="table" w:styleId="990">
    <w:name w:val="Grid Table 4 - Accent 3"/>
    <w:next w:val="990"/>
    <w:link w:val="687"/>
    <w:uiPriority w:val="59"/>
    <w:qFormat/>
    <w:rPr>
      <w:lang w:val="en-US" w:eastAsia="zh-CN" w:bidi="ar-SA"/>
    </w:rPr>
    <w:tblPr/>
  </w:style>
  <w:style w:type="table" w:styleId="991">
    <w:name w:val="Grid Table 3 - Accent 4"/>
    <w:next w:val="991"/>
    <w:link w:val="687"/>
    <w:uiPriority w:val="99"/>
    <w:qFormat/>
    <w:rPr>
      <w:lang w:val="en-US" w:eastAsia="zh-CN" w:bidi="ar-SA"/>
    </w:rPr>
    <w:tblPr/>
  </w:style>
  <w:style w:type="table" w:styleId="992">
    <w:name w:val="List Table 4 - Accent 6"/>
    <w:next w:val="992"/>
    <w:link w:val="687"/>
    <w:uiPriority w:val="99"/>
    <w:qFormat/>
    <w:rPr>
      <w:lang w:val="en-US" w:eastAsia="zh-CN" w:bidi="ar-SA"/>
    </w:rPr>
    <w:tblPr/>
  </w:style>
  <w:style w:type="table" w:styleId="993">
    <w:name w:val="Lined - Accent 2"/>
    <w:next w:val="993"/>
    <w:link w:val="687"/>
    <w:uiPriority w:val="99"/>
    <w:qFormat/>
    <w:rPr>
      <w:color w:val="404040"/>
      <w:lang w:val="en-US" w:eastAsia="zh-CN" w:bidi="ar-SA"/>
    </w:rPr>
    <w:tblPr/>
  </w:style>
  <w:style w:type="table" w:styleId="994">
    <w:name w:val="Grid Table 6 Colorful - Accent 5"/>
    <w:next w:val="994"/>
    <w:link w:val="687"/>
    <w:uiPriority w:val="99"/>
    <w:qFormat/>
    <w:rPr>
      <w:lang w:val="en-US" w:eastAsia="zh-CN" w:bidi="ar-SA"/>
    </w:rPr>
    <w:tblPr/>
  </w:style>
  <w:style w:type="table" w:styleId="995">
    <w:name w:val="List Table 5 Dark - Accent 4"/>
    <w:next w:val="995"/>
    <w:link w:val="687"/>
    <w:uiPriority w:val="99"/>
    <w:qFormat/>
    <w:rPr>
      <w:lang w:val="en-US" w:eastAsia="zh-CN" w:bidi="ar-SA"/>
    </w:rPr>
    <w:tblPr/>
  </w:style>
  <w:style w:type="table" w:styleId="996">
    <w:name w:val="Grid Table 6 Colorful - Accent 6"/>
    <w:next w:val="996"/>
    <w:link w:val="687"/>
    <w:uiPriority w:val="99"/>
    <w:qFormat/>
    <w:rPr>
      <w:lang w:val="en-US" w:eastAsia="zh-CN" w:bidi="ar-SA"/>
    </w:rPr>
    <w:tblPr/>
  </w:style>
  <w:style w:type="table" w:styleId="997">
    <w:name w:val="Bordered"/>
    <w:next w:val="997"/>
    <w:link w:val="687"/>
    <w:uiPriority w:val="99"/>
    <w:qFormat/>
    <w:rPr>
      <w:lang w:val="en-US" w:eastAsia="zh-CN" w:bidi="ar-SA"/>
    </w:rPr>
    <w:tblPr/>
  </w:style>
  <w:style w:type="table" w:styleId="998">
    <w:name w:val="Grid Table 7 Colorful - Accent 1"/>
    <w:next w:val="998"/>
    <w:link w:val="687"/>
    <w:uiPriority w:val="99"/>
    <w:qFormat/>
    <w:rPr>
      <w:lang w:val="en-US" w:eastAsia="zh-CN" w:bidi="ar-SA"/>
    </w:rPr>
    <w:tblPr/>
  </w:style>
  <w:style w:type="table" w:styleId="999">
    <w:name w:val="Bordered - Accent 2"/>
    <w:next w:val="999"/>
    <w:link w:val="687"/>
    <w:uiPriority w:val="99"/>
    <w:qFormat/>
    <w:rPr>
      <w:lang w:val="en-US" w:eastAsia="zh-CN" w:bidi="ar-SA"/>
    </w:rPr>
    <w:tblPr/>
  </w:style>
  <w:style w:type="table" w:styleId="1000">
    <w:name w:val="List Table 6 Colorful - Accent 6"/>
    <w:next w:val="1000"/>
    <w:link w:val="687"/>
    <w:uiPriority w:val="99"/>
    <w:qFormat/>
    <w:rPr>
      <w:lang w:val="en-US" w:eastAsia="zh-CN" w:bidi="ar-SA"/>
    </w:rPr>
    <w:tblPr/>
  </w:style>
  <w:style w:type="table" w:styleId="1001">
    <w:name w:val="清单表 41"/>
    <w:next w:val="1001"/>
    <w:link w:val="687"/>
    <w:uiPriority w:val="99"/>
    <w:qFormat/>
    <w:rPr>
      <w:lang w:val="en-US" w:eastAsia="zh-CN" w:bidi="ar-SA"/>
    </w:rPr>
    <w:tblPr/>
  </w:style>
  <w:style w:type="table" w:styleId="1002">
    <w:name w:val="List Table 6 Colorful - Accent 5"/>
    <w:next w:val="1002"/>
    <w:link w:val="687"/>
    <w:uiPriority w:val="99"/>
    <w:qFormat/>
    <w:rPr>
      <w:lang w:val="en-US" w:eastAsia="zh-CN" w:bidi="ar-SA"/>
    </w:rPr>
    <w:tblPr/>
  </w:style>
  <w:style w:type="table" w:styleId="1003">
    <w:name w:val="List Table 2 - Accent 2"/>
    <w:next w:val="1003"/>
    <w:link w:val="687"/>
    <w:uiPriority w:val="99"/>
    <w:qFormat/>
    <w:rPr>
      <w:lang w:val="en-US" w:eastAsia="zh-CN" w:bidi="ar-SA"/>
    </w:rPr>
    <w:tblPr/>
  </w:style>
  <w:style w:type="table" w:styleId="1004">
    <w:name w:val="Grid Table 7 Colorful - Accent 4"/>
    <w:next w:val="1004"/>
    <w:link w:val="687"/>
    <w:uiPriority w:val="99"/>
    <w:qFormat/>
    <w:rPr>
      <w:lang w:val="en-US" w:eastAsia="zh-CN" w:bidi="ar-SA"/>
    </w:rPr>
    <w:tblPr/>
  </w:style>
  <w:style w:type="table" w:styleId="1005">
    <w:name w:val="List Table 1 Light - Accent 6"/>
    <w:next w:val="1005"/>
    <w:link w:val="687"/>
    <w:uiPriority w:val="99"/>
    <w:qFormat/>
    <w:rPr>
      <w:lang w:val="en-US" w:eastAsia="zh-CN" w:bidi="ar-SA"/>
    </w:rPr>
    <w:tblPr/>
  </w:style>
  <w:style w:type="table" w:styleId="1006">
    <w:name w:val="List Table 3 - Accent 1"/>
    <w:next w:val="1006"/>
    <w:link w:val="687"/>
    <w:uiPriority w:val="99"/>
    <w:qFormat/>
    <w:rPr>
      <w:lang w:val="en-US" w:eastAsia="zh-CN" w:bidi="ar-SA"/>
    </w:rPr>
    <w:tblPr/>
  </w:style>
  <w:style w:type="table" w:styleId="1007">
    <w:name w:val="List Table 2 - Accent 1"/>
    <w:next w:val="1007"/>
    <w:link w:val="687"/>
    <w:uiPriority w:val="99"/>
    <w:qFormat/>
    <w:rPr>
      <w:lang w:val="en-US" w:eastAsia="zh-CN" w:bidi="ar-SA"/>
    </w:rPr>
    <w:tblPr/>
  </w:style>
  <w:style w:type="table" w:styleId="1008">
    <w:name w:val="Grid Table 7 Colorful - Accent 6"/>
    <w:next w:val="1008"/>
    <w:link w:val="687"/>
    <w:uiPriority w:val="99"/>
    <w:qFormat/>
    <w:rPr>
      <w:lang w:val="en-US" w:eastAsia="zh-CN" w:bidi="ar-SA"/>
    </w:rPr>
    <w:tblPr/>
  </w:style>
  <w:style w:type="table" w:styleId="1009">
    <w:name w:val="List Table 2 - Accent 6"/>
    <w:next w:val="1009"/>
    <w:link w:val="687"/>
    <w:uiPriority w:val="99"/>
    <w:qFormat/>
    <w:rPr>
      <w:lang w:val="en-US" w:eastAsia="zh-CN" w:bidi="ar-SA"/>
    </w:rPr>
    <w:tblPr/>
  </w:style>
  <w:style w:type="table" w:styleId="1010">
    <w:name w:val="List Table 1 Light - Accent 1"/>
    <w:next w:val="1010"/>
    <w:link w:val="687"/>
    <w:uiPriority w:val="99"/>
    <w:qFormat/>
    <w:rPr>
      <w:lang w:val="en-US" w:eastAsia="zh-CN" w:bidi="ar-SA"/>
    </w:rPr>
    <w:tblPr/>
  </w:style>
  <w:style w:type="table" w:styleId="1011">
    <w:name w:val="List Table 6 Colorful - Accent 4"/>
    <w:next w:val="1011"/>
    <w:link w:val="687"/>
    <w:uiPriority w:val="99"/>
    <w:qFormat/>
    <w:rPr>
      <w:lang w:val="en-US" w:eastAsia="zh-CN" w:bidi="ar-SA"/>
    </w:rPr>
    <w:tblPr/>
  </w:style>
  <w:style w:type="table" w:styleId="1012">
    <w:name w:val="List Table 1 Light - Accent 2"/>
    <w:next w:val="1012"/>
    <w:link w:val="687"/>
    <w:uiPriority w:val="99"/>
    <w:qFormat/>
    <w:rPr>
      <w:lang w:val="en-US" w:eastAsia="zh-CN" w:bidi="ar-SA"/>
    </w:rPr>
    <w:tblPr/>
  </w:style>
  <w:style w:type="table" w:styleId="1013">
    <w:name w:val="List Table 7 Colorful - Accent 4"/>
    <w:next w:val="1013"/>
    <w:link w:val="687"/>
    <w:uiPriority w:val="99"/>
    <w:qFormat/>
    <w:rPr>
      <w:lang w:val="en-US" w:eastAsia="zh-CN" w:bidi="ar-SA"/>
    </w:rPr>
    <w:tblPr/>
  </w:style>
  <w:style w:type="table" w:styleId="1014">
    <w:name w:val="List Table 1 Light - Accent 3"/>
    <w:next w:val="1014"/>
    <w:link w:val="687"/>
    <w:uiPriority w:val="99"/>
    <w:qFormat/>
    <w:rPr>
      <w:lang w:val="en-US" w:eastAsia="zh-CN" w:bidi="ar-SA"/>
    </w:rPr>
    <w:tblPr/>
  </w:style>
  <w:style w:type="table" w:styleId="1015">
    <w:name w:val="List Table 4 - Accent 1"/>
    <w:next w:val="1015"/>
    <w:link w:val="687"/>
    <w:uiPriority w:val="99"/>
    <w:qFormat/>
    <w:rPr>
      <w:lang w:val="en-US" w:eastAsia="zh-CN" w:bidi="ar-SA"/>
    </w:rPr>
    <w:tblPr/>
  </w:style>
  <w:style w:type="table" w:styleId="1016">
    <w:name w:val="Lined - Accent 6"/>
    <w:next w:val="1016"/>
    <w:link w:val="687"/>
    <w:uiPriority w:val="99"/>
    <w:qFormat/>
    <w:rPr>
      <w:color w:val="404040"/>
      <w:lang w:val="en-US" w:eastAsia="zh-CN" w:bidi="ar-SA"/>
    </w:rPr>
    <w:tblPr/>
  </w:style>
  <w:style w:type="character" w:styleId="1017">
    <w:name w:val="NormalCharacter1"/>
    <w:next w:val="1017"/>
    <w:link w:val="687"/>
    <w:semiHidden/>
    <w:qFormat/>
    <w:rPr>
      <w:sz w:val="28"/>
      <w:lang w:val="en-US" w:eastAsia="zh-CN" w:bidi="ar-SA"/>
    </w:rPr>
  </w:style>
  <w:style w:type="paragraph" w:styleId="1018">
    <w:name w:val="正文文本缩进11"/>
    <w:basedOn w:val="790"/>
    <w:next w:val="1018"/>
    <w:link w:val="687"/>
    <w:qFormat/>
    <w:pPr>
      <w:ind w:firstLine="425"/>
      <w:spacing w:line="360" w:lineRule="auto"/>
    </w:pPr>
  </w:style>
  <w:style w:type="paragraph" w:styleId="1019">
    <w:name w:val="Default"/>
    <w:next w:val="687"/>
    <w:link w:val="687"/>
    <w:qFormat/>
    <w:pPr>
      <w:widowControl w:val="off"/>
    </w:pPr>
    <w:rPr>
      <w:rFonts w:ascii="宋体"/>
      <w:color w:val="000000"/>
      <w:sz w:val="24"/>
      <w:szCs w:val="24"/>
      <w:lang w:val="en-US" w:eastAsia="zh-CN" w:bidi="ar-SA"/>
    </w:rPr>
  </w:style>
  <w:style w:type="paragraph" w:styleId="1020">
    <w:name w:val="正文1111"/>
    <w:next w:val="1021"/>
    <w:link w:val="687"/>
    <w:qFormat/>
    <w:pPr>
      <w:jc w:val="both"/>
      <w:widowControl w:val="off"/>
    </w:pPr>
    <w:rPr>
      <w:sz w:val="21"/>
      <w:szCs w:val="24"/>
      <w:lang w:val="en-US" w:eastAsia="zh-CN" w:bidi="ar-SA"/>
    </w:rPr>
  </w:style>
  <w:style w:type="paragraph" w:styleId="1021">
    <w:name w:val="文本块2"/>
    <w:basedOn w:val="1020"/>
    <w:next w:val="1021"/>
    <w:link w:val="687"/>
    <w:qFormat/>
    <w:pPr>
      <w:ind w:left="420" w:right="33"/>
      <w:jc w:val="left"/>
    </w:pPr>
    <w:rPr>
      <w:sz w:val="24"/>
      <w:szCs w:val="20"/>
    </w:rPr>
  </w:style>
  <w:style w:type="paragraph" w:styleId="1022">
    <w:name w:val="附录标识"/>
    <w:basedOn w:val="687"/>
    <w:next w:val="883"/>
    <w:link w:val="687"/>
    <w:qFormat/>
    <w:pPr>
      <w:numPr>
        <w:ilvl w:val="0"/>
        <w:numId w:val="1"/>
      </w:numPr>
      <w:jc w:val="center"/>
      <w:keepNext/>
      <w:spacing w:before="640" w:after="280"/>
      <w:shd w:val="clear" w:color="ffffff" w:fill="ffffff"/>
      <w:tabs>
        <w:tab w:val="left" w:pos="6405" w:leader="none"/>
      </w:tabs>
      <w:outlineLvl w:val="0"/>
    </w:pPr>
    <w:rPr>
      <w:rFonts w:ascii="黑体" w:eastAsia="黑体"/>
    </w:rPr>
  </w:style>
  <w:style w:type="paragraph" w:styleId="1023">
    <w:name w:val="图片居中"/>
    <w:basedOn w:val="719"/>
    <w:next w:val="1023"/>
    <w:link w:val="687"/>
    <w:qFormat/>
    <w:pPr>
      <w:jc w:val="center"/>
      <w:spacing w:after="50"/>
    </w:pPr>
    <w:rPr>
      <w:rFonts w:cs="Courier New"/>
      <w:sz w:val="24"/>
      <w:szCs w:val="21"/>
    </w:rPr>
  </w:style>
  <w:style w:type="paragraph" w:styleId="1024">
    <w:name w:val="正文表标题"/>
    <w:next w:val="687"/>
    <w:link w:val="1025"/>
    <w:qFormat/>
    <w:pPr>
      <w:numPr>
        <w:ilvl w:val="0"/>
        <w:numId w:val="2"/>
      </w:numPr>
      <w:jc w:val="center"/>
      <w:spacing w:before="156" w:after="156"/>
      <w:tabs>
        <w:tab w:val="left" w:pos="360" w:leader="none"/>
        <w:tab w:val="left" w:pos="720" w:leader="none"/>
      </w:tabs>
    </w:pPr>
    <w:rPr>
      <w:rFonts w:ascii="黑体" w:eastAsia="黑体"/>
      <w:sz w:val="21"/>
      <w:lang w:val="en-US" w:eastAsia="zh-CN" w:bidi="ar-SA"/>
    </w:rPr>
  </w:style>
  <w:style w:type="character" w:styleId="1025">
    <w:name w:val="正文表标题 Char"/>
    <w:next w:val="1025"/>
    <w:link w:val="1024"/>
    <w:qFormat/>
    <w:rPr>
      <w:rFonts w:ascii="黑体" w:eastAsia="黑体"/>
      <w:sz w:val="21"/>
    </w:rPr>
  </w:style>
  <w:style w:type="paragraph" w:styleId="1026">
    <w:name w:val="正文+缩进2"/>
    <w:basedOn w:val="687"/>
    <w:next w:val="1026"/>
    <w:link w:val="687"/>
    <w:qFormat/>
    <w:pPr>
      <w:ind w:firstLine="200"/>
      <w:spacing w:line="312" w:lineRule="auto"/>
    </w:pPr>
    <w:rPr>
      <w:rFonts w:ascii="Arial" w:hAnsi="宋体" w:cs="Arial"/>
      <w:sz w:val="24"/>
      <w:szCs w:val="22"/>
      <w:lang w:bidi="en-US"/>
    </w:rPr>
  </w:style>
  <w:style w:type="paragraph" w:styleId="1027">
    <w:name w:val="Table Text"/>
    <w:basedOn w:val="687"/>
    <w:next w:val="1027"/>
    <w:link w:val="687"/>
    <w:semiHidden/>
    <w:qFormat/>
    <w:rPr>
      <w:rFonts w:ascii="微软雅黑" w:hAnsi="微软雅黑" w:eastAsia="微软雅黑" w:cs="微软雅黑"/>
      <w:sz w:val="24"/>
      <w:lang w:eastAsia="en-US"/>
    </w:rPr>
  </w:style>
  <w:style w:type="table" w:styleId="1028">
    <w:name w:val="Table Normal"/>
    <w:next w:val="1028"/>
    <w:link w:val="687"/>
    <w:unhideWhenUsed/>
    <w:qFormat/>
    <w:rPr>
      <w:lang w:val="en-US" w:eastAsia="zh-CN" w:bidi="ar-SA"/>
    </w:rPr>
    <w:tblPr/>
  </w:style>
  <w:style w:type="paragraph" w:styleId="1029">
    <w:name w:val="qowt-stl-正文"/>
    <w:basedOn w:val="790"/>
    <w:next w:val="1029"/>
    <w:link w:val="687"/>
    <w:qFormat/>
    <w:pPr>
      <w:jc w:val="left"/>
      <w:spacing w:before="100" w:beforeAutospacing="1" w:after="100" w:afterAutospacing="1"/>
      <w:widowControl/>
    </w:pPr>
    <w:rPr>
      <w:rFonts w:ascii="宋体" w:hAnsi="宋体"/>
      <w:sz w:val="24"/>
    </w:rPr>
  </w:style>
  <w:style w:type="paragraph" w:styleId="1030">
    <w:name w:val="修订1"/>
    <w:next w:val="1030"/>
    <w:link w:val="687"/>
    <w:uiPriority w:val="99"/>
    <w:unhideWhenUsed/>
    <w:qFormat/>
    <w:rPr>
      <w:sz w:val="21"/>
      <w:szCs w:val="24"/>
      <w:lang w:val="en-US" w:eastAsia="zh-CN" w:bidi="ar-SA"/>
    </w:rPr>
  </w:style>
  <w:style w:type="character" w:styleId="1031">
    <w:name w:val="font51"/>
    <w:next w:val="1031"/>
    <w:link w:val="687"/>
    <w:qFormat/>
    <w:rPr>
      <w:rFonts w:hint="eastAsia" w:ascii="宋体" w:hAnsi="宋体" w:eastAsia="宋体" w:cs="宋体"/>
      <w:color w:val="000000"/>
      <w:sz w:val="20"/>
      <w:szCs w:val="20"/>
      <w:u w:val="none"/>
    </w:rPr>
  </w:style>
  <w:style w:type="character" w:styleId="1032">
    <w:name w:val="font61"/>
    <w:next w:val="1032"/>
    <w:link w:val="687"/>
    <w:qFormat/>
    <w:rPr>
      <w:rFonts w:ascii="Wingdings" w:hAnsi="Wingdings" w:cs="Wingdings"/>
      <w:color w:val="000000"/>
      <w:sz w:val="20"/>
      <w:szCs w:val="20"/>
      <w:u w:val="none"/>
    </w:rPr>
  </w:style>
  <w:style w:type="character" w:styleId="1033">
    <w:name w:val="font71"/>
    <w:next w:val="1033"/>
    <w:link w:val="687"/>
    <w:qFormat/>
    <w:rPr>
      <w:rFonts w:ascii="Arial" w:hAnsi="Arial" w:cs="Arial"/>
      <w:color w:val="000000"/>
      <w:sz w:val="20"/>
      <w:szCs w:val="20"/>
      <w:u w:val="none"/>
    </w:rPr>
  </w:style>
  <w:style w:type="paragraph" w:styleId="1034">
    <w:name w:val="正文首行缩进 21"/>
    <w:basedOn w:val="714"/>
    <w:next w:val="687"/>
    <w:link w:val="687"/>
    <w:qFormat/>
    <w:pPr>
      <w:ind w:firstLine="420"/>
      <w:jc w:val="left"/>
      <w:spacing w:before="100" w:beforeAutospacing="1" w:line="273" w:lineRule="auto"/>
    </w:pPr>
    <w:rPr>
      <w:rFonts w:ascii="Calibri" w:hAnsi="Calibri" w:eastAsia="宋体" w:cs="Calibri"/>
      <w:sz w:val="22"/>
    </w:rPr>
  </w:style>
  <w:style w:type="paragraph" w:styleId="1035">
    <w:name w:val="首行缩进"/>
    <w:basedOn w:val="791"/>
    <w:next w:val="1035"/>
    <w:link w:val="687"/>
    <w:qFormat/>
    <w:pPr>
      <w:ind w:firstLine="480"/>
      <w:jc w:val="both"/>
      <w:spacing w:line="240" w:lineRule="auto"/>
    </w:pPr>
    <w:rPr>
      <w:rFonts w:ascii="Times New Roman" w:hAnsi="Times New Roman"/>
      <w:sz w:val="20"/>
      <w:lang w:val="zh-CN"/>
    </w:rPr>
  </w:style>
  <w:style w:type="character" w:styleId="1036">
    <w:name w:val="标题 Char1"/>
    <w:next w:val="1036"/>
    <w:link w:val="687"/>
    <w:qFormat/>
    <w:rPr>
      <w:rFonts w:ascii="Cambria" w:hAnsi="Cambria"/>
      <w:b/>
      <w:bCs/>
      <w:sz w:val="32"/>
      <w:szCs w:val="32"/>
    </w:rPr>
  </w:style>
  <w:style w:type="character" w:styleId="14155" w:default="1">
    <w:name w:val="Default Paragraph Font"/>
    <w:uiPriority w:val="1"/>
    <w:semiHidden/>
    <w:unhideWhenUsed/>
  </w:style>
  <w:style w:type="numbering" w:styleId="14156" w:default="1">
    <w:name w:val="No List"/>
    <w:uiPriority w:val="99"/>
    <w:semiHidden/>
    <w:unhideWhenUsed/>
  </w:style>
  <w:style w:type="table" w:styleId="14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江苏天同工程咨询</cp:lastModifiedBy>
  <cp:revision>4</cp:revision>
  <dcterms:created xsi:type="dcterms:W3CDTF">2026-08-07T07:29:00Z</dcterms:created>
  <dcterms:modified xsi:type="dcterms:W3CDTF">2026-09-10T03:04:18Z</dcterms:modified>
</cp:coreProperties>
</file>