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rPr>
          <w:rFonts w:ascii="SimSun" w:hAnsi="SimSun" w:eastAsia="SimSun" w:cs="SimSun"/>
          <w:b/>
          <w:color w:val="000000"/>
          <w:sz w:val="32"/>
        </w:rPr>
        <w:t xml:space="preserve">网络安全学院数智安全应用技术实验室</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项目编号：</w:t>
      </w:r>
      <w:r>
        <w:rPr>
          <w:rFonts w:ascii="Times New Roman" w:hAnsi="Times New Roman" w:eastAsia="Times New Roman" w:cs="Times New Roman"/>
          <w:b/>
          <w:color w:val="000000"/>
          <w:sz w:val="32"/>
        </w:rPr>
        <w:t xml:space="preserve">JSZC-320100-JZCG-G2026-0370 </w:t>
      </w: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（非专门面向中小企业）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南京市公共资源交易中心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10</w:t>
      </w:r>
      <w:r>
        <w:rPr>
          <w:rFonts w:ascii="SimSun" w:hAnsi="SimSun" w:eastAsia="SimSun" w:cs="SimSun"/>
          <w:b/>
          <w:color w:val="000000"/>
          <w:sz w:val="32"/>
        </w:rPr>
        <w:t xml:space="preserve">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6"/>
        </w:numPr>
        <w:jc w:val="center"/>
        <w:spacing w:before="0" w:after="0" w:line="22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 2</w:t>
      </w:r>
      <w:r/>
    </w:p>
    <w:p>
      <w:pPr>
        <w:numPr>
          <w:ilvl w:val="0"/>
          <w:numId w:val="6"/>
        </w:numPr>
        <w:jc w:val="center"/>
        <w:spacing w:before="0" w:after="0" w:line="22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4</w:t>
      </w:r>
      <w:r/>
    </w:p>
    <w:p>
      <w:pPr>
        <w:numPr>
          <w:ilvl w:val="0"/>
          <w:numId w:val="6"/>
        </w:numPr>
        <w:jc w:val="center"/>
        <w:spacing w:before="0" w:after="0" w:line="22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合同文本……………………………………14</w:t>
      </w:r>
      <w:r/>
    </w:p>
    <w:p>
      <w:pPr>
        <w:numPr>
          <w:ilvl w:val="0"/>
          <w:numId w:val="6"/>
        </w:numPr>
        <w:jc w:val="center"/>
        <w:spacing w:before="0" w:after="0" w:line="22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采购需求……………………………………18</w:t>
      </w:r>
      <w:r/>
    </w:p>
    <w:p>
      <w:pPr>
        <w:numPr>
          <w:ilvl w:val="0"/>
          <w:numId w:val="6"/>
        </w:numPr>
        <w:jc w:val="center"/>
        <w:spacing w:before="0" w:after="0" w:line="22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评标方法与评标标准………………………33</w:t>
      </w:r>
      <w:r/>
    </w:p>
    <w:p>
      <w:pPr>
        <w:numPr>
          <w:ilvl w:val="0"/>
          <w:numId w:val="6"/>
        </w:numPr>
        <w:jc w:val="center"/>
        <w:spacing w:before="0" w:after="0" w:line="22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投标文件格式………………………………37</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shd w:val="nil"/>
      </w:pPr>
      <w:r>
        <w:rPr>
          <w:rFonts w:ascii="Arial" w:hAnsi="Arial" w:eastAsia="Arial" w:cs="Arial"/>
          <w:color w:val="000000"/>
          <w:sz w:val="36"/>
          <w:highlight w:val="none"/>
        </w:rPr>
        <w:br w:type="page" w:clear="all"/>
      </w:r>
      <w:r>
        <w:rPr>
          <w:rFonts w:ascii="Arial" w:hAnsi="Arial" w:eastAsia="Arial" w:cs="Arial"/>
          <w:color w:val="000000"/>
          <w:sz w:val="36"/>
          <w:highlight w:val="none"/>
        </w:rP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第一章投标邀请</w:t>
      </w:r>
      <w:r/>
    </w:p>
    <w:p>
      <w:pPr>
        <w:pStyle w:val="701"/>
        <w:ind w:left="0" w:right="0" w:firstLine="465"/>
        <w:jc w:val="both"/>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一、项目基本情况</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1.项目编号：</w:t>
      </w:r>
      <w:r>
        <w:rPr>
          <w:rFonts w:ascii="SimSun" w:hAnsi="SimSun" w:eastAsia="SimSun" w:cs="SimSun"/>
          <w:color w:val="000000"/>
          <w:sz w:val="24"/>
        </w:rPr>
        <w:t xml:space="preserve">JSZC-320100-JZCG-G2026-0370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2.项目名称：网络安全学院数智安全应用技术实验室</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3.预算金额：140万元</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4.最高限价：140万元</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本项目聚焦电子取证领域的教学、科研与社会服务需求，通过建设“数智安全应用技术实验室”，重点添置电子数据取证专业装备、平台、台式计算机等设备，构建教学、科研要求的软硬件支撑体系，满足专业电子数据取证技术课程教学、学生实训及专业竞赛的开展需求。（详细内容见本招标文件第四章）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6.合同履行期限：合同签订后20天内交付并完成安装调试及验收等相关工作。</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7.本项目不接受联合体投标。</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8.本项目不接受进口产品投标。</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9.本项目不允许分包。</w:t>
      </w:r>
      <w:r/>
    </w:p>
    <w:p>
      <w:pPr>
        <w:pStyle w:val="701"/>
        <w:ind w:left="0" w:right="0" w:firstLine="465"/>
        <w:jc w:val="both"/>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二、申请人的资格要求</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w:t>
      </w:r>
      <w:r>
        <w:rPr>
          <w:rFonts w:ascii="SimSun" w:hAnsi="SimSun" w:eastAsia="SimSun" w:cs="SimSun"/>
          <w:color w:val="000000"/>
          <w:sz w:val="24"/>
        </w:rPr>
        <w:t xml:space="preserve">）通用资格要求</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1.满足《中华人民共和国政府采购法》第二十二条规定，提供《信用承诺函》（格式见第六章）。</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2.未被“信用中国”网站列入失信被执行人、重大税收违法失信主体名单、政府采购严重违法失信行为记录名单。（资格审查环节查询，投标文件中无需提供证明材料）</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（二）落实政府采购政策需满足的资格要求：无。</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（三）本项目的特定资格要求：无。</w:t>
      </w:r>
      <w:r/>
    </w:p>
    <w:p>
      <w:pPr>
        <w:pStyle w:val="701"/>
        <w:ind w:left="0" w:right="0" w:firstLine="465"/>
        <w:jc w:val="both"/>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三、获取招标文件</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1.时间：自招标文件公告发布之日起。</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2.方式：在“江苏政府采购网”免费下载。</w:t>
      </w:r>
      <w:r/>
    </w:p>
    <w:p>
      <w:pPr>
        <w:pStyle w:val="701"/>
        <w:ind w:left="0" w:right="0" w:firstLine="465"/>
        <w:jc w:val="both"/>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四、提交投标文件截止时间、开标时间和地点</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1.提交投标文件截止时间、开标时间</w:t>
      </w:r>
      <w:r>
        <w:rPr>
          <w:rFonts w:ascii="SimSun" w:hAnsi="SimSun" w:eastAsia="SimSun" w:cs="SimSun"/>
          <w:color w:val="000000"/>
          <w:sz w:val="24"/>
          <w:szCs w:val="24"/>
          <w:u w:val="none"/>
        </w:rPr>
        <w:t xml:space="preserve">：</w:t>
      </w:r>
      <w:r>
        <w:rPr>
          <w:rFonts w:ascii="SimSun" w:hAnsi="SimSun" w:eastAsia="SimSun" w:cs="SimSun"/>
          <w:color w:val="000000"/>
          <w:sz w:val="24"/>
          <w:szCs w:val="24"/>
          <w:u w:val="none"/>
        </w:rPr>
        <w:t xml:space="preserve">2026年11月4日14时00分</w:t>
      </w:r>
      <w:r>
        <w:rPr>
          <w:rFonts w:ascii="SimSun" w:hAnsi="SimSun" w:eastAsia="SimSun" w:cs="SimSun"/>
          <w:color w:val="000000"/>
          <w:sz w:val="24"/>
        </w:rPr>
        <w:t xml:space="preserve">（北京时间）。</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2.地点：江苏省政府采购交易系统（以下简称“苏采云系统”）网上开标大厅。</w:t>
      </w:r>
      <w:r/>
    </w:p>
    <w:p>
      <w:pPr>
        <w:pStyle w:val="701"/>
        <w:ind w:left="0" w:right="0" w:firstLine="465"/>
        <w:jc w:val="both"/>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五、公告期限</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公告期限为自本公告发布之日起5个工作日。</w:t>
      </w:r>
      <w:r/>
    </w:p>
    <w:p>
      <w:pPr>
        <w:pStyle w:val="701"/>
        <w:ind w:left="0" w:right="0" w:firstLine="465"/>
        <w:jc w:val="both"/>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六、其他事宜</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本次招标不收取投标保证金。</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2.本项目不组织勘察及答疑，如对采购需求有疑问，请咨询采购人。 </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4.有关本次招标的事项若存在变动或修改，请及时关注“江苏政府采购网”（www.ccgp-jiangsu.gov.cn）更正公告。</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b/>
          <w:color w:val="000000"/>
          <w:sz w:val="24"/>
        </w:rPr>
        <w:t xml:space="preserve">对采购方式、采购需求、投标人资格要求、评标方法和评标标准、合同文本、招标项目资格审查结果的询问或质疑向采购人提出，由采购人负责答复。对上述事项以外的询问或质疑向交易中心提出，由交易中心负责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采购人《质疑函》收件人：黄老师，收件地址：南京市江宁区格致路100号，联系电话：18913806983。</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交易中心《质疑函》收件人：南京市公共资源交易中心政府集中采购处，收件地址：南京市建邺区江东中路265号南京市公共资源交易中心北门，联系电话：025-68505926。</w:t>
      </w:r>
      <w:r/>
    </w:p>
    <w:p>
      <w:pPr>
        <w:pStyle w:val="701"/>
        <w:ind w:left="0" w:right="0" w:firstLine="465"/>
        <w:jc w:val="both"/>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七、本次招标联系方式</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名称：金陵科技学院</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地址：南京市江宁区格致路100号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联系人：黄老师</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联系电话：18913806983</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2.交易中心</w:t>
      </w:r>
      <w:r/>
    </w:p>
    <w:p>
      <w:pPr>
        <w:ind w:left="0" w:right="0" w:firstLine="48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none"/>
        </w:rPr>
        <w:t xml:space="preserve">：</w:t>
      </w:r>
      <w:r>
        <w:rPr>
          <w:rFonts w:ascii="SimSun" w:hAnsi="SimSun" w:eastAsia="SimSun" w:cs="SimSun"/>
          <w:color w:val="000000"/>
          <w:sz w:val="24"/>
        </w:rPr>
        <w:t xml:space="preserve">南京市建邺区江东中路265号    </w:t>
      </w:r>
      <w:r/>
    </w:p>
    <w:p>
      <w:pPr>
        <w:ind w:left="0" w:right="0" w:firstLine="48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联系人：杨先生</w:t>
      </w:r>
      <w:r/>
    </w:p>
    <w:p>
      <w:pPr>
        <w:ind w:left="0" w:right="0" w:firstLine="48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联系电话：025-68505993</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第二章投标人须知</w:t>
      </w:r>
      <w:r/>
    </w:p>
    <w:p>
      <w:pPr>
        <w:pStyle w:val="701"/>
        <w:ind w:left="0" w:right="0" w:firstLine="465"/>
        <w:jc w:val="both"/>
        <w:spacing w:before="120" w:after="12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一、总则</w:t>
      </w:r>
      <w:r/>
    </w:p>
    <w:p>
      <w:pPr>
        <w:pStyle w:val="703"/>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1.招标方式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本次招标采取公开招标方式，本文件仅适用于招标公告中所述项目。</w:t>
      </w:r>
      <w:r/>
    </w:p>
    <w:p>
      <w:pPr>
        <w:pStyle w:val="703"/>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2.合格的投标人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满足招标公告对投标人资格要求。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满足招标文件规定的实质性要求。</w:t>
      </w:r>
      <w:r/>
    </w:p>
    <w:p>
      <w:pPr>
        <w:pStyle w:val="703"/>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3.适用法律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pStyle w:val="703"/>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4.投标费用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投标人应自行承担所有与参加投标有关的费用，交易中心在任何情况下均无义务和责任承担这些费用。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本次招标交易中心和采购人不收取标书工本费与中标服务费。</w:t>
      </w:r>
      <w:r/>
    </w:p>
    <w:p>
      <w:pPr>
        <w:pStyle w:val="703"/>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5.招标文件的约束力</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投标人一旦参加本项目采购活动，即被认为接受了本文件的规定和约束。</w:t>
      </w:r>
      <w:r/>
    </w:p>
    <w:p>
      <w:pPr>
        <w:pStyle w:val="701"/>
        <w:ind w:left="0" w:right="0" w:firstLine="465"/>
        <w:jc w:val="both"/>
        <w:spacing w:before="120" w:after="12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二、招标文件</w:t>
      </w:r>
      <w:r/>
    </w:p>
    <w:p>
      <w:pPr>
        <w:pStyle w:val="703"/>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6.招标文件构成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3"/>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7.招标文件的澄清或修改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在投标截止时间前，交易中心可以对已发出的招标文件进行必要的澄清或者修改，并在原公告发布媒体发布更正公告，澄清或者修改的内容将作为招标文件的组成部分，并对投标人具有约束力。</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投标人应在投标截止时间前，关注原公告发布媒体有关本项目的更正公告，根据更正公告内容自行决定是否需要重新制作和提交投标文件，并承担由此产生的相应责任。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交易中心有权按照法定要求推迟投标截止日期和开标日期，并在原公告发布媒体发布更正公告。</w:t>
      </w:r>
      <w:r/>
    </w:p>
    <w:p>
      <w:pPr>
        <w:pStyle w:val="701"/>
        <w:ind w:left="0" w:right="0" w:firstLine="465"/>
        <w:jc w:val="both"/>
        <w:spacing w:before="120" w:after="12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三、投标文件的编制</w:t>
      </w:r>
      <w:r/>
    </w:p>
    <w:p>
      <w:pPr>
        <w:pStyle w:val="703"/>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8.投标文件的语言及度量衡单位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投标人提交的投标文件以及投标人与交易中心就有关投标的所有来往通知、函件和文件均应使用简体中文。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除技术性能另有规定外，投标文件所使用的度量衡单位，均须采用国家法定计量单位。</w:t>
      </w:r>
      <w:r/>
    </w:p>
    <w:p>
      <w:pPr>
        <w:pStyle w:val="703"/>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9.投标文件构成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投标文件应包括资格证明文件、符合性证明文件、开标一览表、投标分项报价表、响应及偏离表、投标函、法定代表人授权委托书。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w:t>
      </w:r>
      <w:r>
        <w:rPr>
          <w:rFonts w:ascii="SimSun" w:hAnsi="SimSun" w:eastAsia="SimSun" w:cs="SimSun"/>
          <w:b/>
          <w:color w:val="000000"/>
          <w:sz w:val="24"/>
        </w:rPr>
        <w:t xml:space="preserve">如标书制作工具与“江苏政府采购网”发布的招标文件内容不一致，以“江苏政府采购网”发布的招标文件内容为准。</w:t>
      </w:r>
      <w:r/>
    </w:p>
    <w:p>
      <w:pPr>
        <w:ind w:left="0" w:right="0" w:firstLine="492"/>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10.投标报价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投标文件中的单价和总价无特殊规定的采用人民币报价，以元为单位标注。招标文件另有规定的按规定执行。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w:t>
      </w:r>
      <w:r>
        <w:rPr>
          <w:rFonts w:ascii="SimSun" w:hAnsi="SimSun" w:eastAsia="SimSun" w:cs="SimSun"/>
          <w:b/>
          <w:color w:val="000000"/>
          <w:sz w:val="24"/>
        </w:rPr>
        <w:t xml:space="preserve">投标人应按照招标文件规定完整、准确填报开标一览表和投标分项报价表，否则作为无效投标。</w:t>
      </w:r>
      <w:r/>
    </w:p>
    <w:p>
      <w:pPr>
        <w:pStyle w:val="703"/>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11.响应及偏离表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投标人需对招标文件中的技术要求与商务要求逐项作出响应或偏离说明。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投标人可以在投标文件中提供认为需要的其他技术文件或说明。</w:t>
      </w:r>
      <w:r/>
    </w:p>
    <w:p>
      <w:pPr>
        <w:pStyle w:val="703"/>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12.投标函和授权委托书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w:t>
      </w:r>
      <w:r>
        <w:rPr>
          <w:rFonts w:ascii="SimSun" w:hAnsi="SimSun" w:eastAsia="SimSun" w:cs="SimSun"/>
          <w:b/>
          <w:color w:val="000000"/>
          <w:sz w:val="24"/>
        </w:rPr>
        <w:t xml:space="preserve">投标人应按照招标文件规定完整、正确填报投标函和法定代表人授权委托书，否则作为无效投标。</w:t>
      </w:r>
      <w:r/>
    </w:p>
    <w:p>
      <w:pPr>
        <w:pStyle w:val="703"/>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13.投标有效期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投标有效期为招标公告规定的开标之日起六十天。投标有效期比规定短的将被视为未实质性响应招标文件，其投标将被拒绝。</w:t>
      </w:r>
      <w:r/>
    </w:p>
    <w:p>
      <w:pPr>
        <w:pStyle w:val="703"/>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14.投标有效期的延长</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701"/>
        <w:ind w:left="0" w:right="0" w:firstLine="465"/>
        <w:jc w:val="both"/>
        <w:spacing w:before="120" w:after="12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四、投标文件的递交、撤回和修改</w:t>
      </w:r>
      <w:r/>
    </w:p>
    <w:p>
      <w:pPr>
        <w:pStyle w:val="703"/>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15.投标文件的递交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投标人应在招标公告规定的投标截止时间前制作并上传电子投标文件。投标截止时间后上传的投标文件将被拒绝。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投标人应充分考虑网络环境、网络带宽等因素可能对投标产生的影响，如因投标人自身原因造成的电子投标文件上传不成功的，按照本招标文件第二章第22.1条规定作无效投标处理。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交易中心可以按照规定，通过修改招标文件酌情延长投标截止时间，在此情况下，投标人的所有权利和义务均以延长后新的截止时间为准。</w:t>
      </w:r>
      <w:r/>
    </w:p>
    <w:p>
      <w:pPr>
        <w:pStyle w:val="703"/>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16.投标文件的撤回和修改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投标文件的撤回</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 投标人可在投标截止时间前撤回其电子投标文件。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16.1.2 投标人撤回电子投标文件，则认为其不再参与本项目投标活动。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16.1.3 在投标截止时间至招标文件中规定的投标有效期满之间的这段时间内，投标人不得撤回其投标。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投标文件的修改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16.2.1 投标人可在投标截止时间前对其电子投标文件进行修改。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16.2.2 投标截止时间之后，投标人不得对其电子投标文件作任何修改。</w:t>
      </w:r>
      <w:r/>
    </w:p>
    <w:p>
      <w:pPr>
        <w:pStyle w:val="701"/>
        <w:ind w:left="0" w:right="0" w:firstLine="465"/>
        <w:jc w:val="both"/>
        <w:spacing w:before="120" w:after="12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五、开标与评标</w:t>
      </w:r>
      <w:r/>
    </w:p>
    <w:p>
      <w:pPr>
        <w:pStyle w:val="703"/>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17.开标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交易中心在招标公告中规定的时间和地点组织公开开标。投标人参加开标活动，并在苏采云系统规定的时间内对投标文件进行解密。苏采云系统公布各投标人名称和投标价格。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投标人在开标过程中通过苏采云系统进行投标文件解密、开标结果确认等工作。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投标人如果对开标过程和开标结果有疑义，应在苏采云系统提出，苏采云系统中《开标记录表》公布后5分钟内未提出的，视同认可开标结果。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如出现投标截止时间递交投标文件的投标人不足三家的情况，按政府采购相关规定执行。</w:t>
      </w:r>
      <w:r/>
    </w:p>
    <w:p>
      <w:pPr>
        <w:ind w:left="0" w:right="0" w:firstLine="492"/>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18.评标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评标由依法组建的评标委员会（以下简称“评委会”）进行。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评委会由采购人代表和有关方面专家组成，人员构成符合政府采购有关规定。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评委会独立工作，负责评审所有投标文件并推荐中标候选人，或根据采购人授权直接确定中标人。</w:t>
      </w:r>
      <w:r/>
    </w:p>
    <w:p>
      <w:pPr>
        <w:pStyle w:val="703"/>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19.评标过程的保密与公正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凡是与审查、澄清、评价和比较投标的有关资料以及授标建议等，采购人、评委、交易中心均不得向投标人或与评标无关的其他人员透露。</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投标人不得以任何方式影响评标。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交易中心和评委会不向未中标的投标人解释未中标原因，也不公布评标过程中的相关细节。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19.4 采用综合评分法的项目，未中标的投标人可于中标结果公告期限届满之日起通过苏采云系统查看本单位的评审得分及排名情况。</w:t>
      </w:r>
      <w:r/>
    </w:p>
    <w:p>
      <w:pPr>
        <w:pStyle w:val="703"/>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20.投标文件的澄清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接到评委会澄清、说明和补正要求的，投标人如未按规定作出澄清、说明和补正，其风险由投标人自行承担。</w:t>
      </w:r>
      <w:r/>
    </w:p>
    <w:p>
      <w:pPr>
        <w:pStyle w:val="703"/>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21.投标文件的审查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投标文件审查分为资格审查和符合性审查。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资格审查。依据法律法规和招标文件规定，由采购人对投标文件中的资格证明文件进行审查，并向评委会反馈审查结论。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采购人进行资格审查时，将在“信用中国”网站查询投标人的信用记录，以确定投标人是否具备投标资格，查询结果留存并归档。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符合性审查。评委会对通过资格审查的投标人的投标文件进行符合性审查，以确定其是否满足招标文件的实质性要求。</w:t>
      </w:r>
      <w:r>
        <w:rPr>
          <w:rFonts w:ascii="SimSun" w:hAnsi="SimSun" w:eastAsia="SimSun" w:cs="SimSun"/>
          <w:b/>
          <w:color w:val="000000"/>
          <w:sz w:val="24"/>
        </w:rPr>
        <w:t xml:space="preserve">本文件中打“★”内容为实质性要求。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21.1.3 未通过资格审查或符合性审查的投标人，评委会将通过苏采云系统告知其具体原因，评标结束后不再接受有关询问。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评委会仅对实质性响应招标文件要求的投标文件进行详细评审。实质性响应的投标文件应该是与招标文件要求的全部条款、条件和规格相符，没有重大偏离或保留的文件。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如果投标文件实质上没有响应招标文件的要求，评委会将予以拒绝，投标人不得通过修改或撤销不符合要求的偏离或保留而使其投标成为实质性响应的投标。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评委会将对确定为实质性响应的投标进行进一步审核，确定其是否有计算上或累加上的算术错误。投标文件报价出现前后不一致的，按照下列规定修正：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评委会按上述规定修正投标文件报价的，应通过苏采云系统要求投标人确认，修正后的报价按照本章第20条规定经投标人确认后产生约束力，投标人不确认的，其投标无效。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 投标人在开、评标全过程中应保持通讯畅通，及时登录苏采云系统查阅、答复相关信息。</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 异常低价审查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21.6.1 评标过程中出现下列情形之一的，评委会应当启动异常低价审查程序：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（1）投标报价低于全部通过符合性审查投标人投标报价平均值</w:t>
      </w:r>
      <w:r>
        <w:rPr>
          <w:rFonts w:ascii="SimSun" w:hAnsi="SimSun" w:eastAsia="SimSun" w:cs="SimSun"/>
          <w:color w:val="000000"/>
          <w:sz w:val="24"/>
          <w:u w:val="single"/>
        </w:rPr>
        <w:t xml:space="preserve">55%</w:t>
      </w:r>
      <w:r>
        <w:rPr>
          <w:rFonts w:ascii="SimSun" w:hAnsi="SimSun" w:eastAsia="SimSun" w:cs="SimSun"/>
          <w:color w:val="000000"/>
          <w:sz w:val="24"/>
        </w:rPr>
        <w:t xml:space="preserve">的，即投标报价&lt;全部通过符合性审查投标人投标报价平均值×</w:t>
      </w:r>
      <w:r>
        <w:rPr>
          <w:rFonts w:ascii="SimSun" w:hAnsi="SimSun" w:eastAsia="SimSun" w:cs="SimSun"/>
          <w:color w:val="000000"/>
          <w:sz w:val="24"/>
          <w:u w:val="single"/>
        </w:rPr>
        <w:t xml:space="preserve">55%</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（2）投标报价低于通过符合性审查的次低报价投标人投标报价</w:t>
      </w:r>
      <w:r>
        <w:rPr>
          <w:rFonts w:ascii="SimSun" w:hAnsi="SimSun" w:eastAsia="SimSun" w:cs="SimSun"/>
          <w:color w:val="000000"/>
          <w:sz w:val="24"/>
          <w:u w:val="single"/>
        </w:rPr>
        <w:t xml:space="preserve">55%</w:t>
      </w:r>
      <w:r>
        <w:rPr>
          <w:rFonts w:ascii="SimSun" w:hAnsi="SimSun" w:eastAsia="SimSun" w:cs="SimSun"/>
          <w:color w:val="000000"/>
          <w:sz w:val="24"/>
        </w:rPr>
        <w:t xml:space="preserve">的，即投标报价&lt;通过符合性审查的次低报价投标人投标报价×</w:t>
      </w:r>
      <w:r>
        <w:rPr>
          <w:rFonts w:ascii="SimSun" w:hAnsi="SimSun" w:eastAsia="SimSun" w:cs="SimSun"/>
          <w:color w:val="000000"/>
          <w:sz w:val="24"/>
          <w:u w:val="single"/>
        </w:rPr>
        <w:t xml:space="preserve">55%</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（3）投标报价低于采购项目最高限价</w:t>
      </w:r>
      <w:r>
        <w:rPr>
          <w:rFonts w:ascii="SimSun" w:hAnsi="SimSun" w:eastAsia="SimSun" w:cs="SimSun"/>
          <w:color w:val="000000"/>
          <w:sz w:val="24"/>
          <w:u w:val="single"/>
        </w:rPr>
        <w:t xml:space="preserve">60%</w:t>
      </w:r>
      <w:r>
        <w:rPr>
          <w:rFonts w:ascii="SimSun" w:hAnsi="SimSun" w:eastAsia="SimSun" w:cs="SimSun"/>
          <w:color w:val="000000"/>
          <w:sz w:val="24"/>
        </w:rPr>
        <w:t xml:space="preserve">的，即投标报价&lt;采购项目最高限价×</w:t>
      </w:r>
      <w:r>
        <w:rPr>
          <w:rFonts w:ascii="SimSun" w:hAnsi="SimSun" w:eastAsia="SimSun" w:cs="SimSun"/>
          <w:color w:val="000000"/>
          <w:sz w:val="24"/>
          <w:u w:val="single"/>
        </w:rPr>
        <w:t xml:space="preserve">60%</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（4）评委会基于专业判断，认为投标报价过低，有可能影响产品质量或者不能诚信履约的其他情形。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21.6.2评委会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委会应当将其作为无效投标处理。</w:t>
      </w:r>
      <w:r/>
    </w:p>
    <w:p>
      <w:pPr>
        <w:pStyle w:val="703"/>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22.无效投标和废标</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22.1 无效投标情形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22.1.1 未在招标文件规定时间内上传电子投标文件。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22.1.2 未在苏采云系统规定时间内成功解密电子投标文件。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22.1.3 同一投标人提交两个（含两个）以上不同的投标报价（招标文件另有约定的除外）。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22.1.4 投标人不具备招标文件中规定的资格要求。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22.1.5 投标人的报价超过了采购预算或最高限价或单价上限。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22.1.6 未通过符合性审查。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22.1.7 投标文件含有采购人不能接受的附加条件。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22.1.8 评委会按照本招标文件规定对投标人进行异常低价审查后，认为投标人不能证明其报价合理性的。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22.1.9 投标文件未按照招标文件要求加盖电子公章。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22.1.10 投标人串通投标。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22.1.11 法律法规及本招标文件规定的其他无效投标情形。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w:t>
      </w:r>
      <w:r>
        <w:rPr>
          <w:rFonts w:ascii="SimSun" w:hAnsi="SimSun" w:eastAsia="SimSun" w:cs="SimSun"/>
          <w:b/>
          <w:color w:val="000000"/>
          <w:sz w:val="24"/>
        </w:rPr>
        <w:t xml:space="preserve">有下列情形之一的视为投标人串通投标：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22.2.1 不同投标人的投标文件由同一单位或者个人编制。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22.2.2 不同投标人委托同一单位或者个人办理投标事宜。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22.2.3 不同投标人的投标文件载明的项目管理成员或者联系人员为同一人。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22.2.4 不同投标人的投标文件异常一致或者投标报价呈规律性差异。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22.2.5 不同投标人的投标文件相互混装。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22.2.6 不同投标人的MAC地址或标书制作工具客户端标识码一致。</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22.3 废标情形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22.3.1 符合专业条件的投标人或者对招标文件作实质响应的投标人不足三家。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22.3.2 出现影响采购公正的违法、违规行为。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22.3.3 投标人的报价均超过了采购预算或最高限价。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22.3.4 因重大变故，采购任务取消。</w:t>
      </w:r>
      <w:r/>
    </w:p>
    <w:p>
      <w:pPr>
        <w:pStyle w:val="701"/>
        <w:ind w:left="0" w:right="0" w:firstLine="465"/>
        <w:jc w:val="both"/>
        <w:spacing w:before="120" w:after="12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六、定标</w:t>
      </w:r>
      <w:r/>
    </w:p>
    <w:p>
      <w:pPr>
        <w:pStyle w:val="703"/>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23.确定中标单位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中标候选人的确定原则和数量见招标文件第五章。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按以下第（2）种方式确定中标人：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（1）评委会直接确定排名第一的中标候选人为中标人；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（2）采购人在评委会推荐的中标候选人中按顺序确定中标人。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按第二种方式确定中标人的，交易中心自评审结束之日起两个工作日内将评审报告送达采购人，采购人自收到评审报告之日起五个工作日内，在评审报告推荐的中标候选人中按顺序确定中标人。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交易中心将在“江苏政府采购网”发布中标公告，公告期限为1个工作日。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w:t>
      </w:r>
      <w:r>
        <w:rPr>
          <w:rFonts w:ascii="SimSun" w:hAnsi="SimSun" w:eastAsia="SimSun" w:cs="SimSun"/>
          <w:b/>
          <w:color w:val="000000"/>
          <w:sz w:val="24"/>
        </w:rPr>
        <w:t xml:space="preserve">若有充分证据证明中标人有下列情况之一的，一经查实将被取消中标资格：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23.4.1 提供虚假材料谋取中标。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23.4.2 向评审专家、采购人或交易中心工作人员行贿或者提供其他不正当利益。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23.4.3 与其他投标人、评审专家、采购人或交易中心工作人员恶意串通。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23.4.4 属于本文件规定的无效投标情形，但在评标过程中未被评委会发现。</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23.4.5 采取不正当手段诋毁、排挤其他投标人。</w:t>
      </w:r>
      <w:r/>
    </w:p>
    <w:p>
      <w:pPr>
        <w:pStyle w:val="703"/>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24.中标通知书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中标结果确定后，交易中心将向中标人发出《中标通知书》。中标人可在中标结果公告届满之日起三十日内，登录苏采云系统下载。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《中标通知书》是合同的一个组成部分，对采购人和中标人均具有法律效力。《中标通知书》发出后，采购人改变中标结果或者中标人放弃中标项目的，应当依法承担法律责任。</w:t>
      </w:r>
      <w:r/>
    </w:p>
    <w:p>
      <w:pPr>
        <w:pStyle w:val="701"/>
        <w:ind w:left="0" w:right="0" w:firstLine="465"/>
        <w:jc w:val="both"/>
        <w:spacing w:before="120" w:after="12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七、授予合同</w:t>
      </w:r>
      <w:r/>
    </w:p>
    <w:p>
      <w:pPr>
        <w:pStyle w:val="703"/>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25.签订合同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中标人应当在《中标通知书》发出之日起三十日内，按照招标文件确定的事项与采购人签订政府采购合同。采购人于合同签订后2个工作日内通过苏采云系统进行公示。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招标文件、中标人的投标文件及招标过程中有关澄清、承诺文件均作为合同附件。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 中标人不得将合同标的进行转包，否则采购人有权取消其中标资格或终止合同。转包造成采购人损失的，中标人应承担相应赔偿责任。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 中标人因自身原因拒绝与采购人签订合同的，不得参加采购人重新组织的采购活动，且将可能被拒绝参加该采购人一年内的其他政府采购活动。</w:t>
      </w:r>
      <w:r/>
    </w:p>
    <w:p>
      <w:pPr>
        <w:pStyle w:val="703"/>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26.标的物的追加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703"/>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27.政府采购履约资金扶持政策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中标人可通过南京市公共资源交易平台网站“小企业融资平台”，选择相应的金融机构办理融资贷款。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依据《关于在全省政府采购领域推行电子履约保函（保险）的通知》（苏财购〔2023〕150号），需要缴纳履约保证金的，中标人可通过江苏政府采购网“政府采购电子履约保函（保险）综合服务平台”线上办理履约保函（保险）。</w:t>
      </w:r>
      <w:r/>
    </w:p>
    <w:p>
      <w:pPr>
        <w:pStyle w:val="701"/>
        <w:ind w:left="0" w:right="0" w:firstLine="465"/>
        <w:jc w:val="both"/>
        <w:spacing w:before="120" w:after="12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八、质疑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28.提出质疑的投标人应当是参与所质疑项目采购活动的投标人，潜在投标人依法获取其可质疑的招标文件的，可以对招标文件提出质疑。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29.投标人认为招标文件、采购过程和采购结果使自己的权益受到损害的，可以在知道或应知其权益受到损害之日起七个工作日内，按照第31条、第32条之规定以书面形式向采购人或交易中心提出质疑。</w:t>
      </w:r>
      <w:r>
        <w:rPr>
          <w:rFonts w:ascii="SimSun" w:hAnsi="SimSun" w:eastAsia="SimSun" w:cs="SimSun"/>
          <w:b/>
          <w:color w:val="000000"/>
          <w:sz w:val="24"/>
        </w:rPr>
        <w:t xml:space="preserve">上述应知其权益受到损害之日是指</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对招标文件提出质疑的，为收到招标文件之日或者招标文件公告期限届满之日。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对采购过程提出质疑的，为各采购程序环节结束之日。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对中标或者成交结果提出质疑的，为中标或者成交结果公告期限届满之日。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30.投标人应当在法定质疑期内一次性提出针对同一采购程序环节的质疑。投标人如在法定期限内对同一采购程序环节提出多次质疑的，交易中心或采购人将只对投标人第一次质疑作出答复。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31.投标人提出质疑应提交《质疑函》原件，且尽可能通过邮寄方式送达，交易中心和采购人不接受无运单的快件。《质疑函》应按照本招标文件中《质疑函范本》的格式和内容填写。</w:t>
      </w:r>
      <w:r>
        <w:rPr>
          <w:rFonts w:ascii="SimSun" w:hAnsi="SimSun" w:eastAsia="SimSun" w:cs="SimSun"/>
          <w:b/>
          <w:color w:val="000000"/>
          <w:sz w:val="24"/>
        </w:rPr>
        <w:t xml:space="preserve">由授权代表负责质疑事宜的，《质疑函》附件中应提交由质疑投标人法定代表人或主要负责人签署的《授权委托书》。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投标人如组成联合体参加采购活动，《质疑函范本》中要求加盖公章之处，联合体各方均须按要求加盖公章。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rPr>
          <w:rFonts w:ascii="SimSun" w:hAnsi="SimSun" w:eastAsia="SimSun" w:cs="SimSun"/>
          <w:b/>
          <w:color w:val="000000"/>
          <w:sz w:val="24"/>
        </w:rPr>
        <w:t xml:space="preserve">投标人根据质疑事项向相应的质疑答复主体提出质疑，具体详见招标文件第一章。由采购人负责答复的质疑，采购人将《质疑函》《质疑答复函》抄送交易中心。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投标人对采购人、交易中心的质疑答复不满意，或者采购人、交易中心未在规定时间内作出质疑答复的，可以在答复期满后15个工作日内向南京市财政局提起投诉。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33.以下情形的质疑不予受理：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超出政府采购法定期限的质疑。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 属于第30条规定的对同一采购程序环节提出的多次质疑。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法律法规规定的其他不予受理情形。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pStyle w:val="701"/>
        <w:ind w:left="0" w:right="0" w:firstLine="465"/>
        <w:jc w:val="both"/>
        <w:spacing w:before="120" w:after="12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九、政策功能落实</w:t>
      </w:r>
      <w:r/>
    </w:p>
    <w:p>
      <w:pPr>
        <w:pStyle w:val="703"/>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35.促进中小企业发展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 中小企业参加政府采购活动，应当出具《中小企业声明函》，否则不享受相关中小企业支持政策。</w:t>
      </w:r>
      <w:r>
        <w:rPr>
          <w:rFonts w:ascii="SimSun" w:hAnsi="SimSun" w:eastAsia="SimSun" w:cs="SimSun"/>
          <w:b/>
          <w:color w:val="000000"/>
          <w:sz w:val="24"/>
        </w:rPr>
        <w:t xml:space="preserve">中标人享受中小企业扶持政策的，其《中小企业声明函》将随中标结果公开。</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 </w:t>
      </w:r>
      <w:r>
        <w:rPr>
          <w:rFonts w:ascii="SimSun" w:hAnsi="SimSun" w:eastAsia="SimSun" w:cs="SimSun"/>
          <w:b/>
          <w:color w:val="000000"/>
          <w:sz w:val="24"/>
        </w:rPr>
        <w:t xml:space="preserve">在货物采购项目中，投标人提供的货物全部由符合政策要求的中小企业制造（不对项目涉及的服务的承接商、工程的承建商作出要求），即货物由中小企业生产且使用该中小企业商号或者注册商标，享受相应的中小企业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w:t>
      </w:r>
      <w:r>
        <w:rPr>
          <w:rFonts w:ascii="SimSun" w:hAnsi="SimSun" w:eastAsia="SimSun" w:cs="SimSun"/>
          <w:b/>
          <w:color w:val="000000"/>
          <w:sz w:val="24"/>
        </w:rPr>
        <w:t xml:space="preserve"> 评委会评审中发现投标人提供的《中小企业声明函》内容含义不明确、同类事项表述不一致或者有明显文字错误等情况的，应当以书面形式要求投标人作出必要的澄清、说明或者补正。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35.5 以联合体形式参加政府采购活动，联合体各方均为中小企业的，联合体视同中小企业。其中，联合体各方均为小微企业的，联合体视同小微企业。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35.7 残疾人福利性单位视同小型、微型企业。按照《关于促进残疾人就业政府采购政策的通知》（财库〔2017〕141号）规定，残疾人福利性单位需提供《残疾人福利性单位声明函》。</w:t>
      </w:r>
      <w:r/>
    </w:p>
    <w:p>
      <w:pPr>
        <w:pStyle w:val="703"/>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36.节能产品和环境标志产品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采购产品属于政府强制采购节能产品的，投标人应当选择依据国家能效标准中二级能效（水效）指标认证的节能产品投标，签订合同时提供国家确定的认证机构出具的、处于有效期之内的节能产品认证证书。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 采购产品属于政府优先采购节能产品和环境标志产品的，对投标人提供的国家确定的认证机构出具的、处于有效期之内的节能产品或环境标志产品认证证书，评审时给予加分（详见第五章）。</w:t>
      </w:r>
      <w:r/>
    </w:p>
    <w:p>
      <w:pPr>
        <w:pStyle w:val="703"/>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37.绿色采购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 采购产品中涉及商品包装、快递包装要求的，应按照《关于印发&lt;商品包装政府采购需求标准（试行）&gt;、&lt;快递包装政府采购需求标准（试行）&gt;的通知》（财办库〔2020〕123号）、《江苏省财政厅关于加强政府绿色采购有关事项的通知》（苏财购〔2023〕65号）文件执行。招标文件对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37.2 采购产品中涉及数据中心相关设备、运维服务的，应按照《关于印发&lt;绿色数据中心政府采购需求标准（试行）&gt;的通知》（财办库〔2023〕7号）、《江苏省财政厅关于加强政府绿色采购有关事项的通知》（苏财购〔2023〕65号）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37.3 采购产品中涉及涂料、胶黏剂、油墨、清洗剂等挥发性有机物产品的，属于强制性标准的，投标人应当提供符合国家和江苏省相关VOCs含量限制标准的产品。采购产品中涉及通用类货物、家具的，投标人应当优先使用低挥发性原辅材料，采购人将使用低VOCs含量的涂料、胶黏剂等纳入政府采购合同条款的，投标人必须严格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pStyle w:val="703"/>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38.创新产品采购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 优先采购各级政府部门公开发布的有效期内的创新产品、首台套等《目录》内的创新产品。创新产品自进入《目录》起2年内视同具备相应销售业绩。</w:t>
      </w:r>
      <w:r/>
    </w:p>
    <w:p>
      <w:pPr>
        <w:pStyle w:val="703"/>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39.网络产品、市场准入类产品采购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w:t>
      </w:r>
      <w:r>
        <w:rPr>
          <w:rFonts w:ascii="SimSun" w:hAnsi="SimSun" w:eastAsia="SimSun" w:cs="SimSun"/>
          <w:color w:val="000000"/>
          <w:sz w:val="24"/>
        </w:rPr>
        <w:t xml:space="preserve">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 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703"/>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40.实施本国产品标准及相关政策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40.1 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40.2本国产品应当符合以下条件：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（1）在中国境内生产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（2）在中国境内生产的组件成本占比达到规定比例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（3）特定产品的关键组件、关键工序符合相关要求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40.3本国产品标准的适用范围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40.4对本国产品的支持政策</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本项目如既有本国产品又有非本国产品参与竞争，依法对本国产品给予价格评审优惠，具体详见第五章。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40.5政策执行要求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（1）产品在中国境内生产的组件成本核算规则。产品在中国境内生产的组件成本，按照《中国境内生产的组件成本核算基本规则》计算，详见</w:t>
      </w:r>
      <w:r>
        <w:rPr>
          <w:rFonts w:ascii="SimSun" w:hAnsi="SimSun" w:eastAsia="SimSun" w:cs="SimSun"/>
          <w:color w:val="333333"/>
          <w:sz w:val="24"/>
          <w:highlight w:val="white"/>
        </w:rPr>
        <w:t xml:space="preserve">《国务院办公厅关于在政府采购中实施本国产品标准及相关政策的通知》（国办发〔2025〕34号）规定。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（2）有关证明文件。</w:t>
      </w:r>
      <w:r>
        <w:rPr>
          <w:rFonts w:ascii="SimSun" w:hAnsi="SimSun" w:eastAsia="SimSun" w:cs="SimSun"/>
          <w:b/>
          <w:color w:val="000000"/>
          <w:sz w:val="24"/>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第三章合同文本</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w:t>
      </w:r>
      <w:r>
        <w:rPr>
          <w:rFonts w:ascii="SimSun" w:hAnsi="SimSun" w:eastAsia="SimSun" w:cs="SimSun"/>
          <w:color w:val="000000"/>
          <w:sz w:val="24"/>
        </w:rPr>
        <w:t xml:space="preserve">为本项目的合同条款，合同双方不得对招标、投标文件内容作实质性修改。</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政府采购合同（货物）</w:t>
      </w:r>
      <w:r/>
    </w:p>
    <w:p>
      <w:pPr>
        <w:ind w:left="0" w:right="0" w:firstLine="0"/>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p>
    <w:p>
      <w:pPr>
        <w:ind w:left="0" w:right="0" w:firstLine="0"/>
        <w:jc w:val="both"/>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w:t>
      </w:r>
      <w:r/>
    </w:p>
    <w:p>
      <w:pPr>
        <w:ind w:left="0" w:right="0" w:firstLine="0"/>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p>
    <w:p>
      <w:pPr>
        <w:ind w:left="0" w:right="0" w:firstLine="0"/>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甲、乙双方根据南京市公共资源交易中心组织的</w:t>
      </w:r>
      <w:r>
        <w:rPr>
          <w:rFonts w:ascii="Times New Roman" w:hAnsi="Times New Roman" w:eastAsia="Times New Roman" w:cs="Times New Roman"/>
          <w:color w:val="000000"/>
          <w:sz w:val="24"/>
        </w:rPr>
        <w:t xml:space="preserve">____________________</w:t>
      </w:r>
      <w:r>
        <w:rPr>
          <w:rFonts w:ascii="SimSun" w:hAnsi="SimSun" w:eastAsia="SimSun" w:cs="SimSun"/>
          <w:color w:val="000000"/>
          <w:sz w:val="24"/>
        </w:rPr>
        <w:t xml:space="preserve">项目公开招标结果，签署本合同。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一、合同内容</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标的质量：按招标文件及投标文件执行。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标的数量（规模）：按招标文件及投标文件执行。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履行时间（期限）：按招标文件及投标文件执行。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履行地点：甲方指定地点。</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履行方式：按招标文件及投标文件执行。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包装方式：按招标文件及投标文件执行。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 合同组成：关于本项目的招标文件、投标文件、工作说明书（如有）、绩效目标考核方法（如有）是本合同的组成部分，本合同未约定的，双方应当按照上述文件履行，如上述文件存在冲突的，以甲方选择的解释顺序为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二、合同金额</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本合同金额为：人民币____________________元，（大写：_____________________）。</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三、技术资料</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乙方应按招标文件规定的时间向甲方提供货物（包含与货物相关的服务）的有关技术资料。</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四、知识产权</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五、产权担保</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乙方保证所交付的货物（包含与货物相关的服务）的所有权完全属于乙方且无任何抵押、查封等产权瑕疵。</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六、履约保证金</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本项目乙方无需缴纳履约保证金。</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七、合同转包或分包</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乙方不得将合同标的转包给他人履行，否则甲方有权终止合同。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除招标文件允许的分包情况外，乙方不得将合同标的分包给他人履行，否则甲方有权终止合同。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八、合同款项支付</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合同款项的支付方式及时间</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 合同签订后，甲方支付合同总价款的30%作为预付款。</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8.1.2 供货结束并验收合格后，甲方支付合同总价款的70%。</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8.1.3 满足合同约定支付条件的，甲方收到乙方发票后10个工作日内，将资金支付到合同约定的乙方账户。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根据《保障中小企业款项支付条例》规定，甲方未按合同约定支付款项的，乙方可以向有关部门投诉。</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当采购数量与实际使用数量不一致时，乙方应根据实际使用量供货，合同的最终结算金额按实际使用量乘以成交单价进行计算。</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九、税费</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本合同执行中的相关税费均由乙方负担。</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十、质量保修范围和保修期及售后服务</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乙方应按招标文件规定的货物性能、技术要求、质量标准向甲方提供未经使用的全新产品。</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乙方提供的货物在质保期内因货物本身的质量问题发生故障，乙方应负责免费更换。对达不到技术要求者，根据实际情况，经双方协商可按以下方式处理：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10.2.1 更换：由乙方承担所发生的全部费用。</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10.2.2 贬值处理：由甲乙双方合议定价。</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10.2.3 退货处理：乙方应退还甲方支付的合同款，同时应承担该货物的直接费用（运输、保险、检验、货款利息及银行手续费等）。</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如在使用过程中发生质量问题，乙方应在接到甲方通知后</w:t>
      </w:r>
      <w:r>
        <w:rPr>
          <w:rFonts w:ascii="SimSun" w:hAnsi="SimSun" w:eastAsia="SimSun" w:cs="SimSun"/>
          <w:color w:val="000000"/>
          <w:sz w:val="24"/>
          <w:u w:val="single"/>
        </w:rPr>
        <w:t xml:space="preserve">     </w:t>
      </w:r>
      <w:r>
        <w:rPr>
          <w:rFonts w:ascii="SimSun" w:hAnsi="SimSun" w:eastAsia="SimSun" w:cs="SimSun"/>
          <w:color w:val="000000"/>
          <w:sz w:val="24"/>
        </w:rPr>
        <w:t xml:space="preserve">小时内到达甲方现场。</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质保期内，乙方应对货物出现的质量及安全问题负责处理解决并承担一切费用。</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质保期为自交货验收合格之日起</w:t>
      </w:r>
      <w:r>
        <w:rPr>
          <w:rFonts w:ascii="SimSun" w:hAnsi="SimSun" w:eastAsia="SimSun" w:cs="SimSun"/>
          <w:color w:val="000000"/>
          <w:sz w:val="24"/>
          <w:u w:val="single"/>
        </w:rPr>
        <w:t xml:space="preserve">     </w:t>
      </w:r>
      <w:r>
        <w:rPr>
          <w:rFonts w:ascii="SimSun" w:hAnsi="SimSun" w:eastAsia="SimSun" w:cs="SimSun"/>
          <w:color w:val="000000"/>
          <w:sz w:val="24"/>
        </w:rPr>
        <w:t xml:space="preserve">年，因人为因素出现的故障不在质保范围内。超过质保期的乙方负责终身维修，维修时只收取部件成本费。</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十一、项目验收</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甲方依法组织履约验收工作。</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对于实际使用人和甲方分离的项目，甲方邀请实际使用人参与验收。</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如有必要，甲方可邀请参加本项目投标的其他投标人或第三方专业机构及专家参与验收，相关意见将作为验收结论的参考。</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11.7</w:t>
      </w:r>
      <w:r>
        <w:rPr>
          <w:rFonts w:ascii="SimSun" w:hAnsi="SimSun" w:eastAsia="SimSun" w:cs="SimSun"/>
          <w:color w:val="0000ff"/>
          <w:sz w:val="24"/>
        </w:rPr>
        <w:t xml:space="preserve"> </w:t>
      </w:r>
      <w:r>
        <w:rPr>
          <w:rFonts w:ascii="SimSun" w:hAnsi="SimSun" w:eastAsia="SimSun" w:cs="SimSun"/>
          <w:color w:val="000000"/>
          <w:sz w:val="24"/>
        </w:rPr>
        <w:t xml:space="preserve">网络安全、市场准入要求（如有）：</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十二、货物的包装、发运及运输</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使用说明书、质量检验证明书、随配附件和工具以及清单一并附于货物内。</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乙方在货物发运手续办理完毕后24小时内或货到甲方48小时前通知甲方，以准备接货。</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货物在交付甲方前发生的风险均由乙方负责。</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 货物在规定的交付期限内由乙方送达甲方指定的地点视为交付，乙方同时需通知甲方货物已送达。</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十三、违约责任</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甲方无正当理由拒收货物的，应向乙方偿付拒收货物总价款</w:t>
      </w:r>
      <w:r>
        <w:rPr>
          <w:rFonts w:ascii="SimSun" w:hAnsi="SimSun" w:eastAsia="SimSun" w:cs="SimSun"/>
          <w:color w:val="000000"/>
          <w:sz w:val="24"/>
          <w:u w:val="single"/>
        </w:rPr>
        <w:t xml:space="preserve">5%</w:t>
      </w:r>
      <w:r>
        <w:rPr>
          <w:rFonts w:ascii="SimSun" w:hAnsi="SimSun" w:eastAsia="SimSun" w:cs="SimSun"/>
          <w:color w:val="000000"/>
          <w:sz w:val="24"/>
        </w:rPr>
        <w:t xml:space="preserve">的违约金。</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甲方无故逾期验收和办理货款支付手续的，应按逾期付款总额每日</w:t>
      </w:r>
      <w:r>
        <w:rPr>
          <w:rFonts w:ascii="SimSun" w:hAnsi="SimSun" w:eastAsia="SimSun" w:cs="SimSun"/>
          <w:color w:val="000000"/>
          <w:sz w:val="24"/>
          <w:u w:val="single"/>
        </w:rPr>
        <w:t xml:space="preserve">5‰</w:t>
      </w:r>
      <w:r>
        <w:rPr>
          <w:rFonts w:ascii="SimSun" w:hAnsi="SimSun" w:eastAsia="SimSun" w:cs="SimSun"/>
          <w:color w:val="000000"/>
          <w:sz w:val="24"/>
        </w:rPr>
        <w:t xml:space="preserve">向乙方支付违约金，但违约金最高不得超过合同总价的</w:t>
      </w:r>
      <w:r>
        <w:rPr>
          <w:rFonts w:ascii="SimSun" w:hAnsi="SimSun" w:eastAsia="SimSun" w:cs="SimSun"/>
          <w:color w:val="000000"/>
          <w:sz w:val="24"/>
          <w:u w:val="single"/>
        </w:rPr>
        <w:t xml:space="preserve">5</w:t>
      </w:r>
      <w:r>
        <w:rPr>
          <w:rFonts w:ascii="SimSun" w:hAnsi="SimSun" w:eastAsia="SimSun" w:cs="SimSun"/>
          <w:color w:val="000000"/>
          <w:sz w:val="24"/>
        </w:rPr>
        <w:t xml:space="preserve">%。</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乙方逾期交付货物的，应按逾期交货总额每日</w:t>
      </w:r>
      <w:r>
        <w:rPr>
          <w:rFonts w:ascii="SimSun" w:hAnsi="SimSun" w:eastAsia="SimSun" w:cs="SimSun"/>
          <w:color w:val="000000"/>
          <w:sz w:val="24"/>
          <w:u w:val="single"/>
        </w:rPr>
        <w:t xml:space="preserve">5‰</w:t>
      </w:r>
      <w:r>
        <w:rPr>
          <w:rFonts w:ascii="SimSun" w:hAnsi="SimSun" w:eastAsia="SimSun" w:cs="SimSun"/>
          <w:color w:val="000000"/>
          <w:sz w:val="24"/>
        </w:rPr>
        <w:t xml:space="preserve">向甲方支付违约金，由甲方从待付货款中扣除。超过约定日期10个工作日不能交货的，甲方可解除本合同。乙方因逾期交货或因其他违约行为导致甲方解除合同的，应向甲方支付合同总价</w:t>
      </w:r>
      <w:r>
        <w:rPr>
          <w:rFonts w:ascii="SimSun" w:hAnsi="SimSun" w:eastAsia="SimSun" w:cs="SimSun"/>
          <w:color w:val="000000"/>
          <w:sz w:val="24"/>
          <w:u w:val="single"/>
        </w:rPr>
        <w:t xml:space="preserve">5%</w:t>
      </w:r>
      <w:r>
        <w:rPr>
          <w:rFonts w:ascii="SimSun" w:hAnsi="SimSun" w:eastAsia="SimSun" w:cs="SimSun"/>
          <w:color w:val="000000"/>
          <w:sz w:val="24"/>
        </w:rPr>
        <w:t xml:space="preserve">的违约金。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十四、不可抗力事件处理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在合同有效期内，任何一方因不可抗力事件导致不能履行合同，则合同履行期可延长，其延长期与不可抗力影响期相同。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不可抗力事件发生后，应立即通知对方并寄送有关权威机构出具的证明。</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不可抗力事件延续120天以上，双方应通过友好协商确定是否继续履行合同。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十五、解决争议的方法</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甲乙双方因合同签订、履行而发生的一切争议，应通过友好协商解决。协商不成的由甲方住所地人民法院管辖。</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十六、合同生效及其他</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本合同经双方加盖单位公章后生效。</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本合同未尽事宜，遵照《中华人民共和国民法典》《中华人民共和国政府采购法》有关条文执行。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本合同正本一式两份，具有同等法律效力，甲方、乙方各执一份。</w:t>
      </w:r>
      <w:r/>
    </w:p>
    <w:p>
      <w:pPr>
        <w:ind w:left="0" w:right="0" w:firstLine="0"/>
        <w:jc w:val="both"/>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  方：（公章）                       乙  方：（公章） </w:t>
      </w:r>
      <w:r/>
    </w:p>
    <w:p>
      <w:pPr>
        <w:ind w:left="0" w:right="0" w:firstLine="0"/>
        <w:jc w:val="both"/>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       地  址： </w:t>
      </w:r>
      <w:r/>
    </w:p>
    <w:p>
      <w:pPr>
        <w:ind w:left="0" w:right="0" w:firstLine="0"/>
        <w:jc w:val="both"/>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法定代表人或授权代表：</w:t>
      </w:r>
      <w:r/>
    </w:p>
    <w:p>
      <w:pPr>
        <w:ind w:left="0" w:right="0" w:firstLine="0"/>
        <w:jc w:val="both"/>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w:t>
      </w:r>
      <w:r/>
    </w:p>
    <w:p>
      <w:pPr>
        <w:ind w:left="0" w:right="0" w:firstLine="0"/>
        <w:jc w:val="both"/>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jc w:val="both"/>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145" w:after="145"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《*******合同》补充协议（合同附件）</w:t>
      </w:r>
      <w:r/>
    </w:p>
    <w:p>
      <w:pPr>
        <w:ind w:left="0" w:right="0" w:firstLine="48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招标文件及合同未约定事项，双方可友好协商签订补充协议。</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第四章  采购需求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u w:val="none"/>
        </w:rPr>
        <w:t xml:space="preserve">一、</w:t>
      </w:r>
      <w:r>
        <w:rPr>
          <w:rFonts w:ascii="SimHei" w:hAnsi="SimHei" w:eastAsia="SimHei" w:cs="SimHei"/>
          <w:color w:val="000000"/>
          <w:sz w:val="24"/>
        </w:rPr>
        <w:t xml:space="preserve">项目属性：</w:t>
      </w:r>
      <w:r>
        <w:rPr>
          <w:rFonts w:ascii="SimSun" w:hAnsi="SimSun" w:eastAsia="SimSun" w:cs="SimSun"/>
          <w:color w:val="000000"/>
          <w:sz w:val="24"/>
        </w:rPr>
        <w:t xml:space="preserve">货物类项目。</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二、项目概况</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（一）项目背景</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聚焦电子取证领域的教学、科研与社会服务需求，通过建设“数智安全应用技术实验室”，重点添置电子数据取证专业装备、平台、台式计算机等设备，构建教学、科研要求的软硬件支撑体系，满足专业电子数据取证技术课程教学、学生实训及专业竞赛的开展需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（二）项目建设遵循标准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遵循国家、行业及地方现行的规范和标准。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《台式计算机政府采购需求标准（2023年版）》（财库〔2023〕29号）</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招标文件涉及标准中未标年号的一律采用最新的标准；随着标准的修订，以修订后的最新标准为依据。</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三、项目清单</w:t>
      </w: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3"/>
        <w:gridCol w:w="1778"/>
        <w:gridCol w:w="672"/>
        <w:gridCol w:w="642"/>
        <w:gridCol w:w="1299"/>
        <w:gridCol w:w="1095"/>
        <w:gridCol w:w="1205"/>
        <w:gridCol w:w="839"/>
        <w:gridCol w:w="1166"/>
        <w:gridCol w:w="54"/>
      </w:tblGrid>
      <w:tr>
        <w:trPr>
          <w:gridAfter w:val="1"/>
          <w:trHeight w:val="47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0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7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单价上限</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产品类型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所属行业</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属性</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政府强制采购节能产品</w:t>
            </w:r>
            <w:r/>
          </w:p>
        </w:tc>
      </w:tr>
      <w:tr>
        <w:trPr>
          <w:gridAfter w:val="1"/>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7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取证一体化工作站/手机快取模块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软件和信息技术服务业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gridAfter w:val="1"/>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7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取证一体化工作站/证据分析模块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主要产品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软件和信息技术服务业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gridAfter w:val="1"/>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7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取证一体化工作站/仿真模块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软件和信息技术服务业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gridAfter w:val="1"/>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7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取证一体化工作站/手机取证/专用主机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gridAfter w:val="1"/>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7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电子取证实训平台/课程管理模块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158000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软件和信息技术服务业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gridAfter w:val="1"/>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7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电子取证实训平台/竞赛管理模块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软件和信息技术服务业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gridAfter w:val="1"/>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7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电子取证实训平台/实训管理模块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软件和信息技术服务业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gridAfter w:val="1"/>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7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电子取证实训平台/用户管理模块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软件和信息技术服务业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gridAfter w:val="1"/>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7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电子取证实训平台/系统管理模块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软件和信息技术服务业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gridAfter w:val="1"/>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7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电子取证实训平台/专业主机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gridAfter w:val="1"/>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7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台式计算机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w:t>
            </w:r>
            <w:r/>
          </w:p>
        </w:tc>
      </w:tr>
      <w:tr>
        <w:trPr>
          <w:gridAfter w:val="1"/>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7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触控一体机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27600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gridAfter w:val="1"/>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7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实验台1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gridAfter w:val="1"/>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7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实验台2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gridAfter w:val="1"/>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7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实验椅1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gridAfter w:val="1"/>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7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gridAfter w:val="1"/>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7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实验椅2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gridAfter w:val="1"/>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7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24口接入交换机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gridAfter w:val="1"/>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7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48口接入交换机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gridAfter w:val="1"/>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7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高密度AP</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gridAfter w:val="1"/>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7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机柜</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gridAfter w:val="1"/>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7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吸顶音箱</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gridAfter w:val="1"/>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7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多功能集成功放</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gridAfter w:val="1"/>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7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无线手持话筒</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gridAfter w:val="1"/>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7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管理软件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软件和信息技术服务业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gridAfter w:val="1"/>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7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摄像头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gridAfter w:val="1"/>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7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系统集成</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17420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软件和信息技术服务业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gridAfter w:val="1"/>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7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3P吸顶空调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bl>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四、拟采购标的需要满足的技术、商务要求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1.产品技术指标</w:t>
      </w: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89"/>
        <w:gridCol w:w="1701"/>
        <w:gridCol w:w="7576"/>
      </w:tblGrid>
      <w:tr>
        <w:trPr>
          <w:trHeight w:val="34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功能、性能、配置要求不低于以下要求</w:t>
            </w:r>
            <w:r/>
          </w:p>
        </w:tc>
      </w:tr>
      <w:tr>
        <w:trPr>
          <w:trHeight w:val="164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取证一体化工作站/手机快取模块</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76"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★1.支持并行提取方式，支持多部手机同时进行提取。</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 Android 文件查看（包含外置 SD 卡信息）操作，勾选文件/文件夹后支持快速导出，并自动进行完整性计算。</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 VIVO、华为、小米、OPPO、魅族、三星等品牌手机关机状态下版本型号查询。</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4.支持产品易用性和合规性功能，包括自动检测保存目录剩余空间、Android 手机提取过程中自动点击、Android 设备中安装的取证APP在取证完成或异常断开后会提示卸载、提取前预检Android 设备是否处于飞行模式、任务日志查询等。</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在提取移动终端数据前，支持对多品牌移动终端进行预检，预检提醒包括：是否开启飞行模式、是否开启额外空间（隐私空间、多用户空间、文件保密柜、手机分身、儿童空间、私密文件夹、系统分身、安全文件夹等）、是否安装风险应用（Android、iOS）、是否开启应用分身（Android）等；支持查看详细的预检信息，以及预检信息的推荐提取方式操作教程。</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6.支持数据提取与分析功能由2个独立软件完成，数据提取完成后将提取结果输出为打包文件，并进行完整性计算，数据按照任务统一保存在所属任务目录中。</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7.支持港版、土耳其版（TR）等外版三星手机的高级备份、高级备份Wi-Fi提取，三星手机显示地区版本。</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8.支持提取密码保险箱、私密相册、私密短信、私密文件夹、私密联系人、私密便签、保密柜、私密保险箱、子用户隐私空间及应用数据，包括但不限于vivo、小米、OPPO、华为等主流品牌。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9.支持Wi-Fi取证，包括路由器加速提取、路由器多路并行、无线网卡和路由器并行。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10.支持应用锁屏蔽和还原、应用锁清除、隐私锁屏蔽和还原，包括vivo、三星、OPPO、金立、联想、华为等品牌。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11.支持Android 设备临时提权（免拆机）的方式提取镜像文件，安卓版本4-10、12-13。</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12.支持提取三星安全文件夹中的数据。</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13.支持对vivo、三星手机在无需数据线连接、无需开启USB调试下提取手机数据，数据包括通话记录、通讯录、短信、QQ、微信等系统及第三方应用数据等。</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14.支持华为手机在 USB 调试没有打开的情况下跳过应用锁直接提取数据。</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15.支持安卓12-13，HarmonyOS 0~2 手机进行无感补充提权。</w:t>
            </w:r>
            <w:r/>
          </w:p>
        </w:tc>
      </w:tr>
      <w:tr>
        <w:trPr>
          <w:trHeight w:val="61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取证一体化工作站/证据分析模块</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76"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一、手机取证软件参数</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基础功能</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1.支持按照时间范围、内容搜索检材原始文件内容及导出结果报告，其中编码范围包括utf8、gbk、utf16等，支持office文档检索。</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2.支持自主选择多种分析模式，包括在同一案件中支持单独手机 检材分析模式、介质和手机检材的融合分析（包括解析、检索、研判和导出报告等）；支持通过关键词搜索分析数据；支持涉案预警分析（通过内置关键词库对检材所有数据（短信、 应用、基本信息）进行检查，研判结果包括涉黄、涉密、涉赌等，可以自定义关键词库），支持实体分析（针对检材中的数据，包括手机号、身份证、邮箱、车牌号、银行卡、网址等进行统计，并可以查看来源）。</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3.取证结果需支持导出报告格式，包括但不限于网页报告（可按持有人拆分检材）、检查笔录、移动案件等。</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4.需支持定制脚本功能，可通过编写脚本处理证据信息。</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5.需支持网页报告全文搜索关键词。</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数据解析</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1.支持多种基于应用缓存的token信息的账单获取功能，包括但不限于：支付宝账单、微信账单等。</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2.支持应用解密后数据库查看导出，包括但不限于微信、QQ等。</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3.支持包括但不限于iOS、Android、HarmonyOS、HarmonyOS NEXT、YunOS、KaiOS等主流平台检材数据解析。</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4.支持各类移动终端应用程序分析，包括但不限于：浏览器、即时通讯、境外通讯、邮箱工具、网络云盘、视频音频、办公软件、位置出行、网络购物、其他工具等种类应用程序。</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5.支持解析应用凭证，支持的Android和iOS应用包括但不限于：Skype、百度网盘、百度网盘同步数据、美团、曹操出行、哈啰出行、WPS等。</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常规分析</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1.支持嵌套证据识别，自动识别iOS、Android备份等数据，在同一案件内的嵌套证据不导出的情况下，可一键添加至当前案件进行检材分析。</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2.支持全部取证数据，如案件、文件、分析、位置、时间线、搜索、笔记、研判，结果溯源到源文件（如db文件）、原记录（如消息记录）。</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3.支持视频分析，对视频文件快速分帧浏览视频内容，对色情图片进行检测。</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4.支持地理位置点、路线聚合展示，路线轨迹需支持自动回放，地理位置数据需支持按照来源检材、标记、来源应用、时间范围等多条件组合智能筛选。</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二、介质部分软件参数</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基础功能</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对各类解析数据进行标记，标记内容包括证据、嫌疑、有关；能够自定义标记内容；支持根据所选标记类型的数据对报告进行导出，报告内容包括已标记的数据；能够选择一条或者多条数据添加为笔记，并能够对笔记进行备注描述（案件笔记支持按照数据自动生成推荐的批注），能够将添加过笔记内容的报告进行导出，格式为Word；支持检材和取证笔记数据导出HTML 格式的报告，报告内容包括选择的笔记数据；支持检材和取证笔记导出Word格式的笔录，笔录内容包含选择的笔记数据（支持多检材导出到同一个检查笔录）。</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2.支持将检材文件挂载到文件系统，能在操作系统的资源管理器内浏览文件目录、查看文件内容。</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▲3.支持选择检材对Mongo、MySQL、Redis数据库进行快速分析，查看数据库解析数据，查看数据库数据（包括表结构、表内容等）。</w:t>
            </w:r>
            <w:r>
              <w:rPr>
                <w:rFonts w:ascii="SimSun" w:hAnsi="SimSun" w:eastAsia="SimSun" w:cs="SimSun"/>
                <w:b/>
                <w:color w:val="000000"/>
                <w:sz w:val="24"/>
              </w:rPr>
              <w:t xml:space="preserve">（签订合同时提供该项功能截图）</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导出报告，包括但不限于HTML报告（支持直接导出ZIP，可按检材持有人拆分检材，且具备关键词搜索功能）、电子检查笔录（可导入自定义检查笔录模板，通过自带笔录工具导出）、移动案件（导出带有索引搜索、时间线功能等，且支持设置打开密码）。</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数据解析</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1.需支持挖掘浏览器内登录的即时通讯应用数据，即时通讯应用包括Skype  Web和WhatsApp 。解析到的数据内容包括账号信息、 联系人列表、群组列表、群组成员、私聊信息、群聊消息等，聊天内容（文字、语音、图片、位置等）能够通过对话框的方式进行展示。</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2.支持云数据自动提取，包括但不限于Telegram、WPS等云端数据，无需用户扫码或输入验证码即可自动获取。</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▲3.支持查看efs加密文件详细信息（包括名称、扩展名、类型、大小、创建时间、修改时间、访问时间、MetaAddr、全路径、加密类型等）以及预览文件内容；支持查看Windows本地账户、域账户、微软账户。</w:t>
            </w:r>
            <w:r>
              <w:rPr>
                <w:rFonts w:ascii="SimSun" w:hAnsi="SimSun" w:eastAsia="SimSun" w:cs="SimSun"/>
                <w:b/>
                <w:color w:val="000000"/>
                <w:sz w:val="24"/>
              </w:rPr>
              <w:t xml:space="preserve">（签订合同时提供该项功能截图）</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4.支持解析远程连接软件用户密钥、已保存密码包括但不限于Xftp、Xshell、FileZilla、FlashFXP5、MobaXterm、SecureCRT、RemoteDesktopManager等。</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Windows各类数据解析分析，包括但不限于各种浏览器、主流即时通讯软件分析、主流邮箱工具软件分析（包括邮件附件汇总）、Telegram解析、主流下载工具软件分析、主流网络云盘软件分析、音视频/办公/安全/工具等软件分析、远程连接工具/记录分析等。</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6.支持macOS微信、企业微信扫码解析。</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7.支持macOS各类数据解析分析，包括但不限于操作系统数据、主流浏览器、钉钉应用、有道云笔记应用、macOS Telegram（包括Telegram凭证解析）、邮箱软件、文件软件、远程连接工具、clash工具、nginx等数据解析等。</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数据分析</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1.支持在检材中自动识别到嵌套证据（iOS 备份、Android 备份、Vmware备份）；在同一案件内的嵌套证据不导出的情况下，可一键添加至当前案件进行检材分析。</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2.支持多媒体数据分析，包括但不限于视频文件快速分帧、淫秽视频检测、图片文本识别、图片深度恢复、图片隐写识别解析、图片EXIF信息分析、图片分类等。</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▲3.支持文件多种分析操作，包括但不限于文件系统多条件组合智能筛选、文件全显、时间线分析等。</w:t>
            </w:r>
            <w:r>
              <w:rPr>
                <w:rFonts w:ascii="SimSun" w:hAnsi="SimSun" w:eastAsia="SimSun" w:cs="SimSun"/>
                <w:b/>
                <w:color w:val="000000"/>
                <w:sz w:val="24"/>
              </w:rPr>
              <w:t xml:space="preserve">（签订合同时提供该项功能截图）</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4.支持磁盘阵列（RAID）类型检材信息检测、重组及解析。</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5.支持查看Mongo、MySQL、Redis数据库解析数据，支持离线进行数据库内容的解析和恢复。</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6.支持地理位置支持点、路线聚合展示，可时空轨迹回放，经纬度信息自动转换为地理位置信息。</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智能分析</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1.需支持联动本地AI管理系统，用户可自定义设置AI服务与模型；通过“AI助手”功能，可实现全案信息智能问答，并以思维导图形式呈现。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对聊天会话（私聊）进行研判分析，展示包括：高频词Top50（关键词词云）、资金往来和AI分析（聊天人员关系推测）三个分析模块；支持对聊天会话（群聊）进行研判分析，展示内容包括：高频词Top50（关键词词云）、群成员活跃度排序/角色排序两个分析模块。</w:t>
            </w:r>
            <w:r>
              <w:rPr>
                <w:rFonts w:ascii="SimSun" w:hAnsi="SimSun" w:eastAsia="SimSun" w:cs="SimSun"/>
                <w:b/>
                <w:color w:val="000000"/>
                <w:sz w:val="24"/>
              </w:rPr>
              <w:t xml:space="preserve">（签订合同时提供该项功能截图）</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▲3.支持研判模块，包括但不限于人物画像、关系图谱分析、涉案预警、资金分析、图片分析、实体分析等。</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4.支持涉案预警功能，通过对检材内的信息进行关键词和AI语义预警，预警结果可导出到报告。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5.支持资金分析，对检材内的资金流水、交易记录等信息进行统计与分析，对异常交易进行预警。</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6.支持实体分析，包括但不限于身份证、手机号、邮箱、车牌号、银行卡、网址、IP地址、虚拟钱包、快递单号等。</w:t>
            </w:r>
            <w:r/>
          </w:p>
        </w:tc>
      </w:tr>
      <w:tr>
        <w:trPr>
          <w:trHeight w:val="10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取证一体化工作站/仿真模块</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76" w:type="dxa"/>
            <w:vAlign w:val="center"/>
            <w:textDirection w:val="lrTb"/>
            <w:noWrap w:val="false"/>
          </w:tcPr>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1.支持无痕仿真启动装有Windows、macOS、Linux、ESXi、RouterOS等多种操作系统的硬盘和镜像文件。 </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2.支持对DD、E01、QCOW、VHD、VHDX、ZVHD2、XVA、VMDK、tgz、xb、aff4等不同格式的磁盘镜像的仿真。</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3.支持选择网络驱动器中的镜像仿真。</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▲4.支持Windows PIN码登录情况下密码绕过。</w:t>
            </w:r>
            <w:r>
              <w:rPr>
                <w:rFonts w:ascii="SimSun" w:hAnsi="SimSun" w:eastAsia="SimSun" w:cs="SimSun"/>
                <w:b/>
                <w:color w:val="000000"/>
                <w:sz w:val="24"/>
              </w:rPr>
              <w:t xml:space="preserve">（签订合同时提供该项功能截图）</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5.支持在分析过程中，支持原始磁盘镜像存储位置的移动和更新。</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6.支持多仿真历史的配置管理和直接启动，无需重建虚拟机。</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7.支持Windows本地账户登录密码清除或绕过。 </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8.支持自动修复Linux启动故障，并重置Linux、macOS系统的密码。 </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9.支持Linux和macOS虚拟机重置成用户指定密码。</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10.支持选择虚拟机文件然后选择指定快照仿真。</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11.支持创建虚拟机时支持用户设置虚拟机时间。</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12.支持Windows、Debian、Ubuntu、Centos等操作系统的BIOS启动类型的单分区镜像仿真，并自动修复引导分区。</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13.支持Windows、Debian、Ubuntu、macOS等操作系统的UEFI启动类型的单分区镜像仿真，并自动修复引导分区。</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14.支持RAID（0、5、10、jbod）磁盘的重组和仿真。</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15.支持对Parallels Desktop虚拟机磁盘的仿真，且支持差分快照。</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16.支持intel+T2芯片的macOS脱密镜像的仿真，macOS 4K扇区的仿真。</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17.支持自动检测Windows账户密码（常用密码可直接显示明文）。</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▲18.支持对Windows10通过任意密码（非空密码）进入系统，正确读取efs加密文件内容。</w:t>
            </w:r>
            <w:r>
              <w:rPr>
                <w:rFonts w:ascii="SimSun" w:hAnsi="SimSun" w:eastAsia="SimSun" w:cs="SimSun"/>
                <w:b/>
                <w:color w:val="000000"/>
                <w:sz w:val="24"/>
              </w:rPr>
              <w:t xml:space="preserve">（签订合同时提供该项功能截图）</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19.支持RouterOS 6.x及7.x等多个版本的操作系统自动识别，系统的仿真及重置密码。</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20.支持Bitlocker加密的系统盘仿真并重置开机密码。</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21.支持对ESXi 6.7、7.0u2、8.0操作系统进行识别使用用户名root 和空密码登录操作系统并进行重置密码操作。</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22.支持 Windows无域缓存登录信息情况下的登录密码清除及微软在线账户登录密码清除。</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23.支持在对Windows7、Windows10、Windows11操作系统进行镜像仿真时为虚拟机自动安装VMTools。</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24.支持Windows域控服务器管理员账户的重置密码，包括Windows Server2019。</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25.支持ARM架构的镜像仿真。</w:t>
            </w:r>
            <w:r/>
          </w:p>
        </w:tc>
      </w:tr>
      <w:tr>
        <w:trPr>
          <w:trHeight w:val="11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取证一体化工作站/手机取证/专用主机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76" w:type="dxa"/>
            <w:vAlign w:val="center"/>
            <w:textDirection w:val="lrTb"/>
            <w:noWrap w:val="false"/>
          </w:tcPr>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▲1.多功能模块化一体式工作站形态。</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★2.处理器：不低于16核心24线程的中央处理芯片。</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★3.内存：物理临时存储不低于64GB。</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4.硬盘：固态数据存储容量不少于1.5TB SSD，机械磁盘数据存储容量不少于16TB。</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5.显卡：显存不低于12GB。</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6.光驱：需配备蓝光DVD刻录机不少于1个。</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7.只读盘仓：需配备桌面 3.5 寸 SAS/SATA 只读热拔插硬盘位不少于4个。 </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8.读写盘仓：需配备桌面 3.5 寸 SAS/SATA 读写热拔插硬盘位不少于4个。</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9.只读接口：需配备桌面USB3.1只读接口不少于2个。</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★10.只读锁：需配备桌面多功能只读锁不少于1个。 </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11.显示屏：需配备4.3寸状态显示屏不少于1个。</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12.USB：需配备桌面独立供电读写8口USB不少于1个。</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13.无线充电：需配备无线充电模块不少于1个。 </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14.需配备功放和音箱、配备Wi-Fi蓝牙模块、需配备高拍仪。</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15.触控屏：需配备14 寸触控交互式显示屏不少于1个。 </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16.内置读写盘仓：需配备内置3.5 寸 SATA 读写热拔插硬盘位不少于4个。</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17.显示器：不低于34寸曲面屏 × 2 + 显示器支架 × 2。</w:t>
            </w:r>
            <w:r/>
          </w:p>
        </w:tc>
      </w:tr>
      <w:tr>
        <w:trPr>
          <w:trHeight w:val="66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电子取证实训平台/课程管理模块</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76"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1.需支持创建并维护教材信息，包括教材名称、考核内容、教材描述、管理端可见范围、配置教材节点。</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2.需支持教材中可创建多个节点，节点内容支持上传教材课件或上传视频+富文本。</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3.课程列表包含系列课程和微课两种课程，需支持创建课程、查看课程、搜索课程关键词、筛选课程发布状态和难易度。</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课程新建需支持配置课程名称、课程难易度、考核内容、课程封面、课程简介、课程附件、课程可见性、管理端可见范围。课程可见性为全部可见时，所有用户可查看该课程，为部分可见时，仅被选择的用户可以查看课程。管理端可见范围针对管理端平台中的管理员，全部管理员可见时，所有管理员均可在课程管理中查看此课程；指定用户组可见时，仅该组管理员可查看该课程；指定管理员可见时，仅被选择的管理员可查看该课程。</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5.需支持编辑课程的章节目录和章节内容，每个章节中可以选择多个学习教材和练习试卷。用户端展示课程信息、章节目录、章节内容，记录各章节学习/答题状态。</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6.需支持随时发布、下架课程，下架的课程用户端不再显示；支持灵活设置课程信息，修改已发布的课程信息和课程内容，修改后用户端同步更新。</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7.课程列表需支持查看章节内容、数据统计、课程可见人员、讨论区，支持为可见人员配置云电脑，全部学员和管理员都可以发布/查看讨论区内容。</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8.课程数据需支持统计学员排行，包括学员的练习试卷得分、教材学习进度、试卷答题进度，试卷的平均分，试卷题目的答题率、得分率、平均分、错误答案等。</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9.课程中设有讨论区，需支持全部学员和管理员都可以发布/查看讨论内容。</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10.需支持克隆课程，点击后克隆已有课程，复制全部信息，生成新的课程。支持颁发证书、删除课程。</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11.需支持为课程章节配置学分。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12.微课列表需支持搜索关键词、筛选发布状态、筛选难易度。</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13.创建微课时需支持配置微课名称、难易度、考核内容、简介、视频文件、视频封面、其他附件、管理端可见范围。</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14.微课列表中需支持查看微课内容、编辑微课内容、发布/下架微课。</w:t>
            </w:r>
            <w:r/>
          </w:p>
        </w:tc>
      </w:tr>
      <w:tr>
        <w:trPr>
          <w:trHeight w:val="174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电子取证实训平台/竞赛管理模块</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76"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一、竞赛管理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1.需支持创建并维护竞赛信息，包括竞赛基本信息、竞赛时间、参赛须知、答题设置、举办方信息、竞赛评委、竞赛试卷等。</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2.需支持克隆竞赛，可将竞赛全部信息一键克隆，生成新竞赛。</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3.需支持个人赛/团队赛模式，个人赛可维护参赛人员，团队赛可维护团队名称、团队成员。团队赛中团队成员共同作答一套试题，作答结果同步显示。</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4.需支持选择后台维护参赛人员、用户主动扫码报名两种参赛方式；用户主动报名时，支持选择是否需要领队审核；需要领队审核时，领队角色可审核、删除所负责单位中的用户。</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5.需支持设置竞赛过程中，理论题题目随机乱序、答题后立即显示得分结果、全部用户交卷后提前结束竞赛；支持设置竞赛结束后，自动提交暂存答案、显示完整排行、查看答题结果。</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6.需支持对客观题目自动评分，如选择、判断、填空三类客观题目，用户提交答案后，平台自动判分。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需支持多种计分方式，包括传统模式、竞速模式、动态分值模式。传统模式为固定分值，答对题目获得相应分数；竞速模式支持按题目得分名次对选手得分进行递减；动态分值支持按题目得分总人数对题目满分进行递减。</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8.需支持设置竞赛评委，可设置普通评委/评委组长，评委可对主观问答题目进行评分。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9.需支持竞赛数据统计，包括用户的题目提交时间、提交答案、题目得分、答题数、正确率、总分、排名、答题页面切换次数，题目的答题人数、得分人数、得分率、平均分、错误答案等。</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10.需支持竞赛数据导出，可一键导出竞赛总体排名、参赛人员答题数据、全部题目作答数据。</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11.需支持监控异常答案，包括与其他答题人的错误答案相同、与其他组试卷同题号题目的正确答案相同。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12.需支持竞赛期间开启专注模式，限制用户操作本平台其他模块，在竞赛起止时间内，平台自动锁定导航菜单栏为专注模式。</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13.需支持设置是否要求人脸识别认证、绑定唯一设备浏览器登录、答题过程中若打开其他软件进行警告，识别光标未移动时长，若长时间鼠标未移动，警告后自动退出竞赛。</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14.需支持设置启用监控小助手，监控用户设备的USB、Wi-Fi、录屏软件状态。</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15.用户端需支持题号快速定位、显示题目保存/提交状态、显示竞赛剩余时长，支持一键提交全部暂存答案。</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二、竞赛大屏</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1.需支持竞赛实时大屏展示；支持实时展示用户答题动态。</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需支持单一竞赛大屏设置展示区域，包括个人总排行、个人理论题排行、个人实操题排行、单位最高分排行、单位平均分排行、竞赛简介、评委简介、实时答题动态、举办方信息等；支持设置排行榜显示用户总数、每页显示用户数、轮播翻页时长等。</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需支持组合竞赛大屏展示多场竞赛，包括全部竞赛的加权个人总排行、单位总排行，每场竞赛的个人排行、单位最高分榜首、单位平均分榜首等；支持设置排行榜显示用户总数、每页显示用户数、轮播翻页时长等。</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4.需支持多竞赛大屏分区展示多场竞赛；支持设置排行榜显示用户总数、轮播翻页时长等。</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5.需支持攻城略地大屏展示用户排名、用户能力雷达、用户答题动态、用户答题轨迹。</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6.需支持Flag大屏展示每道题目答对前10名用户。</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7.需支持监控大屏展示每位用户设备的USB、Wi-Fi、录屏软件状态。</w:t>
            </w:r>
            <w:r/>
          </w:p>
        </w:tc>
      </w:tr>
      <w:tr>
        <w:trPr>
          <w:trHeight w:val="11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电子取证实训平台/实训管理模块</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76"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1.需支持创建并维护实训练习信息，包括实训主题、难易度、练习试卷、练习时长、是否公开、练习学员等；公开练习全部用户都可以答题，非公开练习仅指定学员可以答题。</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2.需支持随时发布、下架实训练习，下架的实训练习用户端不再显示；支持灵活设置实训练习信息，修改已发布的实训练习信息和题目信息，修改后用户端同步更新。</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3.需支持用户反复练习实训试题，支持交卷后自动统计整体/各项考核内容/各题型正确率、各题目得分。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4.需支持实训练习数据统计，包括用户总分排行、各题目的答题率、得分率、平均分、错误答案等。</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5.需支持克隆已有实训练习，复制全部信息，生成新的实训练习。</w:t>
            </w:r>
            <w:r/>
          </w:p>
        </w:tc>
      </w:tr>
      <w:tr>
        <w:trPr>
          <w:trHeight w:val="174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电子取证实训平台/用户管理模块</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76"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1.支持设置多种用户角色，如管理员、单位领队、普通用户等，不同角色拥有不同权限，支持创建自定义角色，并配置自定义角色功能权限与数据权限。</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2.支持新增或批量导入用户，导入格式为excel格式；个人主动报名竞赛成功后，平台自动创建用户账号。</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3.支持针对用户分组，每个用户可关联多个用户组。维护竞赛参赛人员、实训练习人员、课程学习人员时，可以通过用户组快捷选择组内全部用户。</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电子取证实训平台/系统管理模块</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76"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超级管理员修改系统配置中的页面设置。页面设置支持禁用浏览器验证、隐藏用户中心登录入口、自定义设置平台名称、编辑版权信息、自定义修改登录页面背景图、编辑部署地址、修改取证录像下载地址、修改VPN下载地址、修改输出至控制台信息。</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2.支持超级管理员修改系统配置中的竞赛设置。竞赛设置支持打开竞赛模式、更换用户等待界面背景图、强制用户首次登录修改密码。</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3.支持超级管理员修改系统配置中的安全设置。安全设置支持配置是否允许普通用户访问、配置密码强度、是否允许普通用户多次修改个人设置、是否允许手机验证码登录。</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4.支持超级管理员查看、搜索用户登录日志，登录日志支持查看登录方式、IP、IP归属地、登录状态、代理、登录时间。</w:t>
            </w:r>
            <w:r/>
          </w:p>
        </w:tc>
      </w:tr>
      <w:tr>
        <w:trPr>
          <w:trHeight w:val="73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电子取证实训平台/专业主机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76" w:type="dxa"/>
            <w:vAlign w:val="center"/>
            <w:textDirection w:val="lrTb"/>
            <w:noWrap w:val="false"/>
          </w:tcPr>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1.物理核心数≥16、主频≥2.3GHz、线程数≥32。</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2.内存实配≥4根32G DDR4 ，内存槽位≥24个，支持单颗粒数据纠错、内存巡检、内存镜像。</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3.板载千兆电口≥2，万兆光口≥2，可增配2个万兆模块实现万兆网卡。</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4.实配960G SSD硬盘≥2块，8TB SATA硬盘≥4块，内置存储：支持2*M.2 SATA SSD，支持硬RAID1，支持免开箱热插拔，支持内置虚拟化、OS安装；</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配置磁盘阵列卡，9440-8I，支持raid 0/1/5。</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5.I/O扩展：PCI-E I/O插槽总数支持≥10个。</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6.配置2个≥900W AC 冗余白金交流电源模块；满配冗余风扇，支持单风扇失效，导轨。</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7.标配集成显卡，显存≥32 MB。</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台式计算机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76" w:type="dxa"/>
            <w:vAlign w:val="center"/>
            <w:textDirection w:val="lrTb"/>
            <w:noWrap w:val="false"/>
          </w:tcPr>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★1.CPU：物理核心数≥16、主频≥2.1GHz、末级缓存容量≥30MB、线程数≥24、热设计功耗≤65W及内存的最高速率≥4800MT/S、通道数≥2和位宽≥128bit。</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★2.主板（芯片组）：主板系列芯片组DMI 通道最大数≥8， PCI Express 通道数的最大值≥24，支持pcie 4.0；支持DDR5系列内存扩展，I/O规格USB端口数≥14，其中支持USB3.2个数≥10。</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★3.内存：内存类型≥DDR5；内存条数量≥1；内存条容量≥16GB。</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★4.硬盘：硬盘类型≥M.2 SSD；硬盘数量≥1；硬盘容量≥512G。</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★5.显示器：尺寸≥23.8寸；分辨率≥1920×1080；屏幕比例≥16：9刷新率≥100Hz，接口≥VGA+HDMI，静态对比度≥3000：1。</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★6.外部接口：机箱前面板≥4*USB3.0 接口（其中≥3个USB 3.2 Gen2 Type-A端口，≥1个USB 3.2 Gen2 Type-C端口），后置：≥3个USB 3.2 G1 Type-A端口；≥2个USB2.0端口，≥1*HDMI+ DP 接口；主板插槽≥1个PCIe4x16插槽；≥1个PCIe3x1插槽；≥2个M.2接口。</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★7.机箱：≤8L。</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8.电源≥240W 90%能效电源。</w:t>
            </w:r>
            <w:r/>
          </w:p>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9.保修服务：原厂商（主机，键盘，鼠标）三年全保修，费用包含在投标总价中。</w:t>
              <w:br/>
              <w:t xml:space="preserve">★10.其他参数：除上述产品技术参数外，《台式计算机政府采购需求标准（2023年版）》（财库〔2023〕29号）中其他加“*”指标，应满足需求标准中最低要求。</w:t>
              <w:br/>
              <w:t xml:space="preserve">★11.该产品为政府强制采购节能产品，签订合同时提供国家确定的认证机构出具的、处于有效期之内的节能产品认证证书。</w:t>
            </w:r>
            <w:r/>
          </w:p>
        </w:tc>
      </w:tr>
      <w:tr>
        <w:trPr>
          <w:trHeight w:val="340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触控一体机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76"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1.屏幕：98英寸液晶显示器，A规屏，显示比例16：9，显示分辨率3840*2160。</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2.触控技术：红外触控技术，双系统均支持≥45点触控及书写划线。</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3.嵌入式系统版本≥Android 16，内存≥4GB，存储空间≥64GB。</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4.扬声系统：至少2.1声道前置扬声器，整机最大输出功率≥80W。</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5.麦克风：非独立外扩展的8阵列麦克风，拾音距离≥12米。</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6.内置智能语音控制系统，支持语音调节设备音量、屏幕亮度，语音启动本机应用等。</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7.内置摄像头，可拍摄≥4800万像素，内置双Wi-Fi6无线模块。</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8.配套移动端教学软件支持局域网近场设备发现，依托统一身份认证体系，可实现教学应用单点免登录。</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9.Windows系统内置文件传输工具，支持进行无线文件互传。</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10.内置教学AI助手，可根据教学场景快速创建定制AI角色，支持文字、语音两种交互方式。</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11.可插拔式模块设计，CPU主频≥2.0GHz，8核12线程；内存≥16GB DDR4，硬盘≥512GB SSD；接口≥1路HDMI，≥3路USB。</w:t>
            </w:r>
            <w:r/>
          </w:p>
        </w:tc>
      </w:tr>
      <w:tr>
        <w:trPr>
          <w:trHeight w:val="39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实验台1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76" w:type="dxa"/>
            <w:vAlign w:val="center"/>
            <w:textDirection w:val="lrTb"/>
            <w:noWrap w:val="false"/>
          </w:tcPr>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规格尺寸：2100L*600W*760H（mm）</w:t>
              <w:br/>
              <w:t xml:space="preserve">1.钢木结构。2mm封边皮封边，台面颜色可以选，台面预留3个过线孔，并配置孔盖。</w:t>
              <w:br/>
              <w:t xml:space="preserve">2.实验台下方有一空腔设计。可用于放置电脑主机和线材等设备，带3个电脑主机吊架，每个吊架可安装1台主机，空间尺寸定制，底部预留穿线孔。可根据现场需要进行台面开孔。桌腿可穿插电源线，桌腿两侧安插座，电脑主机吊架内根据现场设备需求预留电源接口。</w:t>
            </w:r>
            <w:r/>
          </w:p>
        </w:tc>
      </w:tr>
      <w:tr>
        <w:trPr>
          <w:trHeight w:val="83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实验台2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76" w:type="dxa"/>
            <w:vAlign w:val="center"/>
            <w:textDirection w:val="lrTb"/>
            <w:noWrap w:val="false"/>
          </w:tcPr>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规格尺寸：1400L*600W*760H（mm）</w:t>
              <w:br/>
              <w:t xml:space="preserve">1.钢木结构。2mm封边皮封边，台面颜色可以选，台面预留2个过线孔，并配置孔盖。</w:t>
              <w:br/>
              <w:t xml:space="preserve">2.实验台下方有一空腔设计。可用于放置电脑主机和线材等设备，带2个电脑主机吊架，每个吊架可安装1台主机，空间尺寸定制，底部预留穿线孔。可根据现场需要进行台面开孔。桌腿可穿插电源线，桌腿两侧安插座，电脑主机吊架内根据现场设备需求预留电源接口。</w:t>
            </w:r>
            <w:r/>
          </w:p>
        </w:tc>
      </w:tr>
      <w:tr>
        <w:trPr>
          <w:trHeight w:val="58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实验椅1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76"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连体椅，靠背，采用一级环保PP塑料，一次性注塑成型，耐冲击，耐抗压，耐磨，达到环保要求。</w:t>
            </w:r>
            <w:r/>
          </w:p>
        </w:tc>
      </w:tr>
      <w:tr>
        <w:trPr>
          <w:trHeight w:val="8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76" w:type="dxa"/>
            <w:vAlign w:val="center"/>
            <w:textDirection w:val="lrTb"/>
            <w:noWrap w:val="false"/>
          </w:tcPr>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1.外表面采用钢琴烤漆，台面颜色可以选，台面预留两个过线孔，并配置孔盖。</w:t>
              <w:br/>
              <w:t xml:space="preserve">2.控制台下方有一空腔设计。可用于放置1台电脑主机和线材等设备，底部或侧面预留穿线孔。</w:t>
            </w:r>
            <w:r/>
          </w:p>
        </w:tc>
      </w:tr>
      <w:tr>
        <w:trPr>
          <w:trHeight w:val="11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实验椅2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76" w:type="dxa"/>
            <w:vAlign w:val="center"/>
            <w:textDirection w:val="lrTb"/>
            <w:noWrap w:val="false"/>
          </w:tcPr>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1.面料：选用麻绒，耐磨性强，阻燃，经防污处理，清洁方便。</w:t>
              <w:br/>
              <w:t xml:space="preserve">2.辅料：采用PU成型发泡高密度海绵，表面有一层保护面，可防氧化，防碎永不变形。</w:t>
              <w:br/>
              <w:t xml:space="preserve">3.脚架：五星脚盘。</w:t>
            </w:r>
            <w:r/>
          </w:p>
        </w:tc>
      </w:tr>
      <w:tr>
        <w:trPr>
          <w:trHeight w:val="31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24口接入交换机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76" w:type="dxa"/>
            <w:vAlign w:val="center"/>
            <w:textDirection w:val="lrTb"/>
            <w:noWrap w:val="false"/>
          </w:tcPr>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1.硬件性能：整机交换容量 ≥672Gbps；转发性能 ≥144Mpps （以官网最小值为准），支持POE+，POE供电功率≥375W。</w:t>
              <w:br/>
              <w:t xml:space="preserve">2.单台配置：≥24个千兆电口，≥4个千兆SFP口。</w:t>
              <w:br/>
              <w:t xml:space="preserve">3.支持sFlow功能，可以对网络上的数据包进行采样，用于对网络流量进行统计分析和控制。</w:t>
              <w:br/>
              <w:t xml:space="preserve">4.支持IPv4/IPv6静态路由、支持RIP/RIPng，OSPFV2/V3。</w:t>
              <w:br/>
              <w:t xml:space="preserve">5.支持G.8032以太网环保护协议ERPS。</w:t>
              <w:br/>
              <w:t xml:space="preserve">6.支持基于端口的认证和基于MAC的认证。</w:t>
              <w:br/>
              <w:t xml:space="preserve">7.支持10KV业务端口防雷能力。</w:t>
              <w:br/>
              <w:t xml:space="preserve">8.绿色节能，支持端</w:t>
            </w:r>
            <w:r>
              <w:rPr>
                <w:rFonts w:ascii="SimSun" w:hAnsi="SimSun" w:eastAsia="SimSun" w:cs="SimSun"/>
                <w:color w:val="000000"/>
                <w:sz w:val="24"/>
              </w:rPr>
              <w:t xml:space="preserve">口休眠，关闭没有应用的端口，节省能源。</w:t>
              <w:br/>
              <w:t xml:space="preserve">9.内置智能图形化管理功能：支持通过图形化界面设备配置及命令一键下发和版本智能升级。</w:t>
              <w:br/>
              <w:t xml:space="preserve">10.含4个原厂万兆光模块。</w:t>
            </w:r>
            <w:r/>
          </w:p>
        </w:tc>
      </w:tr>
      <w:tr>
        <w:trPr>
          <w:trHeight w:val="43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48口接入交换机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76" w:type="dxa"/>
            <w:vAlign w:val="center"/>
            <w:textDirection w:val="lrTb"/>
            <w:noWrap w:val="false"/>
          </w:tcPr>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1.硬件性能：整机交换容量 ≥672Gbps；转发性能 ≥166Mpps （以官网最小值为准）。</w:t>
              <w:br/>
              <w:t xml:space="preserve">2.单台配置：≥48个千兆电口，≥4个万兆SFP+口。</w:t>
              <w:br/>
              <w:t xml:space="preserve">3.支持sFlow功能，可以对网络上的数据包进行采样，用于对网络流量进行统计分析和控制。</w:t>
              <w:br/>
              <w:t xml:space="preserve">4.支持IPv4/IPv6静态路由、支持RIP/RIPng，OSPFV2/V3。</w:t>
              <w:br/>
              <w:t xml:space="preserve">5.支持G.8032以太网环保护协议ERPS。</w:t>
              <w:br/>
              <w:t xml:space="preserve">6.支持基于端口的认证和基于MAC的认证。</w:t>
              <w:br/>
              <w:t xml:space="preserve">7.支持10KV业务端口防雷能力。</w:t>
              <w:br/>
              <w:t xml:space="preserve">8.绿色节能，支持端口休眠，关闭没有应用的端口，节省能源。</w:t>
            </w:r>
            <w:r>
              <w:rPr>
                <w:rFonts w:ascii="SimSun" w:hAnsi="SimSun" w:eastAsia="SimSun" w:cs="SimSun"/>
                <w:color w:val="000000"/>
                <w:sz w:val="24"/>
              </w:rPr>
              <w:br/>
              <w:t xml:space="preserve">▲9.内置智能图形化管理功能：支持通过图形化界面设备配置及命令一键下发和版本智能升级。</w:t>
              <w:br/>
              <w:t xml:space="preserve">10.含4个原厂万兆光模块。</w:t>
            </w:r>
            <w:r/>
          </w:p>
        </w:tc>
      </w:tr>
      <w:tr>
        <w:trPr>
          <w:trHeight w:val="55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高密度AP</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76" w:type="dxa"/>
            <w:vAlign w:val="center"/>
            <w:textDirection w:val="lrTb"/>
            <w:noWrap w:val="false"/>
          </w:tcPr>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1.工作模式：采用整机三频八流设计，可同时工作在802.11a/b/g/n/ac/ac wave2/ax模式，其中一个射频满足2.4G射频和5G射频切换。</w:t>
              <w:br/>
              <w:t xml:space="preserve">2.接口要求：2个接口，其中1个固化100/1000M/2.5G电口，另有1个固化10M/100M/1000M电口，支持PoE out对外供电，可用于扩展物联网。</w:t>
              <w:br/>
              <w:t xml:space="preserve">3.整机协商速率：7.2Gbps，5G射频接入速率：6Gbps，2.4G射频接入速率：1.2Gbps。</w:t>
              <w:br/>
              <w:t xml:space="preserve">4.内置智能天线，蓝牙5.1/RFID/Zigbee，支持链式物联网扩展能力，最大支持5</w:t>
            </w:r>
            <w:r>
              <w:rPr>
                <w:rFonts w:ascii="SimSun" w:hAnsi="SimSun" w:eastAsia="SimSun" w:cs="SimSun"/>
                <w:color w:val="000000"/>
                <w:sz w:val="24"/>
              </w:rPr>
              <w:t xml:space="preserve">个BLE、RFID、ZigBee等全制式物联网扩展。</w:t>
              <w:br/>
              <w:t xml:space="preserve">5.整机最大接入用户数1536。</w:t>
              <w:br/>
              <w:t xml:space="preserve">6.使用Wi-Fi6真实终端接入测试，接入5GHz频段，在160MHz频宽下，单用户极限性能可达到1600Mbps以上。</w:t>
              <w:br/>
              <w:t xml:space="preserve">7.使用100米的cat5e类网线以太网口协商速率为2.5Gbps。</w:t>
              <w:br/>
              <w:t xml:space="preserve">8.含AC控制器授权。</w:t>
            </w:r>
            <w:r/>
          </w:p>
        </w:tc>
      </w:tr>
      <w:tr>
        <w:trPr>
          <w:trHeight w:val="40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机柜</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76"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1.型号：42U；规格不低于：2000（H）*600（W）*600（D）mm。</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2.含机柜PDU，规格：16A总输入，12口国标10A输出、防浪涌、2米输入线带16A输入国标插头、带总控、指示灯。</w:t>
            </w:r>
            <w:r/>
          </w:p>
        </w:tc>
      </w:tr>
      <w:tr>
        <w:trPr>
          <w:trHeight w:val="3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吸顶音箱</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76" w:type="dxa"/>
            <w:vAlign w:val="center"/>
            <w:textDirection w:val="lrTb"/>
            <w:noWrap w:val="false"/>
          </w:tcPr>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1.不低于6.5 in高输出驱动单元，白色，19 mm （0.75 in） 软球顶磁液冷却高音单元。</w:t>
              <w:br/>
              <w:t xml:space="preserve">2.合并70V/100V和低阻直通连接，8Ω 额定设置时为50 W，70V/100V时为30W，有多个功率档位，62 Hz–20 kHz带宽，110°大角度覆盖范围，91 dB高的灵敏度确保最高SPL。</w:t>
            </w:r>
            <w:r/>
          </w:p>
        </w:tc>
      </w:tr>
      <w:tr>
        <w:trPr>
          <w:trHeight w:val="1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多功能集成功放</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76" w:type="dxa"/>
            <w:vAlign w:val="center"/>
            <w:textDirection w:val="lrTb"/>
            <w:noWrap w:val="false"/>
          </w:tcPr>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1.输出功率每通道：8 Ohm 150 W 效果功放。</w:t>
              <w:br/>
              <w:t xml:space="preserve">2.内置 2 路 UHF 无线麦克风和 1 路有线麦克风输入。</w:t>
              <w:br/>
              <w:t xml:space="preserve">3.支持蓝牙和 USB 播放。</w:t>
              <w:br/>
              <w:t xml:space="preserve">4.内置语言混响效果。</w:t>
              <w:br/>
              <w:t xml:space="preserve">5.32位DSP音频数字信号处理。</w:t>
              <w:br/>
              <w:t xml:space="preserve">6.自动反馈阻止，多级可调。</w:t>
              <w:br/>
              <w:t xml:space="preserve">7.自动闪避和自动增益。</w:t>
              <w:br/>
              <w:t xml:space="preserve">8.预制四个场景模式。</w:t>
              <w:br/>
              <w:t xml:space="preserve">9.话筒通道和音乐通道均内置有7段参量均衡。</w:t>
              <w:br/>
              <w:t xml:space="preserve">10.RCA输入输出电平调整。</w:t>
              <w:br/>
              <w:t xml:space="preserve">11.不低于1 个 RCA L/R 线路输入和 1 个 RCA L/R 线路输出。</w:t>
              <w:br/>
              <w:t xml:space="preserve">12.不低于2 个 HDMI 输入和 1 个 HDMI A</w:t>
            </w:r>
            <w:r>
              <w:rPr>
                <w:rFonts w:ascii="SimSun" w:hAnsi="SimSun" w:eastAsia="SimSun" w:cs="SimSun"/>
                <w:color w:val="000000"/>
                <w:sz w:val="24"/>
              </w:rPr>
              <w:t xml:space="preserve">RC 输出。</w:t>
              <w:br/>
              <w:t xml:space="preserve">13.信噪比：≥85dB，RCA输入，8欧姆 A计权。</w:t>
              <w:br/>
              <w:t xml:space="preserve">14.频率响应：RCA输入，8欧姆 1w -1dB-+1dB。</w:t>
              <w:br/>
              <w:t xml:space="preserve">15.失真：≤1%。</w:t>
              <w:br/>
              <w:t xml:space="preserve">16.增益：不低于44dB/41dB RCA输入。</w:t>
            </w:r>
            <w:r/>
          </w:p>
        </w:tc>
      </w:tr>
      <w:tr>
        <w:trPr>
          <w:trHeight w:val="174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无线手持话筒</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76" w:type="dxa"/>
            <w:vAlign w:val="center"/>
            <w:textDirection w:val="lrTb"/>
            <w:noWrap w:val="false"/>
          </w:tcPr>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1.动态超心形胶囊将焦点对准扬声器，并较大程度地减少外来声音。</w:t>
              <w:br/>
              <w:t xml:space="preserve">2.电池续航时间不低于12小时。</w:t>
              <w:br/>
              <w:t xml:space="preserve">3.液晶屏显示电池电量，频率/通道，静音。</w:t>
              <w:br/>
              <w:t xml:space="preserve">4.一键式同步将麦克风和放大器无缝配对，实现速度适宜，轻松的设置。</w:t>
              <w:br/>
              <w:t xml:space="preserve">5.一对一静音按钮。</w:t>
              <w:br/>
              <w:t xml:space="preserve">6.红外同步传感器。</w:t>
            </w:r>
            <w:r/>
          </w:p>
        </w:tc>
      </w:tr>
      <w:tr>
        <w:trPr>
          <w:trHeight w:val="197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管理软件</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76" w:type="dxa"/>
            <w:vAlign w:val="center"/>
            <w:textDirection w:val="lrTb"/>
            <w:noWrap w:val="false"/>
          </w:tcPr>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B/S管理架构，可通过移动设备通过网页方式对机房进行远程管理，包括远程开关机、时间同步、系统切换、消息广播等操作，可对电脑本地硬盘操作系统（xp\win7\win8\win10\linux）的立即还原和还原点瞬间创建。</w:t>
              <w:br/>
              <w:t xml:space="preserve">▲2.支持SSD硬盘和机械硬盘双硬盘保护模式和同传。</w:t>
              <w:br/>
              <w:t xml:space="preserve">3.支持MBR分区系统和GPT分区系统混合安装，可支持60个以上的不同操作系统。</w:t>
              <w:br/>
              <w:t xml:space="preserve">4.支持从Windows界面对1000台及以上的电脑进行数据差异拷贝，非增量拷贝、变量拷贝、进度同步等上一代部署方式。根据网络状况可选择广播、组播</w:t>
            </w:r>
            <w:r>
              <w:rPr>
                <w:rFonts w:ascii="SimSun" w:hAnsi="SimSun" w:eastAsia="SimSun" w:cs="SimSun"/>
                <w:color w:val="000000"/>
                <w:sz w:val="24"/>
              </w:rPr>
              <w:t xml:space="preserve">、单播等方式。</w:t>
              <w:br/>
              <w:t xml:space="preserve">5.支持操作系统分权管理，可分配不同的管理员管理不同的操作系统。</w:t>
              <w:br/>
              <w:t xml:space="preserve">6.支持批量修改Windows用户登录名、计算机名和IP地址以及对3DMAX、CAD等图形设计、工程设计类软件的统一注册，无需手动逐台激活。</w:t>
            </w:r>
            <w:r/>
          </w:p>
        </w:tc>
      </w:tr>
      <w:tr>
        <w:trPr>
          <w:trHeight w:val="3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摄像头</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76" w:type="dxa"/>
            <w:vAlign w:val="center"/>
            <w:textDirection w:val="lrTb"/>
            <w:noWrap w:val="false"/>
          </w:tcPr>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1.400万 1/3" CMOS ICR 红外阵列半球型网络摄像机。</w:t>
              <w:br/>
              <w:t xml:space="preserve">2.最低照度：彩色：0.005 Lux @（F1.2， AGC ON），0 Lux with IR。</w:t>
              <w:br/>
              <w:t xml:space="preserve">3.宽动态：数字宽动态。</w:t>
              <w:br/>
              <w:t xml:space="preserve">4.调节角度：水平：0°~360°。</w:t>
              <w:br/>
              <w:t xml:space="preserve">5.垂直：0°~75°。</w:t>
              <w:br/>
              <w:t xml:space="preserve">6.旋转：0°~360°。</w:t>
              <w:br/>
              <w:t xml:space="preserve">7.镜头焦距&amp;视场角：2.8 mm：水平视场角：94°，垂直视场角：49°，对角视场角：114°；</w:t>
              <w:br/>
              <w:t xml:space="preserve">8 mm，水平视场角：37.5°，垂直视场角：20.7°，对角视场角：43.3°。</w:t>
              <w:br/>
              <w:t xml:space="preserve">8.补光距离：最远可达30m。</w:t>
              <w:br/>
              <w:t xml:space="preserve">9.波</w:t>
            </w:r>
            <w:r>
              <w:rPr>
                <w:rFonts w:ascii="SimSun" w:hAnsi="SimSun" w:eastAsia="SimSun" w:cs="SimSun"/>
                <w:color w:val="000000"/>
                <w:sz w:val="24"/>
              </w:rPr>
              <w:t xml:space="preserve">长范围：850nm。</w:t>
              <w:br/>
              <w:t xml:space="preserve">10.防补光过曝：支持。</w:t>
              <w:br/>
              <w:t xml:space="preserve">11.补光灯类型：红外灯。</w:t>
              <w:br/>
              <w:t xml:space="preserve">12.最大图像尺寸：2560×1440。</w:t>
              <w:br/>
              <w:t xml:space="preserve">13.视频压缩标准：主码流：H.265/H.264。</w:t>
              <w:br/>
              <w:t xml:space="preserve">14.支持RTMP、RTSP等标准网络协议，支持ONVIF控制协议，支持H.264/AAC等通用视频编码标准。</w:t>
              <w:br/>
              <w:t xml:space="preserve">15.可通过学校校园网统一访问，通过学校多媒体管控平台统一运维管理。</w:t>
            </w:r>
            <w:r/>
          </w:p>
        </w:tc>
      </w:tr>
      <w:tr>
        <w:trPr>
          <w:trHeight w:val="2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系统集成</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76" w:type="dxa"/>
            <w:vAlign w:val="center"/>
            <w:textDirection w:val="lrTb"/>
            <w:noWrap w:val="false"/>
          </w:tcPr>
          <w:p>
            <w:pPr>
              <w:ind w:left="0" w:right="0" w:firstLine="0"/>
              <w:jc w:val="lef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45个网络布点；含六类非屏蔽4对双绞线、24口RJ45配线架、网络跳线等，满足学生工位网络点≥1个，教师工位网络点≥2个，显示大屏网络点≥1个，教学多媒体设备有专用网络信息点。</w:t>
            </w:r>
            <w:r/>
          </w:p>
        </w:tc>
      </w:tr>
      <w:tr>
        <w:trPr>
          <w:trHeight w:val="88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3P吸顶空调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76"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额定制冷量不低于7200；额定制热量不低于8000；循环风量不低于1260；全年能源消耗效率不低于4.6；噪声（室外）不高于55；噪声（室内）不高于42；额定电源：220V~/50Hz。</w:t>
            </w:r>
            <w:r/>
          </w:p>
        </w:tc>
      </w:tr>
    </w:tbl>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（2）投标人的任何错漏、优惠、竞争性报价不得作为减轻责任、减少服务、增加收费、降低服务质量的理由。</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（3）投标人报价除包含招标文件中列明的项目外，还应包括保障产品正常使用应当具有的物资和服务，对产品正常使用应当具有的物资和服务理解不一致的以采购人理解为准。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2.实施要求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（1）总体要求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后供应商须提供完整成套的标准化设备方案，保证各设备间软硬件兼容互通。供应商须完成设备送货、安装、调试、部署一站式服务，同步配套完整教学资源，确保设备进场后可快速投入课程实验、科研项目及学科竞赛使用。</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（2）质量要求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所有设备需为全新原装正品、未拆封未使用的全新产品，符合国家行业标准及高校教学设备技术规范，性能稳定、安全可靠，适配长期高频次教学实训使用。供应商须提供正规质保服务，质保期内提供维修、更换、系统升级及技术答疑服务，保障教学科研工作不间断开展，费用包含在投标总价中。</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所投产品安装调试完成正常运行7天后，由供应商提出验收申请，项目单位同意后，按照采购方验收的权限，相关部门及人员形成验收小组，验收小组根据采购文件、投标文件、合同等项目文件约定内容对项目进行综合运行验收。包含并不限于如下：①原厂原包装；②包装完好；③设备清单与响应文件一致。</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如验收达不到规定要求，采购人有权要求更换货物或拒绝付款，成交供应商若违约，采购人将依法追究相应法律责任。</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（4）质保及售后要求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①本项目质保期三年，招标文件中另有约定的，从其约定（自验收合格之日起，进入质保期）；质保期内，每年维护保养1次，维护保养及更换损坏件的费用包含在投标总价中。</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③质保期内换件和维修（人为因素除外）费用包含在总报价中，质保期外提供不高于市场价格的终身维护。中标后提供质保期外配件价格明细表。</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（5）培训要求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对采购人相关使用人员进行集中培训，包括但不限于硬件设备使用、软件功能讲解等，集中培训次数以采购人实际需要为准；供应商须根据采购人实际工作需要，对产品硬件及软件使用人员进行点对点单独培训等，相关费用包含在本次报价中。</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（6）人员要求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供应商须组建不少于4人的项目实施团队，其中包括项目负责人1人，技术负责人1人，技术运维人员不少于2人。</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3.付款条件</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以第三章合同文本内容为准。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4.交付时间及地点</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（1）交付时间：合同签订后20天内交付并完成安装调试及验收等相关工作。</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（2）交付地点：采购人指定地点。</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5.履约保证金</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以第三章合同文本内容为准。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6.其他要求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招标文件中要求提供证明材料的，投标人签订合同时应按招标文件要求和投标文件响应内容向采购人提供相应证明材料原件核验，否则采购人将取消其中标资格。</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评标方法与评标标准中涉及的相关证明材料，应在投标文件中提供，并由评审委员会在评审现场予以确认，否则无法得到相应分值。投标人在签订合同应按采购人要求提供上述相关证明材料原件供采购人核验，否则采购人将取消其中标资格。</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（三）演示要求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1.视频文件的格式为*.mp4或*.avi，投标人须将视频文件压缩为*.zip文件上传（单个文件不得大于50M，所有文件合计不得大于300M）。文件上传方式见苏采云系统操作指南，上传的演示视频将作为投标文件的组成部分。</w:t>
      </w:r>
      <w:r/>
    </w:p>
    <w:p>
      <w:pPr>
        <w:ind w:left="0" w:right="0" w:firstLine="48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2.演示内容及演示时长详见“第五章  评标方法与评标标准”。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第五章评标方法与评标标准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一、评标方法</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评标结果按评审后得分由高到低顺序排列。得分相同的，按投标报价由低到高顺序排列。得分且投标报价相同的，按“评标标准-2.技术”得分由高到低顺序排列。在投标文件满足招标文件全部实质性要求的投标人中，按照评审得分由高到低推荐3名中标候选人。</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2.核心产品评审。多家投标人提供的核心产品品牌相同的，按一家投标人计算，评审后得分最高的同品牌投标人获得中标人推荐资格。</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二、本国产品价格扣除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1.本项目如既有本国产品又有非本国产品参与竞争，依法对本国产品给予价格评审优惠，对本国产品的报价给予20%的价格扣除，用扣除后的价格参与评审。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当采购项目或者采购包的采购标的中含有多种产品，投标人为该采购项目或者采购包提供的符合本国产品标准的产品成本之和占该投标人提供的全部产品成本之和的比例达到80%以上时，</w:t>
      </w:r>
      <w:r>
        <w:rPr>
          <w:rFonts w:ascii="SimSun" w:hAnsi="SimSun" w:eastAsia="SimSun" w:cs="SimSun"/>
          <w:b/>
          <w:color w:val="000000"/>
          <w:sz w:val="24"/>
        </w:rPr>
        <w:t xml:space="preserve">且投标人在投标文件中对此作出承诺的（按照招标文件要求在《投标分项报价表》中作出承诺），</w:t>
      </w:r>
      <w:r>
        <w:rPr>
          <w:rFonts w:ascii="SimSun" w:hAnsi="SimSun" w:eastAsia="SimSun" w:cs="SimSun"/>
          <w:color w:val="000000"/>
          <w:sz w:val="24"/>
        </w:rPr>
        <w:t xml:space="preserve">则依法对该投标人提供的全部产品给予价格评审优惠，即对该投标人提供的全部产品的总报价给予20%的价格扣除，用扣除后的价格参与评审。</w:t>
      </w:r>
      <w:r>
        <w:rPr>
          <w:rFonts w:ascii="SimSun" w:hAnsi="SimSun" w:eastAsia="SimSun" w:cs="SimSun"/>
          <w:b/>
          <w:color w:val="000000"/>
          <w:sz w:val="24"/>
        </w:rPr>
        <w:t xml:space="preserve">全部产品是指货物或服务采购项目或采购包中包含的全部货物、服务产品。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需按照招标文件要求提供《关于符合本国产品标准的声明函》，如不提供将不享受本国产品价格评审优惠。投标人需在《声明函》中逐项准确填写产品名称、厂名、生产厂址三项信息，三项信息中任意一项未填写的视为该项产品不符合本国产品标准，不享受本国产品价格评审优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对本国产品的支持政策与政府采购支持中小企业、节能环保等优惠政策叠加适用，对应执行价格扣除政策的项目，统一在原报价的基础上给予价格扣除。</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三、小微企业价格扣除</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1.本项目全部货物制造商为小微企业的，对报价给予10%的扣除，用扣除后的价格参与评审。</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性单位、监狱企业属于小型、微型企业的，不重复享受价格扣除。</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四、评标标准</w:t>
      </w: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6"/>
        <w:gridCol w:w="1144"/>
        <w:gridCol w:w="6143"/>
        <w:gridCol w:w="629"/>
        <w:gridCol w:w="874"/>
      </w:tblGrid>
      <w:tr>
        <w:trPr>
          <w:trHeight w:val="48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6" w:type="dxa"/>
            <w:vAlign w:val="top"/>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44" w:type="dxa"/>
            <w:vAlign w:val="top"/>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143" w:type="dxa"/>
            <w:vAlign w:val="top"/>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评审细则</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29" w:type="dxa"/>
            <w:vAlign w:val="top"/>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分值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74" w:type="dxa"/>
            <w:vAlign w:val="top"/>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类型</w:t>
            </w:r>
            <w:r/>
          </w:p>
        </w:tc>
      </w:tr>
      <w:tr>
        <w:trPr>
          <w:trHeight w:val="468"/>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114" w:right="0" w:firstLine="0"/>
              <w:jc w:val="both"/>
              <w:spacing w:before="122"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1.价</w:t>
            </w:r>
            <w:r>
              <w:rPr>
                <w:rFonts w:ascii="SimSun" w:hAnsi="SimSun" w:eastAsia="SimSun" w:cs="SimSun"/>
                <w:b/>
                <w:color w:val="000000"/>
                <w:spacing w:val="-2"/>
                <w:sz w:val="21"/>
              </w:rPr>
              <w:t xml:space="preserve">格</w:t>
            </w:r>
            <w:r/>
          </w:p>
        </w:tc>
      </w:tr>
      <w:tr>
        <w:trPr>
          <w:trHeight w:val="61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w:t>
            </w:r>
            <w:r>
              <w:rPr>
                <w:rFonts w:ascii="SimSun" w:hAnsi="SimSun" w:eastAsia="SimSun" w:cs="SimSun"/>
                <w:color w:val="000000"/>
                <w:spacing w:val="-5"/>
                <w:sz w:val="21"/>
              </w:rPr>
              <w:t xml:space="preserve">.1</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价格分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143"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r>
      <w:tr>
        <w:trPr>
          <w:trHeight w:val="468"/>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114" w:right="0" w:firstLine="0"/>
              <w:jc w:val="both"/>
              <w:spacing w:before="123"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2.技术</w:t>
            </w:r>
            <w:r/>
          </w:p>
        </w:tc>
      </w:tr>
      <w:tr>
        <w:trPr>
          <w:trHeight w:val="90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2.1</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产品技术参数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143"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产品技术参数全部满足招标文件技术要求的得满分，打★指标为必须满足项，如有负偏离将作为无效投标，打▲指标（11项）为重要指标，有1项负偏离扣0.6分，其余指标（234项）有1项负偏离扣0.1分。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w:t>
            </w:r>
            <w:r>
              <w:rPr>
                <w:rFonts w:ascii="SimSun" w:hAnsi="SimSun" w:eastAsia="SimSun" w:cs="SimSun"/>
                <w:color w:val="000000"/>
                <w:spacing w:val="-4"/>
                <w:sz w:val="21"/>
              </w:rPr>
              <w:t xml:space="preserve">观分</w:t>
            </w:r>
            <w:r/>
          </w:p>
        </w:tc>
      </w:tr>
      <w:tr>
        <w:trPr>
          <w:trHeight w:val="90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视频演示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43"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评委根据投标人提供的演示视频（总演示时间不超过10分钟）综合评分。演示视频包括以下内容：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（一）电子取证实训平台产品/竞赛管理模块（6分）：</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1.需支持监控异常答案，包括与其他答题人的错误答案相同、与其他组试卷同题号题目的正确答案相同。</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2.需支持设置是否要求人脸识别认证、绑定唯一设备浏览器登录、答题过程中若打开其他软件进行警告，识别光标未移动时长，若长时间鼠标未移动，警告后自动退出竞赛。</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3.需支持设置启用监控小助手，监控用户设备的USB、Wi-Fi、录屏软件状态。</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以上每小项成功演示全部内容得2分，每小项内容缺失或未提供演示不得分。</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（二）取证一体化工作站产品/证据分析模块（6分）：</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1.支持自主选择多种分析模式，包括在同一案件中支持单独手机检材分析模式、介质和手机检材的融合分析；支持通过关键词搜索分析数据；支持涉案预警分析（通过内置关键词库对检材所有数据（短信、 应用、基本信息）进行检查，研判结果包括涉黄、涉密、涉赌等，可以自定义关键词库），支持实体分析（针对检材中的数据，包括手机号、身份证、邮箱、车牌号、银行卡、网址等进行统计，并可以查看来源）。</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2.需支持联动本地AI管理系统，用户可自定义设置AI服务与模型；通过“AI助手”功能，可实现全案信息智能问答，并以思维导图形式呈现。</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3.支持涉案预警功能，通过对检材内的信息进行关键词和AI语义预警，预警结果可导出到报告。</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采用类似真实系统演示，每小项功能完整准确演示得2分，最多得12分；</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采用系统原型（</w:t>
            </w:r>
            <w:r>
              <w:rPr>
                <w:rFonts w:ascii="Times New Roman" w:hAnsi="Times New Roman" w:eastAsia="Times New Roman" w:cs="Times New Roman"/>
                <w:color w:val="000000"/>
                <w:sz w:val="21"/>
              </w:rPr>
              <w:t xml:space="preserve">DEMO</w:t>
            </w:r>
            <w:r>
              <w:rPr>
                <w:rFonts w:ascii="SimSun" w:hAnsi="SimSun" w:eastAsia="SimSun" w:cs="SimSun"/>
                <w:color w:val="000000"/>
                <w:sz w:val="21"/>
              </w:rPr>
              <w:t xml:space="preserve">）演示，每小项功能完整准确演示得1分，最多得6分；</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采用PPT等方式演示，每小项功能完整准确演示得0.5分，最多得3分。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（未提供视频文件或因投标人自身原因视频文件无法打开或视频画面不清晰无法辨认的不得分。）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客观分</w:t>
            </w:r>
            <w:r/>
          </w:p>
        </w:tc>
      </w:tr>
      <w:tr>
        <w:trPr>
          <w:trHeight w:val="48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center"/>
            <w:textDirection w:val="lrTb"/>
            <w:noWrap w:val="false"/>
          </w:tcPr>
          <w:p>
            <w:pPr>
              <w:ind w:left="0" w:right="0" w:firstLine="0"/>
              <w:jc w:val="both"/>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3.服务</w:t>
            </w:r>
            <w:r/>
          </w:p>
        </w:tc>
      </w:tr>
      <w:tr>
        <w:trPr>
          <w:trHeight w:val="67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3.1</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1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根据本项目采购需求编制方案，内容包含：</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供货进度保证措施；</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质量保证措施；</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协调配合措施；</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安装调试方案。以上每项内容逐项评分：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方案内容</w:t>
            </w:r>
            <w:r>
              <w:rPr>
                <w:rFonts w:ascii="SimSun" w:hAnsi="SimSun" w:eastAsia="SimSun" w:cs="SimSun"/>
                <w:color w:val="000000"/>
                <w:sz w:val="21"/>
              </w:rPr>
              <w:t xml:space="preserve">完整、合理、具有操作性，且</w:t>
            </w:r>
            <w:r>
              <w:rPr>
                <w:rFonts w:ascii="Times New Roman" w:hAnsi="Times New Roman" w:eastAsia="Times New Roman" w:cs="Times New Roman"/>
                <w:color w:val="000000"/>
                <w:sz w:val="21"/>
              </w:rPr>
              <w:t xml:space="preserve">专门针对本项目，</w:t>
            </w:r>
            <w:r>
              <w:rPr>
                <w:rFonts w:ascii="SimSun" w:hAnsi="SimSun" w:eastAsia="SimSun" w:cs="SimSun"/>
                <w:color w:val="000000"/>
                <w:sz w:val="21"/>
              </w:rPr>
              <w:t xml:space="preserve">契合</w:t>
            </w:r>
            <w:r>
              <w:rPr>
                <w:rFonts w:ascii="Times New Roman" w:hAnsi="Times New Roman" w:eastAsia="Times New Roman" w:cs="Times New Roman"/>
                <w:color w:val="000000"/>
                <w:sz w:val="21"/>
              </w:rPr>
              <w:t xml:space="preserve">采购需求视为符合；方案内容属于通用类，非专门针对本项目，部分</w:t>
            </w:r>
            <w:r>
              <w:rPr>
                <w:rFonts w:ascii="SimSun" w:hAnsi="SimSun" w:eastAsia="SimSun" w:cs="SimSun"/>
                <w:color w:val="000000"/>
                <w:sz w:val="21"/>
              </w:rPr>
              <w:t xml:space="preserve">契合采购需求</w:t>
            </w:r>
            <w:r>
              <w:rPr>
                <w:rFonts w:ascii="Times New Roman" w:hAnsi="Times New Roman" w:eastAsia="Times New Roman" w:cs="Times New Roman"/>
                <w:color w:val="000000"/>
                <w:sz w:val="21"/>
              </w:rPr>
              <w:t xml:space="preserve">视为部分符合；方案内容非专门针对本项目</w:t>
            </w:r>
            <w:r>
              <w:rPr>
                <w:rFonts w:ascii="SimSun" w:hAnsi="SimSun" w:eastAsia="SimSun" w:cs="SimSun"/>
                <w:color w:val="000000"/>
                <w:sz w:val="21"/>
              </w:rPr>
              <w:t xml:space="preserve">，脱离</w:t>
            </w:r>
            <w:r>
              <w:rPr>
                <w:rFonts w:ascii="Times New Roman" w:hAnsi="Times New Roman" w:eastAsia="Times New Roman" w:cs="Times New Roman"/>
                <w:color w:val="000000"/>
                <w:sz w:val="21"/>
              </w:rPr>
              <w:t xml:space="preserve">采购需求视为不符合。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上述每项内容</w:t>
            </w:r>
            <w:r>
              <w:rPr>
                <w:rFonts w:ascii="Times New Roman" w:hAnsi="Times New Roman" w:eastAsia="Times New Roman" w:cs="Times New Roman"/>
                <w:color w:val="000000"/>
                <w:sz w:val="21"/>
              </w:rPr>
              <w:t xml:space="preserve">符合得2分；部分符合得1分；不符合或不提供不得分。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67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根据本项目采购需求编制方案，内容包含：</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售后服务内容；</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故障解决方案；</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售后服务体系；</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应急处理方案。以上每项内容逐项评分：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方案内容</w:t>
            </w:r>
            <w:r>
              <w:rPr>
                <w:rFonts w:ascii="SimSun" w:hAnsi="SimSun" w:eastAsia="SimSun" w:cs="SimSun"/>
                <w:color w:val="000000"/>
                <w:sz w:val="21"/>
              </w:rPr>
              <w:t xml:space="preserve">完整、合理、具有操作性，且</w:t>
            </w:r>
            <w:r>
              <w:rPr>
                <w:rFonts w:ascii="Times New Roman" w:hAnsi="Times New Roman" w:eastAsia="Times New Roman" w:cs="Times New Roman"/>
                <w:color w:val="000000"/>
                <w:sz w:val="21"/>
              </w:rPr>
              <w:t xml:space="preserve">专门针对本项目，</w:t>
            </w:r>
            <w:r>
              <w:rPr>
                <w:rFonts w:ascii="SimSun" w:hAnsi="SimSun" w:eastAsia="SimSun" w:cs="SimSun"/>
                <w:color w:val="000000"/>
                <w:sz w:val="21"/>
              </w:rPr>
              <w:t xml:space="preserve">契合</w:t>
            </w:r>
            <w:r>
              <w:rPr>
                <w:rFonts w:ascii="Times New Roman" w:hAnsi="Times New Roman" w:eastAsia="Times New Roman" w:cs="Times New Roman"/>
                <w:color w:val="000000"/>
                <w:sz w:val="21"/>
              </w:rPr>
              <w:t xml:space="preserve">采购需求视为符合；方案内容属于通用类，非专门针对本项目，部分</w:t>
            </w:r>
            <w:r>
              <w:rPr>
                <w:rFonts w:ascii="SimSun" w:hAnsi="SimSun" w:eastAsia="SimSun" w:cs="SimSun"/>
                <w:color w:val="000000"/>
                <w:sz w:val="21"/>
              </w:rPr>
              <w:t xml:space="preserve">契合采购需求</w:t>
            </w:r>
            <w:r>
              <w:rPr>
                <w:rFonts w:ascii="Times New Roman" w:hAnsi="Times New Roman" w:eastAsia="Times New Roman" w:cs="Times New Roman"/>
                <w:color w:val="000000"/>
                <w:sz w:val="21"/>
              </w:rPr>
              <w:t xml:space="preserve">视为部分符合；方案内容非专门针对本项目</w:t>
            </w:r>
            <w:r>
              <w:rPr>
                <w:rFonts w:ascii="SimSun" w:hAnsi="SimSun" w:eastAsia="SimSun" w:cs="SimSun"/>
                <w:color w:val="000000"/>
                <w:sz w:val="21"/>
              </w:rPr>
              <w:t xml:space="preserve">，脱离</w:t>
            </w:r>
            <w:r>
              <w:rPr>
                <w:rFonts w:ascii="Times New Roman" w:hAnsi="Times New Roman" w:eastAsia="Times New Roman" w:cs="Times New Roman"/>
                <w:color w:val="000000"/>
                <w:sz w:val="21"/>
              </w:rPr>
              <w:t xml:space="preserve">采购需求视为不符合。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上述每项内容</w:t>
            </w:r>
            <w:r>
              <w:rPr>
                <w:rFonts w:ascii="Times New Roman" w:hAnsi="Times New Roman" w:eastAsia="Times New Roman" w:cs="Times New Roman"/>
                <w:color w:val="000000"/>
                <w:sz w:val="21"/>
              </w:rPr>
              <w:t xml:space="preserve">符合得2分；部分符合得1分；不符合或不提供不得分。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67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根据本项目采购需求编制方案，内容包含：</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培训内容；</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培训日程安排及培训时长；</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培训质量保障措施。以上每项内容逐项评分：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方案内容</w:t>
            </w:r>
            <w:r>
              <w:rPr>
                <w:rFonts w:ascii="SimSun" w:hAnsi="SimSun" w:eastAsia="SimSun" w:cs="SimSun"/>
                <w:color w:val="000000"/>
                <w:sz w:val="21"/>
              </w:rPr>
              <w:t xml:space="preserve">完整、合理、具有操作性，且</w:t>
            </w:r>
            <w:r>
              <w:rPr>
                <w:rFonts w:ascii="Times New Roman" w:hAnsi="Times New Roman" w:eastAsia="Times New Roman" w:cs="Times New Roman"/>
                <w:color w:val="000000"/>
                <w:sz w:val="21"/>
              </w:rPr>
              <w:t xml:space="preserve">专门针对本项目，</w:t>
            </w:r>
            <w:r>
              <w:rPr>
                <w:rFonts w:ascii="SimSun" w:hAnsi="SimSun" w:eastAsia="SimSun" w:cs="SimSun"/>
                <w:color w:val="000000"/>
                <w:sz w:val="21"/>
              </w:rPr>
              <w:t xml:space="preserve">契合</w:t>
            </w:r>
            <w:r>
              <w:rPr>
                <w:rFonts w:ascii="Times New Roman" w:hAnsi="Times New Roman" w:eastAsia="Times New Roman" w:cs="Times New Roman"/>
                <w:color w:val="000000"/>
                <w:sz w:val="21"/>
              </w:rPr>
              <w:t xml:space="preserve">采购需求视为符合；方案内容属于通用类，非专门针对本项目，部分</w:t>
            </w:r>
            <w:r>
              <w:rPr>
                <w:rFonts w:ascii="SimSun" w:hAnsi="SimSun" w:eastAsia="SimSun" w:cs="SimSun"/>
                <w:color w:val="000000"/>
                <w:sz w:val="21"/>
              </w:rPr>
              <w:t xml:space="preserve">契合采购需求</w:t>
            </w:r>
            <w:r>
              <w:rPr>
                <w:rFonts w:ascii="Times New Roman" w:hAnsi="Times New Roman" w:eastAsia="Times New Roman" w:cs="Times New Roman"/>
                <w:color w:val="000000"/>
                <w:sz w:val="21"/>
              </w:rPr>
              <w:t xml:space="preserve">视为部分符合；方案内容非专门针对本项目</w:t>
            </w:r>
            <w:r>
              <w:rPr>
                <w:rFonts w:ascii="SimSun" w:hAnsi="SimSun" w:eastAsia="SimSun" w:cs="SimSun"/>
                <w:color w:val="000000"/>
                <w:sz w:val="21"/>
              </w:rPr>
              <w:t xml:space="preserve">，脱离</w:t>
            </w:r>
            <w:r>
              <w:rPr>
                <w:rFonts w:ascii="Times New Roman" w:hAnsi="Times New Roman" w:eastAsia="Times New Roman" w:cs="Times New Roman"/>
                <w:color w:val="000000"/>
                <w:sz w:val="21"/>
              </w:rPr>
              <w:t xml:space="preserve">采购需求视为不符合。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上述每项内容</w:t>
            </w:r>
            <w:r>
              <w:rPr>
                <w:rFonts w:ascii="Times New Roman" w:hAnsi="Times New Roman" w:eastAsia="Times New Roman" w:cs="Times New Roman"/>
                <w:color w:val="000000"/>
                <w:sz w:val="21"/>
              </w:rPr>
              <w:t xml:space="preserve">符合得2分；部分符合得1分；不符合或不提供不得分。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3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0" w:right="0" w:firstLine="0"/>
              <w:jc w:val="both"/>
              <w:spacing w:before="123"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4.履约能力</w:t>
            </w:r>
            <w:r/>
          </w:p>
        </w:tc>
      </w:tr>
      <w:tr>
        <w:trPr>
          <w:trHeight w:val="37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4.1</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both"/>
              <w:spacing w:before="69"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履约能力1</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143"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投标人拟投入本项目的项目经理具有信息系统项目管理师、ITSS IT服务项目经理、注册信息安全专业人员（CISP），每提供一个证书得1分，最多得3分。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注：提供人员有效证书及投标人为其缴纳的2026年3月以来任意一个月的社保证明材料，缺一不可。</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w:t>
            </w:r>
            <w:r>
              <w:rPr>
                <w:rFonts w:ascii="SimSun" w:hAnsi="SimSun" w:eastAsia="SimSun" w:cs="SimSun"/>
                <w:color w:val="000000"/>
                <w:spacing w:val="-4"/>
                <w:sz w:val="21"/>
              </w:rPr>
              <w:t xml:space="preserve">观分</w:t>
            </w:r>
            <w:r/>
          </w:p>
        </w:tc>
      </w:tr>
      <w:tr>
        <w:trPr>
          <w:trHeight w:val="37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4.2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both"/>
              <w:spacing w:before="69"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履约能力2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43"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投标人拟投入本项目的技术负责人具有高级工程师（电子信息类）、ITSS IT服务工程师、CISAW信息安全保障人员-安全集成证书，每提供一个证书得1分，最多得3分。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注：提供人员有效证书及投标人为其缴纳的2026年3月以来任意一个月的社保证明材料，缺一不可。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客观分</w:t>
            </w:r>
            <w:r/>
          </w:p>
        </w:tc>
      </w:tr>
      <w:tr>
        <w:trPr>
          <w:trHeight w:val="48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合</w:t>
            </w:r>
            <w:r>
              <w:rPr>
                <w:rFonts w:ascii="SimSun" w:hAnsi="SimSun" w:eastAsia="SimSun" w:cs="SimSun"/>
                <w:color w:val="000000"/>
                <w:spacing w:val="-2"/>
                <w:sz w:val="21"/>
              </w:rPr>
              <w:t xml:space="preserve">计</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87" w:type="dxa"/>
            <w:vAlign w:val="center"/>
            <w:textDirection w:val="lrTb"/>
            <w:noWrap w:val="false"/>
          </w:tcPr>
          <w:p>
            <w:pPr>
              <w:ind w:left="172" w:right="0" w:firstLine="0"/>
              <w:jc w:val="center"/>
              <w:spacing w:before="123"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03"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100分</w:t>
            </w:r>
            <w:r/>
          </w:p>
        </w:tc>
      </w:tr>
    </w:tbl>
    <w:p>
      <w:pPr>
        <w:shd w:val="nil" w:color="auto"/>
        <w:rPr>
          <w:rFonts w:ascii="Times New Roman" w:hAnsi="Times New Roman" w:eastAsia="Times New Roman" w:cs="Times New Roman"/>
          <w:sz w:val="21"/>
          <w:szCs w:val="21"/>
        </w:rPr>
      </w:pPr>
      <w:r>
        <w:rPr>
          <w:rFonts w:ascii="Arial" w:hAnsi="Arial" w:eastAsia="Arial" w:cs="Arial"/>
          <w:color w:val="000000"/>
          <w:sz w:val="36"/>
          <w:highlight w:val="none"/>
        </w:rPr>
        <w:br w:type="page" w:clear="all"/>
      </w:r>
      <w:r>
        <w:rPr>
          <w:rFonts w:ascii="Arial" w:hAnsi="Arial" w:eastAsia="Arial" w:cs="Arial"/>
          <w:color w:val="000000"/>
          <w:sz w:val="36"/>
          <w:highlight w:val="none"/>
        </w:rPr>
      </w: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（加盖电子公章）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一、信用承诺函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二、法定代表人授权委托书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三、投标函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五、核心产品品牌一览表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六、投标分项报价表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八、商务要求响应及偏离表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九、中小企业声明函（如有）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十、残疾人福利性单位声明函（如有）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十一、联合体协议（如有）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十二、关于符合本国产品标准的声明函（如有）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十三、分包情况说明及分包意向协议（如有）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信用承诺函</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（投标人名称）郑重承诺，我公司（单位）符合下列要求：</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（三）具有履行合同所必需的设备和专业技术能力；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（四）有依法缴纳税收和社会保障资金的良好记录；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（六）我公司（单位）已知晓：单位负责人为同一人或者存在直接控股、管理关系的不同投标人，不得参加同一合同项下的政府采购活动；</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（七）未参加此项目的整体设计、规范编制或者项目管理、监理、检测等服务。</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如果我公司（单位）中标，将在中标结果公示后七个工作日内向采购人提供下列材料核验：</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1.营业执照副本或事业单位法人登记证书或其他证明材料；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4.参加本次政府采购活动前一年内至少一个月依法缴纳税收和社会保障资金的证明材料。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我公司（单位）对上述承诺内容的真实性、合法性、有效性负责，如有虚假，将依法承担相应责任。</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6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二、法定代表人授权委托书</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法定代表人授权委托书</w:t>
      </w:r>
      <w:r/>
    </w:p>
    <w:p>
      <w:pPr>
        <w:ind w:left="0" w:right="0"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（投标人名称）的法定代表人（单位负责人），现代表我单位授权委托</w:t>
      </w:r>
      <w:r>
        <w:rPr>
          <w:rFonts w:ascii="SimSun" w:hAnsi="SimSun" w:eastAsia="SimSun" w:cs="SimSun"/>
          <w:color w:val="000000"/>
          <w:sz w:val="24"/>
          <w:u w:val="single"/>
        </w:rPr>
        <w:t xml:space="preserve">    </w:t>
      </w:r>
      <w:r>
        <w:rPr>
          <w:rFonts w:ascii="SimSun" w:hAnsi="SimSun" w:eastAsia="SimSun" w:cs="SimSun"/>
          <w:color w:val="000000"/>
          <w:sz w:val="24"/>
        </w:rPr>
        <w:t xml:space="preserve">（姓名，职务）为我方合法代理人参加</w:t>
      </w:r>
      <w:r>
        <w:rPr>
          <w:rFonts w:ascii="SimSun" w:hAnsi="SimSun" w:eastAsia="SimSun" w:cs="SimSun"/>
          <w:color w:val="000000"/>
          <w:sz w:val="24"/>
          <w:u w:val="single"/>
        </w:rPr>
        <w:t xml:space="preserve">     </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（项目名称）的政府采购活动，由其代表我方办理上述项目在投标、开标、澄清确认过程中的相关事宜，其法律后果由我方承担。</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委托期限：自本授权委托书签署之日起至投标有效期届满之日止。</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________________</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法定代表人（单位负责人）（签字或签章）：</w:t>
      </w:r>
      <w:r>
        <w:rPr>
          <w:rFonts w:ascii="Times New Roman" w:hAnsi="Times New Roman" w:eastAsia="Times New Roman" w:cs="Times New Roman"/>
          <w:color w:val="000000"/>
          <w:sz w:val="24"/>
        </w:rPr>
        <w:t xml:space="preserve">________________</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代理人（签字或签章）：</w:t>
      </w:r>
      <w:r>
        <w:rPr>
          <w:rFonts w:ascii="Times New Roman" w:hAnsi="Times New Roman" w:eastAsia="Times New Roman" w:cs="Times New Roman"/>
          <w:color w:val="000000"/>
          <w:sz w:val="24"/>
        </w:rPr>
        <w:t xml:space="preserve">________________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代理人联系方式（手机号码）：</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附：法定代表人（单位负责人）及代理人有效身份证明文件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若投标人为事业单位或其他组织或分支机构（仅限招标文件注明允许分支机构投标情形），则法定代表人（单位负责人）处的签署人可为单位负责人。</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当代理人为法定代表人（或上述情况的单位负责人）时，代理人相关内容填报为法定代表人（或上述情况的单位负责人）信息，“代理人（签字或盖章）”处可不用再重复签字或盖章。</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投标人为自然人的，可不提供本《法定代表人授权委托书》。</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投标人应同时提供法定代表人（单位负责人）及代理人的身份证或护照等有效身份证明文件（彩色复印件或者彩色扫描件）。</w:t>
      </w:r>
      <w:r>
        <w:rPr>
          <w:rFonts w:ascii="SimSun" w:hAnsi="SimSun" w:eastAsia="SimSun" w:cs="SimSun"/>
          <w:b/>
          <w:color w:val="000000"/>
          <w:sz w:val="24"/>
        </w:rPr>
        <w:t xml:space="preserve">提供身份证的，应同时提供身份证双面</w:t>
      </w:r>
      <w:r>
        <w:rPr>
          <w:rFonts w:ascii="SimSun" w:hAnsi="SimSun" w:eastAsia="SimSun" w:cs="SimSun"/>
          <w:color w:val="000000"/>
          <w:sz w:val="24"/>
        </w:rPr>
        <w:t xml:space="preserve">。</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未按招标文件要求和格式提供《法定代表人授权委托书》的，将作为无效投标处理。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rPr>
          <w:rFonts w:ascii="SimSun" w:hAnsi="SimSun" w:eastAsia="SimSun" w:cs="SimSun"/>
          <w:color w:val="000000"/>
          <w:sz w:val="24"/>
        </w:rPr>
        <w:t xml:space="preserve">（采购人名称）</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w:t>
      </w:r>
      <w:r>
        <w:rPr>
          <w:rFonts w:ascii="SimSun" w:hAnsi="SimSun" w:eastAsia="SimSun" w:cs="SimSun"/>
          <w:color w:val="000000"/>
          <w:sz w:val="24"/>
          <w:u w:val="single"/>
        </w:rPr>
        <w:t xml:space="preserve">            </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（项目名称）的招标文件，我方正式提交投标函，并宣布同意如下内容：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1.按招标文件规定的各项要求，向贵方提供所需货物（包含与货物相关的服务）。</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6.一旦我方中标，我方将根据招标文件的规定，严格履行合同的责任和义务，并保证在招标文件规定的时间完成项目，交付贵方验收、使用。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7.我方为：¨大型企业 ¨中型企业 ¨小型企业 ¨微型企业（在对应¨内打“√”）</w:t>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8.我方为：¨民营企业 ¨非民营企业 ¨事业单位或其他组织（在对应¨内打“√”）               </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9.我方与本次投标有关信息</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项目编号：采购包号：</w:t>
      </w: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0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4"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小写（元）：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五、核心产品品牌一览表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核心产品品牌一览表</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项目编号：采购包号：</w:t>
      </w: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4"/>
        <w:gridCol w:w="3360"/>
        <w:gridCol w:w="1943"/>
        <w:gridCol w:w="2151"/>
      </w:tblGrid>
      <w:tr>
        <w:trPr>
          <w:trHeight w:val="7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规格或型号</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备注：投标人须按照表格要求明确填写所投“核心产品”的品牌，不得填报“/”“无”等内容，否则视为无效投标。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六、投标分项报价表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投标分项报价表</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项目编号：采购包号：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9"/>
        <w:gridCol w:w="939"/>
        <w:gridCol w:w="813"/>
        <w:gridCol w:w="1195"/>
        <w:gridCol w:w="1046"/>
        <w:gridCol w:w="748"/>
        <w:gridCol w:w="521"/>
        <w:gridCol w:w="718"/>
        <w:gridCol w:w="1031"/>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9" w:type="dxa"/>
            <w:vAlign w:val="center"/>
            <w:vMerge w:val="restart"/>
            <w:textDirection w:val="lrTb"/>
            <w:noWrap w:val="false"/>
          </w:tcPr>
          <w:p>
            <w:pPr>
              <w:ind w:left="0" w:right="18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9" w:type="dxa"/>
            <w:vAlign w:val="center"/>
            <w:textDirection w:val="lrTb"/>
            <w:noWrap w:val="false"/>
          </w:tcPr>
          <w:p>
            <w:pPr>
              <w:ind w:left="0" w:right="18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18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18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18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18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1" w:type="dxa"/>
            <w:vAlign w:val="center"/>
            <w:textDirection w:val="lrTb"/>
            <w:noWrap w:val="false"/>
          </w:tcPr>
          <w:p>
            <w:pPr>
              <w:ind w:left="0" w:right="18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18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29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规格或型号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总价（元）</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投标总价（元）：</w:t>
            </w:r>
            <w:r/>
          </w:p>
        </w:tc>
      </w:tr>
      <w:tr>
        <w:trPr>
          <w:trHeight w:val="654"/>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本采购包中本公司（单位）提供的符合本国产品标准的产品成本之和 </w:t>
            </w:r>
            <w:r>
              <w:rPr>
                <w:rFonts w:ascii="SimSun" w:hAnsi="SimSun" w:eastAsia="SimSun" w:cs="SimSun"/>
                <w:b/>
                <w:color w:val="000000"/>
                <w:sz w:val="24"/>
                <w:u w:val="single"/>
              </w:rPr>
              <w:t xml:space="preserve">¨是 ¨否 </w:t>
            </w:r>
            <w:r>
              <w:rPr>
                <w:rFonts w:ascii="SimSun" w:hAnsi="SimSun" w:eastAsia="SimSun" w:cs="SimSun"/>
                <w:b/>
                <w:color w:val="000000"/>
                <w:sz w:val="24"/>
              </w:rPr>
              <w:t xml:space="preserve">达到提供的全部产品成本之和的80%以上。</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1.“投标总报价”应包括为完成整个项目所产生的所有费用，招标文件另有规定的除外。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2.《投标分项报价表》中“投标总价”应当与《开标一览表》中“投标总报价”一致。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color w:val="000000"/>
          <w:sz w:val="24"/>
        </w:rPr>
        <w:t xml:space="preserve">《投标分项报价表》中的分项名称须与“第四章采购需求-项目清单”中的分项名称一一对应，如有缺项、漏项，视为无效投标。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当采购项目或者采购包中含有多种产品，投标人未对提供的符合本国产品标准的产品成本之和占全部产品成本之和的比例达到80%以上作出承诺的，将不享受本国产品价格评审优惠。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七、技术要求响应及偏离表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技术要求响应及偏离表</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18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项目编号：采购包号：</w:t>
      </w: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2701"/>
        <w:gridCol w:w="2688"/>
        <w:gridCol w:w="319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1.投标人须对招标文件技术要求中的实质性要求（打“★”内容）作出明确响应，否则视为无效投标。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2.技术要求中实质性要求及其他要求明确需要提供证明材料的，签订合同时中标人应按招标文件要求和投标文件响应内容提供相应证明材料供采购人核验，否则采购人将取消其中标资格。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3.行数不够，可自行添加。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八、商务要求响应及偏离表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商务要求响应及偏离表</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项目编号：采购包号：</w:t>
      </w: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4"/>
        <w:gridCol w:w="2731"/>
        <w:gridCol w:w="2688"/>
        <w:gridCol w:w="318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81"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投标人须对招标文件商务要求中的实质性要求（打“★”内容）做出明确响应，否则视为无效投标。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中小企业声明函（货物）</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项目（采购包号：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w:t>
      </w:r>
      <w:r>
        <w:rPr>
          <w:rFonts w:ascii="SimSun" w:hAnsi="SimSun" w:eastAsia="SimSun" w:cs="SimSun"/>
          <w:b/>
          <w:color w:val="000000"/>
          <w:sz w:val="24"/>
        </w:rPr>
        <w:t xml:space="preserve">提供的货物全部由符合政策要求的中小企业制造</w:t>
      </w:r>
      <w:r>
        <w:rPr>
          <w:rFonts w:ascii="SimSun" w:hAnsi="SimSun" w:eastAsia="SimSun" w:cs="SimSun"/>
          <w:color w:val="000000"/>
          <w:sz w:val="24"/>
        </w:rPr>
        <w:t xml:space="preserve">。根据《工业和信息化部、国家统计局、国家发展和改革委员会、财政部关于印发中小企业划型标准规定的通知》（工信部联企业</w:t>
      </w:r>
      <w:r>
        <w:rPr>
          <w:rFonts w:ascii="FangSong" w:hAnsi="FangSong" w:eastAsia="FangSong" w:cs="FangSong"/>
          <w:color w:val="000000"/>
          <w:sz w:val="24"/>
        </w:rPr>
        <w:t xml:space="preserve">〔</w:t>
      </w:r>
      <w:r>
        <w:rPr>
          <w:rFonts w:ascii="SimSun" w:hAnsi="SimSun" w:eastAsia="SimSun" w:cs="SimSun"/>
          <w:color w:val="000000"/>
          <w:sz w:val="24"/>
        </w:rPr>
        <w:t xml:space="preserve">2011</w:t>
      </w:r>
      <w:r>
        <w:rPr>
          <w:rFonts w:ascii="FangSong" w:hAnsi="FangSong" w:eastAsia="FangSong" w:cs="FangSong"/>
          <w:color w:val="000000"/>
          <w:sz w:val="24"/>
        </w:rPr>
        <w:t xml:space="preserve">〕</w:t>
      </w:r>
      <w:r>
        <w:rPr>
          <w:rFonts w:ascii="SimSun" w:hAnsi="SimSun" w:eastAsia="SimSun" w:cs="SimSun"/>
          <w:color w:val="000000"/>
          <w:sz w:val="24"/>
        </w:rPr>
        <w:t xml:space="preserve">300号）的规定，相关企业（含联合体中的小微企业、签订分包意向协议的小微企业）的具体情况如下：</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行业（招标文件中明确的所属行业）；制造商为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，属于¨中型企业 ¨小型企业 ¨微型企业。</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行业（招标文件中明确的所属行业）；制造商为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，属于¨中型企业 ¨小型企业 ¨微型企业。</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240" w:after="24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货物采购项目中，货物全部由符合政策的中小企业制造，享受相应的中小企业扶持政策，不对其中涉及的服务的承接商、工程的承建商作出要求。招标文件第四章采购需求“项目清单”中的“货物”产品需在此声明函中的“标的名称”中全部列明，并填写制造商的具体情况。</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项目（采购包号：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7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十一、联合体协议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联合体协议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（联合体中各投标人全称）在此达成以下协议：</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（投标人1），（投标人2） ，……</w:t>
      </w:r>
      <w:r>
        <w:rPr>
          <w:rFonts w:ascii="SimSun" w:hAnsi="SimSun" w:eastAsia="SimSun" w:cs="SimSun"/>
          <w:color w:val="000000"/>
          <w:sz w:val="24"/>
        </w:rPr>
        <w:t xml:space="preserve">自愿组成联合体，参加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项目（采购包号：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）的采购活动，并指定</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（投标人名称）为牵头单位。</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（投标人名称）实施项目中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（工作内容）部分工作，并承担相应的责任；</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（投标人名称）实施项目中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（工作内容）部分工作，并承担相应的责任；……。（注：需明确联合体中各投标人所承担的工作和相应的责任）。</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（企业全称）为¨小型、微型企业 ¨残疾人福利性单位 ¨监狱企业，且我们约定该单位所承担的合同金额将占本项目合同总金额的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联合体中各投标人全称：（加盖电子公章）    </w:t>
      </w:r>
      <w:r/>
    </w:p>
    <w:p>
      <w:pPr>
        <w:ind w:left="0" w:right="0" w:firstLine="52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2.在所属企业类型前的¨内打“</w:t>
      </w:r>
      <w:r>
        <w:rPr>
          <w:rFonts w:ascii="Arial" w:hAnsi="Arial" w:eastAsia="Arial" w:cs="Arial"/>
          <w:color w:val="000000"/>
          <w:sz w:val="24"/>
        </w:rPr>
        <w:t xml:space="preserve">√</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3.除另有说明外，本招标文件要求加盖电子公章之处，加盖牵头单位的电子公章即可。</w:t>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十二、关于符合本国产品标准的声明函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关于符合本国产品标准的声明函（采购包号：**）</w:t>
      </w:r>
      <w:r/>
    </w:p>
    <w:p>
      <w:pPr>
        <w:ind w:left="0" w:right="0" w:firstLine="420"/>
        <w:spacing w:before="24" w:after="24"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24" w:after="24"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生产厂为（厂名）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的中国境内生产的组件成本占比≥</w:t>
      </w:r>
      <w:r>
        <w:rPr>
          <w:rFonts w:ascii="SimSun" w:hAnsi="SimSun" w:eastAsia="SimSun" w:cs="SimSun"/>
          <w:i/>
          <w:color w:val="000000"/>
          <w:sz w:val="24"/>
          <w:highlight w:val="white"/>
          <w:u w:val="single"/>
        </w:rPr>
        <w:t xml:space="preserve">（规定比例）</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（关键组件）</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（关键工序）</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24" w:after="24"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i/>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24" w:after="24"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24" w:after="24"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jc w:val="right"/>
        <w:spacing w:before="24" w:after="24"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right"/>
        <w:spacing w:before="24" w:after="24"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　     年　  月　  日    </w:t>
      </w:r>
      <w:r/>
    </w:p>
    <w:p>
      <w:pPr>
        <w:ind w:left="0" w:right="0" w:firstLine="0"/>
        <w:spacing w:before="24" w:after="24"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__________________</w:t>
      </w:r>
      <w:r/>
    </w:p>
    <w:p>
      <w:pPr>
        <w:ind w:left="0" w:right="0" w:firstLine="420"/>
        <w:spacing w:before="24" w:after="24"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1.产品如有型号，请在“产品名称”栏一并填写。</w:t>
      </w:r>
      <w:r/>
    </w:p>
    <w:p>
      <w:pPr>
        <w:ind w:left="0" w:right="0" w:firstLine="420"/>
        <w:spacing w:before="24" w:after="24"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2.生产厂名与厂址应与生产厂营业执照载明的相关信息保持一致。</w:t>
      </w:r>
      <w:r/>
    </w:p>
    <w:p>
      <w:pPr>
        <w:ind w:left="0" w:right="0" w:firstLine="420"/>
        <w:spacing w:before="24" w:after="24"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3.该产品的中国境内生产的组件成本占比相关要求实施前，“规定比例”栏可不填。</w:t>
      </w:r>
      <w:r/>
    </w:p>
    <w:p>
      <w:pPr>
        <w:ind w:left="0" w:right="0" w:firstLine="420"/>
        <w:spacing w:before="24" w:after="24"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4.该产品的关键组件要求实施前，“关键组件”栏可不填。</w:t>
      </w:r>
      <w:r/>
    </w:p>
    <w:p>
      <w:pPr>
        <w:ind w:left="0" w:right="0" w:firstLine="420"/>
        <w:spacing w:before="24" w:after="24"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5.该产品的关键工序要求实施前，“关键工序”栏可不填。</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十三、分包情况说明及分包意向协议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分包情况说明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rPr>
          <w:rFonts w:ascii="SimSun" w:hAnsi="SimSun" w:eastAsia="SimSun" w:cs="SimSun"/>
          <w:b/>
          <w:color w:val="000000"/>
          <w:sz w:val="24"/>
        </w:rPr>
        <w:t xml:space="preserve">（采购人名称）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我单位参加项目编号为</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的</w:t>
      </w:r>
      <w:r>
        <w:rPr>
          <w:rFonts w:ascii="Times New Roman" w:hAnsi="Times New Roman" w:eastAsia="Times New Roman" w:cs="Times New Roman"/>
          <w:color w:val="000000"/>
          <w:sz w:val="24"/>
        </w:rPr>
        <w:t xml:space="preserve">_________</w:t>
      </w:r>
      <w:r>
        <w:rPr>
          <w:rFonts w:ascii="SimSun" w:hAnsi="SimSun" w:eastAsia="SimSun" w:cs="SimSun"/>
          <w:color w:val="000000"/>
          <w:sz w:val="24"/>
        </w:rPr>
        <w:t xml:space="preserve">项目（项目名称）中</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（采购包号）的投标。拟在中标后将以下非主体、非关键内容进行分包，我单位承诺一旦在该项目中获得采购合同，将按下表所列情况进行分包，同时承诺分包承担主体不再次分包。 </w:t>
      </w: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2"/>
        <w:gridCol w:w="1326"/>
        <w:gridCol w:w="1326"/>
        <w:gridCol w:w="1372"/>
        <w:gridCol w:w="1556"/>
        <w:gridCol w:w="1363"/>
        <w:gridCol w:w="110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分包承担主体名称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分包承担主体类型（大型、中型、小型、微型）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分包承担主体资质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分包标的内容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分包合同金额（元）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占合同总额的比例（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tc>
      </w:tr>
      <w:tr>
        <w:trPr>
          <w:trHeight w:val="4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7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______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如本项目（包）允许分包，且投标人拟在中标后进行分包的，必须在投标文件中提供分包情况说明。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如本招标文件载明本项目分包承担主体应具备的相应资质条件，则投标人须在本表中列明分包承担主体的资质等级，并提供资质证书。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分包意向协议</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甲方（投标人）：</w:t>
      </w:r>
      <w:r>
        <w:rPr>
          <w:rFonts w:ascii="Times New Roman" w:hAnsi="Times New Roman" w:eastAsia="Times New Roman" w:cs="Times New Roman"/>
          <w:color w:val="000000"/>
          <w:sz w:val="24"/>
        </w:rPr>
        <w:t xml:space="preserve">________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乙方（分包承担主体）：</w:t>
      </w:r>
      <w:r>
        <w:rPr>
          <w:rFonts w:ascii="Times New Roman" w:hAnsi="Times New Roman" w:eastAsia="Times New Roman" w:cs="Times New Roman"/>
          <w:color w:val="000000"/>
          <w:sz w:val="24"/>
        </w:rPr>
        <w:t xml:space="preserve">________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甲方承诺，一旦在项目编号为</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的</w:t>
      </w:r>
      <w:r>
        <w:rPr>
          <w:rFonts w:ascii="Times New Roman" w:hAnsi="Times New Roman" w:eastAsia="Times New Roman" w:cs="Times New Roman"/>
          <w:color w:val="000000"/>
          <w:sz w:val="24"/>
        </w:rPr>
        <w:t xml:space="preserve">_________</w:t>
      </w:r>
      <w:r>
        <w:rPr>
          <w:rFonts w:ascii="SimSun" w:hAnsi="SimSun" w:eastAsia="SimSun" w:cs="SimSun"/>
          <w:color w:val="000000"/>
          <w:sz w:val="24"/>
        </w:rPr>
        <w:t xml:space="preserve">项目（项目名称）</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（采购包号）中获得采购合同，将按照下述约定将合同项下部分内容分包给乙方：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分包内容：</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分包金额：</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，该金额占该采购包合同金额的比例为</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乙方承诺将在上述情况下与甲方签订分包合同。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本协议自各方盖章之日起生效，如甲方未在该项目（采购包）中标，本协议自动终止。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w:t>
      </w:r>
      <w:r>
        <w:rPr>
          <w:rFonts w:ascii="Times New Roman" w:hAnsi="Times New Roman" w:eastAsia="Times New Roman" w:cs="Times New Roman"/>
          <w:color w:val="000000"/>
          <w:sz w:val="24"/>
        </w:rPr>
        <w:t xml:space="preserve">_________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乙方（盖章）：</w:t>
      </w:r>
      <w:r>
        <w:rPr>
          <w:rFonts w:ascii="Times New Roman" w:hAnsi="Times New Roman" w:eastAsia="Times New Roman" w:cs="Times New Roman"/>
          <w:color w:val="000000"/>
          <w:sz w:val="24"/>
        </w:rPr>
        <w:t xml:space="preserve">_________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如本项目（采购包）允许分包，且投标人拟在中标后进行分包的，必须在投标文件中提供本协议。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投标人满足《政府采购促进中小企业发展管理办法》（财库〔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 </w:t>
      </w:r>
      <w:r>
        <w:rPr>
          <w:rFonts w:ascii="SimSun" w:hAnsi="SimSun" w:eastAsia="SimSun" w:cs="SimSun"/>
          <w:color w:val="000000"/>
          <w:sz w:val="24"/>
        </w:rPr>
        <w:t xml:space="preserve">号）第九条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有关规定，拟享受中小企业政策优惠措施的，仍需提供本协议，否则不予认可； </w:t>
      </w:r>
      <w:r/>
    </w:p>
    <w:p>
      <w:pPr>
        <w:numPr>
          <w:ilvl w:val="0"/>
          <w:numId w:val="7"/>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投标人须按分包情况说明与所有拟分包承担主体分别签订《分包意向协议》，并在投标文件中提交。</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采购包号：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四、质疑事项相关请求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  字（签章）：              公  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相关说明：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1.供应商提出质疑，应提交《质疑函》和必要的证明材料。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由授权代表负责质疑事宜的，《质疑函》附件中应提交由质疑供应商法定代表人或主要负责人签署的《授权委托书》。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3.质疑供应商针对项目的某一采购包进行质疑的，《质疑函》中应明确采购包号。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6.质疑供应商为自然人的，《质疑函》应由本人签字；质疑供应商为法人或者其他组织的，《质疑函》应由法定代表人、主要负责人，或者其授权代表签字或者签章，并加盖公章。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7.质疑供应商为联合体的，则《质疑函》中要求加盖公章之处，联合体各方均须按要求加盖公章。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875"/>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Sun">
    <w:panose1 w:val="02010600030101010101"/>
  </w:font>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rPr>
        <w:rStyle w:val="949"/>
        <w:rFonts w:ascii="宋体" w:hAnsi="宋体"/>
      </w:rPr>
      <w:framePr w:wrap="around" w:vAnchor="text" w:hAnchor="margin" w:xAlign="center" w:y="1"/>
    </w:pPr>
    <w:r>
      <w:rPr>
        <w:rFonts w:ascii="宋体" w:hAnsi="宋体"/>
      </w:rPr>
      <w:fldChar w:fldCharType="begin"/>
    </w:r>
    <w:r>
      <w:rPr>
        <w:rStyle w:val="949"/>
        <w:rFonts w:ascii="宋体" w:hAnsi="宋体"/>
      </w:rPr>
      <w:instrText xml:space="preserve">PAGE  </w:instrText>
    </w:r>
    <w:r>
      <w:rPr>
        <w:rFonts w:ascii="宋体" w:hAnsi="宋体"/>
      </w:rPr>
      <w:fldChar w:fldCharType="separate"/>
    </w:r>
    <w:r>
      <w:rPr>
        <w:rStyle w:val="949"/>
        <w:rFonts w:ascii="宋体" w:hAnsi="宋体"/>
      </w:rPr>
      <w:t xml:space="preserve">４２</w:t>
    </w:r>
    <w:r>
      <w:rPr>
        <w:rFonts w:ascii="宋体" w:hAnsi="宋体"/>
      </w:rPr>
      <w:fldChar w:fldCharType="end"/>
    </w:r>
    <w:r>
      <w:rPr>
        <w:rStyle w:val="949"/>
        <w:rFonts w:ascii="宋体" w:hAnsi="宋体"/>
      </w:rPr>
    </w:r>
    <w:r/>
  </w:p>
  <w:p>
    <w:pPr>
      <w:pStyle w:val="92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rPr>
        <w:rStyle w:val="949"/>
      </w:rPr>
      <w:framePr w:wrap="around" w:vAnchor="text" w:hAnchor="margin" w:xAlign="center" w:y="1"/>
    </w:pPr>
    <w:r>
      <w:fldChar w:fldCharType="begin"/>
    </w:r>
    <w:r>
      <w:rPr>
        <w:rStyle w:val="949"/>
      </w:rPr>
      <w:instrText xml:space="preserve">PAGE  </w:instrText>
    </w:r>
    <w:r>
      <w:fldChar w:fldCharType="separate"/>
    </w:r>
    <w:r>
      <w:rPr>
        <w:rStyle w:val="949"/>
      </w:rPr>
      <w:t xml:space="preserve">1</w:t>
    </w:r>
    <w:r>
      <w:fldChar w:fldCharType="end"/>
    </w:r>
    <w:r>
      <w:rPr>
        <w:rStyle w:val="949"/>
      </w:rPr>
    </w:r>
    <w:r/>
  </w:p>
  <w:p>
    <w:pPr>
      <w:pStyle w:val="92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5"/>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5"/>
        <w:ind w:left="1440" w:hanging="360"/>
      </w:pPr>
      <w:rPr>
        <w:rFonts w:ascii="Courier New" w:hAnsi="Courier New" w:eastAsia="Courier New" w:cs="Courier New"/>
      </w:rPr>
    </w:lvl>
    <w:lvl w:ilvl="2">
      <w:start w:val="1"/>
      <w:numFmt w:val="bullet"/>
      <w:isLgl w:val="false"/>
      <w:suff w:val="tab"/>
      <w:lvlText w:val="§"/>
      <w:lvlJc w:val="left"/>
      <w:pPr>
        <w:pStyle w:val="875"/>
        <w:ind w:left="2160" w:hanging="360"/>
      </w:pPr>
      <w:rPr>
        <w:rFonts w:ascii="Wingdings" w:hAnsi="Wingdings" w:eastAsia="Wingdings" w:cs="Wingdings"/>
      </w:rPr>
    </w:lvl>
    <w:lvl w:ilvl="3">
      <w:start w:val="1"/>
      <w:numFmt w:val="bullet"/>
      <w:isLgl w:val="false"/>
      <w:suff w:val="tab"/>
      <w:lvlText w:val="·"/>
      <w:lvlJc w:val="left"/>
      <w:pPr>
        <w:pStyle w:val="875"/>
        <w:ind w:left="2880" w:hanging="360"/>
      </w:pPr>
      <w:rPr>
        <w:rFonts w:ascii="Symbol" w:hAnsi="Symbol" w:eastAsia="Symbol" w:cs="Symbol"/>
      </w:rPr>
    </w:lvl>
    <w:lvl w:ilvl="4">
      <w:start w:val="1"/>
      <w:numFmt w:val="bullet"/>
      <w:isLgl w:val="false"/>
      <w:suff w:val="tab"/>
      <w:lvlText w:val="o"/>
      <w:lvlJc w:val="left"/>
      <w:pPr>
        <w:pStyle w:val="875"/>
        <w:ind w:left="3600" w:hanging="360"/>
      </w:pPr>
      <w:rPr>
        <w:rFonts w:ascii="Courier New" w:hAnsi="Courier New" w:eastAsia="Courier New" w:cs="Courier New"/>
      </w:rPr>
    </w:lvl>
    <w:lvl w:ilvl="5">
      <w:start w:val="1"/>
      <w:numFmt w:val="bullet"/>
      <w:isLgl w:val="false"/>
      <w:suff w:val="tab"/>
      <w:lvlText w:val="§"/>
      <w:lvlJc w:val="left"/>
      <w:pPr>
        <w:pStyle w:val="875"/>
        <w:ind w:left="4320" w:hanging="360"/>
      </w:pPr>
      <w:rPr>
        <w:rFonts w:ascii="Wingdings" w:hAnsi="Wingdings" w:eastAsia="Wingdings" w:cs="Wingdings"/>
      </w:rPr>
    </w:lvl>
    <w:lvl w:ilvl="6">
      <w:start w:val="1"/>
      <w:numFmt w:val="bullet"/>
      <w:isLgl w:val="false"/>
      <w:suff w:val="tab"/>
      <w:lvlText w:val="·"/>
      <w:lvlJc w:val="left"/>
      <w:pPr>
        <w:pStyle w:val="875"/>
        <w:ind w:left="5040" w:hanging="360"/>
      </w:pPr>
      <w:rPr>
        <w:rFonts w:ascii="Symbol" w:hAnsi="Symbol" w:eastAsia="Symbol" w:cs="Symbol"/>
      </w:rPr>
    </w:lvl>
    <w:lvl w:ilvl="7">
      <w:start w:val="1"/>
      <w:numFmt w:val="bullet"/>
      <w:isLgl w:val="false"/>
      <w:suff w:val="tab"/>
      <w:lvlText w:val="o"/>
      <w:lvlJc w:val="left"/>
      <w:pPr>
        <w:pStyle w:val="875"/>
        <w:ind w:left="5760" w:hanging="360"/>
      </w:pPr>
      <w:rPr>
        <w:rFonts w:ascii="Courier New" w:hAnsi="Courier New" w:eastAsia="Courier New" w:cs="Courier New"/>
      </w:rPr>
    </w:lvl>
    <w:lvl w:ilvl="8">
      <w:start w:val="1"/>
      <w:numFmt w:val="bullet"/>
      <w:isLgl w:val="false"/>
      <w:suff w:val="tab"/>
      <w:lvlText w:val="§"/>
      <w:lvlJc w:val="left"/>
      <w:pPr>
        <w:pStyle w:val="875"/>
        <w:ind w:left="6480" w:hanging="360"/>
      </w:pPr>
      <w:rPr>
        <w:rFonts w:ascii="Wingdings" w:hAnsi="Wingdings" w:eastAsia="Wingdings" w:cs="Wingdings"/>
      </w:rPr>
    </w:lvl>
  </w:abstractNum>
  <w:abstractNum w:abstractNumId="1">
    <w:multiLevelType w:val="hybridMultilevel"/>
    <w:lvl w:ilvl="0">
      <w:start w:val="1"/>
      <w:numFmt w:val="upperLetter"/>
      <w:pStyle w:val="962"/>
      <w:isLgl w:val="false"/>
      <w:suff w:val="tab"/>
      <w:lvlText w:val="附录%1."/>
      <w:lvlJc w:val="left"/>
      <w:pPr>
        <w:pStyle w:val="87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9"/>
      <w:isLgl w:val="false"/>
      <w:suff w:val="tab"/>
      <w:lvlText w:val="%1."/>
      <w:lvlJc w:val="left"/>
      <w:pPr>
        <w:pStyle w:val="875"/>
        <w:ind w:left="709" w:hanging="709"/>
        <w:tabs>
          <w:tab w:val="num" w:pos="709" w:leader="none"/>
        </w:tabs>
      </w:pPr>
      <w:rPr>
        <w:rFonts w:hint="eastAsia"/>
      </w:rPr>
    </w:lvl>
    <w:lvl w:ilvl="1">
      <w:start w:val="1"/>
      <w:numFmt w:val="decimal"/>
      <w:isLgl w:val="false"/>
      <w:suff w:val="tab"/>
      <w:lvlText w:val="%1.%2"/>
      <w:lvlJc w:val="left"/>
      <w:pPr>
        <w:pStyle w:val="875"/>
        <w:ind w:left="709" w:hanging="709"/>
        <w:tabs>
          <w:tab w:val="num" w:pos="709" w:leader="none"/>
        </w:tabs>
      </w:pPr>
      <w:rPr>
        <w:rFonts w:hint="eastAsia"/>
      </w:rPr>
    </w:lvl>
    <w:lvl w:ilvl="2">
      <w:start w:val="1"/>
      <w:numFmt w:val="decimal"/>
      <w:isLgl w:val="false"/>
      <w:suff w:val="tab"/>
      <w:lvlText w:val="%1.%2.%3."/>
      <w:lvlJc w:val="left"/>
      <w:pPr>
        <w:pStyle w:val="875"/>
        <w:ind w:left="425" w:hanging="425"/>
        <w:tabs>
          <w:tab w:val="num" w:pos="425" w:leader="none"/>
        </w:tabs>
      </w:pPr>
      <w:rPr>
        <w:rFonts w:hint="eastAsia"/>
      </w:rPr>
    </w:lvl>
    <w:lvl w:ilvl="3">
      <w:start w:val="1"/>
      <w:numFmt w:val="decimal"/>
      <w:isLgl w:val="false"/>
      <w:suff w:val="tab"/>
      <w:lvlText w:val="%1.%2.%3.%4."/>
      <w:lvlJc w:val="left"/>
      <w:pPr>
        <w:pStyle w:val="875"/>
        <w:ind w:left="851" w:hanging="851"/>
        <w:tabs>
          <w:tab w:val="num" w:pos="851" w:leader="none"/>
        </w:tabs>
      </w:pPr>
      <w:rPr>
        <w:rFonts w:hint="eastAsia"/>
      </w:rPr>
    </w:lvl>
    <w:lvl w:ilvl="4">
      <w:start w:val="1"/>
      <w:numFmt w:val="decimal"/>
      <w:isLgl w:val="false"/>
      <w:suff w:val="tab"/>
      <w:lvlText w:val="%1.%2.%3.%4.%5."/>
      <w:lvlJc w:val="left"/>
      <w:pPr>
        <w:pStyle w:val="875"/>
        <w:ind w:left="992" w:hanging="992"/>
        <w:tabs>
          <w:tab w:val="num" w:pos="992" w:leader="none"/>
        </w:tabs>
      </w:pPr>
      <w:rPr>
        <w:rFonts w:hint="eastAsia"/>
      </w:rPr>
    </w:lvl>
    <w:lvl w:ilvl="5">
      <w:start w:val="1"/>
      <w:numFmt w:val="decimal"/>
      <w:isLgl w:val="false"/>
      <w:suff w:val="tab"/>
      <w:lvlText w:val="%1.%2.%3.%4.%5.%6."/>
      <w:lvlJc w:val="left"/>
      <w:pPr>
        <w:pStyle w:val="875"/>
        <w:ind w:left="1134" w:hanging="1134"/>
        <w:tabs>
          <w:tab w:val="num" w:pos="1134" w:leader="none"/>
        </w:tabs>
      </w:pPr>
      <w:rPr>
        <w:rFonts w:hint="eastAsia"/>
      </w:rPr>
    </w:lvl>
    <w:lvl w:ilvl="6">
      <w:start w:val="1"/>
      <w:numFmt w:val="decimal"/>
      <w:isLgl w:val="false"/>
      <w:suff w:val="tab"/>
      <w:lvlText w:val="%1.%2.%3.%4.%5.%6.%7."/>
      <w:lvlJc w:val="left"/>
      <w:pPr>
        <w:pStyle w:val="875"/>
        <w:ind w:left="1276" w:hanging="1276"/>
        <w:tabs>
          <w:tab w:val="num" w:pos="1276" w:leader="none"/>
        </w:tabs>
      </w:pPr>
      <w:rPr>
        <w:rFonts w:hint="eastAsia"/>
      </w:rPr>
    </w:lvl>
    <w:lvl w:ilvl="7">
      <w:start w:val="1"/>
      <w:numFmt w:val="decimal"/>
      <w:isLgl w:val="false"/>
      <w:suff w:val="tab"/>
      <w:lvlText w:val="%1.%2.%3.%4.%5.%6.%7.%8."/>
      <w:lvlJc w:val="left"/>
      <w:pPr>
        <w:pStyle w:val="875"/>
        <w:ind w:left="1418" w:hanging="1418"/>
        <w:tabs>
          <w:tab w:val="num" w:pos="1418" w:leader="none"/>
        </w:tabs>
      </w:pPr>
      <w:rPr>
        <w:rFonts w:hint="eastAsia"/>
      </w:rPr>
    </w:lvl>
    <w:lvl w:ilvl="8">
      <w:start w:val="1"/>
      <w:numFmt w:val="decimal"/>
      <w:isLgl w:val="false"/>
      <w:suff w:val="tab"/>
      <w:lvlText w:val="%1.%2.%3.%4.%5.%6.%7.%8.%9."/>
      <w:lvlJc w:val="left"/>
      <w:pPr>
        <w:pStyle w:val="875"/>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5"/>
        <w:ind w:left="0" w:firstLine="0"/>
      </w:pPr>
      <w:rPr>
        <w:rFonts w:hint="eastAsia"/>
      </w:rPr>
    </w:lvl>
    <w:lvl w:ilvl="1">
      <w:start w:val="1"/>
      <w:numFmt w:val="decimal"/>
      <w:isLgl w:val="false"/>
      <w:suff w:val="nothing"/>
      <w:lvlText w:val="%2、"/>
      <w:lvlJc w:val="left"/>
      <w:pPr>
        <w:pStyle w:val="875"/>
        <w:ind w:left="0" w:firstLine="0"/>
      </w:pPr>
      <w:rPr>
        <w:rFonts w:hint="eastAsia"/>
      </w:rPr>
    </w:lvl>
    <w:lvl w:ilvl="2">
      <w:start w:val="1"/>
      <w:numFmt w:val="decimal"/>
      <w:isLgl w:val="false"/>
      <w:suff w:val="nothing"/>
      <w:lvlText w:val="%2.%3 "/>
      <w:lvlJc w:val="left"/>
      <w:pPr>
        <w:pStyle w:val="875"/>
        <w:ind w:left="0" w:firstLine="0"/>
      </w:pPr>
      <w:rPr>
        <w:rFonts w:hint="eastAsia"/>
      </w:rPr>
    </w:lvl>
    <w:lvl w:ilvl="3">
      <w:start w:val="1"/>
      <w:numFmt w:val="decimal"/>
      <w:isLgl w:val="false"/>
      <w:suff w:val="nothing"/>
      <w:lvlText w:val="%2.%3.%4 "/>
      <w:lvlJc w:val="left"/>
      <w:pPr>
        <w:pStyle w:val="875"/>
        <w:ind w:left="0" w:firstLine="0"/>
      </w:pPr>
      <w:rPr>
        <w:rFonts w:hint="eastAsia"/>
      </w:rPr>
    </w:lvl>
    <w:lvl w:ilvl="4">
      <w:start w:val="1"/>
      <w:numFmt w:val="decimal"/>
      <w:isLgl w:val="false"/>
      <w:suff w:val="nothing"/>
      <w:lvlText w:val="%2.%3.%4.%5 "/>
      <w:lvlJc w:val="left"/>
      <w:pPr>
        <w:pStyle w:val="875"/>
        <w:ind w:left="0" w:firstLine="0"/>
      </w:pPr>
      <w:rPr>
        <w:rFonts w:hint="eastAsia"/>
      </w:rPr>
    </w:lvl>
    <w:lvl w:ilvl="5">
      <w:start w:val="1"/>
      <w:numFmt w:val="decimal"/>
      <w:pStyle w:val="881"/>
      <w:isLgl w:val="false"/>
      <w:suff w:val="nothing"/>
      <w:lvlText w:val=""/>
      <w:lvlJc w:val="left"/>
      <w:pPr>
        <w:pStyle w:val="875"/>
        <w:ind w:left="0" w:firstLine="0"/>
      </w:pPr>
      <w:rPr>
        <w:rFonts w:hint="eastAsia"/>
      </w:rPr>
    </w:lvl>
    <w:lvl w:ilvl="6">
      <w:start w:val="1"/>
      <w:numFmt w:val="decimal"/>
      <w:pStyle w:val="882"/>
      <w:isLgl w:val="false"/>
      <w:suff w:val="nothing"/>
      <w:lvlText w:val=""/>
      <w:lvlJc w:val="left"/>
      <w:pPr>
        <w:pStyle w:val="875"/>
        <w:ind w:left="0" w:firstLine="0"/>
      </w:pPr>
      <w:rPr>
        <w:rFonts w:hint="eastAsia"/>
      </w:rPr>
    </w:lvl>
    <w:lvl w:ilvl="7">
      <w:start w:val="1"/>
      <w:numFmt w:val="decimal"/>
      <w:pStyle w:val="883"/>
      <w:isLgl w:val="false"/>
      <w:suff w:val="nothing"/>
      <w:lvlText w:val=""/>
      <w:lvlJc w:val="left"/>
      <w:pPr>
        <w:pStyle w:val="875"/>
        <w:ind w:left="0" w:firstLine="0"/>
      </w:pPr>
      <w:rPr>
        <w:rFonts w:hint="eastAsia"/>
      </w:rPr>
    </w:lvl>
    <w:lvl w:ilvl="8">
      <w:start w:val="1"/>
      <w:numFmt w:val="decimal"/>
      <w:pStyle w:val="884"/>
      <w:isLgl w:val="false"/>
      <w:suff w:val="nothing"/>
      <w:lvlText w:val=""/>
      <w:lvlJc w:val="left"/>
      <w:pPr>
        <w:pStyle w:val="875"/>
        <w:ind w:left="0" w:firstLine="0"/>
      </w:pPr>
      <w:rPr>
        <w:rFonts w:hint="eastAsia"/>
      </w:rPr>
    </w:lvl>
  </w:abstractNum>
  <w:abstractNum w:abstractNumId="4">
    <w:multiLevelType w:val="hybridMultilevel"/>
    <w:lvl w:ilvl="0">
      <w:start w:val="3"/>
      <w:numFmt w:val="decimal"/>
      <w:isLgl w:val="false"/>
      <w:suff w:val="space"/>
      <w:lvlText w:val="%1."/>
      <w:lvlJc w:val="left"/>
      <w:pPr>
        <w:pStyle w:val="8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Heading 1"/>
    <w:basedOn w:val="875"/>
    <w:next w:val="875"/>
    <w:link w:val="698"/>
    <w:uiPriority w:val="9"/>
    <w:qFormat/>
    <w:pPr>
      <w:keepLines/>
      <w:keepNext/>
      <w:spacing w:before="480" w:after="200"/>
      <w:outlineLvl w:val="0"/>
    </w:pPr>
    <w:rPr>
      <w:rFonts w:ascii="Arial" w:hAnsi="Arial" w:eastAsia="Arial" w:cs="Arial"/>
      <w:sz w:val="40"/>
      <w:szCs w:val="40"/>
    </w:rPr>
  </w:style>
  <w:style w:type="character" w:styleId="698">
    <w:name w:val="Heading 1 Char"/>
    <w:link w:val="697"/>
    <w:uiPriority w:val="9"/>
    <w:rPr>
      <w:rFonts w:ascii="Arial" w:hAnsi="Arial" w:eastAsia="Arial" w:cs="Arial"/>
      <w:sz w:val="40"/>
      <w:szCs w:val="40"/>
    </w:rPr>
  </w:style>
  <w:style w:type="paragraph" w:styleId="699">
    <w:name w:val="Heading 2"/>
    <w:basedOn w:val="875"/>
    <w:next w:val="875"/>
    <w:link w:val="700"/>
    <w:uiPriority w:val="9"/>
    <w:unhideWhenUsed/>
    <w:qFormat/>
    <w:pPr>
      <w:keepLines/>
      <w:keepNext/>
      <w:spacing w:before="360" w:after="200"/>
      <w:outlineLvl w:val="1"/>
    </w:pPr>
    <w:rPr>
      <w:rFonts w:ascii="Arial" w:hAnsi="Arial" w:eastAsia="Arial" w:cs="Arial"/>
      <w:sz w:val="34"/>
    </w:rPr>
  </w:style>
  <w:style w:type="character" w:styleId="700">
    <w:name w:val="Heading 2 Char"/>
    <w:link w:val="699"/>
    <w:uiPriority w:val="9"/>
    <w:rPr>
      <w:rFonts w:ascii="Arial" w:hAnsi="Arial" w:eastAsia="Arial" w:cs="Arial"/>
      <w:sz w:val="34"/>
    </w:rPr>
  </w:style>
  <w:style w:type="paragraph" w:styleId="701">
    <w:name w:val="Heading 3"/>
    <w:basedOn w:val="875"/>
    <w:next w:val="875"/>
    <w:link w:val="702"/>
    <w:uiPriority w:val="9"/>
    <w:unhideWhenUsed/>
    <w:qFormat/>
    <w:pPr>
      <w:keepLines/>
      <w:keepNext/>
      <w:spacing w:before="320" w:after="200"/>
      <w:outlineLvl w:val="2"/>
    </w:pPr>
    <w:rPr>
      <w:rFonts w:ascii="Arial" w:hAnsi="Arial" w:eastAsia="Arial" w:cs="Arial"/>
      <w:sz w:val="30"/>
      <w:szCs w:val="30"/>
    </w:rPr>
  </w:style>
  <w:style w:type="character" w:styleId="702">
    <w:name w:val="Heading 3 Char"/>
    <w:link w:val="701"/>
    <w:uiPriority w:val="9"/>
    <w:rPr>
      <w:rFonts w:ascii="Arial" w:hAnsi="Arial" w:eastAsia="Arial" w:cs="Arial"/>
      <w:sz w:val="30"/>
      <w:szCs w:val="30"/>
    </w:rPr>
  </w:style>
  <w:style w:type="paragraph" w:styleId="703">
    <w:name w:val="Heading 4"/>
    <w:basedOn w:val="875"/>
    <w:next w:val="875"/>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link w:val="703"/>
    <w:uiPriority w:val="9"/>
    <w:rPr>
      <w:rFonts w:ascii="Arial" w:hAnsi="Arial" w:eastAsia="Arial" w:cs="Arial"/>
      <w:b/>
      <w:bCs/>
      <w:sz w:val="26"/>
      <w:szCs w:val="26"/>
    </w:rPr>
  </w:style>
  <w:style w:type="paragraph" w:styleId="705">
    <w:name w:val="Heading 5"/>
    <w:basedOn w:val="875"/>
    <w:next w:val="875"/>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link w:val="705"/>
    <w:uiPriority w:val="9"/>
    <w:rPr>
      <w:rFonts w:ascii="Arial" w:hAnsi="Arial" w:eastAsia="Arial" w:cs="Arial"/>
      <w:b/>
      <w:bCs/>
      <w:sz w:val="24"/>
      <w:szCs w:val="24"/>
    </w:rPr>
  </w:style>
  <w:style w:type="paragraph" w:styleId="707">
    <w:name w:val="Heading 6"/>
    <w:basedOn w:val="875"/>
    <w:next w:val="875"/>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link w:val="707"/>
    <w:uiPriority w:val="9"/>
    <w:rPr>
      <w:rFonts w:ascii="Arial" w:hAnsi="Arial" w:eastAsia="Arial" w:cs="Arial"/>
      <w:b/>
      <w:bCs/>
      <w:sz w:val="22"/>
      <w:szCs w:val="22"/>
    </w:rPr>
  </w:style>
  <w:style w:type="paragraph" w:styleId="709">
    <w:name w:val="Heading 7"/>
    <w:basedOn w:val="875"/>
    <w:next w:val="875"/>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link w:val="709"/>
    <w:uiPriority w:val="9"/>
    <w:rPr>
      <w:rFonts w:ascii="Arial" w:hAnsi="Arial" w:eastAsia="Arial" w:cs="Arial"/>
      <w:b/>
      <w:bCs/>
      <w:i/>
      <w:iCs/>
      <w:sz w:val="22"/>
      <w:szCs w:val="22"/>
    </w:rPr>
  </w:style>
  <w:style w:type="paragraph" w:styleId="711">
    <w:name w:val="Heading 8"/>
    <w:basedOn w:val="875"/>
    <w:next w:val="875"/>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link w:val="711"/>
    <w:uiPriority w:val="9"/>
    <w:rPr>
      <w:rFonts w:ascii="Arial" w:hAnsi="Arial" w:eastAsia="Arial" w:cs="Arial"/>
      <w:i/>
      <w:iCs/>
      <w:sz w:val="22"/>
      <w:szCs w:val="22"/>
    </w:rPr>
  </w:style>
  <w:style w:type="paragraph" w:styleId="713">
    <w:name w:val="Heading 9"/>
    <w:basedOn w:val="875"/>
    <w:next w:val="875"/>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link w:val="713"/>
    <w:uiPriority w:val="9"/>
    <w:rPr>
      <w:rFonts w:ascii="Arial" w:hAnsi="Arial" w:eastAsia="Arial" w:cs="Arial"/>
      <w:i/>
      <w:iCs/>
      <w:sz w:val="21"/>
      <w:szCs w:val="21"/>
    </w:rPr>
  </w:style>
  <w:style w:type="paragraph" w:styleId="715">
    <w:name w:val="List Paragraph"/>
    <w:basedOn w:val="875"/>
    <w:uiPriority w:val="34"/>
    <w:qFormat/>
    <w:pPr>
      <w:contextualSpacing/>
      <w:ind w:left="720"/>
    </w:pPr>
  </w:style>
  <w:style w:type="paragraph" w:styleId="716">
    <w:name w:val="No Spacing"/>
    <w:uiPriority w:val="1"/>
    <w:qFormat/>
    <w:pPr>
      <w:spacing w:before="0" w:after="0" w:line="240" w:lineRule="auto"/>
    </w:pPr>
  </w:style>
  <w:style w:type="paragraph" w:styleId="717">
    <w:name w:val="Title"/>
    <w:basedOn w:val="875"/>
    <w:next w:val="875"/>
    <w:link w:val="718"/>
    <w:uiPriority w:val="10"/>
    <w:qFormat/>
    <w:pPr>
      <w:contextualSpacing/>
      <w:spacing w:before="300" w:after="200"/>
    </w:pPr>
    <w:rPr>
      <w:sz w:val="48"/>
      <w:szCs w:val="48"/>
    </w:rPr>
  </w:style>
  <w:style w:type="character" w:styleId="718">
    <w:name w:val="Title Char"/>
    <w:link w:val="717"/>
    <w:uiPriority w:val="10"/>
    <w:rPr>
      <w:sz w:val="48"/>
      <w:szCs w:val="48"/>
    </w:rPr>
  </w:style>
  <w:style w:type="paragraph" w:styleId="719">
    <w:name w:val="Subtitle"/>
    <w:basedOn w:val="875"/>
    <w:next w:val="875"/>
    <w:link w:val="720"/>
    <w:uiPriority w:val="11"/>
    <w:qFormat/>
    <w:pPr>
      <w:spacing w:before="200" w:after="200"/>
    </w:pPr>
    <w:rPr>
      <w:sz w:val="24"/>
      <w:szCs w:val="24"/>
    </w:rPr>
  </w:style>
  <w:style w:type="character" w:styleId="720">
    <w:name w:val="Subtitle Char"/>
    <w:link w:val="719"/>
    <w:uiPriority w:val="11"/>
    <w:rPr>
      <w:sz w:val="24"/>
      <w:szCs w:val="24"/>
    </w:rPr>
  </w:style>
  <w:style w:type="paragraph" w:styleId="721">
    <w:name w:val="Quote"/>
    <w:basedOn w:val="875"/>
    <w:next w:val="875"/>
    <w:link w:val="722"/>
    <w:uiPriority w:val="29"/>
    <w:qFormat/>
    <w:pPr>
      <w:ind w:left="720" w:right="720"/>
    </w:pPr>
    <w:rPr>
      <w:i/>
    </w:rPr>
  </w:style>
  <w:style w:type="character" w:styleId="722">
    <w:name w:val="Quote Char"/>
    <w:link w:val="721"/>
    <w:uiPriority w:val="29"/>
    <w:rPr>
      <w:i/>
    </w:rPr>
  </w:style>
  <w:style w:type="paragraph" w:styleId="723">
    <w:name w:val="Intense Quote"/>
    <w:basedOn w:val="875"/>
    <w:next w:val="875"/>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paragraph" w:styleId="725">
    <w:name w:val="Header"/>
    <w:basedOn w:val="875"/>
    <w:link w:val="726"/>
    <w:uiPriority w:val="99"/>
    <w:unhideWhenUsed/>
    <w:pPr>
      <w:spacing w:after="0" w:line="240" w:lineRule="auto"/>
      <w:tabs>
        <w:tab w:val="center" w:pos="7143" w:leader="none"/>
        <w:tab w:val="right" w:pos="14287" w:leader="none"/>
      </w:tabs>
    </w:pPr>
  </w:style>
  <w:style w:type="character" w:styleId="726">
    <w:name w:val="Header Char"/>
    <w:link w:val="725"/>
    <w:uiPriority w:val="99"/>
  </w:style>
  <w:style w:type="paragraph" w:styleId="727">
    <w:name w:val="Footer"/>
    <w:basedOn w:val="875"/>
    <w:link w:val="730"/>
    <w:uiPriority w:val="99"/>
    <w:unhideWhenUsed/>
    <w:pPr>
      <w:spacing w:after="0" w:line="240" w:lineRule="auto"/>
      <w:tabs>
        <w:tab w:val="center" w:pos="7143" w:leader="none"/>
        <w:tab w:val="right" w:pos="14287" w:leader="none"/>
      </w:tabs>
    </w:pPr>
  </w:style>
  <w:style w:type="character" w:styleId="728">
    <w:name w:val="Footer Char"/>
    <w:link w:val="727"/>
    <w:uiPriority w:val="99"/>
  </w:style>
  <w:style w:type="paragraph" w:styleId="729">
    <w:name w:val="Caption"/>
    <w:basedOn w:val="875"/>
    <w:next w:val="875"/>
    <w:uiPriority w:val="35"/>
    <w:semiHidden/>
    <w:unhideWhenUsed/>
    <w:qFormat/>
    <w:pPr>
      <w:spacing w:line="276" w:lineRule="auto"/>
    </w:pPr>
    <w:rPr>
      <w:b/>
      <w:bCs/>
      <w:color w:val="4f81bd" w:themeColor="accent1"/>
      <w:sz w:val="18"/>
      <w:szCs w:val="18"/>
    </w:rPr>
  </w:style>
  <w:style w:type="character" w:styleId="730">
    <w:name w:val="Caption Char"/>
    <w:basedOn w:val="729"/>
    <w:link w:val="727"/>
    <w:uiPriority w:val="99"/>
  </w:style>
  <w:style w:type="table" w:styleId="7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7">
    <w:name w:val="Hyperlink"/>
    <w:uiPriority w:val="99"/>
    <w:unhideWhenUsed/>
    <w:rPr>
      <w:color w:val="0000ff" w:themeColor="hyperlink"/>
      <w:u w:val="single"/>
    </w:rPr>
  </w:style>
  <w:style w:type="paragraph" w:styleId="858">
    <w:name w:val="footnote text"/>
    <w:basedOn w:val="875"/>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uiPriority w:val="99"/>
    <w:unhideWhenUsed/>
    <w:rPr>
      <w:vertAlign w:val="superscript"/>
    </w:rPr>
  </w:style>
  <w:style w:type="paragraph" w:styleId="861">
    <w:name w:val="endnote text"/>
    <w:basedOn w:val="875"/>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uiPriority w:val="99"/>
    <w:semiHidden/>
    <w:unhideWhenUsed/>
    <w:rPr>
      <w:vertAlign w:val="superscript"/>
    </w:rPr>
  </w:style>
  <w:style w:type="paragraph" w:styleId="864">
    <w:name w:val="toc 1"/>
    <w:basedOn w:val="875"/>
    <w:next w:val="875"/>
    <w:uiPriority w:val="39"/>
    <w:unhideWhenUsed/>
    <w:pPr>
      <w:ind w:left="0" w:right="0" w:firstLine="0"/>
      <w:spacing w:after="57"/>
    </w:pPr>
  </w:style>
  <w:style w:type="paragraph" w:styleId="865">
    <w:name w:val="toc 2"/>
    <w:basedOn w:val="875"/>
    <w:next w:val="875"/>
    <w:uiPriority w:val="39"/>
    <w:unhideWhenUsed/>
    <w:pPr>
      <w:ind w:left="283" w:right="0" w:firstLine="0"/>
      <w:spacing w:after="57"/>
    </w:pPr>
  </w:style>
  <w:style w:type="paragraph" w:styleId="866">
    <w:name w:val="toc 3"/>
    <w:basedOn w:val="875"/>
    <w:next w:val="875"/>
    <w:uiPriority w:val="39"/>
    <w:unhideWhenUsed/>
    <w:pPr>
      <w:ind w:left="567" w:right="0" w:firstLine="0"/>
      <w:spacing w:after="57"/>
    </w:pPr>
  </w:style>
  <w:style w:type="paragraph" w:styleId="867">
    <w:name w:val="toc 4"/>
    <w:basedOn w:val="875"/>
    <w:next w:val="875"/>
    <w:uiPriority w:val="39"/>
    <w:unhideWhenUsed/>
    <w:pPr>
      <w:ind w:left="850"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next w:val="887"/>
    <w:link w:val="875"/>
    <w:qFormat/>
    <w:pPr>
      <w:jc w:val="both"/>
      <w:widowControl w:val="off"/>
    </w:pPr>
    <w:rPr>
      <w:sz w:val="21"/>
      <w:szCs w:val="22"/>
      <w:lang w:val="en-US" w:eastAsia="zh-CN" w:bidi="ar-SA"/>
    </w:rPr>
  </w:style>
  <w:style w:type="paragraph" w:styleId="876">
    <w:name w:val="标题 1"/>
    <w:basedOn w:val="875"/>
    <w:next w:val="875"/>
    <w:link w:val="888"/>
    <w:qFormat/>
    <w:pPr>
      <w:jc w:val="center"/>
      <w:keepNext/>
      <w:outlineLvl w:val="0"/>
    </w:pPr>
    <w:rPr>
      <w:rFonts w:ascii="楷体_GB2312" w:hAnsi="Times New Roman" w:eastAsia="楷体_GB2312" w:cs="Times New Roman"/>
      <w:sz w:val="28"/>
      <w:szCs w:val="28"/>
    </w:rPr>
  </w:style>
  <w:style w:type="paragraph" w:styleId="877">
    <w:name w:val="标题 2"/>
    <w:basedOn w:val="875"/>
    <w:next w:val="890"/>
    <w:link w:val="889"/>
    <w:qFormat/>
    <w:pPr>
      <w:jc w:val="center"/>
      <w:keepLines/>
      <w:keepNext/>
      <w:spacing w:before="260" w:after="260" w:line="416" w:lineRule="auto"/>
      <w:outlineLvl w:val="1"/>
    </w:pPr>
    <w:rPr>
      <w:rFonts w:ascii="Arial" w:hAnsi="Arial" w:eastAsia="幼圆" w:cs="Arial"/>
      <w:b/>
      <w:bCs/>
      <w:sz w:val="44"/>
      <w:szCs w:val="44"/>
    </w:rPr>
  </w:style>
  <w:style w:type="paragraph" w:styleId="878">
    <w:name w:val="标题 3"/>
    <w:basedOn w:val="875"/>
    <w:next w:val="890"/>
    <w:link w:val="892"/>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9">
    <w:name w:val="标题 4"/>
    <w:basedOn w:val="875"/>
    <w:next w:val="890"/>
    <w:link w:val="893"/>
    <w:qFormat/>
    <w:pPr>
      <w:keepLines/>
      <w:keepNext/>
      <w:spacing w:before="280" w:after="290" w:line="376" w:lineRule="auto"/>
      <w:outlineLvl w:val="3"/>
    </w:pPr>
    <w:rPr>
      <w:rFonts w:ascii="Arial" w:hAnsi="Arial" w:eastAsia="黑体" w:cs="Arial"/>
      <w:b/>
      <w:bCs/>
      <w:sz w:val="28"/>
      <w:szCs w:val="28"/>
    </w:rPr>
  </w:style>
  <w:style w:type="paragraph" w:styleId="880">
    <w:name w:val="标题 5"/>
    <w:basedOn w:val="875"/>
    <w:next w:val="890"/>
    <w:link w:val="894"/>
    <w:qFormat/>
    <w:pPr>
      <w:keepNext/>
      <w:outlineLvl w:val="4"/>
    </w:pPr>
    <w:rPr>
      <w:rFonts w:ascii="宋体" w:hAnsi="Times New Roman" w:eastAsia="宋体" w:cs="Times New Roman"/>
      <w:color w:val="000000"/>
      <w:sz w:val="28"/>
      <w:szCs w:val="28"/>
    </w:rPr>
  </w:style>
  <w:style w:type="paragraph" w:styleId="881">
    <w:name w:val="标题 6"/>
    <w:basedOn w:val="875"/>
    <w:next w:val="875"/>
    <w:link w:val="89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2">
    <w:name w:val="标题 7"/>
    <w:basedOn w:val="875"/>
    <w:next w:val="875"/>
    <w:link w:val="89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3">
    <w:name w:val="标题 8"/>
    <w:basedOn w:val="875"/>
    <w:next w:val="875"/>
    <w:link w:val="89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4">
    <w:name w:val="标题 9"/>
    <w:basedOn w:val="875"/>
    <w:next w:val="875"/>
    <w:link w:val="898"/>
    <w:qFormat/>
    <w:pPr>
      <w:numPr>
        <w:ilvl w:val="8"/>
        <w:numId w:val="1"/>
      </w:numPr>
      <w:keepLines/>
      <w:keepNext/>
      <w:spacing w:before="240" w:after="64" w:line="320" w:lineRule="auto"/>
      <w:outlineLvl w:val="8"/>
    </w:pPr>
    <w:rPr>
      <w:rFonts w:ascii="Arial" w:hAnsi="Arial" w:eastAsia="黑体" w:cs="Times New Roman"/>
      <w:szCs w:val="21"/>
    </w:rPr>
  </w:style>
  <w:style w:type="character" w:styleId="885">
    <w:name w:val="默认段落字体"/>
    <w:next w:val="885"/>
    <w:link w:val="875"/>
    <w:uiPriority w:val="1"/>
    <w:unhideWhenUsed/>
  </w:style>
  <w:style w:type="table" w:styleId="886">
    <w:name w:val="普通表格"/>
    <w:next w:val="886"/>
    <w:link w:val="875"/>
    <w:uiPriority w:val="99"/>
    <w:unhideWhenUsed/>
    <w:tblPr/>
  </w:style>
  <w:style w:type="paragraph" w:styleId="887">
    <w:name w:val="正文1"/>
    <w:basedOn w:val="875"/>
    <w:next w:val="887"/>
    <w:link w:val="875"/>
    <w:qFormat/>
    <w:pPr>
      <w:ind w:left="350" w:firstLine="0"/>
    </w:pPr>
    <w:rPr>
      <w:rFonts w:cs="Times New Roman"/>
      <w:sz w:val="20"/>
      <w:szCs w:val="24"/>
    </w:rPr>
  </w:style>
  <w:style w:type="character" w:styleId="888">
    <w:name w:val="标题 1 Char"/>
    <w:next w:val="888"/>
    <w:link w:val="876"/>
    <w:rPr>
      <w:rFonts w:ascii="楷体_GB2312" w:hAnsi="Times New Roman" w:eastAsia="楷体_GB2312" w:cs="Times New Roman"/>
      <w:sz w:val="28"/>
      <w:szCs w:val="28"/>
    </w:rPr>
  </w:style>
  <w:style w:type="character" w:styleId="889">
    <w:name w:val="标题 2 Char"/>
    <w:next w:val="889"/>
    <w:link w:val="877"/>
    <w:rPr>
      <w:rFonts w:ascii="Arial" w:hAnsi="Arial" w:eastAsia="幼圆" w:cs="Arial"/>
      <w:b/>
      <w:bCs/>
      <w:sz w:val="44"/>
      <w:szCs w:val="44"/>
    </w:rPr>
  </w:style>
  <w:style w:type="paragraph" w:styleId="890">
    <w:name w:val="正文缩进"/>
    <w:basedOn w:val="875"/>
    <w:next w:val="890"/>
    <w:link w:val="891"/>
    <w:pPr>
      <w:ind w:firstLine="420"/>
    </w:pPr>
    <w:rPr>
      <w:szCs w:val="21"/>
    </w:rPr>
  </w:style>
  <w:style w:type="character" w:styleId="891">
    <w:name w:val="正文缩进 Char"/>
    <w:next w:val="891"/>
    <w:link w:val="890"/>
    <w:rPr>
      <w:szCs w:val="21"/>
    </w:rPr>
  </w:style>
  <w:style w:type="character" w:styleId="892">
    <w:name w:val="标题 3 Char"/>
    <w:next w:val="892"/>
    <w:link w:val="878"/>
    <w:rPr>
      <w:rFonts w:ascii="Times New Roman" w:hAnsi="Times New Roman" w:eastAsia="宋体" w:cs="Times New Roman"/>
      <w:b/>
      <w:bCs/>
      <w:sz w:val="32"/>
      <w:szCs w:val="32"/>
    </w:rPr>
  </w:style>
  <w:style w:type="character" w:styleId="893">
    <w:name w:val="标题 4 Char"/>
    <w:next w:val="893"/>
    <w:link w:val="879"/>
    <w:rPr>
      <w:rFonts w:ascii="Arial" w:hAnsi="Arial" w:eastAsia="黑体" w:cs="Arial"/>
      <w:b/>
      <w:bCs/>
      <w:sz w:val="28"/>
      <w:szCs w:val="28"/>
    </w:rPr>
  </w:style>
  <w:style w:type="character" w:styleId="894">
    <w:name w:val="标题 5 Char"/>
    <w:next w:val="894"/>
    <w:link w:val="880"/>
    <w:rPr>
      <w:rFonts w:ascii="宋体" w:hAnsi="Times New Roman" w:eastAsia="宋体" w:cs="Times New Roman"/>
      <w:color w:val="000000"/>
      <w:sz w:val="28"/>
      <w:szCs w:val="28"/>
    </w:rPr>
  </w:style>
  <w:style w:type="character" w:styleId="895">
    <w:name w:val="标题 6 Char"/>
    <w:next w:val="895"/>
    <w:link w:val="881"/>
    <w:rPr>
      <w:rFonts w:ascii="Arial" w:hAnsi="Arial" w:eastAsia="黑体" w:cs="Times New Roman"/>
      <w:b/>
      <w:bCs/>
      <w:sz w:val="24"/>
      <w:szCs w:val="24"/>
    </w:rPr>
  </w:style>
  <w:style w:type="character" w:styleId="896">
    <w:name w:val="标题 7 Char"/>
    <w:next w:val="896"/>
    <w:link w:val="882"/>
    <w:rPr>
      <w:rFonts w:ascii="Times New Roman" w:hAnsi="Times New Roman" w:eastAsia="宋体" w:cs="Times New Roman"/>
      <w:b/>
      <w:bCs/>
      <w:sz w:val="24"/>
      <w:szCs w:val="24"/>
    </w:rPr>
  </w:style>
  <w:style w:type="character" w:styleId="897">
    <w:name w:val="标题 8 Char"/>
    <w:next w:val="897"/>
    <w:link w:val="883"/>
    <w:rPr>
      <w:rFonts w:ascii="Arial" w:hAnsi="Arial" w:eastAsia="黑体" w:cs="Times New Roman"/>
      <w:sz w:val="24"/>
      <w:szCs w:val="24"/>
    </w:rPr>
  </w:style>
  <w:style w:type="character" w:styleId="898">
    <w:name w:val="标题 9 Char"/>
    <w:next w:val="898"/>
    <w:link w:val="884"/>
    <w:rPr>
      <w:rFonts w:ascii="Arial" w:hAnsi="Arial" w:eastAsia="黑体" w:cs="Times New Roman"/>
      <w:szCs w:val="21"/>
    </w:rPr>
  </w:style>
  <w:style w:type="paragraph" w:styleId="899">
    <w:name w:val="列表 3"/>
    <w:basedOn w:val="875"/>
    <w:next w:val="899"/>
    <w:link w:val="875"/>
    <w:pPr>
      <w:ind w:left="100" w:hanging="200"/>
    </w:pPr>
    <w:rPr>
      <w:rFonts w:ascii="Times New Roman" w:hAnsi="Times New Roman" w:eastAsia="宋体" w:cs="Times New Roman"/>
      <w:szCs w:val="21"/>
    </w:rPr>
  </w:style>
  <w:style w:type="paragraph" w:styleId="900">
    <w:name w:val="目录 7"/>
    <w:basedOn w:val="875"/>
    <w:next w:val="875"/>
    <w:link w:val="875"/>
    <w:semiHidden/>
    <w:pPr>
      <w:ind w:left="1260"/>
      <w:jc w:val="left"/>
    </w:pPr>
    <w:rPr>
      <w:rFonts w:ascii="Times New Roman" w:hAnsi="Times New Roman" w:eastAsia="宋体" w:cs="Times New Roman"/>
      <w:szCs w:val="21"/>
    </w:rPr>
  </w:style>
  <w:style w:type="paragraph" w:styleId="901">
    <w:name w:val="文档结构图"/>
    <w:basedOn w:val="875"/>
    <w:next w:val="901"/>
    <w:link w:val="902"/>
    <w:semiHidden/>
    <w:pPr>
      <w:shd w:val="clear" w:color="auto" w:fill="000080"/>
    </w:pPr>
    <w:rPr>
      <w:rFonts w:ascii="Times New Roman" w:hAnsi="Times New Roman" w:eastAsia="宋体" w:cs="Times New Roman"/>
      <w:szCs w:val="21"/>
    </w:rPr>
  </w:style>
  <w:style w:type="character" w:styleId="902">
    <w:name w:val="文档结构图 Char"/>
    <w:next w:val="902"/>
    <w:link w:val="901"/>
    <w:semiHidden/>
    <w:rPr>
      <w:rFonts w:ascii="Times New Roman" w:hAnsi="Times New Roman" w:eastAsia="宋体" w:cs="Times New Roman"/>
      <w:szCs w:val="21"/>
      <w:shd w:val="clear" w:color="auto" w:fill="000080"/>
    </w:rPr>
  </w:style>
  <w:style w:type="paragraph" w:styleId="903">
    <w:name w:val="批注文字"/>
    <w:basedOn w:val="875"/>
    <w:next w:val="903"/>
    <w:link w:val="904"/>
    <w:unhideWhenUsed/>
    <w:pPr>
      <w:jc w:val="left"/>
    </w:pPr>
  </w:style>
  <w:style w:type="character" w:styleId="904">
    <w:name w:val="批注文字 Char"/>
    <w:basedOn w:val="885"/>
    <w:next w:val="904"/>
    <w:link w:val="903"/>
    <w:uiPriority w:val="99"/>
    <w:semiHidden/>
  </w:style>
  <w:style w:type="paragraph" w:styleId="905">
    <w:name w:val="正文文本 3"/>
    <w:basedOn w:val="875"/>
    <w:next w:val="905"/>
    <w:link w:val="906"/>
    <w:rPr>
      <w:rFonts w:ascii="仿宋_GB2312" w:hAnsi="Arial" w:eastAsia="仿宋_GB2312" w:cs="Times New Roman"/>
      <w:sz w:val="32"/>
      <w:szCs w:val="32"/>
    </w:rPr>
  </w:style>
  <w:style w:type="character" w:styleId="906">
    <w:name w:val="正文文本 3 Char"/>
    <w:next w:val="906"/>
    <w:link w:val="905"/>
    <w:rPr>
      <w:rFonts w:ascii="仿宋_GB2312" w:hAnsi="Arial" w:eastAsia="仿宋_GB2312" w:cs="Times New Roman"/>
      <w:sz w:val="32"/>
      <w:szCs w:val="32"/>
    </w:rPr>
  </w:style>
  <w:style w:type="paragraph" w:styleId="907">
    <w:name w:val="正文文本"/>
    <w:basedOn w:val="875"/>
    <w:next w:val="907"/>
    <w:link w:val="908"/>
    <w:rPr>
      <w:rFonts w:ascii="楷体_GB2312" w:hAnsi="Arial" w:eastAsia="楷体_GB2312" w:cs="Times New Roman"/>
      <w:sz w:val="28"/>
      <w:szCs w:val="28"/>
    </w:rPr>
  </w:style>
  <w:style w:type="character" w:styleId="908">
    <w:name w:val="正文文本 Char"/>
    <w:next w:val="908"/>
    <w:link w:val="907"/>
    <w:rPr>
      <w:rFonts w:ascii="楷体_GB2312" w:hAnsi="Arial" w:eastAsia="楷体_GB2312" w:cs="Times New Roman"/>
      <w:sz w:val="28"/>
      <w:szCs w:val="28"/>
    </w:rPr>
  </w:style>
  <w:style w:type="paragraph" w:styleId="909">
    <w:name w:val="正文文本缩进"/>
    <w:basedOn w:val="875"/>
    <w:next w:val="911"/>
    <w:link w:val="910"/>
    <w:unhideWhenUsed/>
    <w:pPr>
      <w:ind w:left="420"/>
      <w:spacing w:after="120"/>
    </w:pPr>
  </w:style>
  <w:style w:type="character" w:styleId="910">
    <w:name w:val="正文文本缩进 Char"/>
    <w:basedOn w:val="885"/>
    <w:next w:val="910"/>
    <w:link w:val="909"/>
    <w:uiPriority w:val="99"/>
    <w:semiHidden/>
  </w:style>
  <w:style w:type="paragraph" w:styleId="911">
    <w:name w:val="寄信人地址"/>
    <w:basedOn w:val="875"/>
    <w:next w:val="911"/>
    <w:link w:val="875"/>
    <w:qFormat/>
    <w:rPr>
      <w:rFonts w:ascii="Arial" w:hAnsi="Arial" w:eastAsia="宋体" w:cs="宋体"/>
    </w:rPr>
  </w:style>
  <w:style w:type="paragraph" w:styleId="912">
    <w:name w:val="列表 2"/>
    <w:basedOn w:val="875"/>
    <w:next w:val="912"/>
    <w:link w:val="875"/>
    <w:pPr>
      <w:ind w:left="100" w:hanging="200"/>
    </w:pPr>
    <w:rPr>
      <w:rFonts w:ascii="Times New Roman" w:hAnsi="Times New Roman" w:eastAsia="宋体" w:cs="Times New Roman"/>
      <w:szCs w:val="21"/>
    </w:rPr>
  </w:style>
  <w:style w:type="paragraph" w:styleId="913">
    <w:name w:val="目录 5"/>
    <w:basedOn w:val="875"/>
    <w:next w:val="875"/>
    <w:link w:val="875"/>
    <w:semiHidden/>
    <w:pPr>
      <w:ind w:left="840"/>
      <w:jc w:val="left"/>
    </w:pPr>
    <w:rPr>
      <w:rFonts w:ascii="Times New Roman" w:hAnsi="Times New Roman" w:eastAsia="宋体" w:cs="Times New Roman"/>
      <w:szCs w:val="21"/>
    </w:rPr>
  </w:style>
  <w:style w:type="paragraph" w:styleId="914">
    <w:name w:val="目录 3"/>
    <w:basedOn w:val="875"/>
    <w:next w:val="875"/>
    <w:link w:val="875"/>
    <w:semiHidden/>
    <w:pPr>
      <w:ind w:left="420"/>
      <w:jc w:val="left"/>
    </w:pPr>
    <w:rPr>
      <w:rFonts w:ascii="Times New Roman" w:hAnsi="Times New Roman" w:eastAsia="宋体" w:cs="Times New Roman"/>
      <w:i/>
      <w:iCs/>
      <w:szCs w:val="24"/>
    </w:rPr>
  </w:style>
  <w:style w:type="paragraph" w:styleId="915">
    <w:name w:val="纯文本"/>
    <w:basedOn w:val="875"/>
    <w:next w:val="915"/>
    <w:link w:val="916"/>
    <w:rPr>
      <w:rFonts w:ascii="宋体" w:hAnsi="Courier New" w:eastAsia="宋体" w:cs="Courier New"/>
      <w:szCs w:val="21"/>
    </w:rPr>
  </w:style>
  <w:style w:type="character" w:styleId="916">
    <w:name w:val="纯文本 Char"/>
    <w:next w:val="916"/>
    <w:link w:val="915"/>
    <w:rPr>
      <w:rFonts w:ascii="宋体" w:hAnsi="Courier New" w:eastAsia="宋体" w:cs="Courier New"/>
      <w:szCs w:val="21"/>
    </w:rPr>
  </w:style>
  <w:style w:type="paragraph" w:styleId="917">
    <w:name w:val="目录 8"/>
    <w:basedOn w:val="875"/>
    <w:next w:val="875"/>
    <w:link w:val="875"/>
    <w:semiHidden/>
    <w:pPr>
      <w:ind w:left="1470"/>
      <w:jc w:val="left"/>
    </w:pPr>
    <w:rPr>
      <w:rFonts w:ascii="Times New Roman" w:hAnsi="Times New Roman" w:eastAsia="宋体" w:cs="Times New Roman"/>
      <w:szCs w:val="21"/>
    </w:rPr>
  </w:style>
  <w:style w:type="paragraph" w:styleId="918">
    <w:name w:val="日期"/>
    <w:basedOn w:val="875"/>
    <w:next w:val="875"/>
    <w:link w:val="919"/>
    <w:rPr>
      <w:rFonts w:ascii="Times New Roman" w:hAnsi="Times New Roman" w:eastAsia="宋体" w:cs="Times New Roman"/>
      <w:sz w:val="24"/>
      <w:szCs w:val="24"/>
    </w:rPr>
  </w:style>
  <w:style w:type="character" w:styleId="919">
    <w:name w:val="日期 Char"/>
    <w:next w:val="919"/>
    <w:link w:val="918"/>
    <w:rPr>
      <w:rFonts w:ascii="Times New Roman" w:hAnsi="Times New Roman" w:eastAsia="宋体" w:cs="Times New Roman"/>
      <w:sz w:val="24"/>
      <w:szCs w:val="24"/>
    </w:rPr>
  </w:style>
  <w:style w:type="paragraph" w:styleId="920">
    <w:name w:val="正文文本缩进 2"/>
    <w:basedOn w:val="875"/>
    <w:next w:val="920"/>
    <w:link w:val="921"/>
    <w:pPr>
      <w:ind w:left="630" w:firstLine="645"/>
    </w:pPr>
    <w:rPr>
      <w:rFonts w:ascii="Arial" w:hAnsi="Arial" w:eastAsia="仿宋_GB2312" w:cs="Arial"/>
      <w:sz w:val="32"/>
      <w:szCs w:val="32"/>
    </w:rPr>
  </w:style>
  <w:style w:type="character" w:styleId="921">
    <w:name w:val="正文文本缩进 2 Char"/>
    <w:next w:val="921"/>
    <w:link w:val="920"/>
    <w:rPr>
      <w:rFonts w:ascii="Arial" w:hAnsi="Arial" w:eastAsia="仿宋_GB2312" w:cs="Arial"/>
      <w:sz w:val="32"/>
      <w:szCs w:val="32"/>
    </w:rPr>
  </w:style>
  <w:style w:type="paragraph" w:styleId="922">
    <w:name w:val="批注框文本"/>
    <w:basedOn w:val="875"/>
    <w:next w:val="922"/>
    <w:link w:val="923"/>
    <w:semiHidden/>
    <w:rPr>
      <w:rFonts w:ascii="Times New Roman" w:hAnsi="Times New Roman" w:eastAsia="宋体" w:cs="Times New Roman"/>
      <w:sz w:val="18"/>
      <w:szCs w:val="18"/>
    </w:rPr>
  </w:style>
  <w:style w:type="character" w:styleId="923">
    <w:name w:val="批注框文本 Char"/>
    <w:next w:val="923"/>
    <w:link w:val="922"/>
    <w:semiHidden/>
    <w:rPr>
      <w:rFonts w:ascii="Times New Roman" w:hAnsi="Times New Roman" w:eastAsia="宋体" w:cs="Times New Roman"/>
      <w:sz w:val="18"/>
      <w:szCs w:val="18"/>
    </w:rPr>
  </w:style>
  <w:style w:type="paragraph" w:styleId="924">
    <w:name w:val="页脚"/>
    <w:basedOn w:val="875"/>
    <w:next w:val="924"/>
    <w:link w:val="925"/>
    <w:pPr>
      <w:jc w:val="left"/>
      <w:tabs>
        <w:tab w:val="center" w:pos="4153" w:leader="none"/>
        <w:tab w:val="right" w:pos="8306" w:leader="none"/>
      </w:tabs>
    </w:pPr>
    <w:rPr>
      <w:rFonts w:ascii="Times New Roman" w:hAnsi="Times New Roman" w:eastAsia="宋体" w:cs="Times New Roman"/>
      <w:sz w:val="18"/>
      <w:szCs w:val="18"/>
    </w:rPr>
  </w:style>
  <w:style w:type="character" w:styleId="925">
    <w:name w:val="页脚 Char"/>
    <w:next w:val="925"/>
    <w:link w:val="924"/>
    <w:rPr>
      <w:rFonts w:ascii="Times New Roman" w:hAnsi="Times New Roman" w:eastAsia="宋体" w:cs="Times New Roman"/>
      <w:sz w:val="18"/>
      <w:szCs w:val="18"/>
    </w:rPr>
  </w:style>
  <w:style w:type="paragraph" w:styleId="926">
    <w:name w:val="页眉"/>
    <w:basedOn w:val="875"/>
    <w:next w:val="926"/>
    <w:link w:val="92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7">
    <w:name w:val="页眉 Char"/>
    <w:next w:val="927"/>
    <w:link w:val="926"/>
    <w:rPr>
      <w:rFonts w:ascii="Times New Roman" w:hAnsi="Times New Roman" w:eastAsia="宋体" w:cs="Times New Roman"/>
      <w:sz w:val="18"/>
      <w:szCs w:val="18"/>
    </w:rPr>
  </w:style>
  <w:style w:type="paragraph" w:styleId="928">
    <w:name w:val="目录 1"/>
    <w:basedOn w:val="875"/>
    <w:next w:val="875"/>
    <w:link w:val="87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9">
    <w:name w:val="目录 4"/>
    <w:basedOn w:val="875"/>
    <w:next w:val="875"/>
    <w:link w:val="875"/>
    <w:semiHidden/>
    <w:pPr>
      <w:ind w:left="630"/>
      <w:jc w:val="left"/>
    </w:pPr>
    <w:rPr>
      <w:rFonts w:ascii="Times New Roman" w:hAnsi="Times New Roman" w:eastAsia="宋体" w:cs="Times New Roman"/>
      <w:szCs w:val="21"/>
    </w:rPr>
  </w:style>
  <w:style w:type="paragraph" w:styleId="930">
    <w:name w:val="列表"/>
    <w:basedOn w:val="875"/>
    <w:next w:val="930"/>
    <w:link w:val="875"/>
    <w:pPr>
      <w:ind w:left="200" w:hanging="200"/>
    </w:pPr>
    <w:rPr>
      <w:rFonts w:ascii="Times New Roman" w:hAnsi="Times New Roman" w:eastAsia="宋体" w:cs="Times New Roman"/>
      <w:szCs w:val="21"/>
    </w:rPr>
  </w:style>
  <w:style w:type="paragraph" w:styleId="931">
    <w:name w:val="目录 6"/>
    <w:basedOn w:val="875"/>
    <w:next w:val="875"/>
    <w:link w:val="875"/>
    <w:semiHidden/>
    <w:pPr>
      <w:ind w:left="1050"/>
      <w:jc w:val="left"/>
    </w:pPr>
    <w:rPr>
      <w:rFonts w:ascii="Times New Roman" w:hAnsi="Times New Roman" w:eastAsia="宋体" w:cs="Times New Roman"/>
      <w:szCs w:val="21"/>
    </w:rPr>
  </w:style>
  <w:style w:type="paragraph" w:styleId="932">
    <w:name w:val="正文文本缩进 3"/>
    <w:basedOn w:val="875"/>
    <w:next w:val="932"/>
    <w:link w:val="933"/>
    <w:pPr>
      <w:ind w:left="645" w:firstLine="645"/>
    </w:pPr>
    <w:rPr>
      <w:rFonts w:ascii="Arial" w:hAnsi="Arial" w:eastAsia="仿宋_GB2312" w:cs="Arial"/>
      <w:color w:val="ffff00"/>
      <w:sz w:val="32"/>
      <w:szCs w:val="32"/>
    </w:rPr>
  </w:style>
  <w:style w:type="character" w:styleId="933">
    <w:name w:val="正文文本缩进 3 Char"/>
    <w:next w:val="933"/>
    <w:link w:val="932"/>
    <w:rPr>
      <w:rFonts w:ascii="Arial" w:hAnsi="Arial" w:eastAsia="仿宋_GB2312" w:cs="Arial"/>
      <w:color w:val="ffff00"/>
      <w:sz w:val="32"/>
      <w:szCs w:val="32"/>
    </w:rPr>
  </w:style>
  <w:style w:type="paragraph" w:styleId="934">
    <w:name w:val="图表目录"/>
    <w:basedOn w:val="875"/>
    <w:next w:val="875"/>
    <w:link w:val="875"/>
    <w:semiHidden/>
    <w:pPr>
      <w:ind w:left="840" w:hanging="420"/>
    </w:pPr>
    <w:rPr>
      <w:rFonts w:ascii="Times New Roman" w:hAnsi="Times New Roman" w:eastAsia="宋体" w:cs="Times New Roman"/>
      <w:szCs w:val="21"/>
    </w:rPr>
  </w:style>
  <w:style w:type="paragraph" w:styleId="935">
    <w:name w:val="目录 2"/>
    <w:basedOn w:val="875"/>
    <w:next w:val="875"/>
    <w:link w:val="875"/>
    <w:semiHidden/>
    <w:pPr>
      <w:ind w:left="210"/>
      <w:jc w:val="left"/>
    </w:pPr>
    <w:rPr>
      <w:rFonts w:ascii="Times New Roman" w:hAnsi="Times New Roman" w:eastAsia="宋体" w:cs="Times New Roman"/>
      <w:smallCaps/>
      <w:szCs w:val="24"/>
    </w:rPr>
  </w:style>
  <w:style w:type="paragraph" w:styleId="936">
    <w:name w:val="目录 9"/>
    <w:basedOn w:val="875"/>
    <w:next w:val="875"/>
    <w:link w:val="875"/>
    <w:semiHidden/>
    <w:pPr>
      <w:ind w:left="1680"/>
      <w:jc w:val="left"/>
    </w:pPr>
    <w:rPr>
      <w:rFonts w:ascii="Times New Roman" w:hAnsi="Times New Roman" w:eastAsia="宋体" w:cs="Times New Roman"/>
      <w:szCs w:val="21"/>
    </w:rPr>
  </w:style>
  <w:style w:type="paragraph" w:styleId="937">
    <w:name w:val="正文文本 2"/>
    <w:basedOn w:val="875"/>
    <w:next w:val="937"/>
    <w:link w:val="938"/>
    <w:pPr>
      <w:jc w:val="center"/>
      <w:widowControl/>
    </w:pPr>
    <w:rPr>
      <w:rFonts w:ascii="楷体_GB2312" w:hAnsi="Times New Roman" w:eastAsia="楷体_GB2312" w:cs="Times New Roman"/>
      <w:sz w:val="28"/>
      <w:szCs w:val="28"/>
    </w:rPr>
  </w:style>
  <w:style w:type="character" w:styleId="938">
    <w:name w:val="正文文本 2 Char"/>
    <w:next w:val="938"/>
    <w:link w:val="937"/>
    <w:rPr>
      <w:rFonts w:ascii="楷体_GB2312" w:hAnsi="Times New Roman" w:eastAsia="楷体_GB2312" w:cs="Times New Roman"/>
      <w:sz w:val="28"/>
      <w:szCs w:val="28"/>
    </w:rPr>
  </w:style>
  <w:style w:type="paragraph" w:styleId="939">
    <w:name w:val="普通(网站)"/>
    <w:basedOn w:val="875"/>
    <w:next w:val="939"/>
    <w:link w:val="875"/>
    <w:uiPriority w:val="99"/>
    <w:pPr>
      <w:jc w:val="left"/>
      <w:spacing w:before="100" w:beforeAutospacing="1" w:after="100" w:afterAutospacing="1"/>
      <w:widowControl/>
    </w:pPr>
    <w:rPr>
      <w:rFonts w:ascii="宋体" w:hAnsi="宋体" w:eastAsia="宋体" w:cs="宋体"/>
      <w:sz w:val="24"/>
      <w:szCs w:val="24"/>
    </w:rPr>
  </w:style>
  <w:style w:type="paragraph" w:styleId="940">
    <w:name w:val="索引 1"/>
    <w:basedOn w:val="875"/>
    <w:next w:val="875"/>
    <w:link w:val="875"/>
    <w:semiHidden/>
    <w:pPr>
      <w:spacing w:line="240" w:lineRule="atLeast"/>
    </w:pPr>
    <w:rPr>
      <w:rFonts w:ascii="Times New Roman" w:hAnsi="Times New Roman" w:eastAsia="宋体" w:cs="Times New Roman"/>
      <w:b/>
      <w:bCs/>
      <w:szCs w:val="21"/>
    </w:rPr>
  </w:style>
  <w:style w:type="paragraph" w:styleId="941">
    <w:name w:val="批注主题"/>
    <w:basedOn w:val="903"/>
    <w:next w:val="903"/>
    <w:link w:val="942"/>
    <w:semiHidden/>
    <w:rPr>
      <w:rFonts w:ascii="Times New Roman" w:hAnsi="Times New Roman" w:eastAsia="宋体" w:cs="Times New Roman"/>
      <w:b/>
      <w:bCs/>
      <w:szCs w:val="21"/>
    </w:rPr>
  </w:style>
  <w:style w:type="character" w:styleId="942">
    <w:name w:val="批注主题 Char"/>
    <w:next w:val="942"/>
    <w:link w:val="941"/>
    <w:semiHidden/>
    <w:rPr>
      <w:rFonts w:ascii="Times New Roman" w:hAnsi="Times New Roman" w:eastAsia="宋体" w:cs="Times New Roman"/>
      <w:b/>
      <w:bCs/>
      <w:szCs w:val="21"/>
    </w:rPr>
  </w:style>
  <w:style w:type="paragraph" w:styleId="943">
    <w:name w:val="正文首行缩进"/>
    <w:basedOn w:val="875"/>
    <w:next w:val="943"/>
    <w:link w:val="944"/>
    <w:pPr>
      <w:ind w:firstLine="200"/>
      <w:spacing w:line="360" w:lineRule="auto"/>
    </w:pPr>
    <w:rPr>
      <w:rFonts w:ascii="仿宋_GB2312" w:hAnsi="Times New Roman" w:eastAsia="仿宋_GB2312" w:cs="Times New Roman"/>
      <w:sz w:val="30"/>
      <w:szCs w:val="30"/>
    </w:rPr>
  </w:style>
  <w:style w:type="character" w:styleId="944">
    <w:name w:val="正文首行缩进 Char"/>
    <w:next w:val="944"/>
    <w:link w:val="943"/>
    <w:rPr>
      <w:rFonts w:ascii="仿宋_GB2312" w:hAnsi="Times New Roman" w:eastAsia="仿宋_GB2312" w:cs="Times New Roman"/>
      <w:sz w:val="30"/>
      <w:szCs w:val="30"/>
    </w:rPr>
  </w:style>
  <w:style w:type="paragraph" w:styleId="945">
    <w:name w:val="正文首行缩进 2"/>
    <w:basedOn w:val="909"/>
    <w:next w:val="875"/>
    <w:link w:val="946"/>
    <w:pPr>
      <w:ind w:left="0" w:firstLine="420"/>
      <w:spacing w:after="0" w:line="360" w:lineRule="auto"/>
    </w:pPr>
    <w:rPr>
      <w:rFonts w:ascii="宋体" w:hAnsi="宋体" w:eastAsia="宋体" w:cs="Times New Roman"/>
      <w:szCs w:val="20"/>
    </w:rPr>
  </w:style>
  <w:style w:type="character" w:styleId="946">
    <w:name w:val="正文首行缩进 2 Char"/>
    <w:next w:val="946"/>
    <w:link w:val="945"/>
    <w:rPr>
      <w:rFonts w:ascii="宋体" w:hAnsi="宋体" w:eastAsia="宋体" w:cs="Times New Roman"/>
      <w:szCs w:val="20"/>
    </w:rPr>
  </w:style>
  <w:style w:type="table" w:styleId="947">
    <w:name w:val="网格型"/>
    <w:basedOn w:val="886"/>
    <w:next w:val="947"/>
    <w:link w:val="875"/>
    <w:pPr>
      <w:jc w:val="both"/>
      <w:widowControl w:val="off"/>
    </w:pPr>
    <w:rPr>
      <w:rFonts w:ascii="Times New Roman" w:hAnsi="Times New Roman" w:eastAsia="宋体" w:cs="Times New Roman"/>
      <w:sz w:val="20"/>
      <w:szCs w:val="20"/>
    </w:rPr>
    <w:tblPr/>
  </w:style>
  <w:style w:type="character" w:styleId="948">
    <w:name w:val="要点"/>
    <w:next w:val="948"/>
    <w:link w:val="875"/>
    <w:qFormat/>
    <w:rPr>
      <w:b/>
      <w:bCs/>
    </w:rPr>
  </w:style>
  <w:style w:type="character" w:styleId="949">
    <w:name w:val="页码"/>
    <w:next w:val="949"/>
    <w:link w:val="875"/>
  </w:style>
  <w:style w:type="character" w:styleId="950">
    <w:name w:val="已访问的超链接"/>
    <w:next w:val="950"/>
    <w:link w:val="875"/>
    <w:rPr>
      <w:color w:val="800080"/>
      <w:u w:val="single"/>
    </w:rPr>
  </w:style>
  <w:style w:type="character" w:styleId="951">
    <w:name w:val="强调"/>
    <w:next w:val="951"/>
    <w:link w:val="875"/>
    <w:qFormat/>
    <w:rPr>
      <w:i/>
    </w:rPr>
  </w:style>
  <w:style w:type="character" w:styleId="952">
    <w:name w:val="超链接"/>
    <w:next w:val="952"/>
    <w:link w:val="875"/>
    <w:rPr>
      <w:color w:val="0000ff"/>
      <w:u w:val="single"/>
    </w:rPr>
  </w:style>
  <w:style w:type="character" w:styleId="953">
    <w:name w:val="批注引用"/>
    <w:next w:val="953"/>
    <w:link w:val="875"/>
    <w:semiHidden/>
    <w:rPr>
      <w:sz w:val="21"/>
      <w:szCs w:val="21"/>
    </w:rPr>
  </w:style>
  <w:style w:type="paragraph" w:styleId="954">
    <w:name w:val="正文首行缩进 211"/>
    <w:basedOn w:val="955"/>
    <w:next w:val="875"/>
    <w:link w:val="875"/>
    <w:qFormat/>
    <w:pPr>
      <w:ind w:left="0" w:firstLine="420"/>
      <w:spacing w:after="0" w:line="360" w:lineRule="auto"/>
    </w:pPr>
    <w:rPr>
      <w:rFonts w:ascii="宋体" w:hAnsi="宋体" w:eastAsia="宋体" w:cs="Times New Roman"/>
      <w:szCs w:val="20"/>
    </w:rPr>
  </w:style>
  <w:style w:type="paragraph" w:styleId="955">
    <w:name w:val="正文文本缩进11"/>
    <w:basedOn w:val="875"/>
    <w:next w:val="956"/>
    <w:link w:val="875"/>
    <w:unhideWhenUsed/>
    <w:qFormat/>
    <w:pPr>
      <w:ind w:left="420"/>
      <w:spacing w:after="120"/>
    </w:pPr>
  </w:style>
  <w:style w:type="paragraph" w:styleId="956">
    <w:name w:val="寄信人地址1"/>
    <w:basedOn w:val="875"/>
    <w:next w:val="956"/>
    <w:link w:val="875"/>
    <w:qFormat/>
    <w:rPr>
      <w:rFonts w:ascii="Arial" w:hAnsi="Arial" w:eastAsia="宋体" w:cs="宋体"/>
    </w:rPr>
  </w:style>
  <w:style w:type="paragraph" w:styleId="957">
    <w:name w:val="索引 41"/>
    <w:basedOn w:val="875"/>
    <w:next w:val="875"/>
    <w:link w:val="875"/>
    <w:semiHidden/>
    <w:qFormat/>
    <w:pPr>
      <w:ind w:left="1260"/>
    </w:pPr>
    <w:rPr>
      <w:rFonts w:ascii="Calibri" w:hAnsi="Calibri" w:eastAsia="Calibri" w:cs="宋体"/>
      <w:sz w:val="20"/>
      <w:lang w:val="zh-CN"/>
    </w:rPr>
  </w:style>
  <w:style w:type="paragraph" w:styleId="958">
    <w:name w:val="正文文本缩进1"/>
    <w:basedOn w:val="875"/>
    <w:next w:val="959"/>
    <w:link w:val="875"/>
    <w:unhideWhenUsed/>
    <w:qFormat/>
    <w:pPr>
      <w:ind w:left="420"/>
      <w:spacing w:after="120"/>
    </w:pPr>
  </w:style>
  <w:style w:type="paragraph" w:styleId="959">
    <w:name w:val="正文文本首行缩进 2"/>
    <w:basedOn w:val="958"/>
    <w:next w:val="959"/>
    <w:link w:val="875"/>
    <w:qFormat/>
    <w:pPr>
      <w:ind w:left="0" w:firstLine="420"/>
      <w:spacing w:after="0" w:line="360" w:lineRule="auto"/>
    </w:pPr>
    <w:rPr>
      <w:rFonts w:ascii="宋体" w:hAnsi="宋体"/>
      <w:sz w:val="20"/>
      <w:szCs w:val="20"/>
      <w:lang w:val="en-US" w:eastAsia="en-US"/>
    </w:rPr>
  </w:style>
  <w:style w:type="character" w:styleId="960">
    <w:name w:val="font5 Char"/>
    <w:next w:val="960"/>
    <w:link w:val="875"/>
    <w:rPr>
      <w:rFonts w:ascii="宋体" w:hAnsi="宋体" w:eastAsia="宋体"/>
      <w:sz w:val="28"/>
      <w:szCs w:val="28"/>
      <w:lang w:val="en-US" w:eastAsia="zh-CN" w:bidi="ar-SA"/>
    </w:rPr>
  </w:style>
  <w:style w:type="character" w:styleId="961">
    <w:name w:val="二级目录 Char"/>
    <w:next w:val="961"/>
    <w:link w:val="962"/>
    <w:rPr>
      <w:b/>
      <w:sz w:val="30"/>
      <w:szCs w:val="28"/>
    </w:rPr>
  </w:style>
  <w:style w:type="paragraph" w:styleId="962">
    <w:name w:val="二级目录"/>
    <w:next w:val="875"/>
    <w:link w:val="961"/>
    <w:pPr>
      <w:numPr>
        <w:ilvl w:val="0"/>
        <w:numId w:val="2"/>
      </w:numPr>
      <w:tabs>
        <w:tab w:val="left" w:pos="907" w:leader="none"/>
        <w:tab w:val="left" w:pos="1145" w:leader="none"/>
      </w:tabs>
      <w:outlineLvl w:val="1"/>
    </w:pPr>
    <w:rPr>
      <w:b/>
      <w:sz w:val="30"/>
      <w:szCs w:val="28"/>
      <w:lang w:val="en-US" w:eastAsia="zh-CN" w:bidi="ar-SA"/>
    </w:rPr>
  </w:style>
  <w:style w:type="character" w:styleId="963">
    <w:name w:val="列出段落 Char,Bullet List Char,numbered Char,FooterText Char,List Paragraph1 Char,Paragraphe de liste1 Char"/>
    <w:next w:val="963"/>
    <w:link w:val="964"/>
    <w:rPr>
      <w:rFonts w:ascii="Calibri" w:hAnsi="Calibri"/>
      <w:sz w:val="24"/>
      <w:szCs w:val="24"/>
      <w:lang w:eastAsia="en-US" w:bidi="en-US"/>
    </w:rPr>
  </w:style>
  <w:style w:type="paragraph" w:styleId="964">
    <w:name w:val="列出段落1"/>
    <w:basedOn w:val="875"/>
    <w:next w:val="964"/>
    <w:link w:val="963"/>
    <w:qFormat/>
    <w:pPr>
      <w:contextualSpacing/>
      <w:ind w:left="720"/>
      <w:jc w:val="left"/>
      <w:widowControl/>
    </w:pPr>
    <w:rPr>
      <w:rFonts w:ascii="Calibri" w:hAnsi="Calibri"/>
      <w:sz w:val="24"/>
      <w:szCs w:val="24"/>
      <w:lang w:eastAsia="en-US" w:bidi="en-US"/>
    </w:rPr>
  </w:style>
  <w:style w:type="paragraph" w:styleId="965">
    <w:name w:val="Body Text(ch)"/>
    <w:basedOn w:val="875"/>
    <w:next w:val="907"/>
    <w:link w:val="875"/>
    <w:pPr>
      <w:spacing w:after="120"/>
    </w:pPr>
    <w:rPr>
      <w:rFonts w:ascii="宋体" w:hAnsi="Arial" w:eastAsia="宋体" w:cs="Times New Roman"/>
      <w:bCs/>
      <w:iCs/>
      <w:szCs w:val="24"/>
    </w:rPr>
  </w:style>
  <w:style w:type="paragraph" w:styleId="966">
    <w:name w:val="xl27"/>
    <w:basedOn w:val="875"/>
    <w:next w:val="966"/>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7">
    <w:name w:val="xl26"/>
    <w:basedOn w:val="875"/>
    <w:next w:val="967"/>
    <w:link w:val="8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8">
    <w:name w:val="Char"/>
    <w:basedOn w:val="875"/>
    <w:next w:val="968"/>
    <w:link w:val="875"/>
    <w:pPr>
      <w:ind w:firstLine="200"/>
      <w:tabs>
        <w:tab w:val="left" w:pos="360" w:leader="none"/>
      </w:tabs>
    </w:pPr>
    <w:rPr>
      <w:rFonts w:ascii="Times New Roman" w:hAnsi="Times New Roman" w:eastAsia="宋体" w:cs="Times New Roman"/>
      <w:sz w:val="28"/>
      <w:szCs w:val="30"/>
    </w:rPr>
  </w:style>
  <w:style w:type="paragraph" w:styleId="969">
    <w:name w:val=" Char"/>
    <w:basedOn w:val="901"/>
    <w:next w:val="969"/>
    <w:link w:val="875"/>
    <w:rPr>
      <w:rFonts w:ascii="Tahoma" w:hAnsi="Tahoma"/>
      <w:sz w:val="24"/>
      <w:szCs w:val="24"/>
    </w:rPr>
  </w:style>
  <w:style w:type="paragraph" w:styleId="970">
    <w:name w:val="普通正文"/>
    <w:basedOn w:val="875"/>
    <w:next w:val="970"/>
    <w:link w:val="875"/>
    <w:pPr>
      <w:ind w:firstLine="480"/>
      <w:jc w:val="left"/>
      <w:spacing w:before="120" w:after="120" w:line="360" w:lineRule="auto"/>
    </w:pPr>
    <w:rPr>
      <w:rFonts w:ascii="Arial" w:hAnsi="Arial" w:eastAsia="宋体" w:cs="Times New Roman"/>
      <w:sz w:val="24"/>
      <w:szCs w:val="24"/>
    </w:rPr>
  </w:style>
  <w:style w:type="paragraph" w:styleId="971">
    <w:name w:val="table_lines"/>
    <w:basedOn w:val="875"/>
    <w:next w:val="971"/>
    <w:link w:val="875"/>
    <w:pPr>
      <w:jc w:val="left"/>
      <w:widowControl/>
    </w:pPr>
    <w:rPr>
      <w:rFonts w:ascii="Times New Roman" w:hAnsi="Times New Roman" w:eastAsia="宋体" w:cs="Times New Roman"/>
      <w:sz w:val="20"/>
      <w:szCs w:val="20"/>
      <w:lang w:val="de-DE" w:eastAsia="de-DE"/>
    </w:rPr>
  </w:style>
  <w:style w:type="paragraph" w:styleId="972">
    <w:name w:val="附录1"/>
    <w:next w:val="972"/>
    <w:link w:val="87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3">
    <w:name w:val="font7"/>
    <w:basedOn w:val="875"/>
    <w:next w:val="973"/>
    <w:link w:val="875"/>
    <w:pPr>
      <w:jc w:val="left"/>
      <w:spacing w:before="100" w:beforeAutospacing="1" w:after="100" w:afterAutospacing="1"/>
      <w:widowControl/>
    </w:pPr>
    <w:rPr>
      <w:rFonts w:hint="eastAsia" w:ascii="宋体" w:hAnsi="宋体" w:eastAsia="宋体" w:cs="Times New Roman"/>
      <w:sz w:val="18"/>
      <w:szCs w:val="18"/>
    </w:rPr>
  </w:style>
  <w:style w:type="paragraph" w:styleId="974">
    <w:name w:val=" Char Char Char Char"/>
    <w:basedOn w:val="901"/>
    <w:next w:val="974"/>
    <w:link w:val="875"/>
    <w:pPr>
      <w:spacing w:line="360" w:lineRule="auto"/>
    </w:pPr>
    <w:rPr>
      <w:rFonts w:ascii="Tahoma" w:hAnsi="Tahoma"/>
      <w:sz w:val="24"/>
      <w:szCs w:val="24"/>
    </w:rPr>
  </w:style>
  <w:style w:type="paragraph" w:styleId="975">
    <w:name w:val="列出段落"/>
    <w:basedOn w:val="875"/>
    <w:next w:val="975"/>
    <w:link w:val="875"/>
    <w:qFormat/>
    <w:pPr>
      <w:contextualSpacing/>
      <w:ind w:left="720"/>
      <w:jc w:val="left"/>
      <w:widowControl/>
    </w:pPr>
    <w:rPr>
      <w:rFonts w:ascii="Calibri" w:hAnsi="Calibri" w:eastAsia="宋体" w:cs="Times New Roman"/>
      <w:sz w:val="24"/>
      <w:szCs w:val="24"/>
      <w:lang w:eastAsia="en-US" w:bidi="en-US"/>
    </w:rPr>
  </w:style>
  <w:style w:type="paragraph" w:styleId="976">
    <w:name w:val="4"/>
    <w:basedOn w:val="875"/>
    <w:next w:val="932"/>
    <w:link w:val="875"/>
    <w:pPr>
      <w:ind w:firstLine="420"/>
      <w:spacing w:line="360" w:lineRule="auto"/>
    </w:pPr>
    <w:rPr>
      <w:rFonts w:ascii="Times New Roman" w:hAnsi="Times New Roman" w:eastAsia="宋体" w:cs="Times New Roman"/>
      <w:color w:val="ff0000"/>
      <w:sz w:val="24"/>
      <w:szCs w:val="24"/>
    </w:rPr>
  </w:style>
  <w:style w:type="paragraph" w:styleId="977">
    <w:name w:val="普通 (Web)"/>
    <w:basedOn w:val="875"/>
    <w:next w:val="977"/>
    <w:link w:val="875"/>
    <w:pPr>
      <w:jc w:val="left"/>
      <w:spacing w:before="100" w:beforeAutospacing="1" w:after="100" w:afterAutospacing="1"/>
      <w:widowControl/>
    </w:pPr>
    <w:rPr>
      <w:rFonts w:ascii="宋体" w:hAnsi="宋体" w:eastAsia="宋体" w:cs="Times New Roman"/>
      <w:sz w:val="24"/>
      <w:szCs w:val="24"/>
    </w:rPr>
  </w:style>
  <w:style w:type="paragraph" w:styleId="978">
    <w:name w:val=" Char Char Char Char Char Char Char Char Char Char"/>
    <w:basedOn w:val="875"/>
    <w:next w:val="978"/>
    <w:link w:val="875"/>
    <w:pPr>
      <w:spacing w:line="360" w:lineRule="auto"/>
    </w:pPr>
    <w:rPr>
      <w:rFonts w:ascii="Times New Roman" w:hAnsi="Times New Roman" w:eastAsia="宋体" w:cs="Times New Roman"/>
      <w:sz w:val="24"/>
      <w:szCs w:val="20"/>
    </w:rPr>
  </w:style>
  <w:style w:type="paragraph" w:styleId="979">
    <w:name w:val="样式1"/>
    <w:basedOn w:val="875"/>
    <w:next w:val="979"/>
    <w:link w:val="875"/>
    <w:pPr>
      <w:numPr>
        <w:ilvl w:val="0"/>
        <w:numId w:val="3"/>
      </w:numPr>
      <w:tabs>
        <w:tab w:val="left" w:pos="709" w:leader="none"/>
      </w:tabs>
    </w:pPr>
    <w:rPr>
      <w:rFonts w:ascii="宋体" w:hAnsi="宋体" w:eastAsia="宋体" w:cs="Times New Roman"/>
      <w:szCs w:val="21"/>
    </w:rPr>
  </w:style>
  <w:style w:type="paragraph" w:styleId="980">
    <w:name w:val="font6"/>
    <w:basedOn w:val="875"/>
    <w:next w:val="980"/>
    <w:link w:val="875"/>
    <w:pPr>
      <w:jc w:val="left"/>
      <w:spacing w:before="100" w:beforeAutospacing="1" w:after="100" w:afterAutospacing="1"/>
      <w:widowControl/>
    </w:pPr>
    <w:rPr>
      <w:rFonts w:hint="eastAsia" w:ascii="宋体" w:hAnsi="宋体" w:eastAsia="宋体" w:cs="Times New Roman"/>
      <w:sz w:val="28"/>
      <w:szCs w:val="28"/>
      <w:u w:val="single"/>
    </w:rPr>
  </w:style>
  <w:style w:type="paragraph" w:styleId="981">
    <w:name w:val="xl25"/>
    <w:basedOn w:val="875"/>
    <w:next w:val="981"/>
    <w:link w:val="87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2">
    <w:name w:val="图标"/>
    <w:basedOn w:val="875"/>
    <w:next w:val="875"/>
    <w:link w:val="87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3">
    <w:name w:val="标题3"/>
    <w:basedOn w:val="875"/>
    <w:next w:val="875"/>
    <w:link w:val="875"/>
    <w:pPr>
      <w:ind w:firstLine="624"/>
      <w:spacing w:line="590" w:lineRule="atLeast"/>
    </w:pPr>
    <w:rPr>
      <w:rFonts w:ascii="方正黑体_GBK" w:hAnsi="Times New Roman" w:eastAsia="方正黑体_GBK" w:cs="Times New Roman"/>
      <w:sz w:val="32"/>
      <w:szCs w:val="32"/>
    </w:rPr>
  </w:style>
  <w:style w:type="paragraph" w:styleId="984">
    <w:name w:val="xl24"/>
    <w:basedOn w:val="875"/>
    <w:next w:val="984"/>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5">
    <w:name w:val="xl29"/>
    <w:basedOn w:val="875"/>
    <w:next w:val="985"/>
    <w:link w:val="87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6">
    <w:name w:val="Char Char Char Char Char Char Char Char"/>
    <w:basedOn w:val="875"/>
    <w:next w:val="986"/>
    <w:link w:val="875"/>
    <w:pPr>
      <w:jc w:val="left"/>
      <w:spacing w:after="160" w:line="240" w:lineRule="exact"/>
      <w:widowControl/>
    </w:pPr>
    <w:rPr>
      <w:rFonts w:ascii="Verdana" w:hAnsi="Verdana" w:eastAsia="宋体" w:cs="Times New Roman"/>
      <w:sz w:val="20"/>
      <w:szCs w:val="20"/>
      <w:lang w:eastAsia="en-US"/>
    </w:rPr>
  </w:style>
  <w:style w:type="paragraph" w:styleId="987">
    <w:name w:val="xl28"/>
    <w:basedOn w:val="875"/>
    <w:next w:val="987"/>
    <w:link w:val="87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8">
    <w:name w:val=" Char Char Char Char Char Char Char Char"/>
    <w:basedOn w:val="875"/>
    <w:next w:val="988"/>
    <w:link w:val="875"/>
    <w:pPr>
      <w:jc w:val="left"/>
      <w:spacing w:after="160" w:line="240" w:lineRule="exact"/>
      <w:widowControl/>
    </w:pPr>
    <w:rPr>
      <w:rFonts w:ascii="Verdana" w:hAnsi="Verdana" w:eastAsia="宋体" w:cs="Times New Roman"/>
      <w:sz w:val="20"/>
      <w:szCs w:val="20"/>
      <w:lang w:eastAsia="en-US"/>
    </w:rPr>
  </w:style>
  <w:style w:type="paragraph" w:styleId="989">
    <w:name w:val="xl30"/>
    <w:basedOn w:val="875"/>
    <w:next w:val="989"/>
    <w:link w:val="875"/>
    <w:pPr>
      <w:jc w:val="center"/>
      <w:spacing w:before="100" w:beforeAutospacing="1" w:after="100" w:afterAutospacing="1"/>
      <w:widowControl/>
    </w:pPr>
    <w:rPr>
      <w:rFonts w:ascii="宋体" w:hAnsi="宋体" w:eastAsia="宋体" w:cs="Times New Roman"/>
      <w:b/>
      <w:bCs/>
      <w:sz w:val="36"/>
      <w:szCs w:val="36"/>
    </w:rPr>
  </w:style>
  <w:style w:type="paragraph" w:styleId="990">
    <w:name w:val="Char Char Char Char"/>
    <w:basedOn w:val="901"/>
    <w:next w:val="990"/>
    <w:link w:val="875"/>
    <w:pPr>
      <w:spacing w:line="360" w:lineRule="auto"/>
    </w:pPr>
    <w:rPr>
      <w:rFonts w:ascii="Tahoma" w:hAnsi="Tahoma"/>
      <w:sz w:val="24"/>
      <w:szCs w:val="24"/>
    </w:rPr>
  </w:style>
  <w:style w:type="paragraph" w:styleId="991">
    <w:name w:val="table_1stline"/>
    <w:basedOn w:val="875"/>
    <w:next w:val="991"/>
    <w:link w:val="875"/>
    <w:pPr>
      <w:jc w:val="left"/>
      <w:spacing w:before="120"/>
      <w:widowControl/>
    </w:pPr>
    <w:rPr>
      <w:rFonts w:ascii="Times New Roman" w:hAnsi="Times New Roman" w:eastAsia="宋体" w:cs="Times New Roman"/>
      <w:bCs/>
      <w:sz w:val="20"/>
      <w:szCs w:val="20"/>
      <w:lang w:val="de-DE" w:eastAsia="de-DE"/>
    </w:rPr>
  </w:style>
  <w:style w:type="paragraph" w:styleId="992">
    <w:name w:val="font5"/>
    <w:basedOn w:val="875"/>
    <w:next w:val="992"/>
    <w:link w:val="875"/>
    <w:pPr>
      <w:jc w:val="left"/>
      <w:spacing w:before="100" w:beforeAutospacing="1" w:after="100" w:afterAutospacing="1"/>
      <w:widowControl/>
    </w:pPr>
    <w:rPr>
      <w:rFonts w:hint="eastAsia" w:ascii="宋体" w:hAnsi="宋体" w:eastAsia="宋体" w:cs="Times New Roman"/>
      <w:sz w:val="28"/>
      <w:szCs w:val="28"/>
    </w:rPr>
  </w:style>
  <w:style w:type="paragraph" w:styleId="993">
    <w:name w:val="标题1"/>
    <w:basedOn w:val="875"/>
    <w:next w:val="875"/>
    <w:link w:val="87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4">
    <w:name w:val="修订"/>
    <w:next w:val="994"/>
    <w:link w:val="875"/>
    <w:uiPriority w:val="99"/>
    <w:semiHidden/>
    <w:rPr>
      <w:rFonts w:ascii="Times New Roman" w:hAnsi="Times New Roman"/>
      <w:sz w:val="21"/>
      <w:szCs w:val="21"/>
      <w:lang w:val="en-US" w:eastAsia="zh-CN" w:bidi="ar-SA"/>
    </w:rPr>
  </w:style>
  <w:style w:type="paragraph" w:styleId="995">
    <w:name w:val="无间隔"/>
    <w:next w:val="995"/>
    <w:link w:val="875"/>
    <w:uiPriority w:val="99"/>
    <w:qFormat/>
    <w:pPr>
      <w:jc w:val="both"/>
      <w:widowControl w:val="off"/>
    </w:pPr>
    <w:rPr>
      <w:rFonts w:ascii="Times New Roman" w:hAnsi="Times New Roman"/>
      <w:sz w:val="21"/>
      <w:szCs w:val="21"/>
      <w:lang w:val="en-US" w:eastAsia="zh-CN" w:bidi="ar-SA"/>
    </w:rPr>
  </w:style>
  <w:style w:type="table" w:styleId="996">
    <w:name w:val="Table Normal"/>
    <w:next w:val="996"/>
    <w:link w:val="875"/>
    <w:qFormat/>
    <w:tblPr/>
  </w:style>
  <w:style w:type="paragraph" w:styleId="997">
    <w:name w:val="正文文本12"/>
    <w:basedOn w:val="875"/>
    <w:next w:val="997"/>
    <w:link w:val="875"/>
    <w:uiPriority w:val="1"/>
    <w:qFormat/>
    <w:pPr>
      <w:ind w:left="120"/>
    </w:pPr>
    <w:rPr>
      <w:rFonts w:ascii="宋体" w:hAnsi="宋体" w:eastAsia="宋体" w:cs="宋体"/>
      <w:sz w:val="21"/>
      <w:szCs w:val="21"/>
      <w:lang w:val="zh-CN" w:eastAsia="zh-CN" w:bidi="zh-CN"/>
    </w:rPr>
  </w:style>
  <w:style w:type="paragraph" w:styleId="998">
    <w:name w:val="正文文本 211"/>
    <w:basedOn w:val="875"/>
    <w:next w:val="998"/>
    <w:link w:val="875"/>
    <w:uiPriority w:val="99"/>
    <w:qFormat/>
    <w:pPr>
      <w:jc w:val="center"/>
    </w:pPr>
    <w:rPr>
      <w:b/>
      <w:bCs/>
      <w:sz w:val="20"/>
      <w:szCs w:val="20"/>
    </w:rPr>
  </w:style>
  <w:style w:type="paragraph" w:styleId="999">
    <w:name w:val="正文文本1"/>
    <w:basedOn w:val="875"/>
    <w:next w:val="875"/>
    <w:link w:val="875"/>
    <w:semiHidden/>
    <w:qFormat/>
    <w:rPr>
      <w:rFonts w:ascii="Arial" w:hAnsi="Arial" w:eastAsia="Arial" w:cs="Arial"/>
      <w:sz w:val="21"/>
      <w:szCs w:val="21"/>
      <w:lang w:val="en-US" w:eastAsia="en-US" w:bidi="ar-SA"/>
    </w:rPr>
  </w:style>
  <w:style w:type="paragraph" w:styleId="1000">
    <w:name w:val="Table Paragraph"/>
    <w:basedOn w:val="875"/>
    <w:next w:val="1000"/>
    <w:link w:val="875"/>
    <w:uiPriority w:val="1"/>
    <w:qFormat/>
    <w:pPr>
      <w:jc w:val="left"/>
    </w:pPr>
    <w:rPr>
      <w:rFonts w:ascii="宋体" w:hAnsi="宋体" w:eastAsia="宋体" w:cs="宋体"/>
      <w:sz w:val="22"/>
      <w:szCs w:val="22"/>
      <w:lang w:val="zh-CN" w:bidi="zh-CN"/>
    </w:rPr>
  </w:style>
  <w:style w:type="table" w:styleId="1001">
    <w:name w:val="网格型1"/>
    <w:basedOn w:val="1002"/>
    <w:next w:val="1001"/>
    <w:link w:val="875"/>
    <w:qFormat/>
    <w:pPr>
      <w:jc w:val="both"/>
      <w:widowControl w:val="off"/>
    </w:pPr>
    <w:tblPr/>
  </w:style>
  <w:style w:type="table" w:styleId="1002">
    <w:name w:val="普通表格1"/>
    <w:next w:val="1002"/>
    <w:link w:val="875"/>
    <w:uiPriority w:val="99"/>
    <w:unhideWhenUsed/>
    <w:qFormat/>
    <w:tblPr/>
  </w:style>
  <w:style w:type="character" w:styleId="1003">
    <w:name w:val="15"/>
    <w:basedOn w:val="885"/>
    <w:next w:val="1003"/>
    <w:link w:val="875"/>
    <w:rPr>
      <w:rFonts w:ascii="Times New Roman" w:hAnsi="Times New Roman" w:cs="Times New Roman"/>
    </w:rPr>
  </w:style>
  <w:style w:type="paragraph" w:styleId="1004">
    <w:name w:val="正文首行缩进 21"/>
    <w:basedOn w:val="1005"/>
    <w:next w:val="875"/>
    <w:link w:val="875"/>
    <w:qFormat/>
    <w:pPr>
      <w:ind w:left="0" w:firstLine="420"/>
      <w:spacing w:after="0" w:line="360" w:lineRule="auto"/>
    </w:pPr>
    <w:rPr>
      <w:rFonts w:ascii="宋体" w:hAnsi="宋体"/>
      <w:sz w:val="20"/>
      <w:szCs w:val="20"/>
      <w:lang w:eastAsia="en-US"/>
    </w:rPr>
  </w:style>
  <w:style w:type="paragraph" w:styleId="1005">
    <w:name w:val="正文文本缩进111"/>
    <w:basedOn w:val="875"/>
    <w:next w:val="1006"/>
    <w:link w:val="875"/>
    <w:unhideWhenUsed/>
    <w:qFormat/>
    <w:pPr>
      <w:ind w:left="420"/>
      <w:spacing w:after="120"/>
    </w:pPr>
  </w:style>
  <w:style w:type="paragraph" w:styleId="1006">
    <w:name w:val="寄信人地址11"/>
    <w:basedOn w:val="875"/>
    <w:next w:val="1006"/>
    <w:link w:val="875"/>
    <w:qFormat/>
    <w:rPr>
      <w:rFonts w:ascii="Arial" w:hAnsi="Arial" w:cs="宋体"/>
    </w:rPr>
  </w:style>
  <w:style w:type="character" w:styleId="1007" w:default="1">
    <w:name w:val="Default Paragraph Font"/>
    <w:uiPriority w:val="1"/>
    <w:semiHidden/>
    <w:unhideWhenUsed/>
  </w:style>
  <w:style w:type="numbering" w:styleId="1008" w:default="1">
    <w:name w:val="No List"/>
    <w:uiPriority w:val="99"/>
    <w:semiHidden/>
    <w:unhideWhenUsed/>
  </w:style>
  <w:style w:type="table" w:styleId="10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杨浩</cp:lastModifiedBy>
  <cp:revision>4</cp:revision>
  <dcterms:created xsi:type="dcterms:W3CDTF">2023-03-16T02:13:00Z</dcterms:created>
  <dcterms:modified xsi:type="dcterms:W3CDTF">2026-10-13T08:12:59Z</dcterms:modified>
</cp:coreProperties>
</file>