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8"/>
        <w:ind w:firstLine="0"/>
        <w:jc w:val="both"/>
        <w:rPr>
          <w:rFonts w:eastAsia="黑体"/>
          <w:b/>
          <w:bCs/>
          <w:color w:val="000000"/>
          <w:sz w:val="84"/>
        </w:rPr>
      </w:pPr>
      <w:r>
        <w:rPr>
          <w:rFonts w:eastAsia="黑体"/>
          <w:b/>
          <w:bCs/>
          <w:color w:val="000000"/>
          <w:sz w:val="84"/>
        </w:rPr>
      </w:r>
      <w:r/>
    </w:p>
    <w:p>
      <w:pPr>
        <w:pStyle w:val="1148"/>
        <w:ind w:firstLine="0"/>
        <w:jc w:val="center"/>
        <w:rPr>
          <w:rFonts w:eastAsia="黑体"/>
          <w:b/>
          <w:bCs/>
          <w:color w:val="000000"/>
          <w:sz w:val="84"/>
        </w:rPr>
      </w:pPr>
      <w:r>
        <w:rPr>
          <w:rFonts w:hint="eastAsia" w:eastAsia="黑体"/>
          <w:b/>
          <w:bCs/>
          <w:color w:val="000000"/>
          <w:sz w:val="84"/>
        </w:rPr>
        <w:t xml:space="preserve">招　标　文　件</w:t>
      </w:r>
      <w:r/>
    </w:p>
    <w:p>
      <w:pPr>
        <w:pStyle w:val="1148"/>
        <w:ind w:firstLine="1285"/>
        <w:jc w:val="both"/>
        <w:rPr>
          <w:b/>
          <w:bCs/>
          <w:color w:val="000000"/>
          <w:sz w:val="32"/>
        </w:rPr>
      </w:pPr>
      <w:r>
        <w:rPr>
          <w:b/>
          <w:bCs/>
          <w:color w:val="000000"/>
          <w:sz w:val="32"/>
        </w:rPr>
      </w:r>
      <w:r/>
    </w:p>
    <w:p>
      <w:pPr>
        <w:pStyle w:val="1148"/>
        <w:ind w:firstLine="1285"/>
        <w:jc w:val="both"/>
        <w:rPr>
          <w:b/>
          <w:bCs/>
          <w:color w:val="000000"/>
          <w:sz w:val="32"/>
        </w:rPr>
      </w:pPr>
      <w:r>
        <w:rPr>
          <w:b/>
          <w:bCs/>
          <w:color w:val="000000"/>
          <w:sz w:val="32"/>
        </w:rPr>
      </w:r>
      <w:r/>
    </w:p>
    <w:p>
      <w:pPr>
        <w:pStyle w:val="1148"/>
        <w:ind w:firstLine="1285"/>
        <w:jc w:val="both"/>
        <w:rPr>
          <w:b/>
          <w:bCs/>
          <w:color w:val="000000"/>
          <w:sz w:val="32"/>
        </w:rPr>
      </w:pPr>
      <w:r>
        <w:rPr>
          <w:b/>
          <w:bCs/>
          <w:color w:val="000000"/>
          <w:sz w:val="32"/>
        </w:rPr>
      </w:r>
      <w:r/>
    </w:p>
    <w:p>
      <w:pPr>
        <w:pStyle w:val="1148"/>
        <w:ind w:firstLine="1285"/>
        <w:jc w:val="both"/>
        <w:rPr>
          <w:b/>
          <w:bCs/>
          <w:color w:val="000000"/>
          <w:sz w:val="32"/>
        </w:rPr>
      </w:pPr>
      <w:r>
        <w:rPr>
          <w:b/>
          <w:bCs/>
          <w:color w:val="000000"/>
          <w:sz w:val="32"/>
        </w:rPr>
      </w:r>
      <w:r/>
    </w:p>
    <w:p>
      <w:pPr>
        <w:pStyle w:val="1148"/>
        <w:ind w:firstLine="1285"/>
        <w:jc w:val="both"/>
        <w:rPr>
          <w:b/>
          <w:bCs/>
          <w:color w:val="000000"/>
          <w:sz w:val="32"/>
        </w:rPr>
      </w:pPr>
      <w:r>
        <w:rPr>
          <w:b/>
          <w:bCs/>
          <w:color w:val="000000"/>
          <w:sz w:val="32"/>
        </w:rPr>
      </w:r>
      <w:r/>
    </w:p>
    <w:p>
      <w:pPr>
        <w:pStyle w:val="1148"/>
        <w:ind w:firstLine="1285"/>
        <w:jc w:val="both"/>
        <w:rPr>
          <w:b/>
          <w:bCs/>
          <w:color w:val="000000"/>
          <w:sz w:val="32"/>
        </w:rPr>
      </w:pPr>
      <w:r>
        <w:rPr>
          <w:b/>
          <w:bCs/>
          <w:color w:val="000000"/>
          <w:sz w:val="32"/>
        </w:rPr>
      </w:r>
      <w:r/>
    </w:p>
    <w:p>
      <w:pPr>
        <w:pStyle w:val="1148"/>
        <w:ind w:firstLine="1690"/>
        <w:jc w:val="both"/>
        <w:rPr>
          <w:b/>
          <w:bCs/>
          <w:color w:val="000000"/>
          <w:sz w:val="32"/>
        </w:rPr>
      </w:pPr>
      <w:r>
        <w:rPr>
          <w:rFonts w:hint="eastAsia"/>
          <w:b/>
          <w:bCs/>
          <w:color w:val="000000"/>
          <w:sz w:val="32"/>
        </w:rPr>
        <w:t xml:space="preserve">项目名称：宝</w:t>
      </w:r>
      <w:r>
        <w:rPr>
          <w:rFonts w:hint="eastAsia"/>
          <w:b/>
          <w:bCs/>
          <w:color w:val="000000"/>
          <w:sz w:val="32"/>
        </w:rPr>
        <w:t xml:space="preserve">应县非</w:t>
      </w:r>
      <w:r>
        <w:rPr>
          <w:rFonts w:hint="eastAsia"/>
          <w:b/>
          <w:bCs/>
          <w:color w:val="000000"/>
          <w:sz w:val="32"/>
        </w:rPr>
        <w:t xml:space="preserve">税收入收缴管理系统重构项目</w:t>
      </w:r>
      <w:r/>
    </w:p>
    <w:p>
      <w:pPr>
        <w:ind w:firstLine="1606"/>
        <w:rPr>
          <w:b/>
          <w:bCs/>
          <w:color w:val="ff0000"/>
          <w:sz w:val="32"/>
        </w:rPr>
      </w:pPr>
      <w:r>
        <w:rPr>
          <w:rFonts w:hint="eastAsia"/>
          <w:b/>
          <w:bCs/>
          <w:sz w:val="32"/>
        </w:rPr>
        <w:t xml:space="preserve">项目编号：</w:t>
      </w:r>
      <w:r>
        <w:rPr>
          <w:rFonts w:hint="eastAsia"/>
          <w:b/>
          <w:bCs/>
          <w:color w:val="000000"/>
          <w:sz w:val="32"/>
        </w:rPr>
        <w:t xml:space="preserve">JSZC-321023-JZCG-G2026-0009</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ascii="宋体" w:hAnsi="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48"/>
        <w:ind w:firstLine="0"/>
        <w:spacing w:before="0" w:after="0"/>
        <w:rPr>
          <w:rFonts w:ascii="宋体" w:hAnsi="宋体"/>
          <w:color w:val="000000"/>
        </w:rPr>
      </w:pPr>
      <w:r>
        <w:rPr>
          <w:rFonts w:ascii="宋体" w:hAnsi="宋体"/>
          <w:color w:val="000000"/>
        </w:rPr>
      </w:r>
      <w:r/>
    </w:p>
    <w:p>
      <w:pPr>
        <w:pStyle w:val="1148"/>
        <w:ind w:firstLine="0"/>
        <w:spacing w:before="0" w:after="0"/>
        <w:rPr>
          <w:rFonts w:ascii="宋体" w:hAnsi="宋体"/>
          <w:color w:val="000000"/>
        </w:rPr>
      </w:pPr>
      <w:r>
        <w:rPr>
          <w:rFonts w:ascii="宋体" w:hAnsi="宋体"/>
          <w:color w:val="000000"/>
        </w:rPr>
      </w:r>
      <w:r/>
    </w:p>
    <w:p>
      <w:pPr>
        <w:pStyle w:val="1148"/>
        <w:ind w:firstLine="0"/>
        <w:spacing w:before="0" w:after="0"/>
        <w:rPr>
          <w:rFonts w:ascii="宋体" w:hAnsi="宋体"/>
          <w:color w:val="000000"/>
        </w:rPr>
      </w:pPr>
      <w:r>
        <w:rPr>
          <w:rFonts w:ascii="宋体" w:hAnsi="宋体"/>
          <w:color w:val="000000"/>
        </w:rPr>
      </w:r>
      <w:r/>
    </w:p>
    <w:p>
      <w:pPr>
        <w:pStyle w:val="1148"/>
        <w:ind w:firstLine="0"/>
        <w:jc w:val="center"/>
        <w:rPr>
          <w:b/>
          <w:bCs/>
          <w:color w:val="000000"/>
          <w:sz w:val="32"/>
        </w:rPr>
      </w:pPr>
      <w:r>
        <w:rPr>
          <w:rFonts w:hint="eastAsia"/>
          <w:b/>
          <w:bCs/>
          <w:color w:val="000000"/>
          <w:sz w:val="32"/>
        </w:rPr>
        <w:t xml:space="preserve">扬州市公共资源交易中心宝应分中心</w:t>
      </w:r>
      <w:r/>
    </w:p>
    <w:p>
      <w:pPr>
        <w:pStyle w:val="1148"/>
        <w:ind w:firstLine="0"/>
        <w:jc w:val="center"/>
        <w:rPr>
          <w:b/>
          <w:bCs/>
          <w:color w:val="000000"/>
          <w:sz w:val="32"/>
        </w:rPr>
      </w:pPr>
      <w:r>
        <w:rPr>
          <w:rFonts w:hint="eastAsia"/>
          <w:b/>
          <w:bCs/>
          <w:color w:val="000000"/>
          <w:sz w:val="32"/>
        </w:rPr>
        <w:t xml:space="preserve"> 2026 </w:t>
      </w:r>
      <w:r>
        <w:rPr>
          <w:rFonts w:hint="eastAsia"/>
          <w:b/>
          <w:bCs/>
          <w:color w:val="000000"/>
          <w:sz w:val="32"/>
        </w:rPr>
        <w:t xml:space="preserve">年</w:t>
      </w:r>
      <w:r>
        <w:rPr>
          <w:rFonts w:hint="eastAsia"/>
          <w:b/>
          <w:bCs/>
          <w:color w:val="000000"/>
          <w:sz w:val="32"/>
        </w:rPr>
        <w:t xml:space="preserve"> 10 </w:t>
      </w:r>
      <w:r>
        <w:rPr>
          <w:rFonts w:hint="eastAsia"/>
          <w:b/>
          <w:bCs/>
          <w:color w:val="000000"/>
          <w:sz w:val="32"/>
        </w:rPr>
        <w:t xml:space="preserve">月</w:t>
      </w:r>
      <w:r/>
    </w:p>
    <w:p>
      <w:pPr>
        <w:pStyle w:val="1148"/>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
    </w:p>
    <w:p>
      <w:pPr>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w:t>
      </w:r>
      <w:r>
        <w:rPr>
          <w:rFonts w:hint="eastAsia" w:ascii="黑体" w:hAnsi="Showcard Gothic" w:eastAsia="黑体"/>
          <w:color w:val="000000"/>
          <w:sz w:val="36"/>
        </w:rPr>
        <w:t xml:space="preserve">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5</w:t>
      </w:r>
      <w:r>
        <w:rPr>
          <w:rFonts w:hint="eastAsia" w:ascii="黑体" w:hAnsi="Showcard Gothic" w:eastAsia="黑体"/>
          <w:color w:val="000000"/>
          <w:sz w:val="36"/>
        </w:rPr>
        <w:t xml:space="preserve">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w:t>
      </w:r>
      <w:r>
        <w:rPr>
          <w:rFonts w:hint="eastAsia" w:ascii="黑体" w:hAnsi="Showcard Gothic" w:eastAsia="黑体"/>
          <w:color w:val="000000"/>
          <w:sz w:val="36"/>
        </w:rPr>
        <w:t xml:space="preserve">6</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19</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33</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37</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60"/>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受[宝应县财政局]的委托，扬州市公共资源交易中心宝应分中心就[宝</w:t>
      </w:r>
      <w:r>
        <w:rPr>
          <w:rFonts w:hint="eastAsia" w:ascii="宋体" w:hAnsi="宋体"/>
          <w:color w:val="000000"/>
          <w:sz w:val="24"/>
          <w:szCs w:val="24"/>
        </w:rPr>
        <w:t xml:space="preserve">应县非</w:t>
      </w:r>
      <w:r>
        <w:rPr>
          <w:rFonts w:hint="eastAsia" w:ascii="宋体" w:hAnsi="宋体"/>
          <w:color w:val="000000"/>
          <w:sz w:val="24"/>
          <w:szCs w:val="24"/>
        </w:rPr>
        <w:t xml:space="preserve">税收入收缴管理系统重构项目](JSZC-321023-JZCG-G2026-0009)进行公开招标采购，欢迎符合条件的供应商投标。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（宝</w:t>
      </w:r>
      <w:r>
        <w:rPr>
          <w:rFonts w:hint="eastAsia" w:ascii="宋体" w:hAnsi="宋体"/>
          <w:color w:val="000000"/>
          <w:sz w:val="24"/>
          <w:szCs w:val="24"/>
          <w:u w:val="single"/>
        </w:rPr>
        <w:t xml:space="preserve">应县非</w:t>
      </w:r>
      <w:r>
        <w:rPr>
          <w:rFonts w:hint="eastAsia" w:ascii="宋体" w:hAnsi="宋体"/>
          <w:color w:val="000000"/>
          <w:sz w:val="24"/>
          <w:szCs w:val="24"/>
          <w:u w:val="single"/>
        </w:rPr>
        <w:t xml:space="preserve">税收入收缴管理系统重构项目）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sz w:val="24"/>
          <w:szCs w:val="24"/>
          <w:u w:val="single"/>
        </w:rPr>
        <w:t xml:space="preserve">2026</w:t>
      </w:r>
      <w:r>
        <w:rPr>
          <w:rFonts w:hint="eastAsia" w:ascii="宋体" w:hAnsi="宋体"/>
          <w:bCs/>
          <w:sz w:val="24"/>
          <w:szCs w:val="24"/>
          <w:u w:val="single"/>
        </w:rPr>
        <w:t xml:space="preserve">年11月</w:t>
      </w:r>
      <w:r>
        <w:rPr>
          <w:rFonts w:hint="eastAsia" w:ascii="宋体" w:hAnsi="宋体"/>
          <w:bCs/>
          <w:sz w:val="24"/>
          <w:szCs w:val="24"/>
          <w:u w:val="single"/>
        </w:rPr>
        <w:t xml:space="preserve">10</w:t>
      </w:r>
      <w:r>
        <w:rPr>
          <w:rFonts w:hint="eastAsia" w:ascii="宋体" w:hAnsi="宋体"/>
          <w:bCs/>
          <w:sz w:val="24"/>
          <w:szCs w:val="24"/>
          <w:u w:val="single"/>
        </w:rPr>
        <w:t xml:space="preserve">日9点00分（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63"/>
        <w:ind w:firstLine="498"/>
        <w:spacing w:before="145" w:after="145" w:line="400" w:lineRule="exact"/>
        <w:rPr>
          <w:color w:val="000000"/>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ff0000"/>
          <w:sz w:val="24"/>
          <w:szCs w:val="24"/>
        </w:rPr>
      </w:pPr>
      <w:r>
        <w:rPr>
          <w:rFonts w:hint="eastAsia" w:ascii="宋体" w:hAnsi="宋体"/>
          <w:sz w:val="24"/>
          <w:szCs w:val="24"/>
        </w:rPr>
        <w:t xml:space="preserve">1.项目编号：J</w:t>
      </w:r>
      <w:r>
        <w:rPr>
          <w:rFonts w:hint="eastAsia" w:ascii="宋体" w:hAnsi="宋体"/>
          <w:color w:val="000000"/>
          <w:sz w:val="24"/>
          <w:szCs w:val="24"/>
        </w:rPr>
        <w:t xml:space="preserve">SZC-321023-JZCG-G2026-0009</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宝</w:t>
      </w:r>
      <w:r>
        <w:rPr>
          <w:rFonts w:hint="eastAsia" w:ascii="宋体" w:hAnsi="宋体"/>
          <w:color w:val="000000"/>
          <w:sz w:val="24"/>
          <w:szCs w:val="24"/>
        </w:rPr>
        <w:t xml:space="preserve">应县非</w:t>
      </w:r>
      <w:r>
        <w:rPr>
          <w:rFonts w:hint="eastAsia" w:ascii="宋体" w:hAnsi="宋体"/>
          <w:color w:val="000000"/>
          <w:sz w:val="24"/>
          <w:szCs w:val="24"/>
        </w:rPr>
        <w:t xml:space="preserve">税收入收缴管理系统重构项目</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3107"/>
      </w:tblGrid>
      <w:tr>
        <w:trPr>
          <w:jc w:val="cente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jc w:val="cente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42.52</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6"/>
        <w:gridCol w:w="3375"/>
        <w:gridCol w:w="3279"/>
      </w:tblGrid>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42.52</w:t>
            </w:r>
            <w:r/>
          </w:p>
        </w:tc>
      </w:tr>
    </w:tbl>
    <w:p>
      <w:pPr>
        <w:numPr>
          <w:ilvl w:val="0"/>
          <w:numId w:val="5"/>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采购需求（简介）：全面适配国产要求，从安全上满足相关国产化和自主可控要求，强化数据保护和业务连续性，实现业务的高可用性。（详细内容见本招标文件第四章）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6.合同履行期限：2027年6月前完成全部改造、迁移、测试、试运行、验收工作。</w:t>
      </w:r>
      <w:r/>
    </w:p>
    <w:p>
      <w:pPr>
        <w:pStyle w:val="1063"/>
        <w:ind w:firstLine="498"/>
        <w:spacing w:before="145" w:after="145" w:line="400" w:lineRule="exact"/>
        <w:rPr>
          <w:color w:val="000000"/>
        </w:rPr>
      </w:pPr>
      <w:r/>
      <w:bookmarkStart w:id="12" w:name="_Toc38985264"/>
      <w:r/>
      <w:bookmarkStart w:id="13" w:name="_Toc35393791"/>
      <w:r/>
      <w:bookmarkStart w:id="14" w:name="_Toc28359080"/>
      <w:r/>
      <w:bookmarkStart w:id="15" w:name="_Toc28359003"/>
      <w:r/>
      <w:bookmarkStart w:id="16" w:name="_Toc35393622"/>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38985265"/>
      <w:r/>
      <w:bookmarkStart w:id="18" w:name="_Toc35393792"/>
      <w:r/>
      <w:bookmarkStart w:id="19" w:name="_Toc28359081"/>
      <w:r/>
      <w:bookmarkStart w:id="20" w:name="_Toc35393623"/>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ascii="SimSun" w:hAnsi="SimSun" w:eastAsia="SimSun" w:cs="SimSun"/>
          <w:color w:val="000000"/>
          <w:sz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r/>
    </w:p>
    <w:p>
      <w:pPr>
        <w:pStyle w:val="1063"/>
        <w:ind w:firstLine="498"/>
        <w:spacing w:before="145" w:after="145" w:line="400" w:lineRule="exact"/>
        <w:rPr>
          <w:color w:val="000000"/>
        </w:rPr>
      </w:pPr>
      <w:r/>
      <w:bookmarkStart w:id="22" w:name="_Toc28359082"/>
      <w:r/>
      <w:bookmarkStart w:id="23" w:name="_Toc28359005"/>
      <w:r/>
      <w:bookmarkStart w:id="24" w:name="_Toc38985266"/>
      <w:r/>
      <w:bookmarkStart w:id="25" w:name="_Toc35393793"/>
      <w:r/>
      <w:bookmarkStart w:id="26" w:name="_Toc35393624"/>
      <w:r/>
      <w:bookmarkEnd w:id="17"/>
      <w:r/>
      <w:bookmarkEnd w:id="18"/>
      <w:r/>
      <w:bookmarkEnd w:id="19"/>
      <w:r/>
      <w:bookmarkEnd w:id="20"/>
      <w:r/>
      <w:bookmarkEnd w:id="21"/>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 2026 年11月</w:t>
      </w:r>
      <w:r>
        <w:rPr>
          <w:rFonts w:hint="eastAsia" w:ascii="宋体" w:hAnsi="宋体"/>
          <w:bCs/>
          <w:sz w:val="24"/>
          <w:szCs w:val="24"/>
          <w:u w:val="single"/>
        </w:rPr>
        <w:t xml:space="preserve">10</w:t>
      </w:r>
      <w:r>
        <w:rPr>
          <w:rFonts w:hint="eastAsia" w:ascii="宋体" w:hAnsi="宋体"/>
          <w:bCs/>
          <w:sz w:val="24"/>
          <w:szCs w:val="24"/>
          <w:u w:val="single"/>
        </w:rPr>
        <w:t xml:space="preserve">日9点00分</w:t>
      </w:r>
      <w:r>
        <w:rPr>
          <w:rFonts w:hint="eastAsia" w:ascii="宋体" w:hAnsi="宋体"/>
          <w:bCs/>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28359007"/>
      <w:r/>
      <w:bookmarkStart w:id="29" w:name="_Toc35393794"/>
      <w:r/>
      <w:bookmarkStart w:id="30" w:name="_Toc2835908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63"/>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63"/>
        <w:ind w:firstLine="498"/>
        <w:spacing w:before="145" w:after="145" w:line="400" w:lineRule="exact"/>
        <w:rPr>
          <w:color w:val="000000"/>
        </w:rPr>
      </w:pPr>
      <w:r/>
      <w:bookmarkStart w:id="35" w:name="_Toc28359008"/>
      <w:r/>
      <w:bookmarkStart w:id="36" w:name="_Toc35393627"/>
      <w:r/>
      <w:bookmarkStart w:id="37" w:name="_Toc28359085"/>
      <w:r/>
      <w:bookmarkStart w:id="38" w:name="_Toc38985269"/>
      <w:r/>
      <w:bookmarkStart w:id="39" w:name="_Toc35393796"/>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称：宝应县财政局</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址：宝应县苏</w:t>
      </w:r>
      <w:r>
        <w:rPr>
          <w:rFonts w:hint="eastAsia" w:ascii="宋体" w:hAnsi="宋体"/>
          <w:color w:val="000000"/>
          <w:sz w:val="24"/>
          <w:szCs w:val="24"/>
        </w:rPr>
        <w:t xml:space="preserve">中</w:t>
      </w:r>
      <w:r>
        <w:rPr>
          <w:rFonts w:hint="eastAsia" w:ascii="宋体" w:hAnsi="宋体"/>
          <w:color w:val="000000"/>
          <w:sz w:val="24"/>
          <w:szCs w:val="24"/>
        </w:rPr>
        <w:t xml:space="preserve">中路555号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联系人：黄军</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rPr>
        <w:t xml:space="preserve">0514-88911016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2.</w:t>
      </w:r>
      <w:bookmarkEnd w:id="42"/>
      <w:r/>
      <w:bookmarkEnd w:id="43"/>
      <w:r>
        <w:rPr>
          <w:rFonts w:hint="eastAsia" w:ascii="宋体" w:hAnsi="宋体"/>
          <w:color w:val="000000"/>
          <w:sz w:val="24"/>
          <w:szCs w:val="24"/>
        </w:rPr>
        <w:t xml:space="preserve"> 采购代理机构信息（如有）</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s="宋体"/>
          <w:color w:val="000000"/>
          <w:sz w:val="24"/>
          <w:szCs w:val="24"/>
        </w:rPr>
        <w:t xml:space="preserve">扬州市公共资源交易中心宝应分中心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　址：宝应县宝应大道77号  </w:t>
      </w:r>
      <w:r/>
    </w:p>
    <w:p>
      <w:pPr>
        <w:ind w:firstLine="480"/>
        <w:spacing w:line="400" w:lineRule="exact"/>
        <w:rPr>
          <w:rFonts w:ascii="宋体" w:hAnsi="宋体"/>
          <w:sz w:val="24"/>
          <w:szCs w:val="24"/>
        </w:rPr>
      </w:pPr>
      <w:r>
        <w:rPr>
          <w:rFonts w:hint="eastAsia" w:ascii="宋体" w:hAnsi="宋体"/>
          <w:sz w:val="24"/>
          <w:szCs w:val="24"/>
        </w:rPr>
        <w:t xml:space="preserve">联系人：王艳           </w:t>
      </w:r>
      <w:r/>
    </w:p>
    <w:p>
      <w:pPr>
        <w:ind w:firstLine="480"/>
        <w:spacing w:line="400" w:lineRule="exact"/>
        <w:rPr>
          <w:rFonts w:ascii="宋体" w:hAnsi="宋体"/>
          <w:color w:val="ff0000"/>
          <w:sz w:val="24"/>
          <w:szCs w:val="24"/>
        </w:rPr>
      </w:pPr>
      <w:r>
        <w:rPr>
          <w:rFonts w:hint="eastAsia" w:ascii="宋体" w:hAnsi="宋体"/>
          <w:sz w:val="24"/>
          <w:szCs w:val="24"/>
        </w:rPr>
        <w:t xml:space="preserve">联系方式：0514-88990835</w:t>
      </w:r>
      <w:r>
        <w:rPr>
          <w:rFonts w:hint="eastAsia" w:ascii="宋体" w:hAnsi="宋体"/>
          <w:color w:val="ff0000"/>
          <w:sz w:val="24"/>
          <w:szCs w:val="24"/>
        </w:rPr>
        <w:t xml:space="preserve">   </w:t>
      </w:r>
      <w:bookmarkEnd w:id="40"/>
      <w:r/>
      <w:bookmarkEnd w:id="41"/>
      <w:r/>
      <w:r/>
    </w:p>
    <w:p>
      <w:pPr>
        <w:pStyle w:val="1063"/>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w:t>
      </w:r>
      <w:r>
        <w:rPr>
          <w:rFonts w:hint="eastAsia" w:ascii="宋体" w:hAnsi="宋体"/>
          <w:bCs/>
          <w:color w:val="000000"/>
          <w:sz w:val="24"/>
          <w:szCs w:val="24"/>
        </w:rPr>
        <w:t xml:space="preserve">苏财购〔2023〕</w:t>
      </w:r>
      <w:r>
        <w:rPr>
          <w:rFonts w:hint="eastAsia" w:ascii="宋体" w:hAnsi="宋体"/>
          <w:bCs/>
          <w:color w:val="000000"/>
          <w:sz w:val="24"/>
          <w:szCs w:val="24"/>
        </w:rPr>
        <w:t xml:space="preserve">101号），</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”政府采购交易系统（以下简称苏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有关本次招标的事项若存在变动或修改，敬请及时关注扬州市公共资源交易中心宝应分中心在“江苏政府采购网”、“扬州市政府采购网”发布的更正公告。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1061"/>
        <w:ind w:firstLine="2426"/>
        <w:jc w:val="both"/>
        <w:spacing w:line="240" w:lineRule="auto"/>
        <w:rPr>
          <w:rFonts w:ascii="黑体" w:eastAsia="黑体"/>
          <w:b w:val="0"/>
          <w:bCs w:val="0"/>
          <w:color w:val="000000"/>
        </w:rPr>
      </w:pPr>
      <w:r/>
      <w:bookmarkStart w:id="44" w:name="_Toc120614211"/>
      <w:r>
        <w:rPr>
          <w:rFonts w:hint="eastAsia" w:ascii="黑体" w:eastAsia="黑体"/>
          <w:color w:val="000000"/>
        </w:rPr>
        <w:t xml:space="preserve">第二章  </w:t>
      </w:r>
      <w:bookmarkStart w:id="45" w:name="_Toc20823274"/>
      <w:r/>
      <w:bookmarkStart w:id="46" w:name="_Toc16938518"/>
      <w:r/>
      <w:bookmarkStart w:id="47" w:name="_Toc513029202"/>
      <w:r/>
      <w:bookmarkStart w:id="48" w:name="_Toc120614213"/>
      <w:r/>
      <w:bookmarkEnd w:id="1"/>
      <w:r/>
      <w:bookmarkEnd w:id="2"/>
      <w:r/>
      <w:bookmarkEnd w:id="3"/>
      <w:r/>
      <w:bookmarkEnd w:id="4"/>
      <w:r/>
      <w:bookmarkEnd w:id="5"/>
      <w:r/>
      <w:bookmarkEnd w:id="44"/>
      <w:r>
        <w:rPr>
          <w:rFonts w:hint="eastAsia" w:ascii="黑体" w:eastAsia="黑体"/>
          <w:color w:val="000000"/>
        </w:rPr>
        <w:t xml:space="preserve">投标人须知</w:t>
      </w:r>
      <w:bookmarkEnd w:id="45"/>
      <w:r/>
      <w:bookmarkEnd w:id="46"/>
      <w:r/>
      <w:bookmarkEnd w:id="47"/>
      <w:r/>
      <w:bookmarkEnd w:id="48"/>
      <w:r/>
      <w:r/>
    </w:p>
    <w:p>
      <w:pPr>
        <w:pStyle w:val="1063"/>
        <w:ind w:firstLine="498"/>
        <w:spacing w:before="145" w:after="145" w:line="400" w:lineRule="exact"/>
        <w:rPr>
          <w:color w:val="000000"/>
        </w:rPr>
      </w:pPr>
      <w:r/>
      <w:bookmarkStart w:id="49" w:name="_Toc20823275"/>
      <w:r/>
      <w:bookmarkStart w:id="50" w:name="_Toc16938519"/>
      <w:r/>
      <w:bookmarkStart w:id="51" w:name="_Toc120614214"/>
      <w:r/>
      <w:bookmarkStart w:id="52" w:name="_Toc513029203"/>
      <w:r>
        <w:rPr>
          <w:rFonts w:hint="eastAsia"/>
          <w:color w:val="000000"/>
        </w:rPr>
        <w:t xml:space="preserve">一、总则</w:t>
      </w:r>
      <w:bookmarkEnd w:id="49"/>
      <w:r/>
      <w:bookmarkEnd w:id="50"/>
      <w:r/>
      <w:bookmarkEnd w:id="51"/>
      <w:r/>
      <w:bookmarkEnd w:id="52"/>
      <w:r/>
      <w:r/>
    </w:p>
    <w:p>
      <w:pPr>
        <w:pStyle w:val="1064"/>
        <w:ind w:firstLine="420"/>
        <w:spacing w:before="0" w:after="0" w:line="400" w:lineRule="exact"/>
        <w:rPr>
          <w:b w:val="0"/>
          <w:bCs w:val="0"/>
          <w:color w:val="000000"/>
        </w:rPr>
      </w:pPr>
      <w:r/>
      <w:bookmarkStart w:id="53" w:name="_Hlt16619475"/>
      <w:r/>
      <w:bookmarkStart w:id="54" w:name="_Toc458694821"/>
      <w:r/>
      <w:bookmarkStart w:id="55" w:name="_Toc20823276"/>
      <w:r/>
      <w:bookmarkStart w:id="56" w:name="_Toc16938520"/>
      <w:r/>
      <w:bookmarkStart w:id="57" w:name="_Toc513029204"/>
      <w:r/>
      <w:bookmarkEnd w:id="53"/>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64"/>
        <w:ind w:firstLine="420"/>
        <w:spacing w:before="0" w:after="0" w:line="400" w:lineRule="exact"/>
        <w:rPr>
          <w:b w:val="0"/>
          <w:bCs w:val="0"/>
          <w:color w:val="000000"/>
        </w:rPr>
      </w:pPr>
      <w:r/>
      <w:bookmarkStart w:id="58" w:name="_Toc513029205"/>
      <w:r/>
      <w:bookmarkStart w:id="59" w:name="_Toc16938521"/>
      <w:r/>
      <w:bookmarkStart w:id="60" w:name="_Toc20823277"/>
      <w:r>
        <w:rPr>
          <w:rFonts w:hint="eastAsia"/>
          <w:b w:val="0"/>
          <w:bCs w:val="0"/>
          <w:color w:val="000000"/>
        </w:rPr>
        <w:t xml:space="preserve">2</w:t>
      </w:r>
      <w:r>
        <w:rPr>
          <w:rFonts w:hint="eastAsia"/>
          <w:b w:val="0"/>
          <w:bCs w:val="0"/>
          <w:color w:val="000000"/>
        </w:rPr>
        <w:t xml:space="preserve">、合格的投标人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064"/>
        <w:ind w:firstLine="420"/>
        <w:spacing w:before="0" w:after="0" w:line="400" w:lineRule="exact"/>
        <w:rPr>
          <w:b w:val="0"/>
          <w:bCs w:val="0"/>
          <w:color w:val="000000"/>
        </w:rPr>
      </w:pPr>
      <w:r/>
      <w:bookmarkStart w:id="61" w:name="_Toc20823278"/>
      <w:r/>
      <w:bookmarkStart w:id="62" w:name="_Toc16938522"/>
      <w:r/>
      <w:bookmarkStart w:id="63" w:name="_Toc513029206"/>
      <w:r>
        <w:rPr>
          <w:rFonts w:hint="eastAsia"/>
          <w:b w:val="0"/>
          <w:bCs w:val="0"/>
          <w:color w:val="000000"/>
        </w:rPr>
        <w:t xml:space="preserve">3</w:t>
      </w:r>
      <w:r>
        <w:rPr>
          <w:rFonts w:hint="eastAsia"/>
          <w:b w:val="0"/>
          <w:bCs w:val="0"/>
          <w:color w:val="000000"/>
        </w:rPr>
        <w:t xml:space="preserve">、适用法律</w:t>
      </w:r>
      <w:bookmarkEnd w:id="61"/>
      <w:r/>
      <w:bookmarkEnd w:id="62"/>
      <w:r/>
      <w:bookmarkEnd w:id="63"/>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64"/>
        <w:ind w:firstLine="420"/>
        <w:spacing w:before="0" w:after="0" w:line="400" w:lineRule="exact"/>
        <w:rPr>
          <w:b w:val="0"/>
          <w:bCs w:val="0"/>
          <w:color w:val="000000"/>
        </w:rPr>
      </w:pPr>
      <w:r/>
      <w:bookmarkStart w:id="64" w:name="_Toc20823279"/>
      <w:r/>
      <w:bookmarkStart w:id="65" w:name="_Toc513029207"/>
      <w:r/>
      <w:bookmarkStart w:id="66" w:name="_Toc16938523"/>
      <w:r/>
      <w:bookmarkStart w:id="67" w:name="_Toc462564067"/>
      <w:r>
        <w:rPr>
          <w:rFonts w:hint="eastAsia"/>
          <w:b w:val="0"/>
          <w:bCs w:val="0"/>
          <w:color w:val="000000"/>
        </w:rPr>
        <w:t xml:space="preserve">4</w:t>
      </w:r>
      <w:r>
        <w:rPr>
          <w:rFonts w:hint="eastAsia"/>
          <w:b w:val="0"/>
          <w:bCs w:val="0"/>
          <w:color w:val="000000"/>
        </w:rPr>
        <w:t xml:space="preserve">、投标费用</w:t>
      </w:r>
      <w:bookmarkEnd w:id="64"/>
      <w:r/>
      <w:bookmarkEnd w:id="65"/>
      <w:r/>
      <w:bookmarkEnd w:id="66"/>
      <w:r/>
      <w:bookmarkEnd w:id="67"/>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投标人应自行承担所有与参加投标有关的费用，无论投标过程中的做法和结果如何，扬州市公共资源交易中心宝应分中心（以下简称交易中心）在任何情况下均无义务和责任承担这些费用。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64"/>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63"/>
        <w:ind w:firstLine="321"/>
        <w:spacing w:before="145" w:after="145" w:line="400" w:lineRule="exact"/>
        <w:rPr>
          <w:color w:val="000000"/>
        </w:rPr>
      </w:pPr>
      <w:r/>
      <w:bookmarkStart w:id="68" w:name="_Toc120614215"/>
      <w:r/>
      <w:bookmarkStart w:id="69" w:name="_Toc20823281"/>
      <w:r/>
      <w:bookmarkStart w:id="70" w:name="_Toc16938525"/>
      <w:r/>
      <w:bookmarkStart w:id="71" w:name="_Toc513029209"/>
      <w:r>
        <w:rPr>
          <w:rFonts w:hint="eastAsia"/>
          <w:color w:val="000000"/>
        </w:rPr>
        <w:t xml:space="preserve">二、招标文件</w:t>
      </w:r>
      <w:bookmarkEnd w:id="68"/>
      <w:r/>
      <w:bookmarkEnd w:id="69"/>
      <w:r/>
      <w:bookmarkEnd w:id="70"/>
      <w:r/>
      <w:bookmarkEnd w:id="71"/>
      <w:r/>
      <w:r/>
    </w:p>
    <w:p>
      <w:pPr>
        <w:pStyle w:val="1064"/>
        <w:ind w:firstLine="420"/>
        <w:spacing w:before="0" w:after="0" w:line="400" w:lineRule="exact"/>
        <w:rPr>
          <w:b w:val="0"/>
          <w:bCs w:val="0"/>
          <w:color w:val="000000"/>
        </w:rPr>
      </w:pPr>
      <w:r/>
      <w:bookmarkStart w:id="72" w:name="_Toc20823282"/>
      <w:r/>
      <w:bookmarkStart w:id="73" w:name="_Toc16938526"/>
      <w:r/>
      <w:bookmarkStart w:id="74" w:name="_Toc513029210"/>
      <w:r>
        <w:rPr>
          <w:rFonts w:hint="eastAsia"/>
          <w:b w:val="0"/>
          <w:bCs w:val="0"/>
          <w:color w:val="000000"/>
        </w:rPr>
        <w:t xml:space="preserve">6</w:t>
      </w:r>
      <w:r>
        <w:rPr>
          <w:rFonts w:hint="eastAsia"/>
          <w:b w:val="0"/>
          <w:bCs w:val="0"/>
          <w:color w:val="000000"/>
        </w:rPr>
        <w:t xml:space="preserve">、招标文件构成</w:t>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pStyle w:val="1064"/>
        <w:ind w:firstLine="560"/>
        <w:spacing w:before="0" w:after="0" w:line="400" w:lineRule="exact"/>
        <w:rPr>
          <w:b w:val="0"/>
          <w:bCs w:val="0"/>
          <w:color w:val="000000"/>
        </w:rPr>
      </w:pPr>
      <w:r/>
      <w:bookmarkStart w:id="75" w:name="_Toc513029212"/>
      <w:r/>
      <w:bookmarkStart w:id="76" w:name="_Toc20823284"/>
      <w:r/>
      <w:bookmarkStart w:id="77" w:name="_Toc16938528"/>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63"/>
        <w:ind w:firstLine="482"/>
        <w:spacing w:before="145" w:after="145" w:line="400" w:lineRule="exact"/>
        <w:rPr>
          <w:color w:val="000000"/>
        </w:rPr>
      </w:pPr>
      <w:r/>
      <w:bookmarkStart w:id="79" w:name="_Toc20823285"/>
      <w:r/>
      <w:bookmarkStart w:id="80" w:name="_Toc513029213"/>
      <w:r/>
      <w:bookmarkStart w:id="81" w:name="_Toc120614216"/>
      <w:r/>
      <w:bookmarkStart w:id="82" w:name="_Toc16938529"/>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1064"/>
        <w:ind w:firstLine="560"/>
        <w:spacing w:before="0" w:after="0" w:line="400" w:lineRule="exact"/>
        <w:rPr>
          <w:bCs w:val="0"/>
          <w:color w:val="000000"/>
        </w:rPr>
      </w:pPr>
      <w:r/>
      <w:bookmarkStart w:id="84" w:name="_Toc513029214"/>
      <w:r/>
      <w:bookmarkStart w:id="85" w:name="_Toc462564073"/>
      <w:r/>
      <w:bookmarkStart w:id="86" w:name="_Toc20823286"/>
      <w:r/>
      <w:bookmarkStart w:id="87" w:name="_Toc16938530"/>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64"/>
        <w:ind w:firstLine="420"/>
        <w:spacing w:before="0" w:after="0" w:line="400" w:lineRule="exact"/>
        <w:rPr>
          <w:b w:val="0"/>
          <w:bCs w:val="0"/>
          <w:color w:val="000000"/>
        </w:rPr>
      </w:pPr>
      <w:r/>
      <w:bookmarkStart w:id="88" w:name="_Toc462564074"/>
      <w:r/>
      <w:bookmarkStart w:id="89" w:name="_Toc16938531"/>
      <w:r/>
      <w:bookmarkStart w:id="90" w:name="_Toc513029215"/>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902"/>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如标书制作工具中格式和内容与“江苏政府采购网、扬州市政府采购网”发布的招标文件不一致，请以“江苏政府采购网、扬州市政府采购网”发布的招标文件为准。</w:t>
      </w:r>
      <w:r/>
    </w:p>
    <w:p>
      <w:pPr>
        <w:pStyle w:val="1064"/>
        <w:ind w:firstLine="420"/>
        <w:spacing w:before="0" w:after="0" w:line="400" w:lineRule="exact"/>
        <w:rPr>
          <w:b w:val="0"/>
          <w:bCs w:val="0"/>
          <w:color w:val="000000"/>
        </w:rPr>
      </w:pPr>
      <w:r/>
      <w:bookmarkStart w:id="92" w:name="_Hlt26668975"/>
      <w:r/>
      <w:bookmarkStart w:id="93" w:name="_Hlt26670360"/>
      <w:r/>
      <w:bookmarkStart w:id="94" w:name="_Hlt26954838"/>
      <w:r/>
      <w:bookmarkStart w:id="95" w:name="_Toc14577357"/>
      <w:r/>
      <w:bookmarkStart w:id="96" w:name="_Toc49090509"/>
      <w:r/>
      <w:bookmarkStart w:id="97" w:name="_Toc513029219"/>
      <w:r/>
      <w:bookmarkStart w:id="98" w:name="_Toc49090507"/>
      <w:r/>
      <w:bookmarkStart w:id="99" w:name="_Toc513029216"/>
      <w:r/>
      <w:bookmarkStart w:id="100" w:name="_Toc14577354"/>
      <w:r/>
      <w:bookmarkEnd w:id="92"/>
      <w:r/>
      <w:bookmarkEnd w:id="93"/>
      <w:r/>
      <w:bookmarkEnd w:id="9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
    </w:p>
    <w:p>
      <w:pPr>
        <w:spacing w:line="400" w:lineRule="exact"/>
        <w:rPr>
          <w:rFonts w:ascii="宋体" w:hAnsi="宋体"/>
          <w:color w:val="000000"/>
          <w:sz w:val="24"/>
          <w:szCs w:val="24"/>
        </w:rPr>
      </w:pPr>
      <w:r/>
      <w:bookmarkStart w:id="101" w:name="_Toc14577355"/>
      <w:r/>
      <w:bookmarkStart w:id="102" w:name="_Toc49090508"/>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6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03" w:name="_Hlt26670373"/>
      <w:r/>
      <w:bookmarkEnd w:id="101"/>
      <w:r/>
      <w:bookmarkEnd w:id="103"/>
      <w:r>
        <w:rPr>
          <w:rFonts w:hint="eastAsia"/>
          <w:b w:val="0"/>
          <w:bCs w:val="0"/>
          <w:color w:val="000000"/>
        </w:rPr>
        <w:t xml:space="preserve">表</w:t>
      </w:r>
      <w:bookmarkEnd w:id="10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64"/>
        <w:ind w:firstLine="420"/>
        <w:spacing w:before="0" w:after="0" w:line="400" w:lineRule="exact"/>
        <w:rPr>
          <w:b w:val="0"/>
          <w:bCs w:val="0"/>
          <w:color w:val="000000"/>
        </w:rPr>
      </w:pPr>
      <w:r/>
      <w:bookmarkStart w:id="106" w:name="_Hlt26668983"/>
      <w:r/>
      <w:bookmarkStart w:id="107" w:name="_Hlt26954842"/>
      <w:r/>
      <w:bookmarkStart w:id="108" w:name="_Hlt26670486"/>
      <w:r/>
      <w:bookmarkStart w:id="109" w:name="_Hlt26954848"/>
      <w:r/>
      <w:bookmarkStart w:id="110" w:name="_Hlt26670482"/>
      <w:r/>
      <w:bookmarkStart w:id="111" w:name="_Hlt26954731"/>
      <w:r/>
      <w:bookmarkStart w:id="112" w:name="_Hlt26670403"/>
      <w:r/>
      <w:bookmarkStart w:id="113" w:name="_Hlt26954846"/>
      <w:r/>
      <w:bookmarkStart w:id="114" w:name="_Hlt26670425"/>
      <w:r/>
      <w:bookmarkStart w:id="115" w:name="_Hlt26954844"/>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w:t>
      </w:r>
      <w:r>
        <w:rPr>
          <w:rFonts w:hint="eastAsia" w:ascii="宋体" w:hAnsi="Arial" w:cs="宋体"/>
          <w:color w:val="000000"/>
          <w:sz w:val="24"/>
          <w:lang w:val="zh-CN"/>
        </w:rPr>
        <w:t xml:space="preserve">作出</w:t>
      </w:r>
      <w:r>
        <w:rPr>
          <w:rFonts w:hint="eastAsia" w:ascii="宋体" w:hAnsi="Arial" w:cs="宋体"/>
          <w:color w:val="000000"/>
          <w:sz w:val="24"/>
          <w:lang w:val="zh-CN"/>
        </w:rPr>
        <w:t xml:space="preserve">响应或偏离，并说明原因。</w:t>
      </w:r>
      <w:r/>
    </w:p>
    <w:p>
      <w:pPr>
        <w:ind w:firstLine="480"/>
        <w:spacing w:line="400" w:lineRule="exact"/>
        <w:rPr>
          <w:rFonts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6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1064"/>
        <w:ind w:firstLine="420"/>
        <w:spacing w:before="0" w:after="0" w:line="400" w:lineRule="exact"/>
        <w:rPr>
          <w:b w:val="0"/>
          <w:bCs w:val="0"/>
          <w:color w:val="000000"/>
        </w:rPr>
      </w:pPr>
      <w:r/>
      <w:bookmarkStart w:id="118" w:name="_Hlt26954850"/>
      <w:r/>
      <w:bookmarkStart w:id="119" w:name="_Hlt26670489"/>
      <w:r/>
      <w:bookmarkStart w:id="120" w:name="_Hlt26954734"/>
      <w:r/>
      <w:bookmarkStart w:id="121" w:name="_Toc14577360"/>
      <w:r/>
      <w:bookmarkStart w:id="122" w:name="_Toc49090511"/>
      <w:r/>
      <w:bookmarkEnd w:id="116"/>
      <w:r/>
      <w:bookmarkEnd w:id="117"/>
      <w:r/>
      <w:bookmarkEnd w:id="118"/>
      <w:r/>
      <w:bookmarkEnd w:id="119"/>
      <w:r/>
      <w:bookmarkEnd w:id="12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6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63"/>
        <w:ind w:firstLine="482"/>
        <w:spacing w:before="145" w:after="145" w:line="400" w:lineRule="exact"/>
        <w:rPr>
          <w:color w:val="000000"/>
        </w:rPr>
      </w:pPr>
      <w:r/>
      <w:bookmarkStart w:id="123" w:name="_Hlt26954739"/>
      <w:r/>
      <w:bookmarkStart w:id="124" w:name="_Hlt26954852"/>
      <w:r/>
      <w:bookmarkStart w:id="125" w:name="_Toc120614217"/>
      <w:r/>
      <w:bookmarkStart w:id="126" w:name="_Toc513029224"/>
      <w:r/>
      <w:bookmarkStart w:id="127" w:name="_Toc16938540"/>
      <w:r/>
      <w:bookmarkStart w:id="128" w:name="_Toc20823296"/>
      <w:r/>
      <w:bookmarkEnd w:id="123"/>
      <w:r/>
      <w:bookmarkEnd w:id="124"/>
      <w:r>
        <w:rPr>
          <w:rFonts w:hint="eastAsia"/>
          <w:color w:val="000000"/>
        </w:rPr>
        <w:t xml:space="preserve">四、投标文件的递交</w:t>
      </w:r>
      <w:bookmarkEnd w:id="125"/>
      <w:r/>
      <w:bookmarkEnd w:id="126"/>
      <w:r/>
      <w:bookmarkEnd w:id="127"/>
      <w:r/>
      <w:bookmarkEnd w:id="128"/>
      <w:r/>
      <w:r/>
    </w:p>
    <w:p>
      <w:pPr>
        <w:pStyle w:val="1064"/>
        <w:ind w:firstLine="560"/>
        <w:spacing w:before="0" w:after="0" w:line="400" w:lineRule="exact"/>
        <w:rPr>
          <w:rFonts w:ascii="黑体"/>
          <w:b w:val="0"/>
          <w:bCs w:val="0"/>
          <w:color w:val="000000"/>
        </w:rPr>
      </w:pPr>
      <w:r/>
      <w:bookmarkStart w:id="129" w:name="_Toc513029225"/>
      <w:r/>
      <w:bookmarkStart w:id="130" w:name="_Toc16938541"/>
      <w:r/>
      <w:bookmarkStart w:id="131" w:name="_Toc462564084"/>
      <w:r/>
      <w:bookmarkStart w:id="132"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20823298"/>
      <w:r/>
      <w:bookmarkStart w:id="135" w:name="_Toc513029226"/>
      <w:r/>
      <w:r/>
    </w:p>
    <w:p>
      <w:pPr>
        <w:pStyle w:val="1064"/>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64"/>
        <w:ind w:firstLine="420"/>
        <w:spacing w:before="0" w:after="0" w:line="400" w:lineRule="exact"/>
        <w:rPr>
          <w:b w:val="0"/>
          <w:bCs w:val="0"/>
          <w:color w:val="000000"/>
        </w:rPr>
      </w:pPr>
      <w:r/>
      <w:bookmarkStart w:id="136" w:name="_Toc513029227"/>
      <w:r/>
      <w:bookmarkStart w:id="137" w:name="_Toc20823299"/>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64"/>
        <w:ind w:firstLine="420"/>
        <w:spacing w:before="0" w:after="0" w:line="400" w:lineRule="exact"/>
        <w:rPr>
          <w:b w:val="0"/>
          <w:bCs w:val="0"/>
          <w:color w:val="000000"/>
        </w:rPr>
      </w:pPr>
      <w:r/>
      <w:bookmarkStart w:id="139" w:name="_Toc16938544"/>
      <w:r/>
      <w:bookmarkStart w:id="140" w:name="_Toc513029228"/>
      <w:r/>
      <w:bookmarkStart w:id="141" w:name="_Toc20823300"/>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63"/>
        <w:ind w:firstLine="482"/>
        <w:spacing w:before="145" w:after="145" w:line="400" w:lineRule="exact"/>
        <w:rPr>
          <w:color w:val="000000"/>
        </w:rPr>
      </w:pPr>
      <w:r/>
      <w:bookmarkStart w:id="142" w:name="_Toc20823301"/>
      <w:r/>
      <w:bookmarkStart w:id="143" w:name="_Toc120614218"/>
      <w:r/>
      <w:bookmarkStart w:id="144" w:name="_Toc16938545"/>
      <w:r/>
      <w:bookmarkStart w:id="145" w:name="_Toc513029229"/>
      <w:r>
        <w:rPr>
          <w:rFonts w:hint="eastAsia"/>
          <w:color w:val="000000"/>
        </w:rPr>
        <w:t xml:space="preserve">五、开标与评标</w:t>
      </w:r>
      <w:bookmarkEnd w:id="142"/>
      <w:r/>
      <w:bookmarkEnd w:id="143"/>
      <w:r/>
      <w:bookmarkEnd w:id="144"/>
      <w:r/>
      <w:bookmarkEnd w:id="145"/>
      <w:r/>
      <w:r/>
    </w:p>
    <w:p>
      <w:pPr>
        <w:pStyle w:val="1064"/>
        <w:ind w:firstLine="420"/>
        <w:spacing w:before="0" w:after="0" w:line="400" w:lineRule="exact"/>
        <w:rPr>
          <w:b w:val="0"/>
          <w:bCs w:val="0"/>
          <w:color w:val="000000"/>
        </w:rPr>
      </w:pPr>
      <w:r/>
      <w:bookmarkStart w:id="146" w:name="_Toc20823302"/>
      <w:r/>
      <w:bookmarkStart w:id="147" w:name="_Toc513029230"/>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w:t>
      </w:r>
      <w:r>
        <w:rPr>
          <w:rFonts w:hint="eastAsia" w:ascii="宋体" w:hAnsi="宋体"/>
          <w:color w:val="000000"/>
          <w:sz w:val="24"/>
          <w:szCs w:val="24"/>
        </w:rPr>
        <w:t xml:space="preserve">采云</w:t>
      </w:r>
      <w:r>
        <w:rPr>
          <w:rFonts w:hint="eastAsia" w:ascii="宋体" w:hAnsi="宋体"/>
          <w:color w:val="000000"/>
          <w:sz w:val="24"/>
          <w:szCs w:val="24"/>
        </w:rPr>
        <w:t xml:space="preserve">系统中《开标记录表》宣布后5分钟内未提出的，视同认可开标结果。</w:t>
      </w:r>
      <w:r/>
    </w:p>
    <w:p>
      <w:pPr>
        <w:pStyle w:val="1064"/>
        <w:ind w:firstLine="420"/>
        <w:spacing w:before="0" w:after="0" w:line="400" w:lineRule="exact"/>
        <w:rPr>
          <w:b w:val="0"/>
          <w:bCs w:val="0"/>
          <w:color w:val="000000"/>
        </w:rPr>
      </w:pPr>
      <w:r/>
      <w:bookmarkStart w:id="149" w:name="_Toc513029231"/>
      <w:r/>
      <w:bookmarkStart w:id="150" w:name="_Toc20823303"/>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64"/>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r/>
    </w:p>
    <w:p>
      <w:pPr>
        <w:pStyle w:val="1064"/>
        <w:ind w:firstLine="420"/>
        <w:spacing w:before="0" w:after="0" w:line="400" w:lineRule="exact"/>
        <w:rPr>
          <w:b w:val="0"/>
          <w:bCs w:val="0"/>
          <w:color w:val="000000"/>
        </w:rPr>
      </w:pPr>
      <w:r/>
      <w:bookmarkStart w:id="152" w:name="_Toc513029232"/>
      <w:r/>
      <w:bookmarkStart w:id="153" w:name="_Toc16938548"/>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系统向供应商发</w:t>
      </w:r>
      <w:r>
        <w:rPr>
          <w:rFonts w:hint="eastAsia" w:ascii="宋体" w:hAnsi="宋体"/>
          <w:color w:val="000000"/>
          <w:sz w:val="24"/>
          <w:szCs w:val="24"/>
        </w:rPr>
        <w:t xml:space="preserve">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64"/>
        <w:ind w:firstLine="420"/>
        <w:spacing w:before="0" w:after="0" w:line="400" w:lineRule="exact"/>
        <w:rPr>
          <w:b w:val="0"/>
          <w:bCs w:val="0"/>
          <w:color w:val="000000"/>
        </w:rPr>
      </w:pPr>
      <w:r/>
      <w:bookmarkStart w:id="155" w:name="_Toc16938549"/>
      <w:r/>
      <w:bookmarkStart w:id="156" w:name="_Toc20823305"/>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结论。评委会决定投标文件的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64"/>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w:t>
      </w:r>
      <w:r>
        <w:rPr>
          <w:rFonts w:hint="eastAsia"/>
          <w:b w:val="0"/>
          <w:bCs w:val="0"/>
          <w:color w:val="000000"/>
        </w:rPr>
        <w:t xml:space="preserve">和废标条款</w:t>
      </w:r>
      <w:r/>
    </w:p>
    <w:p>
      <w:pPr>
        <w:ind w:left="479"/>
        <w:spacing w:line="400" w:lineRule="exact"/>
        <w:rPr>
          <w:rFonts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rPr>
      </w:pPr>
      <w:r>
        <w:rPr>
          <w:rFonts w:hint="eastAsia" w:ascii="宋体" w:hAnsi="宋体"/>
          <w:bCs/>
          <w:sz w:val="24"/>
        </w:rPr>
        <w:t xml:space="preserve">25.1.10.3投标（响应）报价低于采购项目最高限价 45% 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cs="宋体"/>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w:t>
      </w:r>
      <w:r>
        <w:rPr>
          <w:rFonts w:hint="eastAsia" w:ascii="宋体" w:hAnsi="宋体" w:cs="宋体"/>
          <w:sz w:val="24"/>
          <w:szCs w:val="24"/>
          <w:shd w:val="clear" w:color="auto" w:fill="ffffff"/>
        </w:rPr>
        <w:t xml:space="preserve">理的时间内对投标（响应）价格</w:t>
      </w:r>
      <w:r>
        <w:rPr>
          <w:rFonts w:hint="eastAsia" w:ascii="宋体" w:hAnsi="宋体" w:cs="宋体"/>
          <w:sz w:val="24"/>
          <w:szCs w:val="24"/>
          <w:shd w:val="clear" w:color="auto" w:fill="ffffff"/>
        </w:rPr>
        <w:t xml:space="preserve">作出</w:t>
      </w:r>
      <w:r>
        <w:rPr>
          <w:rFonts w:hint="eastAsia" w:ascii="宋体" w:hAnsi="宋体" w:cs="宋体"/>
          <w:sz w:val="24"/>
          <w:szCs w:val="24"/>
          <w:shd w:val="clear" w:color="auto" w:fill="ffffff"/>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w:t>
      </w:r>
      <w:r>
        <w:rPr>
          <w:rFonts w:hint="eastAsia" w:ascii="宋体" w:hAnsi="宋体"/>
          <w:bCs/>
          <w:color w:val="000000"/>
          <w:sz w:val="24"/>
        </w:rPr>
        <w:t xml:space="preserve">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63"/>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64"/>
        <w:ind w:firstLine="600"/>
        <w:spacing w:before="0" w:after="0" w:line="400" w:lineRule="exact"/>
        <w:rPr>
          <w:rFonts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w:t>
      </w:r>
      <w:r>
        <w:rPr>
          <w:rFonts w:hint="eastAsia" w:ascii="宋体" w:hAnsi="宋体"/>
          <w:color w:val="000000"/>
          <w:sz w:val="24"/>
          <w:szCs w:val="24"/>
        </w:rPr>
        <w:t xml:space="preserve">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6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ascii="宋体" w:hAnsi="宋体"/>
          <w:color w:val="000000"/>
          <w:sz w:val="24"/>
          <w:szCs w:val="24"/>
        </w:rPr>
      </w:pPr>
      <w:r>
        <w:rPr>
          <w:rFonts w:hint="eastAsia" w:ascii="宋体" w:hAnsi="宋体"/>
          <w:color w:val="000000"/>
          <w:sz w:val="24"/>
          <w:szCs w:val="24"/>
        </w:rPr>
        <w:t xml:space="preserve">27.4供应商（含潜在供应商）对采购方式、招标文件中采购需求、供应商资格条件、评标方法与评标标准、合同文本及资格审查结果、中标人诚信履约的询问、质疑请向采购人提出，由采购人负责答复。供应商对其他事项的询问、质疑请向交易中心提出，由交易中心负责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w:t>
      </w:r>
      <w:r>
        <w:rPr>
          <w:rFonts w:hint="eastAsia" w:ascii="宋体" w:hAnsi="宋体"/>
          <w:color w:val="000000"/>
          <w:sz w:val="24"/>
          <w:szCs w:val="24"/>
        </w:rPr>
        <w:t xml:space="preserve">运单号</w:t>
      </w:r>
      <w:r>
        <w:rPr>
          <w:rFonts w:hint="eastAsia" w:ascii="宋体" w:hAnsi="宋体"/>
          <w:color w:val="000000"/>
          <w:sz w:val="24"/>
          <w:szCs w:val="24"/>
        </w:rPr>
        <w:t xml:space="preserve">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6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63"/>
        <w:spacing w:before="145" w:after="145" w:line="400" w:lineRule="exact"/>
        <w:rPr>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r/>
    </w:p>
    <w:p>
      <w:pPr>
        <w:pStyle w:val="1064"/>
        <w:ind w:firstLine="600"/>
        <w:spacing w:before="0" w:after="0" w:line="400" w:lineRule="exact"/>
        <w:rPr>
          <w:rFonts w:ascii="黑体" w:hAnsi="宋体" w:cs="Times New Roman"/>
          <w:b w:val="0"/>
          <w:color w:val="000000"/>
          <w:sz w:val="30"/>
          <w:szCs w:val="30"/>
        </w:rPr>
      </w:pPr>
      <w:r/>
      <w:bookmarkStart w:id="173" w:name="_Toc16938553"/>
      <w:r/>
      <w:bookmarkStart w:id="174" w:name="_Toc20823309"/>
      <w:r/>
      <w:bookmarkStart w:id="175" w:name="_Toc513029237"/>
      <w:r/>
      <w:bookmarkEnd w:id="170"/>
      <w:r/>
      <w:bookmarkEnd w:id="171"/>
      <w:r/>
      <w:bookmarkEnd w:id="172"/>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64"/>
        <w:ind w:firstLine="600"/>
        <w:spacing w:before="0" w:after="0" w:line="400" w:lineRule="exact"/>
        <w:rPr>
          <w:rFonts w:ascii="黑体" w:hAnsi="宋体" w:cs="Times New Roman"/>
          <w:b w:val="0"/>
          <w:color w:val="000000"/>
          <w:sz w:val="30"/>
          <w:szCs w:val="30"/>
        </w:rPr>
      </w:pPr>
      <w:r/>
      <w:bookmarkStart w:id="176" w:name="_Toc120614221"/>
      <w:r/>
      <w:bookmarkStart w:id="177" w:name="_Toc20823314"/>
      <w:r/>
      <w:bookmarkStart w:id="178" w:name="_Toc479757207"/>
      <w:r/>
      <w:bookmarkStart w:id="179" w:name="_Toc513029242"/>
      <w:r/>
      <w:bookmarkStart w:id="180" w:name="_Toc16938558"/>
      <w:r/>
      <w:bookmarkEnd w:id="173"/>
      <w:r/>
      <w:bookmarkEnd w:id="174"/>
      <w:r/>
      <w:bookmarkEnd w:id="175"/>
      <w:r>
        <w:rPr>
          <w:rFonts w:hint="eastAsia" w:ascii="黑体" w:hAnsi="宋体" w:cs="Times New Roman"/>
          <w:b w:val="0"/>
          <w:color w:val="000000"/>
          <w:sz w:val="30"/>
          <w:szCs w:val="30"/>
        </w:rPr>
        <w:t xml:space="preserve">30、政府采购履约资金扶持政策</w:t>
      </w:r>
      <w:r/>
    </w:p>
    <w:p>
      <w:pPr>
        <w:pStyle w:val="1062"/>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w:t>
      </w:r>
      <w:r>
        <w:rPr>
          <w:rFonts w:hint="eastAsia" w:ascii="宋体" w:hAnsi="宋体"/>
          <w:bCs/>
          <w:color w:val="000000"/>
          <w:sz w:val="24"/>
        </w:rPr>
        <w:t xml:space="preserve">专栏。</w:t>
      </w:r>
      <w:r/>
    </w:p>
    <w:p>
      <w:pPr>
        <w:pStyle w:val="1062"/>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r/>
      <w:r/>
    </w:p>
    <w:p>
      <w:r/>
      <w:r/>
    </w:p>
    <w:p>
      <w:pPr>
        <w:rPr>
          <w:color w:val="000000"/>
        </w:rPr>
      </w:pPr>
      <w:r>
        <w:rPr>
          <w:color w:val="000000"/>
        </w:rPr>
      </w:r>
      <w:r/>
    </w:p>
    <w:p>
      <w:r/>
      <w:r/>
    </w:p>
    <w:p>
      <w:pPr>
        <w:pStyle w:val="1060"/>
        <w:rPr>
          <w:rFonts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color w:val="000000"/>
          <w:sz w:val="44"/>
        </w:rPr>
      </w:r>
      <w:r/>
    </w:p>
    <w:p>
      <w:pPr>
        <w:pStyle w:val="1060"/>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bookmarkStart w:id="181" w:name="_Toc513029243"/>
      <w:r/>
      <w:bookmarkStart w:id="182" w:name="_Toc16938559"/>
      <w:r/>
      <w:bookmarkStart w:id="183"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100"/>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100"/>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10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扬州市公共资源交易中心宝应分中心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100"/>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100"/>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100"/>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100"/>
        <w:spacing w:before="120" w:after="120"/>
        <w:rPr>
          <w:rFonts w:hAnsi="宋体"/>
          <w:color w:val="000000"/>
          <w:sz w:val="24"/>
          <w:szCs w:val="24"/>
        </w:rPr>
      </w:pPr>
      <w:r>
        <w:rPr>
          <w:rFonts w:hint="eastAsia" w:hAnsi="宋体"/>
          <w:color w:val="000000"/>
          <w:sz w:val="24"/>
          <w:szCs w:val="24"/>
        </w:rPr>
        <w:t xml:space="preserve">1.3 标的数量（规模）：</w:t>
      </w:r>
      <w:r/>
    </w:p>
    <w:p>
      <w:pPr>
        <w:pStyle w:val="1100"/>
        <w:spacing w:before="120" w:after="120"/>
        <w:rPr>
          <w:rFonts w:hAnsi="宋体"/>
          <w:color w:val="000000"/>
          <w:sz w:val="24"/>
          <w:szCs w:val="24"/>
        </w:rPr>
      </w:pPr>
      <w:r>
        <w:rPr>
          <w:rFonts w:hint="eastAsia" w:hAnsi="宋体"/>
          <w:color w:val="000000"/>
          <w:sz w:val="24"/>
          <w:szCs w:val="24"/>
        </w:rPr>
        <w:t xml:space="preserve">1.4 履行时间（期限）：</w:t>
      </w:r>
      <w:r/>
    </w:p>
    <w:p>
      <w:pPr>
        <w:pStyle w:val="1100"/>
        <w:spacing w:before="120" w:after="120"/>
        <w:rPr>
          <w:rFonts w:hAnsi="宋体"/>
          <w:color w:val="000000"/>
          <w:sz w:val="24"/>
          <w:szCs w:val="24"/>
        </w:rPr>
      </w:pPr>
      <w:r>
        <w:rPr>
          <w:rFonts w:hint="eastAsia" w:hAnsi="宋体"/>
          <w:color w:val="000000"/>
          <w:sz w:val="24"/>
          <w:szCs w:val="24"/>
        </w:rPr>
        <w:t xml:space="preserve">1.5 履行地点：</w:t>
      </w:r>
      <w:r/>
    </w:p>
    <w:p>
      <w:pPr>
        <w:pStyle w:val="110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100"/>
        <w:spacing w:before="120" w:after="120"/>
        <w:rPr>
          <w:rFonts w:hAnsi="宋体"/>
          <w:b/>
          <w:color w:val="000000"/>
          <w:sz w:val="24"/>
          <w:szCs w:val="24"/>
        </w:rPr>
      </w:pPr>
      <w:r>
        <w:rPr>
          <w:rFonts w:hAnsi="宋体"/>
          <w:b/>
          <w:color w:val="000000"/>
          <w:sz w:val="24"/>
          <w:szCs w:val="24"/>
        </w:rPr>
        <w:t xml:space="preserve">二、合同金额</w:t>
      </w:r>
      <w:r/>
    </w:p>
    <w:p>
      <w:pPr>
        <w:pStyle w:val="1100"/>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100"/>
        <w:spacing w:before="120" w:after="120"/>
        <w:rPr>
          <w:rFonts w:hAnsi="宋体"/>
          <w:b/>
          <w:color w:val="000000"/>
          <w:sz w:val="24"/>
          <w:szCs w:val="24"/>
        </w:rPr>
      </w:pPr>
      <w:r>
        <w:rPr>
          <w:rFonts w:hAnsi="宋体"/>
          <w:b/>
          <w:color w:val="000000"/>
          <w:sz w:val="24"/>
          <w:szCs w:val="24"/>
        </w:rPr>
        <w:t xml:space="preserve">三、技术资料</w:t>
      </w:r>
      <w:r/>
    </w:p>
    <w:p>
      <w:pPr>
        <w:pStyle w:val="1100"/>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100"/>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Ansi="宋体"/>
          <w:color w:val="000000"/>
          <w:sz w:val="24"/>
          <w:szCs w:val="24"/>
        </w:rPr>
        <w:t xml:space="preserve">向履行</w:t>
      </w:r>
      <w:r>
        <w:rPr>
          <w:rFonts w:hAnsi="宋体"/>
          <w:color w:val="000000"/>
          <w:sz w:val="24"/>
          <w:szCs w:val="24"/>
        </w:rPr>
        <w:t xml:space="preserve">本合同有关的人员提供，也应注意保密并限于履行合同的必需范围。</w:t>
      </w:r>
      <w:r/>
    </w:p>
    <w:p>
      <w:pPr>
        <w:pStyle w:val="1100"/>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100"/>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00"/>
        <w:spacing w:before="120" w:after="120"/>
        <w:rPr>
          <w:rFonts w:hAnsi="宋体"/>
          <w:color w:val="000000"/>
          <w:sz w:val="24"/>
          <w:szCs w:val="24"/>
          <w:u w:val="single"/>
        </w:rPr>
      </w:pPr>
      <w:r>
        <w:rPr>
          <w:rFonts w:hAnsi="宋体"/>
          <w:b/>
          <w:color w:val="000000"/>
          <w:sz w:val="24"/>
          <w:szCs w:val="24"/>
        </w:rPr>
        <w:t xml:space="preserve">五、产权担保</w:t>
      </w:r>
      <w:r/>
    </w:p>
    <w:p>
      <w:pPr>
        <w:pStyle w:val="1100"/>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w:t>
      </w:r>
      <w:r>
        <w:rPr>
          <w:rFonts w:hAnsi="宋体"/>
          <w:color w:val="000000"/>
          <w:sz w:val="24"/>
          <w:szCs w:val="24"/>
        </w:rPr>
        <w:t xml:space="preserve">乙方且</w:t>
      </w:r>
      <w:r>
        <w:rPr>
          <w:rFonts w:hAnsi="宋体"/>
          <w:color w:val="000000"/>
          <w:sz w:val="24"/>
          <w:szCs w:val="24"/>
        </w:rPr>
        <w:t xml:space="preserve">无任何抵押、查封等产权瑕疵。</w:t>
      </w:r>
      <w:r/>
    </w:p>
    <w:p>
      <w:pPr>
        <w:pStyle w:val="1100"/>
        <w:ind w:left="410" w:hanging="410"/>
        <w:spacing w:before="120" w:after="120"/>
        <w:rPr>
          <w:rFonts w:hAnsi="宋体"/>
          <w:b/>
          <w:sz w:val="24"/>
          <w:szCs w:val="24"/>
        </w:rPr>
      </w:pPr>
      <w:r>
        <w:rPr>
          <w:rFonts w:hAnsi="宋体"/>
          <w:b/>
          <w:color w:val="000000"/>
          <w:sz w:val="24"/>
          <w:szCs w:val="24"/>
        </w:rPr>
        <w:t xml:space="preserve">六、履约保证金</w:t>
      </w:r>
      <w:r/>
    </w:p>
    <w:p>
      <w:pPr>
        <w:pStyle w:val="1100"/>
        <w:ind w:left="408" w:hanging="408"/>
        <w:spacing w:before="120" w:after="120"/>
        <w:rPr>
          <w:rFonts w:hAnsi="宋体"/>
          <w:sz w:val="24"/>
          <w:szCs w:val="24"/>
        </w:rPr>
      </w:pPr>
      <w:r>
        <w:rPr>
          <w:rFonts w:hAnsi="宋体"/>
          <w:sz w:val="24"/>
          <w:szCs w:val="24"/>
        </w:rPr>
        <w:t xml:space="preserve">6.1 乙方交纳人民币___</w:t>
      </w:r>
      <w:r>
        <w:rPr>
          <w:rFonts w:hint="eastAsia" w:hAnsi="宋体"/>
          <w:sz w:val="24"/>
          <w:szCs w:val="24"/>
          <w:u w:val="single"/>
        </w:rPr>
        <w:t xml:space="preserve">零</w:t>
      </w:r>
      <w:r>
        <w:rPr>
          <w:rFonts w:hAnsi="宋体"/>
          <w:sz w:val="24"/>
          <w:szCs w:val="24"/>
        </w:rPr>
        <w:t xml:space="preserve">______元作为本合同的履约保证金。</w:t>
      </w:r>
      <w:r>
        <w:rPr>
          <w:rFonts w:hint="eastAsia" w:hAnsi="宋体"/>
          <w:sz w:val="24"/>
          <w:szCs w:val="24"/>
        </w:rPr>
        <w:t xml:space="preserve">（不得超过合同金额的10%）</w:t>
      </w:r>
      <w:r/>
    </w:p>
    <w:p>
      <w:pPr>
        <w:pStyle w:val="110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100"/>
        <w:ind w:left="408" w:hanging="408"/>
        <w:spacing w:before="120" w:after="120"/>
        <w:rPr>
          <w:rFonts w:hAnsi="宋体"/>
          <w:sz w:val="24"/>
          <w:szCs w:val="24"/>
        </w:rPr>
      </w:pPr>
      <w:r>
        <w:rPr>
          <w:rFonts w:hint="eastAsia" w:hAnsi="宋体"/>
          <w:sz w:val="24"/>
          <w:szCs w:val="24"/>
        </w:rPr>
        <w:t xml:space="preserve">6.2.1履约保证金退还方式：无</w:t>
      </w:r>
      <w:r/>
    </w:p>
    <w:p>
      <w:pPr>
        <w:pStyle w:val="1100"/>
        <w:ind w:left="408" w:hanging="408"/>
        <w:spacing w:before="120" w:after="120"/>
        <w:rPr>
          <w:rFonts w:hAnsi="宋体"/>
          <w:sz w:val="24"/>
          <w:szCs w:val="24"/>
        </w:rPr>
      </w:pPr>
      <w:r>
        <w:rPr>
          <w:rFonts w:hint="eastAsia" w:hAnsi="宋体"/>
          <w:sz w:val="24"/>
          <w:szCs w:val="24"/>
        </w:rPr>
        <w:t xml:space="preserve">6.2.2履约保证金退还时间：无</w:t>
      </w:r>
      <w:r/>
    </w:p>
    <w:p>
      <w:pPr>
        <w:pStyle w:val="1100"/>
        <w:ind w:left="408" w:hanging="408"/>
        <w:spacing w:before="120" w:after="120"/>
        <w:rPr>
          <w:rFonts w:hAnsi="宋体"/>
          <w:sz w:val="24"/>
          <w:szCs w:val="24"/>
        </w:rPr>
      </w:pPr>
      <w:r>
        <w:rPr>
          <w:rFonts w:hint="eastAsia" w:hAnsi="宋体"/>
          <w:sz w:val="24"/>
          <w:szCs w:val="24"/>
        </w:rPr>
        <w:t xml:space="preserve">6.2.3履约保证金退还条件：无</w:t>
      </w:r>
      <w:r/>
    </w:p>
    <w:p>
      <w:pPr>
        <w:pStyle w:val="1100"/>
        <w:ind w:left="408" w:hanging="408"/>
        <w:spacing w:before="120" w:after="120"/>
        <w:rPr>
          <w:rFonts w:hAnsi="宋体"/>
          <w:sz w:val="24"/>
          <w:szCs w:val="24"/>
        </w:rPr>
      </w:pPr>
      <w:r>
        <w:rPr>
          <w:rFonts w:hint="eastAsia" w:hAnsi="宋体"/>
          <w:sz w:val="24"/>
          <w:szCs w:val="24"/>
        </w:rPr>
        <w:t xml:space="preserve">6.2.4履约保证金不予退还的情形：无</w:t>
      </w:r>
      <w:r/>
    </w:p>
    <w:p>
      <w:pPr>
        <w:pStyle w:val="1100"/>
        <w:ind w:left="408" w:hanging="408"/>
        <w:spacing w:before="120" w:after="120"/>
        <w:rPr>
          <w:rFonts w:hAnsi="宋体"/>
          <w:sz w:val="24"/>
          <w:szCs w:val="24"/>
        </w:rPr>
      </w:pPr>
      <w:r>
        <w:rPr>
          <w:rFonts w:hint="eastAsia" w:hAnsi="宋体"/>
          <w:sz w:val="24"/>
          <w:szCs w:val="24"/>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100"/>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100"/>
        <w:spacing w:before="120" w:after="120"/>
        <w:rPr>
          <w:rFonts w:hAnsi="宋体"/>
          <w:sz w:val="24"/>
          <w:szCs w:val="24"/>
        </w:rPr>
      </w:pPr>
      <w:r>
        <w:rPr>
          <w:rFonts w:hint="eastAsia" w:hAnsi="宋体"/>
          <w:sz w:val="24"/>
          <w:szCs w:val="24"/>
        </w:rPr>
        <w:t xml:space="preserve">8.1.1 预付款支付时间：合同签订后，甲方自收到发票后10个工作日内，支付合同金额30%的预付款。</w:t>
      </w:r>
      <w:r/>
    </w:p>
    <w:p>
      <w:pPr>
        <w:pStyle w:val="1100"/>
        <w:spacing w:before="120" w:after="120"/>
        <w:rPr>
          <w:rFonts w:hAnsi="宋体"/>
          <w:sz w:val="24"/>
          <w:szCs w:val="24"/>
        </w:rPr>
      </w:pPr>
      <w:r>
        <w:rPr>
          <w:rFonts w:hint="eastAsia" w:hAnsi="宋体"/>
          <w:sz w:val="24"/>
          <w:szCs w:val="24"/>
        </w:rPr>
        <w:t xml:space="preserve">8.1.2 试</w:t>
      </w:r>
      <w:r>
        <w:rPr>
          <w:rFonts w:hint="eastAsia" w:hAnsi="宋体"/>
          <w:sz w:val="24"/>
          <w:szCs w:val="24"/>
        </w:rPr>
        <w:t xml:space="preserve">运行款</w:t>
      </w:r>
      <w:r>
        <w:rPr>
          <w:rFonts w:hint="eastAsia" w:hAnsi="宋体"/>
          <w:sz w:val="24"/>
          <w:szCs w:val="24"/>
        </w:rPr>
        <w:t xml:space="preserve">支付时间：项目试运行后,甲方收到发票后10个工作日内，支付合同金额40%的试运行款。</w:t>
      </w:r>
      <w:r/>
    </w:p>
    <w:p>
      <w:pPr>
        <w:pStyle w:val="1100"/>
        <w:spacing w:before="120" w:after="120"/>
        <w:rPr>
          <w:rFonts w:hAnsi="宋体"/>
          <w:sz w:val="24"/>
          <w:szCs w:val="24"/>
        </w:rPr>
      </w:pPr>
      <w:r>
        <w:rPr>
          <w:rFonts w:hint="eastAsia" w:hAnsi="宋体"/>
          <w:sz w:val="24"/>
          <w:szCs w:val="24"/>
        </w:rPr>
        <w:t xml:space="preserve">8.1.3 尾款支付时间：项目验收通过后,甲方收到发票后10个工作日内，支付合同尾款。</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10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100"/>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100"/>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00"/>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100"/>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w:t>
      </w:r>
      <w:r>
        <w:rPr>
          <w:rFonts w:hint="eastAsia" w:hAnsi="宋体"/>
          <w:color w:val="000000"/>
          <w:sz w:val="24"/>
          <w:szCs w:val="24"/>
        </w:rPr>
        <w:t xml:space="preserve">方专业</w:t>
      </w:r>
      <w:r>
        <w:rPr>
          <w:rFonts w:hint="eastAsia" w:hAnsi="宋体"/>
          <w:color w:val="000000"/>
          <w:sz w:val="24"/>
          <w:szCs w:val="24"/>
        </w:rPr>
        <w:t xml:space="preserve">机构及专家参与验收，相关意见将作为</w:t>
      </w:r>
      <w:r>
        <w:rPr>
          <w:rFonts w:hint="eastAsia" w:hAnsi="宋体"/>
          <w:color w:val="000000"/>
          <w:sz w:val="24"/>
          <w:szCs w:val="24"/>
        </w:rPr>
        <w:t xml:space="preserve">验收书</w:t>
      </w:r>
      <w:r>
        <w:rPr>
          <w:rFonts w:hint="eastAsia" w:hAnsi="宋体"/>
          <w:color w:val="000000"/>
          <w:sz w:val="24"/>
          <w:szCs w:val="24"/>
        </w:rPr>
        <w:t xml:space="preserve">的参考资料。</w:t>
      </w:r>
      <w:r/>
    </w:p>
    <w:p>
      <w:pPr>
        <w:pStyle w:val="1100"/>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sz w:val="24"/>
          <w:szCs w:val="24"/>
        </w:rPr>
        <w:t xml:space="preserve">验收书</w:t>
      </w:r>
      <w:r>
        <w:rPr>
          <w:rFonts w:hint="eastAsia" w:hAnsi="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1100"/>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w:t>
      </w:r>
      <w:r>
        <w:rPr>
          <w:rFonts w:hint="eastAsia" w:hAnsi="宋体"/>
          <w:color w:val="000000"/>
          <w:sz w:val="24"/>
          <w:szCs w:val="24"/>
        </w:rPr>
        <w:t xml:space="preserve">解决争议的方式等适用《中华人民共和国民法典》。乙方在履约过程中有政府采购法律法规规定的违法违规情形的,甲方将及时报告本级财政部门。</w:t>
      </w:r>
      <w:r/>
    </w:p>
    <w:p>
      <w:pPr>
        <w:pStyle w:val="110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10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10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10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10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10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10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10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10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10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100"/>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10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10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10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10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100"/>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100"/>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100"/>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100"/>
        <w:ind w:firstLine="240"/>
        <w:spacing w:before="120" w:after="120" w:line="0" w:lineRule="atLeast"/>
        <w:rPr>
          <w:color w:val="000000"/>
        </w:rPr>
      </w:pPr>
      <w:r>
        <w:rPr>
          <w:rFonts w:hint="eastAsia" w:hAnsi="宋体"/>
          <w:color w:val="000000"/>
          <w:sz w:val="24"/>
          <w:szCs w:val="24"/>
        </w:rPr>
        <w:t xml:space="preserve">联系电话：                    联系电话：          </w:t>
      </w:r>
      <w:r/>
    </w:p>
    <w:p>
      <w:pPr>
        <w:pStyle w:val="1100"/>
        <w:jc w:val="center"/>
        <w:spacing w:before="120" w:after="120" w:line="0" w:lineRule="atLeast"/>
        <w:rPr>
          <w:color w:val="000000"/>
        </w:rPr>
      </w:pPr>
      <w:r>
        <w:rPr>
          <w:rFonts w:hint="eastAsia"/>
          <w:color w:val="000000"/>
        </w:rPr>
        <w:t xml:space="preserve">                                         </w:t>
      </w:r>
      <w:r/>
    </w:p>
    <w:p>
      <w:pPr>
        <w:pStyle w:val="1100"/>
        <w:jc w:val="right"/>
        <w:spacing w:before="120" w:after="120" w:line="0" w:lineRule="atLeast"/>
        <w:rPr>
          <w:color w:val="000000"/>
          <w:sz w:val="24"/>
          <w:szCs w:val="24"/>
        </w:rPr>
      </w:pPr>
      <w:r>
        <w:rPr>
          <w:rFonts w:hint="eastAsia"/>
          <w:color w:val="000000"/>
          <w:sz w:val="24"/>
          <w:szCs w:val="24"/>
        </w:rPr>
        <w:t xml:space="preserve"> </w:t>
      </w:r>
      <w:r/>
    </w:p>
    <w:p>
      <w:pPr>
        <w:pStyle w:val="1100"/>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Start w:id="184" w:name="_Hlt16619369"/>
      <w:r/>
      <w:bookmarkStart w:id="185" w:name="_Hlt16619350"/>
      <w:r/>
      <w:bookmarkStart w:id="186" w:name="_Toc20823346"/>
      <w:r/>
      <w:bookmarkStart w:id="187" w:name="_Toc120614244"/>
      <w:r/>
      <w:bookmarkStart w:id="188" w:name="_Toc16938590"/>
      <w:r/>
      <w:bookmarkStart w:id="189" w:name="_Toc462564139"/>
      <w:r/>
      <w:bookmarkStart w:id="190" w:name="_Toc479757211"/>
      <w:r/>
      <w:bookmarkEnd w:id="181"/>
      <w:r/>
      <w:bookmarkEnd w:id="182"/>
      <w:r/>
      <w:bookmarkEnd w:id="183"/>
      <w:r/>
      <w:bookmarkEnd w:id="184"/>
      <w:r>
        <w:rPr>
          <w:rFonts w:ascii="黑体" w:eastAsia="黑体"/>
          <w:bCs/>
          <w:color w:val="000000"/>
          <w:sz w:val="44"/>
        </w:rPr>
        <w:br w:type="page" w:clear="all"/>
      </w:r>
      <w:bookmarkStart w:id="191" w:name="_Toc26554093"/>
      <w:r/>
      <w:bookmarkStart w:id="192" w:name="_Toc120614281"/>
      <w:r/>
      <w:bookmarkStart w:id="193" w:name="_Toc49090575"/>
      <w:r/>
      <w:bookmarkEnd w:id="185"/>
      <w:r/>
      <w:bookmarkEnd w:id="186"/>
      <w:r/>
      <w:bookmarkEnd w:id="187"/>
      <w:r/>
      <w:bookmarkEnd w:id="188"/>
      <w:r>
        <w:rPr>
          <w:rFonts w:hint="eastAsia" w:ascii="黑体" w:hAnsi="Times New Roman" w:eastAsia="黑体" w:cs="Times New Roman"/>
          <w:bCs/>
          <w:color w:val="000000"/>
          <w:sz w:val="44"/>
          <w:szCs w:val="28"/>
        </w:rPr>
        <w:t xml:space="preserve">第四章 采购需求</w:t>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312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宝</w:t>
            </w:r>
            <w:r>
              <w:rPr>
                <w:rFonts w:hint="eastAsia" w:ascii="宋体" w:hAnsi="宋体"/>
                <w:sz w:val="24"/>
                <w:szCs w:val="24"/>
              </w:rPr>
              <w:t xml:space="preserve">应县非</w:t>
            </w:r>
            <w:r>
              <w:rPr>
                <w:rFonts w:hint="eastAsia" w:ascii="宋体" w:hAnsi="宋体"/>
                <w:sz w:val="24"/>
                <w:szCs w:val="24"/>
              </w:rPr>
              <w:t xml:space="preserve">税收入收缴管理系统重构项目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pStyle w:val="888"/>
        <w:spacing w:before="120" w:after="120" w:line="400" w:lineRule="exact"/>
        <w:rPr>
          <w:rFonts w:hAnsi="宋体" w:cs="宋体"/>
          <w:b/>
          <w:bCs/>
          <w:color w:val="000000"/>
          <w:sz w:val="24"/>
          <w:szCs w:val="24"/>
          <w:lang w:bidi="ar"/>
        </w:rPr>
      </w:pPr>
      <w:r>
        <w:rPr>
          <w:rFonts w:hint="eastAsia" w:hAnsi="宋体" w:cs="宋体"/>
          <w:b/>
          <w:bCs/>
          <w:color w:val="000000"/>
          <w:sz w:val="24"/>
          <w:szCs w:val="24"/>
          <w:lang w:bidi="ar"/>
        </w:rPr>
        <w:t xml:space="preserve">二、政府采购中实施本国产品标准及相关政策</w:t>
      </w:r>
      <w:r/>
    </w:p>
    <w:p>
      <w:pPr>
        <w:ind w:firstLine="480"/>
        <w:jc w:val="left"/>
        <w:spacing w:line="400" w:lineRule="exact"/>
        <w:rPr>
          <w:rFonts w:ascii="宋体" w:hAnsi="宋体" w:cs="宋体"/>
          <w:sz w:val="24"/>
          <w:szCs w:val="24"/>
          <w:lang w:bidi="ar"/>
        </w:rPr>
      </w:pPr>
      <w:r>
        <w:rPr>
          <w:rFonts w:hint="eastAsia" w:ascii="宋体" w:hAnsi="宋体" w:cs="宋体"/>
          <w:sz w:val="24"/>
          <w:szCs w:val="24"/>
          <w:lang w:bidi="ar"/>
        </w:rPr>
        <w:t xml:space="preserve">1.政策依据《国务院办公厅关于在政府采购中实施本国产品标准及相关政策的通知》（国办发〔2025〕34号）。</w:t>
      </w:r>
      <w:r/>
    </w:p>
    <w:p>
      <w:pPr>
        <w:ind w:firstLine="480"/>
        <w:jc w:val="left"/>
        <w:spacing w:line="400" w:lineRule="exact"/>
        <w:rPr>
          <w:rFonts w:ascii="宋体" w:hAnsi="宋体" w:cs="宋体"/>
          <w:sz w:val="24"/>
          <w:szCs w:val="24"/>
          <w:lang w:bidi="ar"/>
        </w:rPr>
      </w:pPr>
      <w:r>
        <w:rPr>
          <w:rFonts w:hint="eastAsia" w:ascii="宋体" w:hAnsi="宋体" w:cs="宋体"/>
          <w:sz w:val="24"/>
          <w:szCs w:val="24"/>
          <w:lang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00" w:lineRule="exact"/>
        <w:rPr>
          <w:rFonts w:ascii="宋体" w:hAnsi="宋体" w:cs="宋体"/>
          <w:sz w:val="24"/>
          <w:szCs w:val="24"/>
          <w:lang w:bidi="ar"/>
        </w:rPr>
      </w:pPr>
      <w:r>
        <w:rPr>
          <w:rFonts w:hint="eastAsia" w:ascii="宋体" w:hAnsi="宋体" w:cs="宋体"/>
          <w:sz w:val="24"/>
          <w:szCs w:val="24"/>
          <w:lang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2"/>
        <w:jc w:val="both"/>
        <w:spacing w:beforeAutospacing="0" w:afterAutospacing="0" w:line="0" w:lineRule="atLeast"/>
        <w:rPr>
          <w:rFonts w:ascii="宋体" w:hAnsi="宋体" w:cs="宋体"/>
          <w:b/>
          <w:bCs/>
          <w:color w:val="000000"/>
          <w:szCs w:val="24"/>
        </w:rPr>
      </w:pPr>
      <w:r>
        <w:rPr>
          <w:rFonts w:ascii="宋体" w:hAnsi="宋体" w:cs="宋体"/>
          <w:b/>
          <w:bCs/>
          <w:color w:val="000000"/>
          <w:szCs w:val="24"/>
        </w:rPr>
      </w:r>
      <w:r/>
    </w:p>
    <w:p>
      <w:pPr>
        <w:pStyle w:val="902"/>
        <w:jc w:val="both"/>
        <w:spacing w:beforeAutospacing="0" w:afterAutospacing="0" w:line="360" w:lineRule="auto"/>
      </w:pPr>
      <w:r>
        <w:rPr>
          <w:rFonts w:hint="eastAsia" w:ascii="宋体" w:hAnsi="宋体" w:cs="宋体"/>
          <w:b/>
          <w:bCs/>
          <w:color w:val="000000"/>
          <w:szCs w:val="24"/>
        </w:rPr>
        <w:t xml:space="preserve">三、技术要求</w:t>
      </w:r>
      <w:r/>
    </w:p>
    <w:p>
      <w:pPr>
        <w:pStyle w:val="902"/>
        <w:ind w:firstLine="360"/>
        <w:jc w:val="both"/>
        <w:spacing w:beforeAutospacing="0" w:afterAutospacing="0" w:line="360" w:lineRule="auto"/>
        <w:rPr>
          <w:rFonts w:ascii="宋体" w:hAnsi="宋体" w:cs="宋体"/>
          <w:b/>
          <w:bCs/>
          <w:color w:val="ff0000"/>
          <w:szCs w:val="24"/>
        </w:rPr>
      </w:pPr>
      <w:r/>
      <w:bookmarkStart w:id="194" w:name="OLE_LINK1"/>
      <w:r>
        <w:rPr>
          <w:rFonts w:hint="eastAsia" w:ascii="宋体" w:hAnsi="宋体" w:cs="宋体"/>
          <w:color w:val="000000"/>
          <w:szCs w:val="24"/>
        </w:rPr>
        <w:t xml:space="preserve">技术要求是指对采购标的功能和质量要求，包括性能、材料、结构、外观、安全，或者服务内容和标准等。其中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pStyle w:val="902"/>
        <w:ind w:firstLine="361"/>
        <w:jc w:val="both"/>
        <w:spacing w:beforeAutospacing="0" w:afterAutospacing="0" w:line="360" w:lineRule="auto"/>
        <w:rPr>
          <w:rFonts w:ascii="宋体" w:hAnsi="宋体" w:cs="宋体"/>
          <w:b/>
          <w:bCs/>
          <w:color w:val="ff0000"/>
          <w:szCs w:val="24"/>
        </w:rPr>
      </w:pPr>
      <w:r>
        <w:rPr>
          <w:rFonts w:ascii="宋体" w:hAnsi="宋体" w:cs="宋体"/>
          <w:b/>
          <w:bCs/>
          <w:color w:val="ff0000"/>
          <w:szCs w:val="24"/>
        </w:rPr>
      </w:r>
      <w:r/>
    </w:p>
    <w:p>
      <w:pPr>
        <w:pStyle w:val="902"/>
        <w:ind w:firstLine="361"/>
        <w:jc w:val="both"/>
        <w:spacing w:beforeAutospacing="0" w:afterAutospacing="0" w:line="360" w:lineRule="auto"/>
        <w:rPr>
          <w:rFonts w:ascii="宋体" w:hAnsi="宋体" w:cs="宋体"/>
          <w:b/>
          <w:bCs/>
          <w:color w:val="ff0000"/>
          <w:szCs w:val="24"/>
        </w:rPr>
      </w:pPr>
      <w:r>
        <w:rPr>
          <w:rFonts w:ascii="宋体" w:hAnsi="宋体" w:cs="宋体"/>
          <w:b/>
          <w:bCs/>
          <w:color w:val="ff0000"/>
          <w:szCs w:val="24"/>
        </w:rPr>
      </w:r>
      <w:r/>
    </w:p>
    <w:p>
      <w:pPr>
        <w:pStyle w:val="902"/>
        <w:ind w:firstLine="361"/>
        <w:jc w:val="both"/>
        <w:spacing w:beforeAutospacing="0" w:afterAutospacing="0" w:line="360" w:lineRule="auto"/>
        <w:rPr>
          <w:rFonts w:ascii="宋体" w:hAnsi="宋体" w:cs="宋体"/>
          <w:b/>
          <w:bCs/>
          <w:color w:val="ff0000"/>
          <w:szCs w:val="24"/>
        </w:rPr>
      </w:pPr>
      <w:r>
        <w:rPr>
          <w:rFonts w:ascii="宋体" w:hAnsi="宋体" w:cs="宋体"/>
          <w:b/>
          <w:bCs/>
          <w:color w:val="ff0000"/>
          <w:szCs w:val="24"/>
        </w:rPr>
      </w:r>
      <w:r/>
    </w:p>
    <w:p>
      <w:pPr>
        <w:jc w:val="left"/>
        <w:spacing w:after="120" w:line="360" w:lineRule="auto"/>
        <w:rPr>
          <w:rFonts w:ascii="宋体" w:hAnsi="宋体" w:cs="宋体"/>
        </w:rPr>
        <w:outlineLvl w:val="1"/>
      </w:pPr>
      <w:r/>
      <w:bookmarkStart w:id="195" w:name="heading_0"/>
      <w:r>
        <w:rPr>
          <w:rFonts w:hint="eastAsia" w:ascii="宋体" w:hAnsi="宋体" w:cs="宋体"/>
          <w:b/>
          <w:sz w:val="32"/>
        </w:rPr>
        <w:t xml:space="preserve">1 项目概况</w:t>
      </w:r>
      <w:bookmarkEnd w:id="195"/>
      <w:r/>
      <w:r/>
    </w:p>
    <w:p>
      <w:pPr>
        <w:jc w:val="left"/>
        <w:spacing w:after="120" w:line="360" w:lineRule="auto"/>
        <w:rPr>
          <w:rFonts w:ascii="宋体" w:hAnsi="宋体" w:cs="宋体"/>
        </w:rPr>
        <w:outlineLvl w:val="2"/>
      </w:pPr>
      <w:r/>
      <w:bookmarkStart w:id="196" w:name="heading_1"/>
      <w:r>
        <w:rPr>
          <w:rFonts w:hint="eastAsia" w:ascii="宋体" w:hAnsi="宋体" w:cs="宋体"/>
          <w:b/>
          <w:sz w:val="30"/>
        </w:rPr>
        <w:t xml:space="preserve">1.1 项目名称</w:t>
      </w:r>
      <w:bookmarkEnd w:id="196"/>
      <w:r/>
      <w:r/>
    </w:p>
    <w:p>
      <w:pPr>
        <w:jc w:val="left"/>
        <w:spacing w:after="120" w:line="360" w:lineRule="auto"/>
        <w:rPr>
          <w:rFonts w:ascii="宋体" w:hAnsi="宋体" w:cs="宋体"/>
        </w:rPr>
      </w:pPr>
      <w:r>
        <w:rPr>
          <w:rFonts w:hint="eastAsia" w:ascii="宋体" w:hAnsi="宋体" w:cs="宋体"/>
          <w:sz w:val="22"/>
        </w:rPr>
        <w:t xml:space="preserve">宝</w:t>
      </w:r>
      <w:r>
        <w:rPr>
          <w:rFonts w:hint="eastAsia" w:ascii="宋体" w:hAnsi="宋体" w:cs="宋体"/>
          <w:sz w:val="22"/>
        </w:rPr>
        <w:t xml:space="preserve">应县非</w:t>
      </w:r>
      <w:r>
        <w:rPr>
          <w:rFonts w:hint="eastAsia" w:ascii="宋体" w:hAnsi="宋体" w:cs="宋体"/>
          <w:sz w:val="22"/>
        </w:rPr>
        <w:t xml:space="preserve">税收入收缴管理系统国产化重构项目</w:t>
      </w:r>
      <w:r/>
    </w:p>
    <w:p>
      <w:pPr>
        <w:jc w:val="left"/>
        <w:spacing w:after="120" w:line="360" w:lineRule="auto"/>
        <w:rPr>
          <w:rFonts w:ascii="宋体" w:hAnsi="宋体" w:cs="宋体"/>
        </w:rPr>
        <w:outlineLvl w:val="2"/>
      </w:pPr>
      <w:r/>
      <w:bookmarkStart w:id="197" w:name="heading_2"/>
      <w:r>
        <w:rPr>
          <w:rFonts w:hint="eastAsia" w:ascii="宋体" w:hAnsi="宋体" w:cs="宋体"/>
          <w:b/>
          <w:sz w:val="30"/>
        </w:rPr>
        <w:t xml:space="preserve">1.2 项目背景</w:t>
      </w:r>
      <w:bookmarkEnd w:id="197"/>
      <w:r/>
      <w:r/>
    </w:p>
    <w:p>
      <w:pPr>
        <w:jc w:val="left"/>
        <w:spacing w:after="120" w:line="360" w:lineRule="auto"/>
        <w:rPr>
          <w:rFonts w:ascii="宋体" w:hAnsi="宋体" w:cs="宋体"/>
          <w:sz w:val="22"/>
        </w:rPr>
      </w:pPr>
      <w:r>
        <w:rPr>
          <w:rFonts w:hint="eastAsia" w:ascii="宋体" w:hAnsi="宋体" w:cs="宋体"/>
          <w:sz w:val="22"/>
        </w:rPr>
        <w:t xml:space="preserve">当前宝应县现有非税收入收缴管理系统基于 Oracle 数据库、WebLogic 等国外技术</w:t>
      </w:r>
      <w:r>
        <w:rPr>
          <w:rFonts w:hint="eastAsia" w:ascii="宋体" w:hAnsi="宋体" w:cs="宋体"/>
          <w:sz w:val="22"/>
        </w:rPr>
        <w:t xml:space="preserve">栈</w:t>
      </w:r>
      <w:r>
        <w:rPr>
          <w:rFonts w:hint="eastAsia" w:ascii="宋体" w:hAnsi="宋体" w:cs="宋体"/>
          <w:sz w:val="22"/>
        </w:rPr>
        <w:t xml:space="preserve">搭建，存在供应</w:t>
      </w:r>
      <w:r>
        <w:rPr>
          <w:rFonts w:hint="eastAsia" w:ascii="宋体" w:hAnsi="宋体" w:cs="宋体"/>
          <w:sz w:val="22"/>
        </w:rPr>
        <w:t xml:space="preserve">链安全</w:t>
      </w:r>
      <w:r>
        <w:rPr>
          <w:rFonts w:hint="eastAsia" w:ascii="宋体" w:hAnsi="宋体" w:cs="宋体"/>
          <w:sz w:val="22"/>
        </w:rPr>
        <w:t xml:space="preserve">隐患，不符合国家信创自主可控战略、《数据安全法》《网络安全等级保护基本要求》等法规政策要求，存在后门、漏洞、长期无原厂安全更新风险。同时现有系统仅适配 Windows+IE 环境，无法适配国产服务器、国产操作系统、国产浏览器、国产外设，难以支撑全县执收单位、财政部门国产化终端全覆盖使用。</w:t>
      </w:r>
      <w:r/>
    </w:p>
    <w:p>
      <w:pPr>
        <w:jc w:val="left"/>
        <w:spacing w:after="120" w:line="360" w:lineRule="auto"/>
        <w:rPr>
          <w:rFonts w:ascii="宋体" w:hAnsi="宋体" w:cs="宋体"/>
        </w:rPr>
      </w:pPr>
      <w:r>
        <w:rPr>
          <w:rFonts w:hint="eastAsia" w:ascii="宋体" w:hAnsi="宋体" w:cs="宋体"/>
          <w:sz w:val="22"/>
        </w:rPr>
        <w:t xml:space="preserve">为落实党政机关信息技术国产化改造要求，消除国外技术依赖带来的安全风险，实现非税业务全</w:t>
      </w:r>
      <w:r>
        <w:rPr>
          <w:rFonts w:hint="eastAsia" w:ascii="宋体" w:hAnsi="宋体" w:cs="宋体"/>
          <w:sz w:val="22"/>
        </w:rPr>
        <w:t xml:space="preserve">栈</w:t>
      </w:r>
      <w:r>
        <w:rPr>
          <w:rFonts w:hint="eastAsia" w:ascii="宋体" w:hAnsi="宋体" w:cs="宋体"/>
          <w:sz w:val="22"/>
        </w:rPr>
        <w:t xml:space="preserve">自主可控，保障非税资金、缴款人敏感数据安全，打通与省统一公共支付平台、省电子票据平台、省预算一体化系统国产化</w:t>
      </w:r>
      <w:r>
        <w:rPr>
          <w:rFonts w:hint="eastAsia" w:ascii="宋体" w:hAnsi="宋体" w:cs="宋体"/>
          <w:sz w:val="22"/>
        </w:rPr>
        <w:t xml:space="preserve">适</w:t>
      </w:r>
      <w:r>
        <w:rPr>
          <w:rFonts w:hint="eastAsia" w:ascii="宋体" w:hAnsi="宋体" w:cs="宋体"/>
          <w:sz w:val="22"/>
        </w:rPr>
        <w:t xml:space="preserve">配对接通道，全面完成服务端、客户端软硬件国产化改造、存量历史业务数据迁移、系统安全升级，</w:t>
      </w:r>
      <w:r>
        <w:rPr>
          <w:rFonts w:hint="eastAsia" w:ascii="宋体" w:hAnsi="宋体" w:cs="宋体"/>
          <w:sz w:val="22"/>
        </w:rPr>
        <w:t xml:space="preserve">特实施</w:t>
      </w:r>
      <w:r>
        <w:rPr>
          <w:rFonts w:hint="eastAsia" w:ascii="宋体" w:hAnsi="宋体" w:cs="宋体"/>
          <w:sz w:val="22"/>
        </w:rPr>
        <w:t xml:space="preserve">本项目。</w:t>
      </w:r>
      <w:r/>
    </w:p>
    <w:p>
      <w:pPr>
        <w:jc w:val="left"/>
        <w:spacing w:after="120" w:line="360" w:lineRule="auto"/>
        <w:rPr>
          <w:rFonts w:ascii="宋体" w:hAnsi="宋体" w:cs="宋体"/>
        </w:rPr>
        <w:outlineLvl w:val="2"/>
      </w:pPr>
      <w:r/>
      <w:bookmarkStart w:id="198" w:name="heading_3"/>
      <w:r>
        <w:rPr>
          <w:rFonts w:hint="eastAsia" w:ascii="宋体" w:hAnsi="宋体" w:cs="宋体"/>
          <w:b/>
          <w:sz w:val="30"/>
        </w:rPr>
        <w:t xml:space="preserve">1.3 项目地点</w:t>
      </w:r>
      <w:bookmarkEnd w:id="198"/>
      <w:r/>
      <w:r/>
    </w:p>
    <w:p>
      <w:pPr>
        <w:jc w:val="left"/>
        <w:spacing w:after="120" w:line="360" w:lineRule="auto"/>
        <w:rPr>
          <w:rFonts w:ascii="宋体" w:hAnsi="宋体" w:cs="宋体"/>
        </w:rPr>
      </w:pPr>
      <w:r>
        <w:rPr>
          <w:rFonts w:hint="eastAsia" w:ascii="宋体" w:hAnsi="宋体" w:cs="宋体"/>
          <w:sz w:val="22"/>
        </w:rPr>
        <w:t xml:space="preserve">宝应县财政局</w:t>
      </w:r>
      <w:r/>
    </w:p>
    <w:p>
      <w:pPr>
        <w:jc w:val="left"/>
        <w:spacing w:after="120" w:line="360" w:lineRule="auto"/>
        <w:rPr>
          <w:rFonts w:ascii="宋体" w:hAnsi="宋体" w:cs="宋体"/>
        </w:rPr>
        <w:outlineLvl w:val="2"/>
      </w:pPr>
      <w:r/>
      <w:bookmarkStart w:id="199" w:name="heading_4"/>
      <w:r>
        <w:rPr>
          <w:rFonts w:hint="eastAsia" w:ascii="宋体" w:hAnsi="宋体" w:cs="宋体"/>
          <w:b/>
          <w:sz w:val="30"/>
        </w:rPr>
        <w:t xml:space="preserve">1.4 项目建设周期要求</w:t>
      </w:r>
      <w:bookmarkEnd w:id="199"/>
      <w:r/>
      <w:r/>
    </w:p>
    <w:p>
      <w:pPr>
        <w:jc w:val="left"/>
        <w:spacing w:after="120" w:line="360" w:lineRule="auto"/>
        <w:rPr>
          <w:rFonts w:ascii="宋体" w:hAnsi="宋体" w:cs="宋体"/>
          <w:sz w:val="22"/>
        </w:rPr>
      </w:pPr>
      <w:r>
        <w:rPr>
          <w:rFonts w:hint="eastAsia" w:ascii="宋体" w:hAnsi="宋体" w:cs="宋体"/>
          <w:color w:val="000000"/>
          <w:sz w:val="22"/>
        </w:rPr>
        <w:t xml:space="preserve">2027年6月前</w:t>
      </w:r>
      <w:r>
        <w:rPr>
          <w:rFonts w:hint="eastAsia" w:ascii="宋体" w:hAnsi="宋体" w:cs="宋体"/>
          <w:sz w:val="22"/>
        </w:rPr>
        <w:t xml:space="preserve">完成全部改造、迁移、测试、试运行、验收工作。</w:t>
      </w:r>
      <w:r/>
    </w:p>
    <w:p>
      <w:pPr>
        <w:jc w:val="left"/>
        <w:spacing w:after="120" w:line="360" w:lineRule="auto"/>
        <w:rPr>
          <w:rFonts w:ascii="宋体" w:hAnsi="宋体" w:cs="宋体"/>
          <w:b/>
          <w:sz w:val="32"/>
        </w:rPr>
        <w:outlineLvl w:val="1"/>
      </w:pPr>
      <w:r>
        <w:rPr>
          <w:rFonts w:hint="eastAsia" w:ascii="宋体" w:hAnsi="宋体" w:cs="宋体"/>
          <w:b/>
          <w:sz w:val="32"/>
        </w:rPr>
        <w:t xml:space="preserve">2 技术要求</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1"/>
        <w:gridCol w:w="1227"/>
        <w:gridCol w:w="6634"/>
      </w:tblGrid>
      <w:tr>
        <w:trPr/>
        <w:tc>
          <w:tcPr>
            <w:gridSpan w:val="3"/>
            <w:tcW w:w="8522" w:type="dxa"/>
            <w:vAlign w:val="bottom"/>
            <w:textDirection w:val="lrTb"/>
            <w:noWrap w:val="false"/>
          </w:tcPr>
          <w:p>
            <w:pPr>
              <w:jc w:val="center"/>
              <w:spacing w:before="120" w:line="360" w:lineRule="auto"/>
              <w:rPr>
                <w:rFonts w:ascii="宋体" w:hAnsi="宋体" w:cs="宋体"/>
              </w:rPr>
            </w:pPr>
            <w:r>
              <w:rPr>
                <w:rFonts w:hint="eastAsia" w:ascii="宋体" w:hAnsi="宋体" w:cs="宋体"/>
              </w:rPr>
              <w:t xml:space="preserve">技术要求</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1</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实施工作要求</w:t>
            </w:r>
            <w:r/>
          </w:p>
        </w:tc>
        <w:tc>
          <w:tcPr>
            <w:tcW w:w="6634" w:type="dxa"/>
            <w:vAlign w:val="center"/>
            <w:textDirection w:val="lrTb"/>
            <w:noWrap w:val="false"/>
          </w:tcPr>
          <w:p>
            <w:pPr>
              <w:ind w:firstLine="480"/>
              <w:spacing w:line="360" w:lineRule="auto"/>
              <w:widowControl/>
              <w:rPr>
                <w:rFonts w:ascii="宋体" w:hAnsi="宋体" w:cs="宋体"/>
                <w:sz w:val="22"/>
                <w:szCs w:val="24"/>
                <w:lang w:val="zh-CN"/>
              </w:rPr>
            </w:pPr>
            <w:r>
              <w:rPr>
                <w:rFonts w:hint="eastAsia" w:ascii="宋体" w:hAnsi="宋体" w:cs="宋体"/>
                <w:sz w:val="22"/>
                <w:szCs w:val="24"/>
                <w:lang w:val="zh-CN"/>
              </w:rPr>
              <w:t xml:space="preserve">供应商须提供覆盖需求调研、数据迁移、部署测试、培训运维、项目验收</w:t>
            </w:r>
            <w:r>
              <w:rPr>
                <w:rFonts w:hint="eastAsia" w:ascii="宋体" w:hAnsi="宋体" w:cs="宋体"/>
                <w:sz w:val="22"/>
                <w:szCs w:val="24"/>
              </w:rPr>
              <w:t xml:space="preserve">等内容</w:t>
            </w:r>
            <w:r>
              <w:rPr>
                <w:rFonts w:hint="eastAsia" w:ascii="宋体" w:hAnsi="宋体" w:cs="宋体"/>
                <w:sz w:val="22"/>
                <w:szCs w:val="24"/>
                <w:lang w:val="zh-CN"/>
              </w:rPr>
              <w:t xml:space="preserve">的一站式全流程实施服务。</w:t>
            </w:r>
            <w:r/>
          </w:p>
          <w:p>
            <w:pPr>
              <w:ind w:firstLine="480"/>
              <w:spacing w:line="360" w:lineRule="auto"/>
              <w:widowControl/>
              <w:rPr>
                <w:rFonts w:ascii="宋体" w:hAnsi="宋体" w:cs="宋体"/>
                <w:sz w:val="22"/>
                <w:szCs w:val="24"/>
                <w:lang w:val="zh-CN"/>
              </w:rPr>
            </w:pPr>
            <w:r>
              <w:rPr>
                <w:rFonts w:hint="eastAsia" w:ascii="宋体" w:hAnsi="宋体" w:cs="宋体"/>
                <w:sz w:val="22"/>
                <w:szCs w:val="24"/>
                <w:lang w:val="zh-CN"/>
              </w:rPr>
              <w:t xml:space="preserve">组建固定项目组，配置</w:t>
            </w:r>
            <w:r>
              <w:rPr>
                <w:rFonts w:hint="eastAsia" w:ascii="宋体" w:hAnsi="宋体" w:cs="宋体"/>
                <w:sz w:val="22"/>
                <w:szCs w:val="24"/>
                <w:lang w:val="zh-CN"/>
              </w:rPr>
              <w:t xml:space="preserve">专职项目</w:t>
            </w:r>
            <w:r>
              <w:rPr>
                <w:rFonts w:hint="eastAsia" w:ascii="宋体" w:hAnsi="宋体" w:cs="宋体"/>
                <w:sz w:val="22"/>
                <w:szCs w:val="24"/>
                <w:lang w:val="zh-CN"/>
              </w:rPr>
              <w:t xml:space="preserve">经理、技术经理、开发工程师、驻场实施工程师等人员，人员不得随意更换。</w:t>
            </w:r>
            <w:r/>
          </w:p>
          <w:p>
            <w:pPr>
              <w:ind w:firstLine="480"/>
              <w:spacing w:line="360" w:lineRule="auto"/>
              <w:widowControl/>
              <w:rPr>
                <w:rFonts w:ascii="宋体" w:hAnsi="宋体" w:cs="宋体"/>
                <w:sz w:val="22"/>
                <w:szCs w:val="24"/>
                <w:lang w:val="zh-CN"/>
              </w:rPr>
            </w:pPr>
            <w:r>
              <w:rPr>
                <w:rFonts w:hint="eastAsia" w:ascii="宋体" w:hAnsi="宋体" w:cs="宋体"/>
                <w:sz w:val="22"/>
                <w:szCs w:val="24"/>
              </w:rPr>
              <w:t xml:space="preserve">每</w:t>
            </w:r>
            <w:r>
              <w:rPr>
                <w:rFonts w:hint="eastAsia" w:ascii="宋体" w:hAnsi="宋体" w:cs="宋体"/>
                <w:sz w:val="22"/>
                <w:szCs w:val="24"/>
                <w:lang w:val="zh-CN"/>
              </w:rPr>
              <w:t xml:space="preserve">周提交进度周报，每月提交月度实施总结，重大变更、故障、风险 24 小时内书面上报并提供处置方案。</w:t>
            </w:r>
            <w:r/>
          </w:p>
          <w:p>
            <w:pPr>
              <w:ind w:firstLine="480"/>
              <w:spacing w:line="360" w:lineRule="auto"/>
              <w:widowControl/>
              <w:rPr>
                <w:rFonts w:ascii="宋体" w:hAnsi="宋体" w:cs="宋体"/>
              </w:rPr>
            </w:pPr>
            <w:r>
              <w:rPr>
                <w:rFonts w:hint="eastAsia" w:ascii="宋体" w:hAnsi="宋体" w:cs="宋体"/>
                <w:sz w:val="22"/>
                <w:szCs w:val="24"/>
                <w:lang w:val="zh-CN"/>
              </w:rPr>
              <w:t xml:space="preserve">2027 年 6 月前完成全部改造、迁移、测试、试运行及验收</w:t>
            </w:r>
            <w:r>
              <w:rPr>
                <w:rFonts w:hint="eastAsia" w:ascii="宋体" w:hAnsi="宋体" w:cs="宋体"/>
                <w:sz w:val="22"/>
                <w:szCs w:val="24"/>
                <w:lang w:val="zh-CN"/>
              </w:rPr>
              <w:t xml:space="preserve">工作。</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2</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重点难点分析及解决策略要求</w:t>
            </w:r>
            <w:r/>
          </w:p>
        </w:tc>
        <w:tc>
          <w:tcPr>
            <w:tcW w:w="6634" w:type="dxa"/>
            <w:vAlign w:val="center"/>
            <w:textDirection w:val="lrTb"/>
            <w:noWrap w:val="false"/>
          </w:tcPr>
          <w:p>
            <w:pPr>
              <w:ind w:firstLine="480"/>
              <w:spacing w:line="360" w:lineRule="auto"/>
              <w:widowControl/>
              <w:rPr>
                <w:rFonts w:ascii="宋体" w:hAnsi="宋体" w:cs="宋体"/>
                <w:sz w:val="22"/>
                <w:szCs w:val="24"/>
              </w:rPr>
            </w:pPr>
            <w:r>
              <w:rPr>
                <w:rFonts w:hint="eastAsia" w:ascii="宋体" w:hAnsi="宋体" w:cs="宋体"/>
                <w:sz w:val="22"/>
                <w:szCs w:val="24"/>
                <w:lang w:val="zh-CN"/>
              </w:rPr>
              <w:t xml:space="preserve">项目实施服务过程中，</w:t>
            </w:r>
            <w:r>
              <w:rPr>
                <w:rFonts w:hint="eastAsia" w:ascii="宋体" w:hAnsi="宋体" w:cs="宋体"/>
                <w:sz w:val="22"/>
                <w:szCs w:val="24"/>
              </w:rPr>
              <w:t xml:space="preserve">充分</w:t>
            </w:r>
            <w:r>
              <w:rPr>
                <w:rFonts w:hint="eastAsia" w:ascii="宋体" w:hAnsi="宋体" w:cs="宋体"/>
                <w:sz w:val="22"/>
                <w:szCs w:val="24"/>
                <w:lang w:val="zh-CN"/>
              </w:rPr>
              <w:t xml:space="preserve">考虑业务需求，配置系统过程有很多重点和难点问题，</w:t>
            </w:r>
            <w:r>
              <w:rPr>
                <w:rFonts w:hint="eastAsia" w:ascii="宋体" w:hAnsi="宋体" w:cs="宋体"/>
                <w:sz w:val="22"/>
                <w:szCs w:val="24"/>
              </w:rPr>
              <w:t xml:space="preserve">针对项目实施过程中的重点难点问题，供应商需采取响应的应对措施，提供重点难点问题分析及解决策略</w:t>
            </w:r>
            <w:r>
              <w:rPr>
                <w:rFonts w:hint="eastAsia" w:ascii="宋体" w:hAnsi="宋体" w:cs="宋体"/>
                <w:sz w:val="22"/>
                <w:szCs w:val="24"/>
                <w:lang w:val="zh-CN"/>
              </w:rPr>
              <w:t xml:space="preserve">。</w:t>
            </w:r>
            <w:r/>
          </w:p>
          <w:p>
            <w:pPr>
              <w:ind w:firstLine="440"/>
              <w:spacing w:line="360" w:lineRule="auto"/>
              <w:widowControl/>
              <w:rPr>
                <w:rFonts w:ascii="宋体" w:hAnsi="宋体" w:cs="宋体"/>
              </w:rPr>
            </w:pPr>
            <w:r>
              <w:rPr>
                <w:rFonts w:hint="eastAsia" w:ascii="宋体" w:hAnsi="宋体" w:cs="宋体"/>
                <w:sz w:val="22"/>
                <w:szCs w:val="24"/>
              </w:rPr>
              <w:t xml:space="preserve">主动协调、积极配合，根据采购人的各类业务的实际情况，制订执行计划。</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3</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非税收入管理系统业务熟悉程度要求</w:t>
            </w:r>
            <w:r/>
          </w:p>
        </w:tc>
        <w:tc>
          <w:tcPr>
            <w:tcW w:w="6634" w:type="dxa"/>
            <w:vAlign w:val="center"/>
            <w:textDirection w:val="lrTb"/>
            <w:noWrap w:val="false"/>
          </w:tcPr>
          <w:p>
            <w:pPr>
              <w:pStyle w:val="1179"/>
              <w:ind w:firstLine="420"/>
              <w:jc w:val="both"/>
              <w:spacing w:line="360" w:lineRule="auto"/>
              <w:rPr>
                <w:rFonts w:hAnsi="宋体"/>
                <w:sz w:val="22"/>
                <w:szCs w:val="22"/>
              </w:rPr>
            </w:pPr>
            <w:r>
              <w:rPr>
                <w:rFonts w:hint="eastAsia" w:hAnsi="宋体"/>
                <w:sz w:val="22"/>
                <w:szCs w:val="22"/>
              </w:rPr>
              <w:t xml:space="preserve">编制查询报表，以及报表模板调整；</w:t>
            </w:r>
            <w:r/>
          </w:p>
          <w:p>
            <w:pPr>
              <w:pStyle w:val="1179"/>
              <w:ind w:firstLine="420"/>
              <w:jc w:val="both"/>
              <w:spacing w:line="360" w:lineRule="auto"/>
              <w:rPr>
                <w:rFonts w:hAnsi="宋体"/>
                <w:sz w:val="22"/>
                <w:szCs w:val="22"/>
              </w:rPr>
            </w:pPr>
            <w:r>
              <w:rPr>
                <w:rFonts w:hint="eastAsia" w:hAnsi="宋体"/>
                <w:sz w:val="22"/>
                <w:szCs w:val="22"/>
              </w:rPr>
              <w:t xml:space="preserve">对系统进行日常调整、配置工作，如配置系统参数、业务参数、凭单格式、打印设置、计算公式、视图和查询报表等；</w:t>
            </w:r>
            <w:r/>
          </w:p>
          <w:p>
            <w:pPr>
              <w:ind w:firstLine="440"/>
              <w:spacing w:line="360" w:lineRule="auto"/>
              <w:widowControl/>
              <w:rPr>
                <w:rFonts w:ascii="宋体" w:hAnsi="宋体" w:cs="宋体"/>
              </w:rPr>
            </w:pPr>
            <w:r>
              <w:rPr>
                <w:rFonts w:hint="eastAsia" w:ascii="宋体" w:hAnsi="宋体" w:cs="宋体"/>
                <w:sz w:val="22"/>
                <w:szCs w:val="22"/>
              </w:rPr>
              <w:t xml:space="preserve">协调系统开发人员进行版本升级、打补丁，调整中间件、插件等相关设置，排除系统运行中出现的故障等。</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4</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应急响应要求</w:t>
            </w:r>
            <w:r/>
          </w:p>
        </w:tc>
        <w:tc>
          <w:tcPr>
            <w:tcW w:w="6634" w:type="dxa"/>
            <w:vAlign w:val="center"/>
            <w:textDirection w:val="lrTb"/>
            <w:noWrap w:val="false"/>
          </w:tcPr>
          <w:p>
            <w:pPr>
              <w:ind w:firstLine="440"/>
              <w:jc w:val="left"/>
              <w:spacing w:line="360" w:lineRule="auto"/>
              <w:rPr>
                <w:rFonts w:ascii="宋体" w:hAnsi="宋体" w:cs="宋体"/>
                <w:sz w:val="22"/>
              </w:rPr>
            </w:pPr>
            <w:r>
              <w:rPr>
                <w:rFonts w:hint="eastAsia" w:ascii="宋体" w:hAnsi="宋体" w:cs="宋体"/>
                <w:sz w:val="22"/>
              </w:rPr>
              <w:t xml:space="preserve">（1）响应时间</w:t>
            </w:r>
            <w:r/>
          </w:p>
          <w:p>
            <w:pPr>
              <w:ind w:firstLine="440"/>
              <w:jc w:val="left"/>
              <w:spacing w:line="360" w:lineRule="auto"/>
              <w:rPr>
                <w:rFonts w:ascii="宋体" w:hAnsi="宋体" w:cs="宋体"/>
                <w:sz w:val="22"/>
              </w:rPr>
            </w:pPr>
            <w:r>
              <w:rPr>
                <w:rFonts w:hint="eastAsia" w:ascii="宋体" w:hAnsi="宋体" w:cs="宋体"/>
                <w:sz w:val="22"/>
              </w:rPr>
              <w:t xml:space="preserve">故障分级：一级紧急故障（资金 / 票据 / 接口全线中断）1 小时到场处置；二级严重故障 8 小时闭环；一般故障 2 小时响应修复。</w:t>
            </w:r>
            <w:r/>
          </w:p>
          <w:p>
            <w:pPr>
              <w:ind w:firstLine="420"/>
              <w:jc w:val="left"/>
              <w:spacing w:line="360" w:lineRule="auto"/>
              <w:rPr>
                <w:rFonts w:ascii="宋体" w:hAnsi="宋体" w:cs="宋体"/>
              </w:rPr>
            </w:pPr>
            <w:r>
              <w:rPr>
                <w:rFonts w:hint="eastAsia" w:ascii="宋体" w:hAnsi="宋体" w:cs="宋体"/>
              </w:rPr>
              <w:t xml:space="preserve">（2）响应处置报告</w:t>
            </w:r>
            <w:r/>
          </w:p>
          <w:p>
            <w:pPr>
              <w:ind w:firstLine="420"/>
              <w:jc w:val="left"/>
              <w:spacing w:line="360" w:lineRule="auto"/>
              <w:rPr>
                <w:rFonts w:ascii="宋体" w:hAnsi="宋体" w:cs="宋体"/>
                <w:sz w:val="22"/>
              </w:rPr>
            </w:pPr>
            <w:r>
              <w:rPr>
                <w:rFonts w:hint="eastAsia" w:ascii="宋体" w:hAnsi="宋体" w:cs="宋体"/>
              </w:rPr>
              <w:t xml:space="preserve">故障处理完成后，成交供应商需根据故障级别，提交当次故障响应处置报告，报告内容包含：故障级别、故障描述、故障发生及解决时间点、故障解决过程、处理结果、故障原因分析、总结等方面，财政方审核后备案。</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5</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系统对接要求</w:t>
            </w:r>
            <w:r/>
          </w:p>
        </w:tc>
        <w:tc>
          <w:tcPr>
            <w:tcW w:w="6634" w:type="dxa"/>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供应商须完成与江苏省统一公共支付平台、江苏省电子票据平台、省预算一体化系统、代理银行及国库系统的国产化接口改造与联调。</w:t>
            </w:r>
            <w:r/>
          </w:p>
          <w:p>
            <w:pPr>
              <w:ind w:firstLine="420"/>
              <w:jc w:val="left"/>
              <w:spacing w:line="360" w:lineRule="auto"/>
              <w:rPr>
                <w:rFonts w:ascii="宋体" w:hAnsi="宋体" w:cs="宋体"/>
              </w:rPr>
            </w:pPr>
            <w:r>
              <w:rPr>
                <w:rFonts w:hint="eastAsia" w:ascii="宋体" w:hAnsi="宋体" w:cs="宋体"/>
              </w:rPr>
              <w:t xml:space="preserve">公共支付平台适配缴款、退付、清分、缴库、对账六大业务接口，7×24 小时稳定连通；</w:t>
            </w:r>
            <w:r/>
          </w:p>
          <w:p>
            <w:pPr>
              <w:ind w:firstLine="420"/>
              <w:jc w:val="left"/>
              <w:spacing w:line="360" w:lineRule="auto"/>
              <w:rPr>
                <w:rFonts w:ascii="宋体" w:hAnsi="宋体" w:cs="宋体"/>
              </w:rPr>
            </w:pPr>
            <w:r>
              <w:rPr>
                <w:rFonts w:hint="eastAsia" w:ascii="宋体" w:hAnsi="宋体" w:cs="宋体"/>
              </w:rPr>
              <w:t xml:space="preserve">电子票据平台完成票据申请、库存分发、入库、查询全套接口改造，保障票据制样、赋码、开具、</w:t>
            </w:r>
            <w:r>
              <w:rPr>
                <w:rFonts w:hint="eastAsia" w:ascii="宋体" w:hAnsi="宋体" w:cs="宋体"/>
              </w:rPr>
              <w:t xml:space="preserve">查验全</w:t>
            </w:r>
            <w:r>
              <w:rPr>
                <w:rFonts w:hint="eastAsia" w:ascii="宋体" w:hAnsi="宋体" w:cs="宋体"/>
              </w:rPr>
              <w:t xml:space="preserve">业务；</w:t>
            </w:r>
            <w:r/>
          </w:p>
          <w:p>
            <w:pPr>
              <w:ind w:firstLine="420"/>
              <w:jc w:val="left"/>
              <w:spacing w:line="360" w:lineRule="auto"/>
              <w:rPr>
                <w:rFonts w:ascii="宋体" w:hAnsi="宋体" w:cs="宋体"/>
              </w:rPr>
            </w:pPr>
            <w:r>
              <w:rPr>
                <w:rFonts w:hint="eastAsia" w:ascii="宋体" w:hAnsi="宋体" w:cs="宋体"/>
              </w:rPr>
              <w:t xml:space="preserve">预算一体化系统适配基础信息发布、单位项目关联、过账 / </w:t>
            </w:r>
            <w:r>
              <w:rPr>
                <w:rFonts w:hint="eastAsia" w:ascii="宋体" w:hAnsi="宋体" w:cs="宋体"/>
              </w:rPr>
              <w:t xml:space="preserve">撤销全</w:t>
            </w:r>
            <w:r>
              <w:rPr>
                <w:rFonts w:hint="eastAsia" w:ascii="宋体" w:hAnsi="宋体" w:cs="宋体"/>
              </w:rPr>
              <w:t xml:space="preserve">接口，自动同步预算管控规则；</w:t>
            </w:r>
            <w:r/>
          </w:p>
          <w:p>
            <w:pPr>
              <w:ind w:firstLine="420"/>
              <w:jc w:val="left"/>
              <w:spacing w:line="360" w:lineRule="auto"/>
              <w:rPr>
                <w:rFonts w:ascii="宋体" w:hAnsi="宋体" w:cs="宋体"/>
              </w:rPr>
            </w:pPr>
            <w:r>
              <w:rPr>
                <w:rFonts w:hint="eastAsia" w:ascii="宋体" w:hAnsi="宋体" w:cs="宋体"/>
              </w:rPr>
              <w:t xml:space="preserve">代理银行、国库系统适配 SSL 加密传输，完成银行侧 IP 白名单备案。</w:t>
            </w:r>
            <w:r/>
          </w:p>
          <w:p>
            <w:pPr>
              <w:ind w:firstLine="420"/>
              <w:jc w:val="left"/>
              <w:spacing w:line="360" w:lineRule="auto"/>
              <w:rPr>
                <w:rFonts w:ascii="宋体" w:hAnsi="宋体" w:cs="宋体"/>
              </w:rPr>
            </w:pPr>
            <w:r>
              <w:rPr>
                <w:rFonts w:hint="eastAsia" w:ascii="宋体" w:hAnsi="宋体" w:cs="宋体"/>
              </w:rPr>
              <w:t xml:space="preserve">所有接口报文国密加密、动态 Token 认证，操作全程日志记录，支持异常实时告警、故障自动重试。</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6</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安全管理要求</w:t>
            </w:r>
            <w:r/>
          </w:p>
        </w:tc>
        <w:tc>
          <w:tcPr>
            <w:tcW w:w="6634" w:type="dxa"/>
            <w:vAlign w:val="center"/>
            <w:textDirection w:val="lrTb"/>
            <w:noWrap w:val="false"/>
          </w:tcPr>
          <w:p>
            <w:pPr>
              <w:ind w:firstLine="440"/>
              <w:spacing w:line="360" w:lineRule="auto"/>
              <w:widowControl/>
              <w:rPr>
                <w:rFonts w:ascii="宋体" w:hAnsi="宋体" w:cs="宋体"/>
                <w:sz w:val="22"/>
                <w:szCs w:val="24"/>
              </w:rPr>
            </w:pPr>
            <w:r>
              <w:rPr>
                <w:rFonts w:hint="eastAsia" w:ascii="宋体" w:hAnsi="宋体" w:cs="宋体"/>
                <w:sz w:val="22"/>
                <w:szCs w:val="24"/>
              </w:rPr>
              <w:t xml:space="preserve">（1）</w:t>
            </w:r>
            <w:r>
              <w:rPr>
                <w:rFonts w:hint="eastAsia" w:ascii="宋体" w:hAnsi="宋体" w:cs="宋体"/>
                <w:sz w:val="22"/>
                <w:szCs w:val="24"/>
              </w:rPr>
              <w:t xml:space="preserve">安全运维管理</w:t>
            </w:r>
            <w:r>
              <w:rPr>
                <w:rFonts w:hint="eastAsia" w:ascii="宋体" w:hAnsi="宋体" w:cs="宋体"/>
                <w:sz w:val="22"/>
                <w:szCs w:val="24"/>
              </w:rPr>
              <w:t xml:space="preserve">要求</w:t>
            </w:r>
            <w:r/>
          </w:p>
          <w:p>
            <w:pPr>
              <w:ind w:firstLine="440"/>
              <w:jc w:val="left"/>
              <w:spacing w:line="360" w:lineRule="auto"/>
              <w:rPr>
                <w:rFonts w:ascii="宋体" w:hAnsi="宋体" w:cs="宋体"/>
              </w:rPr>
            </w:pPr>
            <w:r>
              <w:rPr>
                <w:rFonts w:hint="eastAsia" w:ascii="宋体" w:hAnsi="宋体" w:cs="宋体"/>
                <w:sz w:val="22"/>
              </w:rPr>
              <w:t xml:space="preserve">每季度开展账号权限全面清查，回收闲置、超权限账号；系统管理员、审计员、操作员三账号分离，一人不得多岗兼任；每年至少 2 次全面网络安全自查、1 次完整应急演练、1 次全员安全培训，全部资料归档留存 1 年以上；配合采购人完成网络安全等级保护三级年度测评，承建方负责所有系统层面漏洞整改，承担测评整改全部成本；建立漏洞常态化扫描机制，每月开展应用、数据库、服务器漏洞扫描，高危漏洞 72 小时内修复。</w:t>
            </w:r>
            <w:r/>
          </w:p>
          <w:p>
            <w:pPr>
              <w:ind w:firstLine="480"/>
              <w:spacing w:line="360" w:lineRule="auto"/>
              <w:widowControl/>
              <w:rPr>
                <w:rFonts w:ascii="宋体" w:hAnsi="宋体" w:cs="宋体"/>
                <w:sz w:val="22"/>
                <w:szCs w:val="24"/>
              </w:rPr>
            </w:pPr>
            <w:r>
              <w:rPr>
                <w:rFonts w:hint="eastAsia" w:ascii="宋体" w:hAnsi="宋体" w:cs="宋体"/>
                <w:sz w:val="22"/>
                <w:szCs w:val="24"/>
              </w:rPr>
              <w:t xml:space="preserve">（2）技术安全防护要求</w:t>
            </w:r>
            <w:r/>
          </w:p>
          <w:p>
            <w:pPr>
              <w:ind w:firstLine="440"/>
              <w:jc w:val="left"/>
              <w:spacing w:line="360" w:lineRule="auto"/>
              <w:rPr>
                <w:rFonts w:ascii="宋体" w:hAnsi="宋体" w:cs="宋体"/>
                <w:sz w:val="22"/>
                <w:szCs w:val="24"/>
              </w:rPr>
            </w:pPr>
            <w:r>
              <w:rPr>
                <w:rFonts w:hint="eastAsia" w:ascii="宋体" w:hAnsi="宋体" w:cs="宋体"/>
                <w:bCs/>
                <w:sz w:val="22"/>
              </w:rPr>
              <w:t xml:space="preserve">主机安全：国产服务器启用安全基线，关闭高危端口，定期补丁更新，部署国产终端安全软件；操作系统账号强密码策略，操作日志独立存储不可删除；应用安全：全面修复 SQL 注入、XSS 跨站、目录遍历、弱口令漏洞；闲置 15 分钟自动登出，登录验证码、接口访问限流；文件</w:t>
            </w:r>
            <w:r>
              <w:rPr>
                <w:rFonts w:hint="eastAsia" w:ascii="宋体" w:hAnsi="宋体" w:cs="宋体"/>
                <w:bCs/>
                <w:sz w:val="22"/>
              </w:rPr>
              <w:t xml:space="preserve">上传白名单</w:t>
            </w:r>
            <w:r>
              <w:rPr>
                <w:rFonts w:hint="eastAsia" w:ascii="宋体" w:hAnsi="宋体" w:cs="宋体"/>
                <w:bCs/>
                <w:sz w:val="22"/>
              </w:rPr>
              <w:t xml:space="preserve">管控；数据安全：身份证、银行账号、缴款人姓名等敏感</w:t>
            </w:r>
            <w:r>
              <w:rPr>
                <w:rFonts w:hint="eastAsia" w:ascii="宋体" w:hAnsi="宋体" w:cs="宋体"/>
                <w:bCs/>
                <w:sz w:val="22"/>
              </w:rPr>
              <w:t xml:space="preserve">字段国密</w:t>
            </w:r>
            <w:r>
              <w:rPr>
                <w:rFonts w:hint="eastAsia" w:ascii="宋体" w:hAnsi="宋体" w:cs="宋体"/>
                <w:bCs/>
                <w:sz w:val="22"/>
              </w:rPr>
              <w:t xml:space="preserve"> SM4 加密存储，页面脱敏展示；数据导出增加线上审批流程，导出文件自动加密；数据库全量</w:t>
            </w:r>
            <w:r>
              <w:rPr>
                <w:rFonts w:hint="eastAsia" w:ascii="宋体" w:hAnsi="宋体" w:cs="宋体"/>
                <w:bCs/>
                <w:sz w:val="22"/>
              </w:rPr>
              <w:t xml:space="preserve">增删改查审计</w:t>
            </w:r>
            <w:r>
              <w:rPr>
                <w:rFonts w:hint="eastAsia" w:ascii="宋体" w:hAnsi="宋体" w:cs="宋体"/>
                <w:bCs/>
                <w:sz w:val="22"/>
              </w:rPr>
              <w:t xml:space="preserve">；传输安全：系统内部、外部接口全部采用 SSL 加密通道，</w:t>
            </w:r>
            <w:r>
              <w:rPr>
                <w:rFonts w:hint="eastAsia" w:ascii="宋体" w:hAnsi="宋体" w:cs="宋体"/>
                <w:bCs/>
                <w:sz w:val="22"/>
              </w:rPr>
              <w:t xml:space="preserve">使用国密算法</w:t>
            </w:r>
            <w:r>
              <w:rPr>
                <w:rFonts w:hint="eastAsia" w:ascii="宋体" w:hAnsi="宋体" w:cs="宋体"/>
                <w:bCs/>
                <w:sz w:val="22"/>
              </w:rPr>
              <w:t xml:space="preserve">完成报文签名验签；接口访问绑定 IP 白名单、动态 Token 认证；密码合</w:t>
            </w:r>
            <w:r>
              <w:rPr>
                <w:rFonts w:hint="eastAsia" w:ascii="宋体" w:hAnsi="宋体" w:cs="宋体"/>
                <w:bCs/>
                <w:sz w:val="22"/>
              </w:rPr>
              <w:t xml:space="preserve">规</w:t>
            </w:r>
            <w:r>
              <w:rPr>
                <w:rFonts w:hint="eastAsia" w:ascii="宋体" w:hAnsi="宋体" w:cs="宋体"/>
                <w:bCs/>
                <w:sz w:val="22"/>
              </w:rPr>
              <w:t xml:space="preserve">：</w:t>
            </w:r>
            <w:r>
              <w:rPr>
                <w:rFonts w:hint="eastAsia" w:ascii="宋体" w:hAnsi="宋体" w:cs="宋体"/>
                <w:bCs/>
                <w:sz w:val="22"/>
              </w:rPr>
              <w:t xml:space="preserve">全业务链路集成国密</w:t>
            </w:r>
            <w:r>
              <w:rPr>
                <w:rFonts w:hint="eastAsia" w:ascii="宋体" w:hAnsi="宋体" w:cs="宋体"/>
                <w:bCs/>
                <w:sz w:val="22"/>
              </w:rPr>
              <w:t xml:space="preserve"> SM2/SM3/SM4 算法，完成密码应用安全性评估，按照测评意见完成全部整改；网络安全：防</w:t>
            </w:r>
            <w:r>
              <w:rPr>
                <w:rFonts w:hint="eastAsia" w:ascii="宋体" w:hAnsi="宋体" w:cs="宋体"/>
                <w:sz w:val="22"/>
              </w:rPr>
              <w:t xml:space="preserve">火墙精细化端口策略，部署国产 IDS 入侵检测系统，全程审计内外网访问流量，系统不直接暴露外网。</w:t>
            </w:r>
            <w:r/>
          </w:p>
          <w:p>
            <w:pPr>
              <w:ind w:firstLine="480"/>
              <w:spacing w:line="360" w:lineRule="auto"/>
              <w:widowControl/>
              <w:rPr>
                <w:rFonts w:ascii="宋体" w:hAnsi="宋体" w:cs="宋体"/>
                <w:sz w:val="22"/>
                <w:szCs w:val="24"/>
              </w:rPr>
            </w:pPr>
            <w:r>
              <w:rPr>
                <w:rFonts w:hint="eastAsia" w:ascii="宋体" w:hAnsi="宋体" w:cs="宋体"/>
                <w:sz w:val="22"/>
                <w:szCs w:val="24"/>
              </w:rPr>
              <w:t xml:space="preserve">（3）信息保密要求</w:t>
            </w:r>
            <w:r/>
          </w:p>
          <w:p>
            <w:pPr>
              <w:ind w:firstLine="480"/>
              <w:spacing w:line="360" w:lineRule="auto"/>
              <w:widowControl/>
              <w:rPr>
                <w:rFonts w:ascii="宋体" w:hAnsi="宋体" w:cs="宋体"/>
              </w:rPr>
            </w:pPr>
            <w:r>
              <w:rPr>
                <w:rFonts w:hint="eastAsia" w:ascii="宋体" w:hAnsi="宋体" w:cs="宋体"/>
                <w:sz w:val="22"/>
                <w:szCs w:val="24"/>
              </w:rPr>
              <w:t xml:space="preserve">成交供应商承诺对采购人提供的内部资料、数据和信息予以保密。未经采购人书面许可，不许以任何形式向第三方透露。成交供应商应与驻场运维服务人员签订保密协议，督促运维服务人员严格遵守保密规定。</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7</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运维服务要求</w:t>
            </w:r>
            <w:r/>
          </w:p>
          <w:p>
            <w:pPr>
              <w:jc w:val="center"/>
              <w:spacing w:before="120" w:line="360" w:lineRule="auto"/>
              <w:rPr>
                <w:rFonts w:ascii="宋体" w:hAnsi="宋体" w:cs="宋体"/>
                <w:sz w:val="22"/>
                <w:szCs w:val="22"/>
              </w:rPr>
            </w:pPr>
            <w:r>
              <w:rPr>
                <w:rFonts w:ascii="宋体" w:hAnsi="宋体" w:cs="宋体"/>
                <w:sz w:val="22"/>
                <w:szCs w:val="22"/>
              </w:rPr>
            </w:r>
            <w:r/>
          </w:p>
        </w:tc>
        <w:tc>
          <w:tcPr>
            <w:tcW w:w="6634" w:type="dxa"/>
            <w:vAlign w:val="center"/>
            <w:textDirection w:val="lrTb"/>
            <w:noWrap w:val="false"/>
          </w:tcPr>
          <w:p>
            <w:pPr>
              <w:ind w:firstLine="440"/>
              <w:jc w:val="left"/>
              <w:spacing w:after="120" w:line="360" w:lineRule="auto"/>
              <w:rPr>
                <w:rFonts w:ascii="宋体" w:hAnsi="宋体" w:cs="宋体"/>
                <w:bCs/>
              </w:rPr>
            </w:pPr>
            <w:r>
              <w:rPr>
                <w:rFonts w:hint="eastAsia" w:ascii="宋体" w:hAnsi="宋体" w:cs="宋体"/>
                <w:bCs/>
                <w:sz w:val="22"/>
              </w:rPr>
              <w:t xml:space="preserve">（1）项目实施、试运行阶段全程派驻专职工程师驻财政局办公；</w:t>
            </w:r>
            <w:r>
              <w:rPr>
                <w:rFonts w:hint="eastAsia" w:ascii="宋体" w:hAnsi="宋体" w:cs="宋体"/>
                <w:bCs/>
                <w:sz w:val="22"/>
              </w:rPr>
              <w:t xml:space="preserve">运维</w:t>
            </w:r>
            <w:r>
              <w:rPr>
                <w:rFonts w:hint="eastAsia" w:ascii="宋体" w:hAnsi="宋体" w:cs="宋体"/>
                <w:bCs/>
                <w:sz w:val="22"/>
              </w:rPr>
              <w:t xml:space="preserve">期内工作日提供驻场技术支撑，高峰期（收费旺季、年度结算）7×24 现场值守。</w:t>
            </w:r>
            <w:r/>
          </w:p>
          <w:p>
            <w:pPr>
              <w:ind w:firstLine="440"/>
              <w:jc w:val="left"/>
              <w:spacing w:after="120" w:line="360" w:lineRule="auto"/>
              <w:rPr>
                <w:rFonts w:ascii="宋体" w:hAnsi="宋体" w:cs="宋体"/>
              </w:rPr>
            </w:pPr>
            <w:r>
              <w:rPr>
                <w:rFonts w:hint="eastAsia" w:ascii="宋体" w:hAnsi="宋体" w:cs="宋体"/>
                <w:bCs/>
                <w:sz w:val="22"/>
              </w:rPr>
              <w:t xml:space="preserve">（2）</w:t>
            </w:r>
            <w:r>
              <w:rPr>
                <w:rFonts w:hint="eastAsia" w:ascii="宋体" w:hAnsi="宋体" w:cs="宋体"/>
                <w:bCs/>
                <w:sz w:val="22"/>
              </w:rPr>
              <w:t xml:space="preserve">常态化运维</w:t>
            </w:r>
            <w:r>
              <w:rPr>
                <w:rFonts w:hint="eastAsia" w:ascii="宋体" w:hAnsi="宋体" w:cs="宋体"/>
                <w:bCs/>
                <w:sz w:val="22"/>
              </w:rPr>
              <w:t xml:space="preserve">工作：</w:t>
            </w:r>
            <w:r>
              <w:rPr>
                <w:rFonts w:hint="eastAsia" w:ascii="宋体" w:hAnsi="宋体" w:cs="宋体"/>
                <w:sz w:val="22"/>
              </w:rPr>
              <w:t xml:space="preserve">每月系统巡检、数据库性能优化、日志审计、漏洞扫描；定期备份校验，配合审计、上级检查提供数据</w:t>
            </w:r>
            <w:r>
              <w:rPr>
                <w:rFonts w:hint="eastAsia" w:ascii="宋体" w:hAnsi="宋体" w:cs="宋体"/>
                <w:sz w:val="22"/>
              </w:rPr>
              <w:t xml:space="preserve">支撑；持续优化国产软硬件兼容性问题。</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8</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培训要求</w:t>
            </w:r>
            <w:r/>
          </w:p>
        </w:tc>
        <w:tc>
          <w:tcPr>
            <w:tcW w:w="6634" w:type="dxa"/>
            <w:vAlign w:val="center"/>
            <w:textDirection w:val="lrTb"/>
            <w:noWrap w:val="false"/>
          </w:tcPr>
          <w:p>
            <w:pPr>
              <w:ind w:firstLine="440"/>
              <w:jc w:val="left"/>
              <w:spacing w:before="120" w:after="120" w:line="360" w:lineRule="auto"/>
              <w:rPr>
                <w:rFonts w:ascii="宋体" w:hAnsi="宋体" w:cs="宋体"/>
              </w:rPr>
            </w:pPr>
            <w:r>
              <w:rPr>
                <w:rFonts w:hint="eastAsia" w:ascii="宋体" w:hAnsi="宋体" w:cs="宋体"/>
                <w:sz w:val="22"/>
              </w:rPr>
              <w:t xml:space="preserve">培训要求覆盖财政局信息中心、非税业务科室、全县所有机关 / 学校 / 医院 / 乡镇执收单位、代理银行对接人员，培训配套完整课件、实操视频。</w:t>
            </w:r>
            <w:r/>
          </w:p>
        </w:tc>
      </w:tr>
      <w:tr>
        <w:trPr/>
        <w:tc>
          <w:tcPr>
            <w:tcW w:w="661" w:type="dxa"/>
            <w:vAlign w:val="center"/>
            <w:textDirection w:val="lrTb"/>
            <w:noWrap w:val="false"/>
          </w:tcPr>
          <w:p>
            <w:pPr>
              <w:pStyle w:val="921"/>
              <w:ind w:left="0"/>
              <w:jc w:val="center"/>
              <w:spacing w:before="120"/>
              <w:rPr>
                <w:rFonts w:ascii="宋体" w:hAnsi="宋体" w:cs="宋体"/>
              </w:rPr>
            </w:pPr>
            <w:r>
              <w:rPr>
                <w:rFonts w:hint="eastAsia" w:ascii="宋体" w:hAnsi="宋体" w:cs="宋体"/>
              </w:rPr>
              <w:t xml:space="preserve">9</w:t>
            </w:r>
            <w:r/>
          </w:p>
        </w:tc>
        <w:tc>
          <w:tcPr>
            <w:tcW w:w="1227" w:type="dxa"/>
            <w:vAlign w:val="center"/>
            <w:textDirection w:val="lrTb"/>
            <w:noWrap w:val="false"/>
          </w:tcPr>
          <w:p>
            <w:pPr>
              <w:jc w:val="center"/>
              <w:spacing w:before="120" w:line="360" w:lineRule="auto"/>
              <w:rPr>
                <w:rFonts w:ascii="宋体" w:hAnsi="宋体" w:cs="宋体"/>
                <w:sz w:val="22"/>
                <w:szCs w:val="22"/>
              </w:rPr>
            </w:pPr>
            <w:r>
              <w:rPr>
                <w:rFonts w:hint="eastAsia" w:ascii="宋体" w:hAnsi="宋体" w:cs="宋体"/>
                <w:sz w:val="22"/>
                <w:szCs w:val="22"/>
              </w:rPr>
              <w:t xml:space="preserve">验收要求</w:t>
            </w:r>
            <w:r/>
          </w:p>
        </w:tc>
        <w:tc>
          <w:tcPr>
            <w:tcW w:w="6634" w:type="dxa"/>
            <w:vAlign w:val="center"/>
            <w:textDirection w:val="lrTb"/>
            <w:noWrap w:val="false"/>
          </w:tcPr>
          <w:p>
            <w:pPr>
              <w:spacing w:line="360" w:lineRule="auto"/>
              <w:rPr>
                <w:rFonts w:ascii="宋体" w:hAnsi="宋体" w:cs="宋体"/>
                <w:color w:val="000000"/>
                <w:sz w:val="22"/>
                <w:szCs w:val="22"/>
              </w:rPr>
            </w:pPr>
            <w:r>
              <w:rPr>
                <w:rFonts w:hint="eastAsia" w:ascii="宋体" w:hAnsi="宋体" w:cs="宋体"/>
                <w:color w:val="000000"/>
                <w:sz w:val="22"/>
                <w:szCs w:val="22"/>
              </w:rPr>
              <w:t xml:space="preserve">（1）功能验收：所有模块功能全部实现，满足本采购需求全部条款。</w:t>
            </w:r>
            <w:r/>
          </w:p>
          <w:p>
            <w:pPr>
              <w:spacing w:line="360" w:lineRule="auto"/>
              <w:rPr>
                <w:rFonts w:ascii="宋体" w:hAnsi="宋体" w:cs="宋体"/>
                <w:color w:val="000000"/>
                <w:sz w:val="22"/>
                <w:szCs w:val="22"/>
              </w:rPr>
            </w:pPr>
            <w:r>
              <w:rPr>
                <w:rFonts w:hint="eastAsia" w:ascii="宋体" w:hAnsi="宋体" w:cs="宋体"/>
                <w:color w:val="000000"/>
                <w:sz w:val="22"/>
                <w:szCs w:val="22"/>
              </w:rPr>
              <w:t xml:space="preserve">（2）数据验收：历史数据完整、准确、可正常查询、导出。</w:t>
            </w:r>
            <w:r/>
          </w:p>
          <w:p>
            <w:pPr>
              <w:spacing w:line="360" w:lineRule="auto"/>
              <w:rPr>
                <w:rFonts w:ascii="宋体" w:hAnsi="宋体" w:cs="宋体"/>
                <w:color w:val="000000"/>
                <w:sz w:val="22"/>
                <w:szCs w:val="22"/>
              </w:rPr>
            </w:pPr>
            <w:r>
              <w:rPr>
                <w:rFonts w:hint="eastAsia" w:ascii="宋体" w:hAnsi="宋体" w:cs="宋体"/>
                <w:color w:val="000000"/>
                <w:sz w:val="22"/>
                <w:szCs w:val="22"/>
              </w:rPr>
              <w:t xml:space="preserve">（3）适配验收：Windows终端可正常访问。</w:t>
            </w:r>
            <w:r/>
          </w:p>
          <w:p>
            <w:pPr>
              <w:spacing w:line="360" w:lineRule="auto"/>
              <w:rPr>
                <w:rFonts w:ascii="宋体" w:hAnsi="宋体" w:cs="宋体"/>
                <w:color w:val="000000"/>
                <w:sz w:val="22"/>
                <w:szCs w:val="22"/>
              </w:rPr>
            </w:pPr>
            <w:r>
              <w:rPr>
                <w:rFonts w:hint="eastAsia" w:ascii="宋体" w:hAnsi="宋体" w:cs="宋体"/>
                <w:color w:val="000000"/>
                <w:sz w:val="22"/>
                <w:szCs w:val="22"/>
              </w:rPr>
              <w:t xml:space="preserve">（4）安全验收：权限管控有效，日志完整，数据安全可控。</w:t>
            </w:r>
            <w:r/>
          </w:p>
          <w:p>
            <w:pPr>
              <w:spacing w:line="360" w:lineRule="auto"/>
              <w:rPr>
                <w:rFonts w:ascii="宋体" w:hAnsi="宋体" w:cs="宋体"/>
                <w:color w:val="000000"/>
                <w:sz w:val="22"/>
                <w:szCs w:val="22"/>
              </w:rPr>
            </w:pPr>
            <w:r>
              <w:rPr>
                <w:rFonts w:hint="eastAsia" w:ascii="宋体" w:hAnsi="宋体" w:cs="宋体"/>
                <w:color w:val="000000"/>
                <w:sz w:val="22"/>
                <w:szCs w:val="22"/>
              </w:rPr>
              <w:t xml:space="preserve">（5）文档验收：交付资料齐全、规范、可归档。</w:t>
            </w:r>
            <w:r/>
          </w:p>
          <w:p>
            <w:pPr>
              <w:spacing w:line="360" w:lineRule="auto"/>
              <w:rPr>
                <w:rFonts w:ascii="宋体" w:hAnsi="宋体" w:cs="宋体"/>
              </w:rPr>
            </w:pPr>
            <w:r>
              <w:rPr>
                <w:rFonts w:hint="eastAsia" w:ascii="宋体" w:hAnsi="宋体" w:cs="宋体"/>
                <w:color w:val="000000"/>
                <w:sz w:val="22"/>
                <w:szCs w:val="22"/>
              </w:rPr>
              <w:t xml:space="preserve">（6）试运行验收：系统连续稳定试运行不少于 30个工作日，无重大故障。</w:t>
            </w:r>
            <w:r/>
          </w:p>
        </w:tc>
      </w:tr>
    </w:tbl>
    <w:p>
      <w:pPr>
        <w:jc w:val="left"/>
        <w:spacing w:before="240" w:after="120" w:line="360" w:lineRule="auto"/>
        <w:rPr>
          <w:rFonts w:ascii="宋体" w:hAnsi="宋体" w:cs="宋体"/>
        </w:rPr>
        <w:outlineLvl w:val="1"/>
      </w:pPr>
      <w:r/>
      <w:bookmarkStart w:id="200" w:name="heading_5"/>
      <w:r>
        <w:rPr>
          <w:rFonts w:hint="eastAsia" w:ascii="宋体" w:hAnsi="宋体" w:cs="宋体"/>
          <w:b/>
          <w:sz w:val="32"/>
        </w:rPr>
        <w:t xml:space="preserve">3 采购内容及总体要求</w:t>
      </w:r>
      <w:bookmarkEnd w:id="200"/>
      <w:r/>
      <w:r/>
    </w:p>
    <w:p>
      <w:pPr>
        <w:jc w:val="left"/>
        <w:spacing w:after="120" w:line="360" w:lineRule="auto"/>
        <w:rPr>
          <w:rFonts w:ascii="宋体" w:hAnsi="宋体" w:cs="宋体"/>
        </w:rPr>
        <w:outlineLvl w:val="2"/>
      </w:pPr>
      <w:r/>
      <w:bookmarkStart w:id="201" w:name="heading_6"/>
      <w:r>
        <w:rPr>
          <w:rFonts w:hint="eastAsia" w:ascii="宋体" w:hAnsi="宋体" w:cs="宋体"/>
          <w:b/>
          <w:sz w:val="30"/>
        </w:rPr>
        <w:t xml:space="preserve">3.1 采购内容范围</w:t>
      </w:r>
      <w:bookmarkEnd w:id="201"/>
      <w:r/>
      <w:r/>
    </w:p>
    <w:p>
      <w:pPr>
        <w:jc w:val="left"/>
        <w:spacing w:after="120" w:line="360" w:lineRule="auto"/>
        <w:rPr>
          <w:rFonts w:ascii="宋体" w:hAnsi="宋体" w:cs="宋体"/>
        </w:rPr>
      </w:pPr>
      <w:r>
        <w:rPr>
          <w:rFonts w:hint="eastAsia" w:ascii="宋体" w:hAnsi="宋体" w:cs="宋体"/>
          <w:sz w:val="22"/>
        </w:rPr>
        <w:t xml:space="preserve">供应商须提供</w:t>
      </w:r>
      <w:r>
        <w:rPr>
          <w:rFonts w:hint="eastAsia" w:ascii="宋体" w:hAnsi="宋体" w:cs="宋体"/>
          <w:sz w:val="22"/>
        </w:rPr>
        <w:t xml:space="preserve">一站式全流程整体解决方案，</w:t>
      </w:r>
      <w:r>
        <w:rPr>
          <w:rFonts w:hint="eastAsia" w:ascii="宋体" w:hAnsi="宋体" w:cs="宋体"/>
          <w:sz w:val="22"/>
        </w:rPr>
        <w:t xml:space="preserve">覆盖需求调研、系统国产化改造、异构数据迁移、外部系统接口适配、安全加固、软硬件部署、全场景测试、分层培训、驻场运维、第三方测评配合、项目验收全链条服务，采购内容包含：</w:t>
      </w:r>
      <w:bookmarkStart w:id="202" w:name="_GoBack"/>
      <w:r/>
      <w:bookmarkEnd w:id="202"/>
      <w:r/>
      <w:r/>
    </w:p>
    <w:p>
      <w:pPr>
        <w:numPr>
          <w:ilvl w:val="0"/>
          <w:numId w:val="6"/>
        </w:numPr>
        <w:jc w:val="left"/>
        <w:spacing w:after="120" w:line="360" w:lineRule="auto"/>
        <w:rPr>
          <w:rFonts w:ascii="宋体" w:hAnsi="宋体" w:cs="宋体"/>
        </w:rPr>
      </w:pPr>
      <w:r>
        <w:rPr>
          <w:rFonts w:hint="eastAsia" w:ascii="宋体" w:hAnsi="宋体" w:cs="宋体"/>
          <w:sz w:val="22"/>
        </w:rPr>
        <w:t xml:space="preserve">非税系统服务端全</w:t>
      </w:r>
      <w:r>
        <w:rPr>
          <w:rFonts w:hint="eastAsia" w:ascii="宋体" w:hAnsi="宋体" w:cs="宋体"/>
          <w:sz w:val="22"/>
        </w:rPr>
        <w:t xml:space="preserve">栈</w:t>
      </w:r>
      <w:r>
        <w:rPr>
          <w:rFonts w:hint="eastAsia" w:ascii="宋体" w:hAnsi="宋体" w:cs="宋体"/>
          <w:sz w:val="22"/>
        </w:rPr>
        <w:t xml:space="preserve">国产化适配改造；</w:t>
      </w:r>
      <w:r/>
    </w:p>
    <w:p>
      <w:pPr>
        <w:numPr>
          <w:ilvl w:val="0"/>
          <w:numId w:val="6"/>
        </w:numPr>
        <w:jc w:val="left"/>
        <w:spacing w:after="120" w:line="360" w:lineRule="auto"/>
        <w:rPr>
          <w:rFonts w:ascii="宋体" w:hAnsi="宋体" w:cs="宋体"/>
        </w:rPr>
      </w:pPr>
      <w:r>
        <w:rPr>
          <w:rFonts w:hint="eastAsia" w:ascii="宋体" w:hAnsi="宋体" w:cs="宋体"/>
          <w:sz w:val="22"/>
        </w:rPr>
        <w:t xml:space="preserve">客户端国产终端、浏览器、CA/Ukey、打印机适配开发；</w:t>
      </w:r>
      <w:r/>
    </w:p>
    <w:p>
      <w:pPr>
        <w:numPr>
          <w:ilvl w:val="0"/>
          <w:numId w:val="6"/>
        </w:numPr>
        <w:jc w:val="left"/>
        <w:spacing w:after="120" w:line="360" w:lineRule="auto"/>
        <w:rPr>
          <w:rFonts w:ascii="宋体" w:hAnsi="宋体" w:cs="宋体"/>
        </w:rPr>
      </w:pPr>
      <w:r>
        <w:rPr>
          <w:rFonts w:hint="eastAsia" w:ascii="宋体" w:hAnsi="宋体" w:cs="宋体"/>
          <w:sz w:val="22"/>
        </w:rPr>
        <w:t xml:space="preserve">原 Oracle 数据库向国产数据库全量数据迁移、数据清洗治理；</w:t>
      </w:r>
      <w:r/>
    </w:p>
    <w:p>
      <w:pPr>
        <w:numPr>
          <w:ilvl w:val="0"/>
          <w:numId w:val="6"/>
        </w:numPr>
        <w:jc w:val="left"/>
        <w:spacing w:after="120" w:line="360" w:lineRule="auto"/>
        <w:rPr>
          <w:rFonts w:ascii="宋体" w:hAnsi="宋体" w:cs="宋体"/>
        </w:rPr>
      </w:pPr>
      <w:r>
        <w:rPr>
          <w:rFonts w:hint="eastAsia" w:ascii="宋体" w:hAnsi="宋体" w:cs="宋体"/>
          <w:sz w:val="22"/>
        </w:rPr>
        <w:t xml:space="preserve">省级三大平台（公共支付、电子票据、预算一体化）国产化接口改造与联调；</w:t>
      </w:r>
      <w:r/>
    </w:p>
    <w:p>
      <w:pPr>
        <w:numPr>
          <w:ilvl w:val="0"/>
          <w:numId w:val="6"/>
        </w:numPr>
        <w:jc w:val="left"/>
        <w:spacing w:after="120" w:line="360" w:lineRule="auto"/>
        <w:rPr>
          <w:rFonts w:ascii="宋体" w:hAnsi="宋体" w:cs="宋体"/>
        </w:rPr>
      </w:pPr>
      <w:r>
        <w:rPr>
          <w:rFonts w:hint="eastAsia" w:ascii="宋体" w:hAnsi="宋体" w:cs="宋体"/>
          <w:sz w:val="22"/>
        </w:rPr>
        <w:t xml:space="preserve">系统安全改造、国密加密集成、</w:t>
      </w:r>
      <w:r>
        <w:rPr>
          <w:rFonts w:hint="eastAsia" w:ascii="宋体" w:hAnsi="宋体" w:cs="宋体"/>
          <w:sz w:val="22"/>
        </w:rPr>
        <w:t xml:space="preserve">等保三级</w:t>
      </w:r>
      <w:r>
        <w:rPr>
          <w:rFonts w:hint="eastAsia" w:ascii="宋体" w:hAnsi="宋体" w:cs="宋体"/>
          <w:sz w:val="22"/>
        </w:rPr>
        <w:t xml:space="preserve"> / 密码测评整改；</w:t>
      </w:r>
      <w:r/>
    </w:p>
    <w:p>
      <w:pPr>
        <w:numPr>
          <w:ilvl w:val="0"/>
          <w:numId w:val="6"/>
        </w:numPr>
        <w:jc w:val="left"/>
        <w:spacing w:after="120" w:line="360" w:lineRule="auto"/>
        <w:rPr>
          <w:rFonts w:ascii="宋体" w:hAnsi="宋体" w:cs="宋体"/>
        </w:rPr>
      </w:pPr>
      <w:r>
        <w:rPr>
          <w:rFonts w:hint="eastAsia" w:ascii="宋体" w:hAnsi="宋体" w:cs="宋体"/>
          <w:sz w:val="22"/>
        </w:rPr>
        <w:t xml:space="preserve">全套项目技术文档、操作手册、运</w:t>
      </w:r>
      <w:r>
        <w:rPr>
          <w:rFonts w:hint="eastAsia" w:ascii="宋体" w:hAnsi="宋体" w:cs="宋体"/>
          <w:sz w:val="22"/>
        </w:rPr>
        <w:t xml:space="preserve">维工具</w:t>
      </w:r>
      <w:r>
        <w:rPr>
          <w:rFonts w:hint="eastAsia" w:ascii="宋体" w:hAnsi="宋体" w:cs="宋体"/>
          <w:sz w:val="22"/>
        </w:rPr>
        <w:t xml:space="preserve">交付；</w:t>
      </w:r>
      <w:r/>
    </w:p>
    <w:p>
      <w:pPr>
        <w:numPr>
          <w:ilvl w:val="0"/>
          <w:numId w:val="6"/>
        </w:numPr>
        <w:jc w:val="left"/>
        <w:spacing w:after="120" w:line="360" w:lineRule="auto"/>
        <w:rPr>
          <w:rFonts w:ascii="宋体" w:hAnsi="宋体" w:cs="宋体"/>
        </w:rPr>
      </w:pPr>
      <w:r>
        <w:rPr>
          <w:rFonts w:hint="eastAsia" w:ascii="宋体" w:hAnsi="宋体" w:cs="宋体"/>
          <w:sz w:val="22"/>
        </w:rPr>
        <w:t xml:space="preserve">分层业务培训、驻场实施与运维服务；</w:t>
      </w:r>
      <w:r/>
    </w:p>
    <w:p>
      <w:pPr>
        <w:numPr>
          <w:ilvl w:val="0"/>
          <w:numId w:val="6"/>
        </w:numPr>
        <w:jc w:val="left"/>
        <w:spacing w:after="120" w:line="360" w:lineRule="auto"/>
        <w:rPr>
          <w:rFonts w:ascii="宋体" w:hAnsi="宋体" w:cs="宋体"/>
        </w:rPr>
      </w:pPr>
      <w:r>
        <w:rPr>
          <w:rFonts w:hint="eastAsia" w:ascii="宋体" w:hAnsi="宋体" w:cs="宋体"/>
          <w:sz w:val="22"/>
        </w:rPr>
        <w:t xml:space="preserve">新旧系统并行割接、过渡期应急保障。</w:t>
      </w:r>
      <w:r/>
    </w:p>
    <w:p>
      <w:pPr>
        <w:jc w:val="left"/>
        <w:spacing w:after="120" w:line="360" w:lineRule="auto"/>
        <w:rPr>
          <w:rFonts w:ascii="宋体" w:hAnsi="宋体" w:cs="宋体"/>
        </w:rPr>
        <w:outlineLvl w:val="2"/>
      </w:pPr>
      <w:r/>
      <w:bookmarkStart w:id="203" w:name="heading_7"/>
      <w:r>
        <w:rPr>
          <w:rFonts w:hint="eastAsia" w:ascii="宋体" w:hAnsi="宋体" w:cs="宋体"/>
          <w:b/>
          <w:sz w:val="30"/>
        </w:rPr>
        <w:t xml:space="preserve">3.2 总体建设要求</w:t>
      </w:r>
      <w:bookmarkEnd w:id="203"/>
      <w:r/>
      <w:r/>
    </w:p>
    <w:p>
      <w:pPr>
        <w:numPr>
          <w:ilvl w:val="0"/>
          <w:numId w:val="7"/>
        </w:numPr>
        <w:jc w:val="left"/>
        <w:spacing w:after="120" w:line="360" w:lineRule="auto"/>
        <w:tabs>
          <w:tab w:val="clear" w:pos="420" w:leader="none"/>
        </w:tabs>
        <w:rPr>
          <w:rFonts w:ascii="宋体" w:hAnsi="宋体" w:cs="宋体"/>
        </w:rPr>
      </w:pPr>
      <w:r>
        <w:rPr>
          <w:rFonts w:hint="eastAsia" w:ascii="宋体" w:hAnsi="宋体" w:cs="宋体"/>
          <w:b/>
          <w:sz w:val="22"/>
        </w:rPr>
        <w:t xml:space="preserve">全</w:t>
      </w:r>
      <w:r>
        <w:rPr>
          <w:rFonts w:hint="eastAsia" w:ascii="宋体" w:hAnsi="宋体" w:cs="宋体"/>
          <w:b/>
          <w:sz w:val="22"/>
        </w:rPr>
        <w:t xml:space="preserve">栈信创</w:t>
      </w:r>
      <w:r>
        <w:rPr>
          <w:rFonts w:hint="eastAsia" w:ascii="宋体" w:hAnsi="宋体" w:cs="宋体"/>
          <w:b/>
          <w:sz w:val="22"/>
        </w:rPr>
        <w:t xml:space="preserve">适配</w:t>
      </w:r>
      <w:r>
        <w:rPr>
          <w:rFonts w:hint="eastAsia" w:ascii="宋体" w:hAnsi="宋体" w:cs="宋体"/>
          <w:sz w:val="22"/>
        </w:rPr>
        <w:t xml:space="preserve">：系统需完成服务器 CPU、服务器操作系统、数据库、中间件、JDK、</w:t>
      </w:r>
      <w:r>
        <w:rPr>
          <w:rFonts w:hint="eastAsia" w:ascii="宋体" w:hAnsi="宋体" w:cs="宋体"/>
          <w:sz w:val="22"/>
        </w:rPr>
        <w:t xml:space="preserve">客户端操作系统、客户端浏览器、安全硬件（Ukey/CA）、打印外设全链条国产化兼容，同时兼容原有 Windows 终端，新旧终端并行可用，性能不低于改造前。</w:t>
      </w:r>
      <w:r/>
    </w:p>
    <w:p>
      <w:pPr>
        <w:numPr>
          <w:ilvl w:val="0"/>
          <w:numId w:val="7"/>
        </w:numPr>
        <w:jc w:val="left"/>
        <w:spacing w:after="120" w:line="360" w:lineRule="auto"/>
        <w:tabs>
          <w:tab w:val="clear" w:pos="420" w:leader="none"/>
        </w:tabs>
        <w:rPr>
          <w:rFonts w:ascii="宋体" w:hAnsi="宋体" w:cs="宋体"/>
        </w:rPr>
      </w:pPr>
      <w:r>
        <w:rPr>
          <w:rFonts w:hint="eastAsia" w:ascii="宋体" w:hAnsi="宋体" w:cs="宋体"/>
          <w:b/>
          <w:sz w:val="22"/>
        </w:rPr>
        <w:t xml:space="preserve">B/S 架构无客户端</w:t>
      </w:r>
      <w:r>
        <w:rPr>
          <w:rFonts w:hint="eastAsia" w:ascii="宋体" w:hAnsi="宋体" w:cs="宋体"/>
          <w:sz w:val="22"/>
        </w:rPr>
        <w:t xml:space="preserve">：改造后系统为标准 B/S 架构，仅通过浏览器访问，无需安装桌面客户端程序；</w:t>
      </w:r>
      <w:r>
        <w:rPr>
          <w:rFonts w:hint="eastAsia" w:ascii="宋体" w:hAnsi="宋体" w:cs="宋体"/>
          <w:sz w:val="22"/>
        </w:rPr>
        <w:t xml:space="preserve">兼容 Windows10/11、统信 UOS、银河麒麟等桌面系统，适配国产 360、火狐等浏览器。</w:t>
      </w:r>
      <w:r/>
    </w:p>
    <w:p>
      <w:pPr>
        <w:numPr>
          <w:ilvl w:val="0"/>
          <w:numId w:val="7"/>
        </w:numPr>
        <w:jc w:val="left"/>
        <w:spacing w:after="120" w:line="360" w:lineRule="auto"/>
        <w:tabs>
          <w:tab w:val="clear" w:pos="420" w:leader="none"/>
        </w:tabs>
        <w:rPr>
          <w:rFonts w:ascii="宋体" w:hAnsi="宋体" w:cs="宋体"/>
        </w:rPr>
      </w:pPr>
      <w:r>
        <w:rPr>
          <w:rFonts w:hint="eastAsia" w:ascii="宋体" w:hAnsi="宋体" w:cs="宋体"/>
          <w:b/>
          <w:sz w:val="22"/>
        </w:rPr>
        <w:t xml:space="preserve">数据完整可控</w:t>
      </w:r>
      <w:r>
        <w:rPr>
          <w:rFonts w:hint="eastAsia" w:ascii="宋体" w:hAnsi="宋体" w:cs="宋体"/>
          <w:sz w:val="22"/>
        </w:rPr>
        <w:t xml:space="preserve">：完成全部历史非税业务数据无损迁移，建立统一数据标准，实现数据分级加密、</w:t>
      </w:r>
      <w:r>
        <w:rPr>
          <w:rFonts w:hint="eastAsia" w:ascii="宋体" w:hAnsi="宋体" w:cs="宋体"/>
          <w:sz w:val="22"/>
        </w:rPr>
        <w:t xml:space="preserve">全操作</w:t>
      </w:r>
      <w:r>
        <w:rPr>
          <w:rFonts w:hint="eastAsia" w:ascii="宋体" w:hAnsi="宋体" w:cs="宋体"/>
          <w:sz w:val="22"/>
        </w:rPr>
        <w:t xml:space="preserve">留痕、审计追溯，满足财政数据安全管理规范。</w:t>
      </w:r>
      <w:r/>
    </w:p>
    <w:p>
      <w:pPr>
        <w:numPr>
          <w:ilvl w:val="0"/>
          <w:numId w:val="7"/>
        </w:numPr>
        <w:jc w:val="left"/>
        <w:spacing w:after="120" w:line="360" w:lineRule="auto"/>
        <w:tabs>
          <w:tab w:val="clear" w:pos="420" w:leader="none"/>
        </w:tabs>
        <w:rPr>
          <w:rFonts w:ascii="宋体" w:hAnsi="宋体" w:cs="宋体"/>
        </w:rPr>
      </w:pPr>
      <w:r>
        <w:rPr>
          <w:rFonts w:hint="eastAsia" w:ascii="宋体" w:hAnsi="宋体" w:cs="宋体"/>
          <w:b/>
          <w:sz w:val="22"/>
        </w:rPr>
        <w:t xml:space="preserve">业务 1:1 全覆盖</w:t>
      </w:r>
      <w:r>
        <w:rPr>
          <w:rFonts w:hint="eastAsia" w:ascii="宋体" w:hAnsi="宋体" w:cs="宋体"/>
          <w:sz w:val="22"/>
        </w:rPr>
        <w:t xml:space="preserve">：改造后系统完整保留原有全部收缴、票据、对账、退付、报表、查询业务功能，操作流程、业务规则与原系统保持一致，不改变现有人员操作习惯。</w:t>
      </w:r>
      <w:r/>
    </w:p>
    <w:p>
      <w:pPr>
        <w:numPr>
          <w:ilvl w:val="0"/>
          <w:numId w:val="7"/>
        </w:numPr>
        <w:jc w:val="left"/>
        <w:spacing w:after="120" w:line="360" w:lineRule="auto"/>
        <w:tabs>
          <w:tab w:val="clear" w:pos="420" w:leader="none"/>
        </w:tabs>
        <w:rPr>
          <w:rFonts w:ascii="宋体" w:hAnsi="宋体" w:cs="宋体"/>
        </w:rPr>
      </w:pPr>
      <w:r>
        <w:rPr>
          <w:rFonts w:hint="eastAsia" w:ascii="宋体" w:hAnsi="宋体" w:cs="宋体"/>
          <w:b/>
          <w:sz w:val="22"/>
        </w:rPr>
        <w:t xml:space="preserve">外部系统无缝协同</w:t>
      </w:r>
      <w:r>
        <w:rPr>
          <w:rFonts w:hint="eastAsia" w:ascii="宋体" w:hAnsi="宋体" w:cs="宋体"/>
          <w:sz w:val="22"/>
        </w:rPr>
        <w:t xml:space="preserve">：适配江苏省统一公共支付平台、江苏省电子票据平台、省预算一体化系统全部标准化接口，完成国产化环境下接口加密、签名、报文适配，保障缴款、票据、过账业务不间断。</w:t>
      </w:r>
      <w:r/>
    </w:p>
    <w:p>
      <w:pPr>
        <w:numPr>
          <w:ilvl w:val="0"/>
          <w:numId w:val="7"/>
        </w:numPr>
        <w:jc w:val="left"/>
        <w:spacing w:after="120" w:line="360" w:lineRule="auto"/>
        <w:tabs>
          <w:tab w:val="clear" w:pos="420" w:leader="none"/>
        </w:tabs>
        <w:rPr>
          <w:rFonts w:ascii="宋体" w:hAnsi="宋体" w:cs="宋体"/>
        </w:rPr>
      </w:pPr>
      <w:r>
        <w:rPr>
          <w:rFonts w:hint="eastAsia" w:ascii="宋体" w:hAnsi="宋体" w:cs="宋体"/>
          <w:b/>
          <w:sz w:val="22"/>
        </w:rPr>
        <w:t xml:space="preserve">合</w:t>
      </w:r>
      <w:r>
        <w:rPr>
          <w:rFonts w:hint="eastAsia" w:ascii="宋体" w:hAnsi="宋体" w:cs="宋体"/>
          <w:b/>
          <w:sz w:val="22"/>
        </w:rPr>
        <w:t xml:space="preserve">规</w:t>
      </w:r>
      <w:r>
        <w:rPr>
          <w:rFonts w:hint="eastAsia" w:ascii="宋体" w:hAnsi="宋体" w:cs="宋体"/>
          <w:b/>
          <w:sz w:val="22"/>
        </w:rPr>
        <w:t xml:space="preserve">达标</w:t>
      </w:r>
      <w:r>
        <w:rPr>
          <w:rFonts w:hint="eastAsia" w:ascii="宋体" w:hAnsi="宋体" w:cs="宋体"/>
          <w:sz w:val="22"/>
        </w:rPr>
        <w:t xml:space="preserve">：项目建成后系统满足网络安全等级保护三级、密码应用安全性评估、财政信息化安全规范全部要求，配合完成第三方软件测评、</w:t>
      </w:r>
      <w:r>
        <w:rPr>
          <w:rFonts w:hint="eastAsia" w:ascii="宋体" w:hAnsi="宋体" w:cs="宋体"/>
          <w:sz w:val="22"/>
        </w:rPr>
        <w:t xml:space="preserve">等保测评</w:t>
      </w:r>
      <w:r>
        <w:rPr>
          <w:rFonts w:hint="eastAsia" w:ascii="宋体" w:hAnsi="宋体" w:cs="宋体"/>
          <w:sz w:val="22"/>
        </w:rPr>
        <w:t xml:space="preserve">、密码测评并出具合格报告。</w:t>
      </w:r>
      <w:r/>
    </w:p>
    <w:p>
      <w:pPr>
        <w:numPr>
          <w:ilvl w:val="0"/>
          <w:numId w:val="7"/>
        </w:numPr>
        <w:jc w:val="left"/>
        <w:spacing w:after="120" w:line="360" w:lineRule="auto"/>
        <w:tabs>
          <w:tab w:val="clear" w:pos="420" w:leader="none"/>
        </w:tabs>
        <w:rPr>
          <w:rFonts w:ascii="宋体" w:hAnsi="宋体" w:cs="宋体"/>
        </w:rPr>
      </w:pPr>
      <w:r>
        <w:rPr>
          <w:rFonts w:hint="eastAsia" w:ascii="宋体" w:hAnsi="宋体" w:cs="宋体"/>
          <w:b/>
          <w:sz w:val="22"/>
        </w:rPr>
        <w:t xml:space="preserve">一站式交付</w:t>
      </w:r>
      <w:r>
        <w:rPr>
          <w:rFonts w:hint="eastAsia" w:ascii="宋体" w:hAnsi="宋体" w:cs="宋体"/>
          <w:sz w:val="22"/>
        </w:rPr>
        <w:t xml:space="preserve">：供应商不得拆分分包核心开发、数据迁移、实施工作，项目实施、运维、培训、测评配合全部由中标供应商原厂团队完成，禁止转包。</w:t>
      </w:r>
      <w:r/>
    </w:p>
    <w:p>
      <w:pPr>
        <w:jc w:val="left"/>
        <w:spacing w:after="120" w:line="360" w:lineRule="auto"/>
        <w:rPr>
          <w:rFonts w:ascii="宋体" w:hAnsi="宋体" w:cs="宋体"/>
        </w:rPr>
        <w:outlineLvl w:val="2"/>
      </w:pPr>
      <w:r/>
      <w:bookmarkStart w:id="204" w:name="heading_8"/>
      <w:r>
        <w:rPr>
          <w:rFonts w:hint="eastAsia" w:ascii="宋体" w:hAnsi="宋体" w:cs="宋体"/>
          <w:b/>
          <w:sz w:val="30"/>
        </w:rPr>
        <w:t xml:space="preserve">3.3 建设目标</w:t>
      </w:r>
      <w:bookmarkEnd w:id="204"/>
      <w:r/>
      <w:r/>
    </w:p>
    <w:p>
      <w:pPr>
        <w:numPr>
          <w:ilvl w:val="0"/>
          <w:numId w:val="8"/>
        </w:numPr>
        <w:jc w:val="left"/>
        <w:spacing w:after="120" w:line="360" w:lineRule="auto"/>
        <w:rPr>
          <w:rFonts w:ascii="宋体" w:hAnsi="宋体" w:cs="宋体"/>
        </w:rPr>
      </w:pPr>
      <w:r>
        <w:rPr>
          <w:rFonts w:hint="eastAsia" w:ascii="宋体" w:hAnsi="宋体" w:cs="宋体"/>
          <w:b/>
          <w:sz w:val="22"/>
        </w:rPr>
        <w:t xml:space="preserve">自主可控底座</w:t>
      </w:r>
      <w:r>
        <w:rPr>
          <w:rFonts w:hint="eastAsia" w:ascii="宋体" w:hAnsi="宋体" w:cs="宋体"/>
          <w:sz w:val="22"/>
        </w:rPr>
        <w:t xml:space="preserve">：替换原有国外数据库、中间件、操作系统，搭建基于国产芯片、国产基础软件的非税业务运行底座，消除 “卡脖子” 安全风险，符合国家信</w:t>
      </w:r>
      <w:r>
        <w:rPr>
          <w:rFonts w:hint="eastAsia" w:ascii="宋体" w:hAnsi="宋体" w:cs="宋体"/>
          <w:sz w:val="22"/>
        </w:rPr>
        <w:t xml:space="preserve">创政策</w:t>
      </w:r>
      <w:r>
        <w:rPr>
          <w:rFonts w:hint="eastAsia" w:ascii="宋体" w:hAnsi="宋体" w:cs="宋体"/>
          <w:sz w:val="22"/>
        </w:rPr>
        <w:t xml:space="preserve">要求。</w:t>
      </w:r>
      <w:r/>
    </w:p>
    <w:p>
      <w:pPr>
        <w:numPr>
          <w:ilvl w:val="0"/>
          <w:numId w:val="8"/>
        </w:numPr>
        <w:jc w:val="left"/>
        <w:spacing w:after="120" w:line="360" w:lineRule="auto"/>
        <w:rPr>
          <w:rFonts w:ascii="宋体" w:hAnsi="宋体" w:cs="宋体"/>
        </w:rPr>
      </w:pPr>
      <w:r>
        <w:rPr>
          <w:rFonts w:hint="eastAsia" w:ascii="宋体" w:hAnsi="宋体" w:cs="宋体"/>
          <w:b/>
          <w:sz w:val="22"/>
        </w:rPr>
        <w:t xml:space="preserve">数据资产标准化</w:t>
      </w:r>
      <w:r>
        <w:rPr>
          <w:rFonts w:hint="eastAsia" w:ascii="宋体" w:hAnsi="宋体" w:cs="宋体"/>
          <w:sz w:val="22"/>
        </w:rPr>
        <w:t xml:space="preserve">：完成存量非税历史数据清洗、转换、统一归集，建立国产数据库存储体系，实现全生命周期数据治理，支持多维度查询、统计、审计追溯。</w:t>
      </w:r>
      <w:r/>
    </w:p>
    <w:p>
      <w:pPr>
        <w:numPr>
          <w:ilvl w:val="0"/>
          <w:numId w:val="8"/>
        </w:numPr>
        <w:jc w:val="left"/>
        <w:spacing w:after="120" w:line="360" w:lineRule="auto"/>
        <w:rPr>
          <w:rFonts w:ascii="宋体" w:hAnsi="宋体" w:cs="宋体"/>
        </w:rPr>
      </w:pPr>
      <w:r>
        <w:rPr>
          <w:rFonts w:hint="eastAsia" w:ascii="宋体" w:hAnsi="宋体" w:cs="宋体"/>
          <w:b/>
          <w:sz w:val="22"/>
        </w:rPr>
        <w:t xml:space="preserve">全终端兼容运行</w:t>
      </w:r>
      <w:r>
        <w:rPr>
          <w:rFonts w:hint="eastAsia" w:ascii="宋体" w:hAnsi="宋体" w:cs="宋体"/>
          <w:sz w:val="22"/>
        </w:rPr>
        <w:t xml:space="preserve">：财政、执收单位 Windows、国</w:t>
      </w:r>
      <w:r>
        <w:rPr>
          <w:rFonts w:hint="eastAsia" w:ascii="宋体" w:hAnsi="宋体" w:cs="宋体"/>
          <w:sz w:val="22"/>
        </w:rPr>
        <w:t xml:space="preserve">产麒麟 / 统信等终端均</w:t>
      </w:r>
      <w:r>
        <w:rPr>
          <w:rFonts w:hint="eastAsia" w:ascii="宋体" w:hAnsi="宋体" w:cs="宋体"/>
          <w:sz w:val="22"/>
        </w:rPr>
        <w:t xml:space="preserve">可正常办理全部非税业务，CA 登录、票据打印、缴款对账无兼容故障。</w:t>
      </w:r>
      <w:r/>
    </w:p>
    <w:p>
      <w:pPr>
        <w:numPr>
          <w:ilvl w:val="0"/>
          <w:numId w:val="8"/>
        </w:numPr>
        <w:jc w:val="left"/>
        <w:spacing w:after="120" w:line="360" w:lineRule="auto"/>
        <w:rPr>
          <w:rFonts w:ascii="宋体" w:hAnsi="宋体" w:cs="宋体"/>
        </w:rPr>
      </w:pPr>
      <w:r>
        <w:rPr>
          <w:rFonts w:hint="eastAsia" w:ascii="宋体" w:hAnsi="宋体" w:cs="宋体"/>
          <w:b/>
          <w:sz w:val="22"/>
        </w:rPr>
        <w:t xml:space="preserve">跨系统业务协同</w:t>
      </w:r>
      <w:r>
        <w:rPr>
          <w:rFonts w:hint="eastAsia" w:ascii="宋体" w:hAnsi="宋体" w:cs="宋体"/>
          <w:sz w:val="22"/>
        </w:rPr>
        <w:t xml:space="preserve">：打通与省级三大财政平台国产化数据通道，实现缴款、赋码开票、资金清分、预算过账全流程自动化协同，减少人工干预。</w:t>
      </w:r>
      <w:r/>
    </w:p>
    <w:p>
      <w:pPr>
        <w:numPr>
          <w:ilvl w:val="0"/>
          <w:numId w:val="8"/>
        </w:numPr>
        <w:jc w:val="left"/>
        <w:spacing w:after="120" w:line="360" w:lineRule="auto"/>
        <w:rPr>
          <w:rFonts w:ascii="宋体" w:hAnsi="宋体" w:cs="宋体"/>
        </w:rPr>
      </w:pPr>
      <w:r>
        <w:rPr>
          <w:rFonts w:hint="eastAsia" w:ascii="宋体" w:hAnsi="宋体" w:cs="宋体"/>
          <w:b/>
          <w:sz w:val="22"/>
        </w:rPr>
        <w:t xml:space="preserve">安全体系全面升级</w:t>
      </w:r>
      <w:r>
        <w:rPr>
          <w:rFonts w:hint="eastAsia" w:ascii="宋体" w:hAnsi="宋体" w:cs="宋体"/>
          <w:sz w:val="22"/>
        </w:rPr>
        <w:t xml:space="preserve">：集成国密 SM2/SM3/SM4 加密算法，实现数据传输、存储加密，完善权限管控、日志审计、漏洞防护，满足资金与个人敏感信息安全要求。</w:t>
      </w:r>
      <w:r/>
    </w:p>
    <w:p>
      <w:pPr>
        <w:numPr>
          <w:ilvl w:val="0"/>
          <w:numId w:val="8"/>
        </w:numPr>
        <w:jc w:val="left"/>
        <w:spacing w:after="120" w:line="360" w:lineRule="auto"/>
        <w:rPr>
          <w:rFonts w:ascii="宋体" w:hAnsi="宋体" w:cs="宋体"/>
        </w:rPr>
      </w:pPr>
      <w:r>
        <w:rPr>
          <w:rFonts w:hint="eastAsia" w:ascii="宋体" w:hAnsi="宋体" w:cs="宋体"/>
          <w:b/>
          <w:sz w:val="22"/>
        </w:rPr>
        <w:t xml:space="preserve">业务连续保障</w:t>
      </w:r>
      <w:r>
        <w:rPr>
          <w:rFonts w:hint="eastAsia" w:ascii="宋体" w:hAnsi="宋体" w:cs="宋体"/>
          <w:sz w:val="22"/>
        </w:rPr>
        <w:t xml:space="preserve">：建立新旧系统双轨并行、一键回退机制，迁移、割</w:t>
      </w:r>
      <w:r>
        <w:rPr>
          <w:rFonts w:hint="eastAsia" w:ascii="宋体" w:hAnsi="宋体" w:cs="宋体"/>
          <w:sz w:val="22"/>
        </w:rPr>
        <w:t xml:space="preserve">接期间</w:t>
      </w:r>
      <w:r>
        <w:rPr>
          <w:rFonts w:hint="eastAsia" w:ascii="宋体" w:hAnsi="宋体" w:cs="宋体"/>
          <w:sz w:val="22"/>
        </w:rPr>
        <w:t xml:space="preserve">不中断群众缴款、票据开具、国库缴库业务，保障非税业务全年不间断运行。</w:t>
      </w:r>
      <w:r/>
    </w:p>
    <w:p>
      <w:pPr>
        <w:jc w:val="left"/>
        <w:spacing w:after="120" w:line="360" w:lineRule="auto"/>
        <w:rPr>
          <w:rFonts w:ascii="宋体" w:hAnsi="宋体" w:cs="宋体"/>
        </w:rPr>
        <w:outlineLvl w:val="1"/>
      </w:pPr>
      <w:r/>
      <w:bookmarkStart w:id="205" w:name="heading_9"/>
      <w:r>
        <w:rPr>
          <w:rFonts w:hint="eastAsia" w:ascii="宋体" w:hAnsi="宋体" w:cs="宋体"/>
          <w:b/>
          <w:sz w:val="32"/>
        </w:rPr>
        <w:t xml:space="preserve">4 技术规格与功能要求</w:t>
      </w:r>
      <w:bookmarkEnd w:id="205"/>
      <w:r/>
      <w:r/>
    </w:p>
    <w:p>
      <w:pPr>
        <w:jc w:val="left"/>
        <w:spacing w:after="120" w:line="360" w:lineRule="auto"/>
        <w:rPr>
          <w:rFonts w:ascii="宋体" w:hAnsi="宋体" w:cs="宋体"/>
        </w:rPr>
        <w:outlineLvl w:val="2"/>
      </w:pPr>
      <w:r/>
      <w:bookmarkStart w:id="206" w:name="heading_10"/>
      <w:r>
        <w:rPr>
          <w:rFonts w:hint="eastAsia" w:ascii="宋体" w:hAnsi="宋体" w:cs="宋体"/>
          <w:b/>
          <w:sz w:val="30"/>
        </w:rPr>
        <w:t xml:space="preserve">4.1 总体分层架构要求</w:t>
      </w:r>
      <w:bookmarkEnd w:id="206"/>
      <w:r/>
      <w:r/>
    </w:p>
    <w:p>
      <w:pPr>
        <w:jc w:val="left"/>
        <w:spacing w:after="120" w:line="360" w:lineRule="auto"/>
        <w:rPr>
          <w:rFonts w:ascii="宋体" w:hAnsi="宋体" w:cs="宋体"/>
        </w:rPr>
      </w:pPr>
      <w:r>
        <w:rPr>
          <w:rFonts w:hint="eastAsia" w:ascii="宋体" w:hAnsi="宋体" w:cs="宋体"/>
          <w:sz w:val="22"/>
        </w:rPr>
        <w:t xml:space="preserve">系统采用五层分层架构，完全适配国产化软硬件环境：</w:t>
      </w:r>
      <w:r/>
    </w:p>
    <w:p>
      <w:pPr>
        <w:numPr>
          <w:ilvl w:val="0"/>
          <w:numId w:val="9"/>
        </w:numPr>
        <w:jc w:val="left"/>
        <w:spacing w:after="120" w:line="360" w:lineRule="auto"/>
        <w:rPr>
          <w:rFonts w:ascii="宋体" w:hAnsi="宋体" w:cs="宋体"/>
        </w:rPr>
      </w:pPr>
      <w:r>
        <w:rPr>
          <w:rFonts w:hint="eastAsia" w:ascii="宋体" w:hAnsi="宋体" w:cs="宋体"/>
          <w:b/>
          <w:sz w:val="22"/>
        </w:rPr>
        <w:t xml:space="preserve">基础设施层</w:t>
      </w:r>
      <w:r>
        <w:rPr>
          <w:rFonts w:hint="eastAsia" w:ascii="宋体" w:hAnsi="宋体" w:cs="宋体"/>
          <w:sz w:val="22"/>
        </w:rPr>
        <w:t xml:space="preserve">：兼容飞腾、鲲鹏、海光、龙芯、</w:t>
      </w:r>
      <w:r>
        <w:rPr>
          <w:rFonts w:hint="eastAsia" w:ascii="宋体" w:hAnsi="宋体" w:cs="宋体"/>
          <w:sz w:val="22"/>
        </w:rPr>
        <w:t xml:space="preserve">兆芯等</w:t>
      </w:r>
      <w:r>
        <w:rPr>
          <w:rFonts w:hint="eastAsia" w:ascii="宋体" w:hAnsi="宋体" w:cs="宋体"/>
          <w:sz w:val="22"/>
        </w:rPr>
        <w:t xml:space="preserve">国产服务器 CPU；支持银河麒麟、统信等国产服务</w:t>
      </w:r>
      <w:r>
        <w:rPr>
          <w:rFonts w:hint="eastAsia" w:ascii="宋体" w:hAnsi="宋体" w:cs="宋体"/>
          <w:sz w:val="22"/>
        </w:rPr>
        <w:t xml:space="preserve">器操作系统，配套国产防火墙、堡垒机、SSL VPN 安全资源。</w:t>
      </w:r>
      <w:r/>
    </w:p>
    <w:p>
      <w:pPr>
        <w:numPr>
          <w:ilvl w:val="0"/>
          <w:numId w:val="9"/>
        </w:numPr>
        <w:jc w:val="left"/>
        <w:spacing w:after="120" w:line="360" w:lineRule="auto"/>
        <w:rPr>
          <w:rFonts w:ascii="宋体" w:hAnsi="宋体" w:cs="宋体"/>
        </w:rPr>
      </w:pPr>
      <w:r>
        <w:rPr>
          <w:rFonts w:hint="eastAsia" w:ascii="宋体" w:hAnsi="宋体" w:cs="宋体"/>
          <w:b/>
          <w:sz w:val="22"/>
        </w:rPr>
        <w:t xml:space="preserve">数据资源层</w:t>
      </w:r>
      <w:r>
        <w:rPr>
          <w:rFonts w:hint="eastAsia" w:ascii="宋体" w:hAnsi="宋体" w:cs="宋体"/>
          <w:sz w:val="22"/>
        </w:rPr>
        <w:t xml:space="preserve">：搭建</w:t>
      </w:r>
      <w:r>
        <w:rPr>
          <w:rFonts w:hint="eastAsia" w:ascii="宋体" w:hAnsi="宋体" w:cs="宋体"/>
          <w:sz w:val="22"/>
        </w:rPr>
        <w:t xml:space="preserve">贴源库</w:t>
      </w:r>
      <w:r>
        <w:rPr>
          <w:rFonts w:hint="eastAsia" w:ascii="宋体" w:hAnsi="宋体" w:cs="宋体"/>
          <w:sz w:val="22"/>
        </w:rPr>
        <w:t xml:space="preserve">、业务库、历史归档库三级国产数据库存储架构；配套国产 ETL 工具实现异构数据采集、清洗、转换，支持 MySQL、Oracle、SQL Server 等多源数据源接入。</w:t>
      </w:r>
      <w:r/>
    </w:p>
    <w:p>
      <w:pPr>
        <w:numPr>
          <w:ilvl w:val="0"/>
          <w:numId w:val="9"/>
        </w:numPr>
        <w:jc w:val="left"/>
        <w:spacing w:after="120" w:line="360" w:lineRule="auto"/>
        <w:rPr>
          <w:rFonts w:ascii="宋体" w:hAnsi="宋体" w:cs="宋体"/>
        </w:rPr>
      </w:pPr>
      <w:r>
        <w:rPr>
          <w:rFonts w:hint="eastAsia" w:ascii="宋体" w:hAnsi="宋体" w:cs="宋体"/>
          <w:b/>
          <w:sz w:val="22"/>
        </w:rPr>
        <w:t xml:space="preserve">平台支撑层</w:t>
      </w:r>
      <w:r>
        <w:rPr>
          <w:rFonts w:hint="eastAsia" w:ascii="宋体" w:hAnsi="宋体" w:cs="宋体"/>
          <w:sz w:val="22"/>
        </w:rPr>
        <w:t xml:space="preserve">：采用国产</w:t>
      </w:r>
      <w:r>
        <w:rPr>
          <w:rFonts w:hint="eastAsia" w:ascii="宋体" w:hAnsi="宋体" w:cs="宋体"/>
          <w:sz w:val="22"/>
        </w:rPr>
        <w:t xml:space="preserve">中间件（宝兰德 / 东方通 / 中创等）、</w:t>
      </w:r>
      <w:r>
        <w:rPr>
          <w:rFonts w:hint="eastAsia" w:ascii="宋体" w:hAnsi="宋体" w:cs="宋体"/>
          <w:sz w:val="22"/>
        </w:rPr>
        <w:t xml:space="preserve">OpenJDK；集成国产统一身份认证、CA/Ukey 双因子登录、国密加解密引擎、全量操作日志审计、接口安全管控模块。</w:t>
      </w:r>
      <w:r/>
    </w:p>
    <w:p>
      <w:pPr>
        <w:numPr>
          <w:ilvl w:val="0"/>
          <w:numId w:val="9"/>
        </w:numPr>
        <w:jc w:val="left"/>
        <w:spacing w:after="120" w:line="360" w:lineRule="auto"/>
        <w:rPr>
          <w:rFonts w:ascii="宋体" w:hAnsi="宋体" w:cs="宋体"/>
        </w:rPr>
      </w:pPr>
      <w:r>
        <w:rPr>
          <w:rFonts w:hint="eastAsia" w:ascii="宋体" w:hAnsi="宋体" w:cs="宋体"/>
          <w:b/>
          <w:sz w:val="22"/>
        </w:rPr>
        <w:t xml:space="preserve">业务应用层</w:t>
      </w:r>
      <w:r>
        <w:rPr>
          <w:rFonts w:hint="eastAsia" w:ascii="宋体" w:hAnsi="宋体" w:cs="宋体"/>
          <w:sz w:val="22"/>
        </w:rPr>
        <w:t xml:space="preserve">：完整保留收缴、票据、对账、退付、预算对接、综合查询、系统管理全部业务模块，所有功能完成国产化代码改造。</w:t>
      </w:r>
      <w:r/>
    </w:p>
    <w:p>
      <w:pPr>
        <w:numPr>
          <w:ilvl w:val="0"/>
          <w:numId w:val="9"/>
        </w:numPr>
        <w:jc w:val="left"/>
        <w:spacing w:after="120" w:line="360" w:lineRule="auto"/>
        <w:rPr>
          <w:rFonts w:ascii="宋体" w:hAnsi="宋体" w:cs="宋体"/>
        </w:rPr>
      </w:pPr>
      <w:r>
        <w:rPr>
          <w:rFonts w:hint="eastAsia" w:ascii="宋体" w:hAnsi="宋体" w:cs="宋体"/>
          <w:b/>
          <w:sz w:val="22"/>
        </w:rPr>
        <w:t xml:space="preserve">前端展示层</w:t>
      </w:r>
      <w:r>
        <w:rPr>
          <w:rFonts w:hint="eastAsia" w:ascii="宋体" w:hAnsi="宋体" w:cs="宋体"/>
          <w:sz w:val="22"/>
        </w:rPr>
        <w:t xml:space="preserve">：统一适配 Windows、国产桌面操作系统，兼容国产浏览器，页面符合 W3C 标准，解决 CSS、JS 渲染兼容问题，适配国产打印机、扫描仪外设。</w:t>
      </w:r>
      <w:r/>
    </w:p>
    <w:p>
      <w:pPr>
        <w:jc w:val="left"/>
        <w:spacing w:after="120" w:line="360" w:lineRule="auto"/>
        <w:rPr>
          <w:rFonts w:ascii="宋体" w:hAnsi="宋体" w:cs="宋体"/>
        </w:rPr>
        <w:outlineLvl w:val="2"/>
      </w:pPr>
      <w:r/>
      <w:bookmarkStart w:id="207" w:name="heading_11"/>
      <w:r>
        <w:rPr>
          <w:rFonts w:hint="eastAsia" w:ascii="宋体" w:hAnsi="宋体" w:cs="宋体"/>
          <w:b/>
          <w:sz w:val="30"/>
        </w:rPr>
        <w:t xml:space="preserve">4.2 国产化全</w:t>
      </w:r>
      <w:r>
        <w:rPr>
          <w:rFonts w:hint="eastAsia" w:ascii="宋体" w:hAnsi="宋体" w:cs="宋体"/>
          <w:b/>
          <w:sz w:val="30"/>
        </w:rPr>
        <w:t xml:space="preserve">栈</w:t>
      </w:r>
      <w:r>
        <w:rPr>
          <w:rFonts w:hint="eastAsia" w:ascii="宋体" w:hAnsi="宋体" w:cs="宋体"/>
          <w:b/>
          <w:sz w:val="30"/>
        </w:rPr>
        <w:t xml:space="preserve">适配技术要求</w:t>
      </w:r>
      <w:bookmarkEnd w:id="207"/>
      <w:r/>
      <w:r/>
    </w:p>
    <w:p>
      <w:pPr>
        <w:jc w:val="left"/>
        <w:spacing w:after="120" w:line="360" w:lineRule="auto"/>
        <w:rPr>
          <w:rFonts w:ascii="宋体" w:hAnsi="宋体" w:cs="宋体"/>
        </w:rPr>
        <w:outlineLvl w:val="3"/>
      </w:pPr>
      <w:r/>
      <w:bookmarkStart w:id="208" w:name="heading_12"/>
      <w:r>
        <w:rPr>
          <w:rFonts w:hint="eastAsia" w:ascii="宋体" w:hAnsi="宋体" w:cs="宋体"/>
          <w:b/>
          <w:sz w:val="28"/>
        </w:rPr>
        <w:t xml:space="preserve">4.2.1 服务端适配改造</w:t>
      </w:r>
      <w:bookmarkEnd w:id="208"/>
      <w:r/>
      <w:r/>
    </w:p>
    <w:p>
      <w:pPr>
        <w:numPr>
          <w:ilvl w:val="0"/>
          <w:numId w:val="10"/>
        </w:numPr>
        <w:jc w:val="left"/>
        <w:spacing w:after="120" w:line="360" w:lineRule="auto"/>
        <w:rPr>
          <w:rFonts w:ascii="宋体" w:hAnsi="宋体" w:cs="宋体"/>
        </w:rPr>
      </w:pPr>
      <w:r>
        <w:rPr>
          <w:rFonts w:hint="eastAsia" w:ascii="宋体" w:hAnsi="宋体" w:cs="宋体"/>
          <w:b/>
          <w:sz w:val="22"/>
        </w:rPr>
        <w:t xml:space="preserve">硬件 CPU 适配</w:t>
      </w:r>
      <w:r>
        <w:rPr>
          <w:rFonts w:hint="eastAsia" w:ascii="宋体" w:hAnsi="宋体" w:cs="宋体"/>
          <w:sz w:val="22"/>
        </w:rPr>
        <w:t xml:space="preserve">：系统代码、编译程序无架构绑定，可稳定运行于 ARM、X86 架构国产服务器（鲲鹏、飞腾、海光</w:t>
      </w:r>
      <w:r>
        <w:rPr>
          <w:rFonts w:hint="eastAsia" w:ascii="宋体" w:hAnsi="宋体" w:cs="宋体"/>
          <w:sz w:val="22"/>
        </w:rPr>
        <w:t xml:space="preserve">、龙芯、</w:t>
      </w:r>
      <w:r>
        <w:rPr>
          <w:rFonts w:hint="eastAsia" w:ascii="宋体" w:hAnsi="宋体" w:cs="宋体"/>
          <w:sz w:val="22"/>
        </w:rPr>
        <w:t xml:space="preserve">兆芯等</w:t>
      </w:r>
      <w:r>
        <w:rPr>
          <w:rFonts w:hint="eastAsia" w:ascii="宋体" w:hAnsi="宋体" w:cs="宋体"/>
          <w:sz w:val="22"/>
        </w:rPr>
        <w:t xml:space="preserve">），无性能衰减。</w:t>
      </w:r>
      <w:r/>
    </w:p>
    <w:p>
      <w:pPr>
        <w:numPr>
          <w:ilvl w:val="0"/>
          <w:numId w:val="10"/>
        </w:numPr>
        <w:jc w:val="left"/>
        <w:spacing w:after="120" w:line="360" w:lineRule="auto"/>
        <w:rPr>
          <w:rFonts w:ascii="宋体" w:hAnsi="宋体" w:cs="宋体"/>
        </w:rPr>
      </w:pPr>
      <w:r>
        <w:rPr>
          <w:rFonts w:hint="eastAsia" w:ascii="宋体" w:hAnsi="宋体" w:cs="宋体"/>
          <w:b/>
          <w:sz w:val="22"/>
        </w:rPr>
        <w:t xml:space="preserve">服务器操作系统适配</w:t>
      </w:r>
      <w:r>
        <w:rPr>
          <w:rFonts w:hint="eastAsia" w:ascii="宋体" w:hAnsi="宋体" w:cs="宋体"/>
          <w:sz w:val="22"/>
        </w:rPr>
        <w:t xml:space="preserve">：完整适配银河麒麟高级服务器 V10、统信服务器操作系统 V20等，修复系统内核、驱动兼容问题，服务可后台常驻稳定运行。</w:t>
      </w:r>
      <w:r/>
    </w:p>
    <w:p>
      <w:pPr>
        <w:numPr>
          <w:ilvl w:val="0"/>
          <w:numId w:val="10"/>
        </w:numPr>
        <w:jc w:val="left"/>
        <w:spacing w:after="120" w:line="360" w:lineRule="auto"/>
        <w:rPr>
          <w:rFonts w:ascii="宋体" w:hAnsi="宋体" w:cs="宋体"/>
        </w:rPr>
      </w:pPr>
      <w:r>
        <w:rPr>
          <w:rFonts w:hint="eastAsia" w:ascii="宋体" w:hAnsi="宋体" w:cs="宋体"/>
          <w:b/>
          <w:sz w:val="22"/>
        </w:rPr>
        <w:t xml:space="preserve">JDK 适配改造</w:t>
      </w:r>
      <w:r>
        <w:rPr>
          <w:rFonts w:hint="eastAsia" w:ascii="宋体" w:hAnsi="宋体" w:cs="宋体"/>
          <w:sz w:val="22"/>
        </w:rPr>
        <w:t xml:space="preserve">：从 Oracle JDK 迁移至兼容各国产架构的 OpenJDK，修复许可证、类加载、GC 内存适配问题，消除启动崩溃、运行卡顿故障。</w:t>
      </w:r>
      <w:r/>
    </w:p>
    <w:p>
      <w:pPr>
        <w:numPr>
          <w:ilvl w:val="0"/>
          <w:numId w:val="10"/>
        </w:numPr>
        <w:jc w:val="left"/>
        <w:spacing w:after="120" w:line="360" w:lineRule="auto"/>
        <w:rPr>
          <w:rFonts w:ascii="宋体" w:hAnsi="宋体" w:cs="宋体"/>
        </w:rPr>
      </w:pPr>
      <w:r>
        <w:rPr>
          <w:rFonts w:hint="eastAsia" w:ascii="宋体" w:hAnsi="宋体" w:cs="宋体"/>
          <w:b/>
          <w:sz w:val="22"/>
        </w:rPr>
        <w:t xml:space="preserve">国产中间件适配</w:t>
      </w:r>
      <w:r>
        <w:rPr>
          <w:rFonts w:hint="eastAsia" w:ascii="宋体" w:hAnsi="宋体" w:cs="宋体"/>
          <w:sz w:val="22"/>
        </w:rPr>
        <w:t xml:space="preserve">：解决 Hibernate JPA 冲突、Servlet 版本、注解扫描、Jar 包加载异常等适配问题，支持宝兰德、东方通、普元等国产中间件部署。</w:t>
      </w:r>
      <w:r/>
    </w:p>
    <w:p>
      <w:pPr>
        <w:numPr>
          <w:ilvl w:val="0"/>
          <w:numId w:val="10"/>
        </w:numPr>
        <w:jc w:val="left"/>
        <w:spacing w:after="120" w:line="360" w:lineRule="auto"/>
        <w:rPr>
          <w:rFonts w:ascii="宋体" w:hAnsi="宋体" w:cs="宋体"/>
        </w:rPr>
      </w:pPr>
      <w:r>
        <w:rPr>
          <w:rFonts w:hint="eastAsia" w:ascii="宋体" w:hAnsi="宋体" w:cs="宋体"/>
          <w:b/>
          <w:sz w:val="22"/>
        </w:rPr>
        <w:t xml:space="preserve">数据库迁移与适配</w:t>
      </w:r>
      <w:r/>
    </w:p>
    <w:p>
      <w:pPr>
        <w:numPr>
          <w:ilvl w:val="0"/>
          <w:numId w:val="11"/>
        </w:numPr>
        <w:jc w:val="left"/>
        <w:spacing w:after="120" w:line="360" w:lineRule="auto"/>
        <w:rPr>
          <w:rFonts w:ascii="宋体" w:hAnsi="宋体" w:cs="宋体"/>
        </w:rPr>
      </w:pPr>
      <w:r>
        <w:rPr>
          <w:rFonts w:hint="eastAsia" w:ascii="宋体" w:hAnsi="宋体" w:cs="宋体"/>
          <w:sz w:val="22"/>
        </w:rPr>
        <w:t xml:space="preserve">替换原有 Oracle 数据库，</w:t>
      </w:r>
      <w:r>
        <w:rPr>
          <w:rFonts w:hint="eastAsia" w:ascii="宋体" w:hAnsi="宋体" w:cs="宋体"/>
          <w:sz w:val="22"/>
        </w:rPr>
        <w:t xml:space="preserve">兼容达梦</w:t>
      </w:r>
      <w:r>
        <w:rPr>
          <w:rFonts w:hint="eastAsia" w:ascii="宋体" w:hAnsi="宋体" w:cs="宋体"/>
          <w:sz w:val="22"/>
        </w:rPr>
        <w:t xml:space="preserve"> DM8、</w:t>
      </w:r>
      <w:r>
        <w:rPr>
          <w:rFonts w:hint="eastAsia" w:ascii="宋体" w:hAnsi="宋体" w:cs="宋体"/>
          <w:sz w:val="22"/>
        </w:rPr>
        <w:t xml:space="preserve">人大金</w:t>
      </w:r>
      <w:r>
        <w:rPr>
          <w:rFonts w:hint="eastAsia" w:ascii="宋体" w:hAnsi="宋体" w:cs="宋体"/>
          <w:sz w:val="22"/>
        </w:rPr>
        <w:t xml:space="preserve">仓 KES</w:t>
      </w:r>
      <w:r>
        <w:rPr>
          <w:rFonts w:hint="eastAsia" w:ascii="宋体" w:hAnsi="宋体" w:cs="宋体"/>
          <w:sz w:val="22"/>
        </w:rPr>
        <w:t xml:space="preserve">、神通等国产数据库；</w:t>
      </w:r>
      <w:r/>
    </w:p>
    <w:p>
      <w:pPr>
        <w:numPr>
          <w:ilvl w:val="0"/>
          <w:numId w:val="11"/>
        </w:numPr>
        <w:jc w:val="left"/>
        <w:spacing w:after="120" w:line="360" w:lineRule="auto"/>
        <w:rPr>
          <w:rFonts w:ascii="宋体" w:hAnsi="宋体" w:cs="宋体"/>
        </w:rPr>
      </w:pPr>
      <w:r>
        <w:rPr>
          <w:rFonts w:hint="eastAsia" w:ascii="宋体" w:hAnsi="宋体" w:cs="宋体"/>
          <w:sz w:val="22"/>
        </w:rPr>
        <w:t xml:space="preserve">完成序列、表、触发器、视图、存储过程、函数完整迁移，建立 Oracle 与国产数据库双语法兼容代码；</w:t>
      </w:r>
      <w:r/>
    </w:p>
    <w:p>
      <w:pPr>
        <w:numPr>
          <w:ilvl w:val="0"/>
          <w:numId w:val="11"/>
        </w:numPr>
        <w:jc w:val="left"/>
        <w:spacing w:after="120" w:line="360" w:lineRule="auto"/>
        <w:rPr>
          <w:rFonts w:ascii="宋体" w:hAnsi="宋体" w:cs="宋体"/>
        </w:rPr>
      </w:pPr>
      <w:r>
        <w:rPr>
          <w:rFonts w:hint="eastAsia" w:ascii="宋体" w:hAnsi="宋体" w:cs="宋体"/>
          <w:sz w:val="22"/>
        </w:rPr>
        <w:t xml:space="preserve">制定分批次迁移方案，先小表、后大表，支持断点续传、全量 + 增量迁移，配套完整数据校验工具。</w:t>
      </w:r>
      <w:r/>
    </w:p>
    <w:p>
      <w:pPr>
        <w:jc w:val="left"/>
        <w:spacing w:after="120" w:line="360" w:lineRule="auto"/>
        <w:rPr>
          <w:rFonts w:ascii="宋体" w:hAnsi="宋体" w:cs="宋体"/>
        </w:rPr>
        <w:outlineLvl w:val="3"/>
      </w:pPr>
      <w:r/>
      <w:bookmarkStart w:id="209" w:name="heading_13"/>
      <w:r>
        <w:rPr>
          <w:rFonts w:hint="eastAsia" w:ascii="宋体" w:hAnsi="宋体" w:cs="宋体"/>
          <w:b/>
          <w:sz w:val="28"/>
        </w:rPr>
        <w:t xml:space="preserve">4.2.2 客户端适配改造</w:t>
      </w:r>
      <w:bookmarkEnd w:id="209"/>
      <w:r/>
      <w:r/>
    </w:p>
    <w:p>
      <w:pPr>
        <w:numPr>
          <w:ilvl w:val="0"/>
          <w:numId w:val="12"/>
        </w:numPr>
        <w:jc w:val="left"/>
        <w:spacing w:after="120" w:line="360" w:lineRule="auto"/>
        <w:rPr>
          <w:rFonts w:ascii="宋体" w:hAnsi="宋体" w:cs="宋体"/>
        </w:rPr>
      </w:pPr>
      <w:r>
        <w:rPr>
          <w:rFonts w:hint="eastAsia" w:ascii="宋体" w:hAnsi="宋体" w:cs="宋体"/>
          <w:b/>
          <w:sz w:val="22"/>
        </w:rPr>
        <w:t xml:space="preserve">国产桌面操作系统适配</w:t>
      </w:r>
      <w:r>
        <w:rPr>
          <w:rFonts w:hint="eastAsia" w:ascii="宋体" w:hAnsi="宋体" w:cs="宋体"/>
          <w:sz w:val="22"/>
        </w:rPr>
        <w:t xml:space="preserve">：统信 UOS、银河麒麟等桌面系统下系统页面、报表、业务流程全部正常渲染，无界面错乱、功能失效。</w:t>
      </w:r>
      <w:r/>
    </w:p>
    <w:p>
      <w:pPr>
        <w:numPr>
          <w:ilvl w:val="0"/>
          <w:numId w:val="12"/>
        </w:numPr>
        <w:jc w:val="left"/>
        <w:spacing w:after="120" w:line="360" w:lineRule="auto"/>
        <w:rPr>
          <w:rFonts w:ascii="宋体" w:hAnsi="宋体" w:cs="宋体"/>
        </w:rPr>
      </w:pPr>
      <w:r>
        <w:rPr>
          <w:rFonts w:hint="eastAsia" w:ascii="宋体" w:hAnsi="宋体" w:cs="宋体"/>
          <w:b/>
          <w:sz w:val="22"/>
        </w:rPr>
        <w:t xml:space="preserve">国产浏览器适配</w:t>
      </w:r>
      <w:r>
        <w:rPr>
          <w:rFonts w:hint="eastAsia" w:ascii="宋体" w:hAnsi="宋体" w:cs="宋体"/>
          <w:sz w:val="22"/>
        </w:rPr>
        <w:t xml:space="preserve">：前端代码严格遵循 W3C、ECMAScript 标准，重构非标准 HTML、CSS、JS 代码，兼容国产 360 安全浏览器、火狐国产版。</w:t>
      </w:r>
      <w:r/>
    </w:p>
    <w:p>
      <w:pPr>
        <w:numPr>
          <w:ilvl w:val="0"/>
          <w:numId w:val="12"/>
        </w:numPr>
        <w:jc w:val="left"/>
        <w:spacing w:after="120" w:line="360" w:lineRule="auto"/>
        <w:rPr>
          <w:rFonts w:ascii="宋体" w:hAnsi="宋体" w:cs="宋体"/>
        </w:rPr>
      </w:pPr>
      <w:r>
        <w:rPr>
          <w:rFonts w:hint="eastAsia" w:ascii="宋体" w:hAnsi="宋体" w:cs="宋体"/>
          <w:b/>
          <w:sz w:val="22"/>
        </w:rPr>
        <w:t xml:space="preserve">CA/Ukey 驱动适配</w:t>
      </w:r>
      <w:r>
        <w:rPr>
          <w:rFonts w:hint="eastAsia" w:ascii="宋体" w:hAnsi="宋体" w:cs="宋体"/>
          <w:sz w:val="22"/>
        </w:rPr>
        <w:t xml:space="preserve">：支持 Windows DLL、Linux SO 双版本驱动自动识别，同一 Ukey 可在国产、Windows 终端完成登录、签章，改造门户 CA 登录、证书管理模块。</w:t>
      </w:r>
      <w:r/>
    </w:p>
    <w:p>
      <w:pPr>
        <w:numPr>
          <w:ilvl w:val="0"/>
          <w:numId w:val="12"/>
        </w:numPr>
        <w:jc w:val="left"/>
        <w:spacing w:after="120" w:line="360" w:lineRule="auto"/>
        <w:rPr>
          <w:rFonts w:ascii="宋体" w:hAnsi="宋体" w:cs="宋体"/>
        </w:rPr>
      </w:pPr>
      <w:r>
        <w:rPr>
          <w:rFonts w:hint="eastAsia" w:ascii="宋体" w:hAnsi="宋体" w:cs="宋体"/>
          <w:b/>
          <w:sz w:val="22"/>
        </w:rPr>
        <w:t xml:space="preserve">打印外设适配</w:t>
      </w:r>
      <w:r>
        <w:rPr>
          <w:rFonts w:hint="eastAsia" w:ascii="宋体" w:hAnsi="宋体" w:cs="宋体"/>
          <w:sz w:val="22"/>
        </w:rPr>
        <w:t xml:space="preserve">：重构报表打印组件，解决国产打印机票据换行、重叠、分页错乱问题，支持财政电子票据、缴款凭证正常打印。</w:t>
      </w:r>
      <w:r/>
    </w:p>
    <w:p>
      <w:pPr>
        <w:numPr>
          <w:ilvl w:val="0"/>
          <w:numId w:val="12"/>
        </w:numPr>
        <w:jc w:val="left"/>
        <w:spacing w:after="120" w:line="360" w:lineRule="auto"/>
        <w:rPr>
          <w:rFonts w:ascii="宋体" w:hAnsi="宋体" w:cs="宋体"/>
        </w:rPr>
      </w:pPr>
      <w:r>
        <w:rPr>
          <w:rFonts w:hint="eastAsia" w:ascii="宋体" w:hAnsi="宋体" w:cs="宋体"/>
          <w:b/>
          <w:sz w:val="22"/>
        </w:rPr>
        <w:t xml:space="preserve">界面自适应</w:t>
      </w:r>
      <w:r>
        <w:rPr>
          <w:rFonts w:hint="eastAsia" w:ascii="宋体" w:hAnsi="宋体" w:cs="宋体"/>
          <w:sz w:val="22"/>
        </w:rPr>
        <w:t xml:space="preserve">：适配不同分辨率国产终端，统一字体、按钮、分页控件展示效果。</w:t>
      </w:r>
      <w:r/>
    </w:p>
    <w:p>
      <w:pPr>
        <w:jc w:val="left"/>
        <w:spacing w:after="120" w:line="360" w:lineRule="auto"/>
        <w:rPr>
          <w:rFonts w:ascii="宋体" w:hAnsi="宋体" w:cs="宋体"/>
        </w:rPr>
        <w:outlineLvl w:val="2"/>
      </w:pPr>
      <w:r/>
      <w:bookmarkStart w:id="210" w:name="heading_14"/>
      <w:r>
        <w:rPr>
          <w:rFonts w:hint="eastAsia" w:ascii="宋体" w:hAnsi="宋体" w:cs="宋体"/>
          <w:b/>
          <w:sz w:val="30"/>
        </w:rPr>
        <w:t xml:space="preserve">4.3 数据迁移与治理要求</w:t>
      </w:r>
      <w:bookmarkEnd w:id="210"/>
      <w:r/>
      <w:r/>
    </w:p>
    <w:p>
      <w:pPr>
        <w:numPr>
          <w:ilvl w:val="0"/>
          <w:numId w:val="13"/>
        </w:numPr>
        <w:jc w:val="left"/>
        <w:spacing w:after="120" w:line="360" w:lineRule="auto"/>
        <w:rPr>
          <w:rFonts w:ascii="宋体" w:hAnsi="宋体" w:cs="宋体"/>
        </w:rPr>
      </w:pPr>
      <w:r>
        <w:rPr>
          <w:rFonts w:hint="eastAsia" w:ascii="宋体" w:hAnsi="宋体" w:cs="宋体"/>
          <w:b/>
          <w:sz w:val="22"/>
        </w:rPr>
        <w:t xml:space="preserve">迁移范围</w:t>
      </w:r>
      <w:r>
        <w:rPr>
          <w:rFonts w:hint="eastAsia" w:ascii="宋体" w:hAnsi="宋体" w:cs="宋体"/>
          <w:sz w:val="22"/>
        </w:rPr>
        <w:t xml:space="preserve">：原非税系统全量业务数据，包含执收单位、非税项目、缴款单、票据、退付、对账、银行流水、历史报表、系统配置、权限账号等全部数据。</w:t>
      </w:r>
      <w:r/>
    </w:p>
    <w:p>
      <w:pPr>
        <w:numPr>
          <w:ilvl w:val="0"/>
          <w:numId w:val="13"/>
        </w:numPr>
        <w:jc w:val="left"/>
        <w:spacing w:after="120" w:line="360" w:lineRule="auto"/>
        <w:rPr>
          <w:rFonts w:ascii="宋体" w:hAnsi="宋体" w:cs="宋体"/>
        </w:rPr>
      </w:pPr>
      <w:r>
        <w:rPr>
          <w:rFonts w:hint="eastAsia" w:ascii="宋体" w:hAnsi="宋体" w:cs="宋体"/>
          <w:b/>
          <w:sz w:val="22"/>
        </w:rPr>
        <w:t xml:space="preserve">迁移流程</w:t>
      </w:r>
      <w:r>
        <w:rPr>
          <w:rFonts w:hint="eastAsia" w:ascii="宋体" w:hAnsi="宋体" w:cs="宋体"/>
          <w:sz w:val="22"/>
        </w:rPr>
        <w:t xml:space="preserve">：严格遵循「规划 - 设计 - 模拟迁移 - 正式迁移 - 验证」四阶段流程，正式迁移前完成全量备份，保留</w:t>
      </w:r>
      <w:r>
        <w:rPr>
          <w:rFonts w:hint="eastAsia" w:ascii="宋体" w:hAnsi="宋体" w:cs="宋体"/>
          <w:sz w:val="22"/>
        </w:rPr>
        <w:t xml:space="preserve">完整回滚</w:t>
      </w:r>
      <w:r>
        <w:rPr>
          <w:rFonts w:hint="eastAsia" w:ascii="宋体" w:hAnsi="宋体" w:cs="宋体"/>
          <w:sz w:val="22"/>
        </w:rPr>
        <w:t xml:space="preserve">方案。</w:t>
      </w:r>
      <w:r/>
    </w:p>
    <w:p>
      <w:pPr>
        <w:numPr>
          <w:ilvl w:val="0"/>
          <w:numId w:val="13"/>
        </w:numPr>
        <w:jc w:val="left"/>
        <w:spacing w:after="120" w:line="360" w:lineRule="auto"/>
        <w:rPr>
          <w:rFonts w:ascii="宋体" w:hAnsi="宋体" w:cs="宋体"/>
        </w:rPr>
      </w:pPr>
      <w:r>
        <w:rPr>
          <w:rFonts w:hint="eastAsia" w:ascii="宋体" w:hAnsi="宋体" w:cs="宋体"/>
          <w:b/>
          <w:sz w:val="22"/>
        </w:rPr>
        <w:t xml:space="preserve">数据清洗校验</w:t>
      </w:r>
      <w:r>
        <w:rPr>
          <w:rFonts w:hint="eastAsia" w:ascii="宋体" w:hAnsi="宋体" w:cs="宋体"/>
          <w:sz w:val="22"/>
        </w:rPr>
        <w:t xml:space="preserve">：自动检查数据格式、长度、取值区间、空值、</w:t>
      </w:r>
      <w:r>
        <w:rPr>
          <w:rFonts w:hint="eastAsia" w:ascii="宋体" w:hAnsi="宋体" w:cs="宋体"/>
          <w:sz w:val="22"/>
        </w:rPr>
        <w:t xml:space="preserve">主外键关联</w:t>
      </w:r>
      <w:r>
        <w:rPr>
          <w:rFonts w:hint="eastAsia" w:ascii="宋体" w:hAnsi="宋体" w:cs="宋体"/>
          <w:sz w:val="22"/>
        </w:rPr>
        <w:t xml:space="preserve">、逻辑一致性；划分废弃、待调整、可转换三类数据，配套自动化纠错工具。</w:t>
      </w:r>
      <w:r/>
    </w:p>
    <w:p>
      <w:pPr>
        <w:numPr>
          <w:ilvl w:val="0"/>
          <w:numId w:val="13"/>
        </w:numPr>
        <w:jc w:val="left"/>
        <w:spacing w:after="120" w:line="360" w:lineRule="auto"/>
        <w:rPr>
          <w:rFonts w:ascii="宋体" w:hAnsi="宋体" w:cs="宋体"/>
        </w:rPr>
      </w:pPr>
      <w:r>
        <w:rPr>
          <w:rFonts w:hint="eastAsia" w:ascii="宋体" w:hAnsi="宋体" w:cs="宋体"/>
          <w:b/>
          <w:sz w:val="22"/>
        </w:rPr>
        <w:t xml:space="preserve">迁移校验机制</w:t>
      </w:r>
      <w:r>
        <w:rPr>
          <w:rFonts w:hint="eastAsia" w:ascii="宋体" w:hAnsi="宋体" w:cs="宋体"/>
          <w:sz w:val="22"/>
        </w:rPr>
        <w:t xml:space="preserve">：迁移完成后提供新旧系统数据对比工具，校验记录总数、金额汇总、单业务明细完全一致；支持数据恢复复测，出具完整数据迁移校验报告。</w:t>
      </w:r>
      <w:r/>
    </w:p>
    <w:p>
      <w:pPr>
        <w:numPr>
          <w:ilvl w:val="0"/>
          <w:numId w:val="13"/>
        </w:numPr>
        <w:jc w:val="left"/>
        <w:spacing w:after="120" w:line="360" w:lineRule="auto"/>
        <w:rPr>
          <w:rFonts w:ascii="宋体" w:hAnsi="宋体" w:cs="宋体"/>
        </w:rPr>
      </w:pPr>
      <w:r>
        <w:rPr>
          <w:rFonts w:hint="eastAsia" w:ascii="宋体" w:hAnsi="宋体" w:cs="宋体"/>
          <w:b/>
          <w:sz w:val="22"/>
        </w:rPr>
        <w:t xml:space="preserve">数据存储架构</w:t>
      </w:r>
      <w:r>
        <w:rPr>
          <w:rFonts w:hint="eastAsia" w:ascii="宋体" w:hAnsi="宋体" w:cs="宋体"/>
          <w:sz w:val="22"/>
        </w:rPr>
        <w:t xml:space="preserve">：国产数据库分为实时业务库、历史归档库、备份库，执行每周全量、每日增量备份策略，备份数据异地留存，保留期限不少于 1 年。</w:t>
      </w:r>
      <w:r/>
    </w:p>
    <w:p>
      <w:pPr>
        <w:jc w:val="left"/>
        <w:spacing w:after="120" w:line="360" w:lineRule="auto"/>
        <w:rPr>
          <w:rFonts w:ascii="宋体" w:hAnsi="宋体" w:cs="宋体"/>
        </w:rPr>
        <w:outlineLvl w:val="2"/>
      </w:pPr>
      <w:r/>
      <w:bookmarkStart w:id="211" w:name="heading_15"/>
      <w:r>
        <w:rPr>
          <w:rFonts w:hint="eastAsia" w:ascii="宋体" w:hAnsi="宋体" w:cs="宋体"/>
          <w:b/>
          <w:sz w:val="30"/>
        </w:rPr>
        <w:t xml:space="preserve">4.4 核心业务功能模块国产化改造要求</w:t>
      </w:r>
      <w:bookmarkEnd w:id="211"/>
      <w:r/>
      <w:r/>
    </w:p>
    <w:p>
      <w:pPr>
        <w:jc w:val="left"/>
        <w:spacing w:after="120" w:line="360" w:lineRule="auto"/>
        <w:rPr>
          <w:rFonts w:ascii="宋体" w:hAnsi="宋体" w:cs="宋体"/>
        </w:rPr>
        <w:outlineLvl w:val="3"/>
      </w:pPr>
      <w:r/>
      <w:bookmarkStart w:id="212" w:name="heading_16"/>
      <w:r>
        <w:rPr>
          <w:rFonts w:hint="eastAsia" w:ascii="宋体" w:hAnsi="宋体" w:cs="宋体"/>
          <w:b/>
          <w:sz w:val="28"/>
        </w:rPr>
        <w:t xml:space="preserve">4.4.1 基础管理模块</w:t>
      </w:r>
      <w:bookmarkEnd w:id="212"/>
      <w:r/>
      <w:r/>
    </w:p>
    <w:p>
      <w:pPr>
        <w:numPr>
          <w:ilvl w:val="0"/>
          <w:numId w:val="14"/>
        </w:numPr>
        <w:jc w:val="left"/>
        <w:spacing w:after="120" w:line="360" w:lineRule="auto"/>
        <w:rPr>
          <w:rFonts w:ascii="宋体" w:hAnsi="宋体" w:cs="宋体"/>
        </w:rPr>
      </w:pPr>
      <w:r>
        <w:rPr>
          <w:rFonts w:hint="eastAsia" w:ascii="宋体" w:hAnsi="宋体" w:cs="宋体"/>
          <w:sz w:val="22"/>
        </w:rPr>
        <w:t xml:space="preserve">用户 / 权限管理：基于角色精细化分级授权，落实三权分立（系统管理员、安全审计员、权限管理员账号隔离），支持账号新增、停用、回收，权限操作全程留痕；适配国产统一身份认证、Ukey 双因子登录。</w:t>
      </w:r>
      <w:r/>
    </w:p>
    <w:p>
      <w:pPr>
        <w:numPr>
          <w:ilvl w:val="0"/>
          <w:numId w:val="14"/>
        </w:numPr>
        <w:jc w:val="left"/>
        <w:spacing w:after="120" w:line="360" w:lineRule="auto"/>
        <w:rPr>
          <w:rFonts w:ascii="宋体" w:hAnsi="宋体" w:cs="宋体"/>
        </w:rPr>
      </w:pPr>
      <w:r>
        <w:rPr>
          <w:rFonts w:hint="eastAsia" w:ascii="宋体" w:hAnsi="宋体" w:cs="宋体"/>
          <w:sz w:val="22"/>
        </w:rPr>
        <w:t xml:space="preserve">菜单 / 参数配置：系统菜单可自定义配置，所有业务参数支持可视化配置，适配国产环境存储与读取。</w:t>
      </w:r>
      <w:r/>
    </w:p>
    <w:p>
      <w:pPr>
        <w:numPr>
          <w:ilvl w:val="0"/>
          <w:numId w:val="14"/>
        </w:numPr>
        <w:jc w:val="left"/>
        <w:spacing w:after="120" w:line="360" w:lineRule="auto"/>
        <w:rPr>
          <w:rFonts w:ascii="宋体" w:hAnsi="宋体" w:cs="宋体"/>
        </w:rPr>
      </w:pPr>
      <w:r>
        <w:rPr>
          <w:rFonts w:hint="eastAsia" w:ascii="宋体" w:hAnsi="宋体" w:cs="宋体"/>
          <w:sz w:val="22"/>
        </w:rPr>
        <w:t xml:space="preserve">日志审计管理：记录用户登录、数据增删改查、接口调用、系统配置变更全量日志，日志不可篡改，存储时长不少于 1 年，支持多条件检索导出。</w:t>
      </w:r>
      <w:r/>
    </w:p>
    <w:p>
      <w:pPr>
        <w:jc w:val="left"/>
        <w:spacing w:after="120" w:line="360" w:lineRule="auto"/>
        <w:rPr>
          <w:rFonts w:ascii="宋体" w:hAnsi="宋体" w:cs="宋体"/>
        </w:rPr>
        <w:outlineLvl w:val="3"/>
      </w:pPr>
      <w:r/>
      <w:bookmarkStart w:id="213" w:name="heading_17"/>
      <w:r>
        <w:rPr>
          <w:rFonts w:hint="eastAsia" w:ascii="宋体" w:hAnsi="宋体" w:cs="宋体"/>
          <w:b/>
          <w:sz w:val="28"/>
        </w:rPr>
        <w:t xml:space="preserve">4.4.2 收缴管理模块</w:t>
      </w:r>
      <w:bookmarkEnd w:id="213"/>
      <w:r/>
      <w:r/>
    </w:p>
    <w:p>
      <w:pPr>
        <w:numPr>
          <w:ilvl w:val="0"/>
          <w:numId w:val="14"/>
        </w:numPr>
        <w:jc w:val="left"/>
        <w:spacing w:after="120" w:line="360" w:lineRule="auto"/>
        <w:rPr>
          <w:rFonts w:ascii="宋体" w:hAnsi="宋体" w:cs="宋体"/>
        </w:rPr>
      </w:pPr>
      <w:r>
        <w:rPr>
          <w:rFonts w:hint="eastAsia" w:ascii="宋体" w:hAnsi="宋体" w:cs="宋体"/>
          <w:sz w:val="22"/>
        </w:rPr>
        <w:t xml:space="preserve">电子缴款书生成、多渠道缴款（柜面、POS、线上第三方）、缴款确认、收入确认全流程国产化适配；</w:t>
      </w:r>
      <w:r/>
    </w:p>
    <w:p>
      <w:pPr>
        <w:numPr>
          <w:ilvl w:val="0"/>
          <w:numId w:val="14"/>
        </w:numPr>
        <w:jc w:val="left"/>
        <w:spacing w:after="120" w:line="360" w:lineRule="auto"/>
        <w:rPr>
          <w:rFonts w:ascii="宋体" w:hAnsi="宋体" w:cs="宋体"/>
        </w:rPr>
      </w:pPr>
      <w:r>
        <w:rPr>
          <w:rFonts w:hint="eastAsia" w:ascii="宋体" w:hAnsi="宋体" w:cs="宋体"/>
          <w:sz w:val="22"/>
        </w:rPr>
        <w:t xml:space="preserve">缴款识别码统一管理，支持按单位、时间、项目、缴款人多维度检索缴款流水；</w:t>
      </w:r>
      <w:r/>
    </w:p>
    <w:p>
      <w:pPr>
        <w:numPr>
          <w:ilvl w:val="0"/>
          <w:numId w:val="14"/>
        </w:numPr>
        <w:jc w:val="left"/>
        <w:spacing w:after="120" w:line="360" w:lineRule="auto"/>
        <w:rPr>
          <w:rFonts w:ascii="宋体" w:hAnsi="宋体" w:cs="宋体"/>
        </w:rPr>
      </w:pPr>
      <w:r>
        <w:rPr>
          <w:rFonts w:hint="eastAsia" w:ascii="宋体" w:hAnsi="宋体" w:cs="宋体"/>
          <w:sz w:val="22"/>
        </w:rPr>
        <w:t xml:space="preserve">退付申请、审核、资金退付全流程适配，自动生成退付凭证，与代理银行接口国产化对接。</w:t>
      </w:r>
      <w:r/>
    </w:p>
    <w:p>
      <w:pPr>
        <w:jc w:val="left"/>
        <w:spacing w:after="120" w:line="360" w:lineRule="auto"/>
        <w:rPr>
          <w:rFonts w:ascii="宋体" w:hAnsi="宋体" w:cs="宋体"/>
        </w:rPr>
        <w:outlineLvl w:val="3"/>
      </w:pPr>
      <w:r/>
      <w:bookmarkStart w:id="214" w:name="heading_18"/>
      <w:r>
        <w:rPr>
          <w:rFonts w:hint="eastAsia" w:ascii="宋体" w:hAnsi="宋体" w:cs="宋体"/>
          <w:b/>
          <w:sz w:val="28"/>
        </w:rPr>
        <w:t xml:space="preserve">4.4.3 电子票据管理模块</w:t>
      </w:r>
      <w:bookmarkEnd w:id="214"/>
      <w:r/>
      <w:r/>
    </w:p>
    <w:p>
      <w:pPr>
        <w:numPr>
          <w:ilvl w:val="0"/>
          <w:numId w:val="14"/>
        </w:numPr>
        <w:jc w:val="left"/>
        <w:spacing w:after="120" w:line="360" w:lineRule="auto"/>
        <w:rPr>
          <w:rFonts w:ascii="宋体" w:hAnsi="宋体" w:cs="宋体"/>
        </w:rPr>
      </w:pPr>
      <w:r>
        <w:rPr>
          <w:rFonts w:hint="eastAsia" w:ascii="宋体" w:hAnsi="宋体" w:cs="宋体"/>
          <w:sz w:val="22"/>
        </w:rPr>
        <w:t xml:space="preserve">对接省</w:t>
      </w:r>
      <w:r>
        <w:rPr>
          <w:rFonts w:hint="eastAsia" w:ascii="宋体" w:hAnsi="宋体" w:cs="宋体"/>
          <w:sz w:val="22"/>
        </w:rPr>
        <w:t xml:space="preserve">电子票据平台接口，实现票据制样、赋码、开具、传输、查验、归档全业务；</w:t>
      </w:r>
      <w:r/>
    </w:p>
    <w:p>
      <w:pPr>
        <w:numPr>
          <w:ilvl w:val="0"/>
          <w:numId w:val="14"/>
        </w:numPr>
        <w:jc w:val="left"/>
        <w:spacing w:after="120" w:line="360" w:lineRule="auto"/>
        <w:rPr>
          <w:rFonts w:ascii="宋体" w:hAnsi="宋体" w:cs="宋体"/>
        </w:rPr>
      </w:pPr>
      <w:r>
        <w:rPr>
          <w:rFonts w:hint="eastAsia" w:ascii="宋体" w:hAnsi="宋体" w:cs="宋体"/>
          <w:sz w:val="22"/>
        </w:rPr>
        <w:t xml:space="preserve">完整支持 8 位票据代码、10 位票据号码标准编码规则，票据电子签名、财政监制签章在国产终端正常展示；</w:t>
      </w:r>
      <w:r/>
    </w:p>
    <w:p>
      <w:pPr>
        <w:numPr>
          <w:ilvl w:val="0"/>
          <w:numId w:val="14"/>
        </w:numPr>
        <w:jc w:val="left"/>
        <w:spacing w:after="120" w:line="360" w:lineRule="auto"/>
        <w:rPr>
          <w:rFonts w:ascii="宋体" w:hAnsi="宋体" w:cs="宋体"/>
        </w:rPr>
      </w:pPr>
      <w:r>
        <w:rPr>
          <w:rFonts w:hint="eastAsia" w:ascii="宋体" w:hAnsi="宋体" w:cs="宋体"/>
          <w:sz w:val="22"/>
        </w:rPr>
        <w:t xml:space="preserve">票据批量导出、打印适配国产打印机，支持票据历史档案跨年度查询。</w:t>
      </w:r>
      <w:r/>
    </w:p>
    <w:p>
      <w:pPr>
        <w:jc w:val="left"/>
        <w:spacing w:after="120" w:line="360" w:lineRule="auto"/>
        <w:rPr>
          <w:rFonts w:ascii="宋体" w:hAnsi="宋体" w:cs="宋体"/>
        </w:rPr>
        <w:outlineLvl w:val="3"/>
      </w:pPr>
      <w:r/>
      <w:bookmarkStart w:id="215" w:name="heading_19"/>
      <w:r>
        <w:rPr>
          <w:rFonts w:hint="eastAsia" w:ascii="宋体" w:hAnsi="宋体" w:cs="宋体"/>
          <w:b/>
          <w:sz w:val="28"/>
        </w:rPr>
        <w:t xml:space="preserve">4.4.4 对账与资金管理模块</w:t>
      </w:r>
      <w:bookmarkEnd w:id="215"/>
      <w:r/>
      <w:r/>
    </w:p>
    <w:p>
      <w:pPr>
        <w:numPr>
          <w:ilvl w:val="0"/>
          <w:numId w:val="14"/>
        </w:numPr>
        <w:jc w:val="left"/>
        <w:spacing w:after="120" w:line="360" w:lineRule="auto"/>
        <w:rPr>
          <w:rFonts w:ascii="宋体" w:hAnsi="宋体" w:cs="宋体"/>
        </w:rPr>
      </w:pPr>
      <w:r>
        <w:rPr>
          <w:rFonts w:hint="eastAsia" w:ascii="宋体" w:hAnsi="宋体" w:cs="宋体"/>
          <w:sz w:val="22"/>
        </w:rPr>
        <w:t xml:space="preserve">实现财政、代理银行、国库每日自动对账，核对缴款流水、资金到账、缴库数据；</w:t>
      </w:r>
      <w:r/>
    </w:p>
    <w:p>
      <w:pPr>
        <w:numPr>
          <w:ilvl w:val="0"/>
          <w:numId w:val="14"/>
        </w:numPr>
        <w:jc w:val="left"/>
        <w:spacing w:after="120" w:line="360" w:lineRule="auto"/>
        <w:rPr>
          <w:rFonts w:ascii="宋体" w:hAnsi="宋体" w:cs="宋体"/>
        </w:rPr>
      </w:pPr>
      <w:r>
        <w:rPr>
          <w:rFonts w:hint="eastAsia" w:ascii="宋体" w:hAnsi="宋体" w:cs="宋体"/>
          <w:sz w:val="22"/>
        </w:rPr>
        <w:t xml:space="preserve">资金清分、缴库流程适配省公共支付平台国产化报文规范，自动生成国库缴库凭证；</w:t>
      </w:r>
      <w:r/>
    </w:p>
    <w:p>
      <w:pPr>
        <w:numPr>
          <w:ilvl w:val="0"/>
          <w:numId w:val="14"/>
        </w:numPr>
        <w:jc w:val="left"/>
        <w:spacing w:after="120" w:line="360" w:lineRule="auto"/>
        <w:rPr>
          <w:rFonts w:ascii="宋体" w:hAnsi="宋体" w:cs="宋体"/>
        </w:rPr>
      </w:pPr>
      <w:r>
        <w:rPr>
          <w:rFonts w:hint="eastAsia" w:ascii="宋体" w:hAnsi="宋体" w:cs="宋体"/>
          <w:sz w:val="22"/>
        </w:rPr>
        <w:t xml:space="preserve">异常资金、不明款识别、标记、处置功能完整保留，支持</w:t>
      </w:r>
      <w:r>
        <w:rPr>
          <w:rFonts w:hint="eastAsia" w:ascii="宋体" w:hAnsi="宋体" w:cs="宋体"/>
          <w:sz w:val="22"/>
        </w:rPr>
        <w:t xml:space="preserve">资金台</w:t>
      </w:r>
      <w:r>
        <w:rPr>
          <w:rFonts w:hint="eastAsia" w:ascii="宋体" w:hAnsi="宋体" w:cs="宋体"/>
          <w:sz w:val="22"/>
        </w:rPr>
        <w:t xml:space="preserve">账汇总导出。</w:t>
      </w:r>
      <w:r/>
    </w:p>
    <w:p>
      <w:pPr>
        <w:jc w:val="left"/>
        <w:spacing w:after="120" w:line="360" w:lineRule="auto"/>
        <w:rPr>
          <w:rFonts w:ascii="宋体" w:hAnsi="宋体" w:cs="宋体"/>
        </w:rPr>
        <w:outlineLvl w:val="3"/>
      </w:pPr>
      <w:r/>
      <w:bookmarkStart w:id="216" w:name="heading_20"/>
      <w:r>
        <w:rPr>
          <w:rFonts w:hint="eastAsia" w:ascii="宋体" w:hAnsi="宋体" w:cs="宋体"/>
          <w:b/>
          <w:sz w:val="28"/>
        </w:rPr>
        <w:t xml:space="preserve">4.4.5 预算一体化对接模块</w:t>
      </w:r>
      <w:bookmarkEnd w:id="216"/>
      <w:r/>
      <w:r/>
    </w:p>
    <w:p>
      <w:pPr>
        <w:numPr>
          <w:ilvl w:val="0"/>
          <w:numId w:val="14"/>
        </w:numPr>
        <w:jc w:val="left"/>
        <w:spacing w:after="120" w:line="360" w:lineRule="auto"/>
        <w:rPr>
          <w:rFonts w:ascii="宋体" w:hAnsi="宋体" w:cs="宋体"/>
        </w:rPr>
      </w:pPr>
      <w:r>
        <w:rPr>
          <w:rFonts w:hint="eastAsia" w:ascii="宋体" w:hAnsi="宋体" w:cs="宋体"/>
          <w:sz w:val="22"/>
        </w:rPr>
        <w:t xml:space="preserve">改造基础信息同步接口：非税项目、执收单位、银行账户信息标准化上报，适配省预算</w:t>
      </w:r>
      <w:r>
        <w:rPr>
          <w:rFonts w:hint="eastAsia" w:ascii="宋体" w:hAnsi="宋体" w:cs="宋体"/>
          <w:sz w:val="22"/>
        </w:rPr>
        <w:t xml:space="preserve">一体化 JSON 报文规范；</w:t>
      </w:r>
      <w:r/>
    </w:p>
    <w:p>
      <w:pPr>
        <w:numPr>
          <w:ilvl w:val="0"/>
          <w:numId w:val="14"/>
        </w:numPr>
        <w:jc w:val="left"/>
        <w:spacing w:after="120" w:line="360" w:lineRule="auto"/>
        <w:rPr>
          <w:rFonts w:ascii="宋体" w:hAnsi="宋体" w:cs="宋体"/>
        </w:rPr>
      </w:pPr>
      <w:r>
        <w:rPr>
          <w:rFonts w:hint="eastAsia" w:ascii="宋体" w:hAnsi="宋体" w:cs="宋体"/>
          <w:sz w:val="22"/>
        </w:rPr>
        <w:t xml:space="preserve">非税收入过账接口改造，支持正常缴款、</w:t>
      </w:r>
      <w:r>
        <w:rPr>
          <w:rFonts w:hint="eastAsia" w:ascii="宋体" w:hAnsi="宋体" w:cs="宋体"/>
          <w:sz w:val="22"/>
        </w:rPr>
        <w:t xml:space="preserve">不明款</w:t>
      </w:r>
      <w:r>
        <w:rPr>
          <w:rFonts w:hint="eastAsia" w:ascii="宋体" w:hAnsi="宋体" w:cs="宋体"/>
          <w:sz w:val="22"/>
        </w:rPr>
        <w:t xml:space="preserve">批量过账、按缴款码 / 流水号 / 组 ID 撤销过账；</w:t>
      </w:r>
      <w:r/>
    </w:p>
    <w:p>
      <w:pPr>
        <w:numPr>
          <w:ilvl w:val="0"/>
          <w:numId w:val="14"/>
        </w:numPr>
        <w:jc w:val="left"/>
        <w:spacing w:after="120" w:line="360" w:lineRule="auto"/>
        <w:rPr>
          <w:rFonts w:ascii="宋体" w:hAnsi="宋体" w:cs="宋体"/>
        </w:rPr>
      </w:pPr>
      <w:r>
        <w:rPr>
          <w:rFonts w:hint="eastAsia" w:ascii="宋体" w:hAnsi="宋体" w:cs="宋体"/>
          <w:sz w:val="22"/>
        </w:rPr>
        <w:t xml:space="preserve">自动同步预算管控规则，实时反馈执收进度至一体化平台，接口传输国密加密。</w:t>
      </w:r>
      <w:r/>
    </w:p>
    <w:p>
      <w:pPr>
        <w:jc w:val="left"/>
        <w:spacing w:after="120" w:line="360" w:lineRule="auto"/>
        <w:rPr>
          <w:rFonts w:ascii="宋体" w:hAnsi="宋体" w:cs="宋体"/>
        </w:rPr>
        <w:outlineLvl w:val="2"/>
      </w:pPr>
      <w:r/>
      <w:bookmarkStart w:id="217" w:name="heading_22"/>
      <w:r>
        <w:rPr>
          <w:rFonts w:hint="eastAsia" w:ascii="宋体" w:hAnsi="宋体" w:cs="宋体"/>
          <w:b/>
          <w:sz w:val="30"/>
        </w:rPr>
        <w:t xml:space="preserve">4.5 跨系统接口适配要求</w:t>
      </w:r>
      <w:bookmarkEnd w:id="217"/>
      <w:r/>
      <w:r/>
    </w:p>
    <w:p>
      <w:pPr>
        <w:numPr>
          <w:ilvl w:val="0"/>
          <w:numId w:val="14"/>
        </w:numPr>
        <w:jc w:val="left"/>
        <w:spacing w:after="120" w:line="360" w:lineRule="auto"/>
        <w:rPr>
          <w:rFonts w:ascii="宋体" w:hAnsi="宋体" w:cs="宋体"/>
        </w:rPr>
      </w:pPr>
      <w:r>
        <w:rPr>
          <w:rFonts w:hint="eastAsia" w:ascii="宋体" w:hAnsi="宋体" w:cs="宋体"/>
          <w:b/>
          <w:sz w:val="22"/>
        </w:rPr>
        <w:t xml:space="preserve">江苏省统一公共支付平台</w:t>
      </w:r>
      <w:r>
        <w:rPr>
          <w:rFonts w:hint="eastAsia" w:ascii="宋体" w:hAnsi="宋体" w:cs="宋体"/>
          <w:sz w:val="22"/>
        </w:rPr>
        <w:t xml:space="preserve">：适配缴款、退付、清分、缴库、对账六大业务接口，国产化环境下报文加密、token 认证、IP 白名单适配，接口 7×24 稳定连通。</w:t>
      </w:r>
      <w:r/>
    </w:p>
    <w:p>
      <w:pPr>
        <w:numPr>
          <w:ilvl w:val="0"/>
          <w:numId w:val="14"/>
        </w:numPr>
        <w:jc w:val="left"/>
        <w:spacing w:after="120" w:line="360" w:lineRule="auto"/>
        <w:rPr>
          <w:rFonts w:ascii="宋体" w:hAnsi="宋体" w:cs="宋体"/>
        </w:rPr>
      </w:pPr>
      <w:r>
        <w:rPr>
          <w:rFonts w:hint="eastAsia" w:ascii="宋体" w:hAnsi="宋体" w:cs="宋体"/>
          <w:b/>
          <w:sz w:val="22"/>
        </w:rPr>
        <w:t xml:space="preserve">江苏省电子票据平台</w:t>
      </w:r>
      <w:r>
        <w:rPr>
          <w:rFonts w:hint="eastAsia" w:ascii="宋体" w:hAnsi="宋体" w:cs="宋体"/>
          <w:sz w:val="22"/>
        </w:rPr>
        <w:t xml:space="preserve">：完成票据申请、库存分发、入库、查询全套接口国产化改造，解决国产中间件报文解析兼容问题。</w:t>
      </w:r>
      <w:r/>
    </w:p>
    <w:p>
      <w:pPr>
        <w:numPr>
          <w:ilvl w:val="0"/>
          <w:numId w:val="14"/>
        </w:numPr>
        <w:jc w:val="left"/>
        <w:spacing w:after="120" w:line="360" w:lineRule="auto"/>
        <w:rPr>
          <w:rFonts w:ascii="宋体" w:hAnsi="宋体" w:cs="宋体"/>
        </w:rPr>
      </w:pPr>
      <w:r>
        <w:rPr>
          <w:rFonts w:hint="eastAsia" w:ascii="宋体" w:hAnsi="宋体" w:cs="宋体"/>
          <w:b/>
          <w:sz w:val="22"/>
        </w:rPr>
        <w:t xml:space="preserve">省预算一体化系统</w:t>
      </w:r>
      <w:r>
        <w:rPr>
          <w:rFonts w:hint="eastAsia" w:ascii="宋体" w:hAnsi="宋体" w:cs="宋体"/>
          <w:sz w:val="22"/>
        </w:rPr>
        <w:t xml:space="preserve">：适配基础信息发布、单位项目关联、过账 / </w:t>
      </w:r>
      <w:r>
        <w:rPr>
          <w:rFonts w:hint="eastAsia" w:ascii="宋体" w:hAnsi="宋体" w:cs="宋体"/>
          <w:sz w:val="22"/>
        </w:rPr>
        <w:t xml:space="preserve">撤销全</w:t>
      </w:r>
      <w:r>
        <w:rPr>
          <w:rFonts w:hint="eastAsia" w:ascii="宋体" w:hAnsi="宋体" w:cs="宋体"/>
          <w:sz w:val="22"/>
        </w:rPr>
        <w:t xml:space="preserve">接口，支持批量数据传输、版本校验。</w:t>
      </w:r>
      <w:r/>
    </w:p>
    <w:p>
      <w:pPr>
        <w:numPr>
          <w:ilvl w:val="0"/>
          <w:numId w:val="14"/>
        </w:numPr>
        <w:jc w:val="left"/>
        <w:spacing w:after="120" w:line="360" w:lineRule="auto"/>
        <w:rPr>
          <w:rFonts w:ascii="宋体" w:hAnsi="宋体" w:cs="宋体"/>
        </w:rPr>
      </w:pPr>
      <w:r>
        <w:rPr>
          <w:rFonts w:hint="eastAsia" w:ascii="宋体" w:hAnsi="宋体" w:cs="宋体"/>
          <w:b/>
          <w:sz w:val="22"/>
        </w:rPr>
        <w:t xml:space="preserve">代理银行、国库系统</w:t>
      </w:r>
      <w:r>
        <w:rPr>
          <w:rFonts w:hint="eastAsia" w:ascii="宋体" w:hAnsi="宋体" w:cs="宋体"/>
          <w:sz w:val="22"/>
        </w:rPr>
        <w:t xml:space="preserve">：改造资金交互接口，适配 SSL 加密传输，迁移后新服务器 IP 完成</w:t>
      </w:r>
      <w:r>
        <w:rPr>
          <w:rFonts w:hint="eastAsia" w:ascii="宋体" w:hAnsi="宋体" w:cs="宋体"/>
          <w:sz w:val="22"/>
        </w:rPr>
        <w:t xml:space="preserve">银行侧白名单</w:t>
      </w:r>
      <w:r>
        <w:rPr>
          <w:rFonts w:hint="eastAsia" w:ascii="宋体" w:hAnsi="宋体" w:cs="宋体"/>
          <w:sz w:val="22"/>
        </w:rPr>
        <w:t xml:space="preserve">备案。</w:t>
      </w:r>
      <w:r/>
    </w:p>
    <w:p>
      <w:pPr>
        <w:jc w:val="left"/>
        <w:spacing w:after="120" w:line="360" w:lineRule="auto"/>
        <w:rPr>
          <w:rFonts w:ascii="宋体" w:hAnsi="宋体" w:cs="宋体"/>
        </w:rPr>
      </w:pPr>
      <w:r>
        <w:rPr>
          <w:rFonts w:hint="eastAsia" w:ascii="宋体" w:hAnsi="宋体" w:cs="宋体"/>
          <w:sz w:val="22"/>
        </w:rPr>
        <w:t xml:space="preserve">所有对外、对内接口操作全程日志记录，支持接口异常实时告警、故障自动重试。</w:t>
      </w:r>
      <w:r/>
    </w:p>
    <w:p>
      <w:pPr>
        <w:jc w:val="left"/>
        <w:spacing w:after="120" w:line="360" w:lineRule="auto"/>
        <w:rPr>
          <w:rFonts w:ascii="宋体" w:hAnsi="宋体" w:cs="宋体"/>
        </w:rPr>
        <w:outlineLvl w:val="1"/>
      </w:pPr>
      <w:r/>
      <w:bookmarkStart w:id="218" w:name="heading_23"/>
      <w:r>
        <w:rPr>
          <w:rFonts w:hint="eastAsia" w:ascii="宋体" w:hAnsi="宋体" w:cs="宋体"/>
          <w:b/>
          <w:sz w:val="32"/>
        </w:rPr>
        <w:t xml:space="preserve">5 项目实施与周期要求</w:t>
      </w:r>
      <w:bookmarkEnd w:id="218"/>
      <w:r/>
      <w:r/>
    </w:p>
    <w:p>
      <w:pPr>
        <w:jc w:val="left"/>
        <w:spacing w:after="120" w:line="360" w:lineRule="auto"/>
        <w:rPr>
          <w:rFonts w:ascii="宋体" w:hAnsi="宋体" w:cs="宋体"/>
        </w:rPr>
        <w:outlineLvl w:val="2"/>
      </w:pPr>
      <w:r/>
      <w:bookmarkStart w:id="219" w:name="heading_24"/>
      <w:r>
        <w:rPr>
          <w:rFonts w:hint="eastAsia" w:ascii="宋体" w:hAnsi="宋体" w:cs="宋体"/>
          <w:b/>
          <w:sz w:val="30"/>
        </w:rPr>
        <w:t xml:space="preserve">5.1 整体实施周期</w:t>
      </w:r>
      <w:bookmarkEnd w:id="219"/>
      <w:r/>
      <w:r/>
    </w:p>
    <w:p>
      <w:pPr>
        <w:jc w:val="left"/>
        <w:spacing w:after="120" w:line="360" w:lineRule="auto"/>
        <w:rPr>
          <w:rFonts w:ascii="宋体" w:hAnsi="宋体" w:cs="宋体"/>
        </w:rPr>
      </w:pPr>
      <w:r>
        <w:rPr>
          <w:rFonts w:hint="eastAsia" w:ascii="宋体" w:hAnsi="宋体" w:cs="宋体"/>
          <w:color w:val="000000"/>
          <w:sz w:val="22"/>
        </w:rPr>
        <w:t xml:space="preserve">2027年6月前完</w:t>
      </w:r>
      <w:r>
        <w:rPr>
          <w:rFonts w:hint="eastAsia" w:ascii="宋体" w:hAnsi="宋体" w:cs="宋体"/>
          <w:sz w:val="22"/>
        </w:rPr>
        <w:t xml:space="preserve">成全部改造、迁移、测试、30 </w:t>
      </w:r>
      <w:r>
        <w:rPr>
          <w:rFonts w:hint="eastAsia" w:ascii="宋体" w:hAnsi="宋体" w:cs="宋体"/>
          <w:sz w:val="22"/>
        </w:rPr>
        <w:t xml:space="preserve">个</w:t>
      </w:r>
      <w:r>
        <w:rPr>
          <w:rFonts w:hint="eastAsia" w:ascii="宋体" w:hAnsi="宋体" w:cs="宋体"/>
          <w:sz w:val="22"/>
        </w:rPr>
        <w:t xml:space="preserve">工作日试运行、终验交付。</w:t>
      </w:r>
      <w:r/>
    </w:p>
    <w:p>
      <w:pPr>
        <w:jc w:val="left"/>
        <w:spacing w:after="120" w:line="360" w:lineRule="auto"/>
        <w:rPr>
          <w:rFonts w:ascii="宋体" w:hAnsi="宋体" w:cs="宋体"/>
        </w:rPr>
        <w:outlineLvl w:val="2"/>
      </w:pPr>
      <w:r/>
      <w:bookmarkStart w:id="220" w:name="heading_25"/>
      <w:r>
        <w:rPr>
          <w:rFonts w:hint="eastAsia" w:ascii="宋体" w:hAnsi="宋体" w:cs="宋体"/>
          <w:b/>
          <w:sz w:val="30"/>
        </w:rPr>
        <w:t xml:space="preserve">5.2 项目实施管理要求</w:t>
      </w:r>
      <w:bookmarkEnd w:id="220"/>
      <w:r/>
      <w:r/>
    </w:p>
    <w:p>
      <w:pPr>
        <w:numPr>
          <w:ilvl w:val="0"/>
          <w:numId w:val="15"/>
        </w:numPr>
        <w:jc w:val="left"/>
        <w:spacing w:after="120" w:line="360" w:lineRule="auto"/>
        <w:rPr>
          <w:rFonts w:ascii="宋体" w:hAnsi="宋体" w:cs="宋体"/>
        </w:rPr>
      </w:pPr>
      <w:r>
        <w:rPr>
          <w:rFonts w:hint="eastAsia" w:ascii="宋体" w:hAnsi="宋体" w:cs="宋体"/>
          <w:b/>
          <w:sz w:val="22"/>
        </w:rPr>
        <w:t xml:space="preserve">专</w:t>
      </w:r>
      <w:r>
        <w:rPr>
          <w:rFonts w:hint="eastAsia" w:ascii="宋体" w:hAnsi="宋体" w:cs="宋体"/>
          <w:b/>
          <w:sz w:val="22"/>
        </w:rPr>
        <w:t xml:space="preserve">属项目</w:t>
      </w:r>
      <w:r>
        <w:rPr>
          <w:rFonts w:hint="eastAsia" w:ascii="宋体" w:hAnsi="宋体" w:cs="宋体"/>
          <w:b/>
          <w:sz w:val="22"/>
        </w:rPr>
        <w:t xml:space="preserve">团队</w:t>
      </w:r>
      <w:r>
        <w:rPr>
          <w:rFonts w:hint="eastAsia" w:ascii="宋体" w:hAnsi="宋体" w:cs="宋体"/>
          <w:sz w:val="22"/>
        </w:rPr>
        <w:t xml:space="preserve">：中标供应商须组建固定项目组，配置</w:t>
      </w:r>
      <w:r>
        <w:rPr>
          <w:rFonts w:hint="eastAsia" w:ascii="宋体" w:hAnsi="宋体" w:cs="宋体"/>
          <w:sz w:val="22"/>
        </w:rPr>
        <w:t xml:space="preserve">专职项目</w:t>
      </w:r>
      <w:r>
        <w:rPr>
          <w:rFonts w:hint="eastAsia" w:ascii="宋体" w:hAnsi="宋体" w:cs="宋体"/>
          <w:sz w:val="22"/>
        </w:rPr>
        <w:t xml:space="preserve">经理、技术经理、国产化适配开发工程师、数据迁移工程师、驻场实施工程师、安全测评对接专员，人员不得随意更换；项目经理全程驻场协调。</w:t>
      </w:r>
      <w:r/>
    </w:p>
    <w:p>
      <w:pPr>
        <w:numPr>
          <w:ilvl w:val="0"/>
          <w:numId w:val="15"/>
        </w:numPr>
        <w:jc w:val="left"/>
        <w:spacing w:after="120" w:line="360" w:lineRule="auto"/>
        <w:rPr>
          <w:rFonts w:ascii="宋体" w:hAnsi="宋体" w:cs="宋体"/>
        </w:rPr>
      </w:pPr>
      <w:r>
        <w:rPr>
          <w:rFonts w:hint="eastAsia" w:ascii="宋体" w:hAnsi="宋体" w:cs="宋体"/>
          <w:b/>
          <w:sz w:val="22"/>
        </w:rPr>
        <w:t xml:space="preserve">进度汇报机制</w:t>
      </w:r>
      <w:r>
        <w:rPr>
          <w:rFonts w:hint="eastAsia" w:ascii="宋体" w:hAnsi="宋体" w:cs="宋体"/>
          <w:sz w:val="22"/>
        </w:rPr>
        <w:t xml:space="preserve">：每周向财政局提交进度周报，每月提交月度实施总结；重大变更、故障、风险 24 小时内书面上报，提供处置方案。</w:t>
      </w:r>
      <w:r/>
    </w:p>
    <w:p>
      <w:pPr>
        <w:numPr>
          <w:ilvl w:val="0"/>
          <w:numId w:val="15"/>
        </w:numPr>
        <w:jc w:val="left"/>
        <w:spacing w:after="120" w:line="360" w:lineRule="auto"/>
        <w:rPr>
          <w:rFonts w:ascii="宋体" w:hAnsi="宋体" w:cs="宋体"/>
        </w:rPr>
      </w:pPr>
      <w:r>
        <w:rPr>
          <w:rFonts w:hint="eastAsia" w:ascii="宋体" w:hAnsi="宋体" w:cs="宋体"/>
          <w:b/>
          <w:sz w:val="22"/>
        </w:rPr>
        <w:t xml:space="preserve">双轨并行保障</w:t>
      </w:r>
      <w:r>
        <w:rPr>
          <w:rFonts w:hint="eastAsia" w:ascii="宋体" w:hAnsi="宋体" w:cs="宋体"/>
          <w:sz w:val="22"/>
        </w:rPr>
        <w:t xml:space="preserve">：新旧系统并行运行不少于 3 </w:t>
      </w:r>
      <w:r>
        <w:rPr>
          <w:rFonts w:hint="eastAsia" w:ascii="宋体" w:hAnsi="宋体" w:cs="宋体"/>
          <w:sz w:val="22"/>
        </w:rPr>
        <w:t xml:space="preserve">个</w:t>
      </w:r>
      <w:r>
        <w:rPr>
          <w:rFonts w:hint="eastAsia" w:ascii="宋体" w:hAnsi="宋体" w:cs="宋体"/>
          <w:sz w:val="22"/>
        </w:rPr>
        <w:t xml:space="preserve">月，旧系统环境完整保留作为兜底回退方案，</w:t>
      </w:r>
      <w:r>
        <w:rPr>
          <w:rFonts w:hint="eastAsia" w:ascii="宋体" w:hAnsi="宋体" w:cs="宋体"/>
          <w:sz w:val="22"/>
        </w:rPr>
        <w:t xml:space="preserve">割接分低峰</w:t>
      </w:r>
      <w:r>
        <w:rPr>
          <w:rFonts w:hint="eastAsia" w:ascii="宋体" w:hAnsi="宋体" w:cs="宋体"/>
          <w:sz w:val="22"/>
        </w:rPr>
        <w:t xml:space="preserve">时段分步实施。</w:t>
      </w:r>
      <w:r/>
    </w:p>
    <w:p>
      <w:pPr>
        <w:numPr>
          <w:ilvl w:val="0"/>
          <w:numId w:val="15"/>
        </w:numPr>
        <w:jc w:val="left"/>
        <w:spacing w:after="120" w:line="360" w:lineRule="auto"/>
        <w:rPr>
          <w:rFonts w:ascii="宋体" w:hAnsi="宋体" w:cs="宋体"/>
        </w:rPr>
      </w:pPr>
      <w:r>
        <w:rPr>
          <w:rFonts w:hint="eastAsia" w:ascii="宋体" w:hAnsi="宋体" w:cs="宋体"/>
          <w:b/>
          <w:sz w:val="22"/>
        </w:rPr>
        <w:t xml:space="preserve">变更审批管控</w:t>
      </w:r>
      <w:r>
        <w:rPr>
          <w:rFonts w:hint="eastAsia" w:ascii="宋体" w:hAnsi="宋体" w:cs="宋体"/>
          <w:sz w:val="22"/>
        </w:rPr>
        <w:t xml:space="preserve">：所有系统代码、配置、接口、数据库结构变更必须提交变更申请，经采购人审批、测试通过后方可上线，留存完整变更台账。</w:t>
      </w:r>
      <w:r/>
    </w:p>
    <w:p>
      <w:pPr>
        <w:numPr>
          <w:ilvl w:val="0"/>
          <w:numId w:val="15"/>
        </w:numPr>
        <w:jc w:val="left"/>
        <w:spacing w:after="120" w:line="360" w:lineRule="auto"/>
        <w:rPr>
          <w:rFonts w:ascii="宋体" w:hAnsi="宋体" w:cs="宋体"/>
        </w:rPr>
      </w:pPr>
      <w:r>
        <w:rPr>
          <w:rFonts w:hint="eastAsia" w:ascii="宋体" w:hAnsi="宋体" w:cs="宋体"/>
          <w:b/>
          <w:sz w:val="22"/>
        </w:rPr>
        <w:t xml:space="preserve">数据安全管控</w:t>
      </w:r>
      <w:r>
        <w:rPr>
          <w:rFonts w:hint="eastAsia" w:ascii="宋体" w:hAnsi="宋体" w:cs="宋体"/>
          <w:sz w:val="22"/>
        </w:rPr>
        <w:t xml:space="preserve">：所有实施人员签订保密协议，项目数据仅在财政专网内部处理，严禁拷贝、外传、带出办公环境。</w:t>
      </w:r>
      <w:r/>
    </w:p>
    <w:p>
      <w:pPr>
        <w:jc w:val="left"/>
        <w:spacing w:after="120" w:line="360" w:lineRule="auto"/>
        <w:rPr>
          <w:rFonts w:ascii="宋体" w:hAnsi="宋体" w:cs="宋体"/>
        </w:rPr>
        <w:outlineLvl w:val="2"/>
      </w:pPr>
      <w:r/>
      <w:bookmarkStart w:id="221" w:name="heading_26"/>
      <w:r>
        <w:rPr>
          <w:rFonts w:hint="eastAsia" w:ascii="宋体" w:hAnsi="宋体" w:cs="宋体"/>
          <w:b/>
          <w:sz w:val="30"/>
        </w:rPr>
        <w:t xml:space="preserve">5.3 过渡期应急实施要求</w:t>
      </w:r>
      <w:bookmarkEnd w:id="221"/>
      <w:r/>
      <w:r/>
    </w:p>
    <w:p>
      <w:pPr>
        <w:numPr>
          <w:ilvl w:val="0"/>
          <w:numId w:val="16"/>
        </w:numPr>
        <w:jc w:val="left"/>
        <w:spacing w:after="120" w:line="360" w:lineRule="auto"/>
        <w:rPr>
          <w:rFonts w:ascii="宋体" w:hAnsi="宋体" w:cs="宋体"/>
        </w:rPr>
      </w:pPr>
      <w:r>
        <w:rPr>
          <w:rFonts w:hint="eastAsia" w:ascii="宋体" w:hAnsi="宋体" w:cs="宋体"/>
          <w:sz w:val="22"/>
        </w:rPr>
        <w:t xml:space="preserve">制定专项割接、迁移应急预案，区分系统</w:t>
      </w:r>
      <w:r>
        <w:rPr>
          <w:rFonts w:hint="eastAsia" w:ascii="宋体" w:hAnsi="宋体" w:cs="宋体"/>
          <w:sz w:val="22"/>
        </w:rPr>
        <w:t xml:space="preserve">宕</w:t>
      </w:r>
      <w:r>
        <w:rPr>
          <w:rFonts w:hint="eastAsia" w:ascii="宋体" w:hAnsi="宋体" w:cs="宋体"/>
          <w:sz w:val="22"/>
        </w:rPr>
        <w:t xml:space="preserve">机、数据错乱、接口中断、国产终端大面积故障、资金对账异常六类场景，明确分级处置时限；</w:t>
      </w:r>
      <w:r/>
    </w:p>
    <w:p>
      <w:pPr>
        <w:numPr>
          <w:ilvl w:val="0"/>
          <w:numId w:val="16"/>
        </w:numPr>
        <w:jc w:val="left"/>
        <w:spacing w:after="120" w:line="360" w:lineRule="auto"/>
        <w:rPr>
          <w:rFonts w:ascii="宋体" w:hAnsi="宋体" w:cs="宋体"/>
        </w:rPr>
      </w:pPr>
      <w:r>
        <w:rPr>
          <w:rFonts w:hint="eastAsia" w:ascii="宋体" w:hAnsi="宋体" w:cs="宋体"/>
          <w:sz w:val="22"/>
        </w:rPr>
        <w:t xml:space="preserve">故障分级：一级紧急故障（资金 / 票据 / 接口全线中断）1 小时到场处置；二级严重故障 8 小时闭环；一般故障 2 小时响应修复；</w:t>
      </w:r>
      <w:r/>
    </w:p>
    <w:p>
      <w:pPr>
        <w:numPr>
          <w:ilvl w:val="0"/>
          <w:numId w:val="16"/>
        </w:numPr>
        <w:jc w:val="left"/>
        <w:spacing w:after="120" w:line="360" w:lineRule="auto"/>
        <w:rPr>
          <w:rFonts w:ascii="宋体" w:hAnsi="宋体" w:cs="宋体"/>
        </w:rPr>
      </w:pPr>
      <w:r>
        <w:rPr>
          <w:rFonts w:hint="eastAsia" w:ascii="宋体" w:hAnsi="宋体" w:cs="宋体"/>
          <w:sz w:val="22"/>
        </w:rPr>
        <w:t xml:space="preserve">实施全程留存全量备份包，支持</w:t>
      </w:r>
      <w:r>
        <w:rPr>
          <w:rFonts w:hint="eastAsia" w:ascii="宋体" w:hAnsi="宋体" w:cs="宋体"/>
          <w:sz w:val="22"/>
        </w:rPr>
        <w:t xml:space="preserve">一键切回旧</w:t>
      </w:r>
      <w:r>
        <w:rPr>
          <w:rFonts w:hint="eastAsia" w:ascii="宋体" w:hAnsi="宋体" w:cs="宋体"/>
          <w:sz w:val="22"/>
        </w:rPr>
        <w:t xml:space="preserve">系统，业务中断时长不得超过 4 小时。</w:t>
      </w:r>
      <w:r/>
    </w:p>
    <w:p>
      <w:pPr>
        <w:jc w:val="left"/>
        <w:spacing w:after="120" w:line="360" w:lineRule="auto"/>
        <w:rPr>
          <w:rFonts w:ascii="宋体" w:hAnsi="宋体" w:cs="宋体"/>
        </w:rPr>
        <w:outlineLvl w:val="1"/>
      </w:pPr>
      <w:r/>
      <w:bookmarkStart w:id="222" w:name="heading_27"/>
      <w:r>
        <w:rPr>
          <w:rFonts w:hint="eastAsia" w:ascii="宋体" w:hAnsi="宋体" w:cs="宋体"/>
          <w:b/>
          <w:sz w:val="32"/>
        </w:rPr>
        <w:t xml:space="preserve">6 安全保障及保密要求</w:t>
      </w:r>
      <w:bookmarkEnd w:id="222"/>
      <w:r/>
      <w:r/>
    </w:p>
    <w:p>
      <w:pPr>
        <w:jc w:val="left"/>
        <w:spacing w:after="120" w:line="360" w:lineRule="auto"/>
        <w:rPr>
          <w:rFonts w:ascii="宋体" w:hAnsi="宋体" w:cs="宋体"/>
        </w:rPr>
        <w:outlineLvl w:val="2"/>
      </w:pPr>
      <w:r/>
      <w:bookmarkStart w:id="223" w:name="heading_28"/>
      <w:r>
        <w:rPr>
          <w:rFonts w:hint="eastAsia" w:ascii="宋体" w:hAnsi="宋体" w:cs="宋体"/>
          <w:b/>
          <w:sz w:val="30"/>
        </w:rPr>
        <w:t xml:space="preserve">6.1 技术安全防护要求</w:t>
      </w:r>
      <w:bookmarkEnd w:id="223"/>
      <w:r/>
      <w:r/>
    </w:p>
    <w:p>
      <w:pPr>
        <w:numPr>
          <w:ilvl w:val="0"/>
          <w:numId w:val="17"/>
        </w:numPr>
        <w:jc w:val="left"/>
        <w:spacing w:after="120" w:line="360" w:lineRule="auto"/>
        <w:rPr>
          <w:rFonts w:ascii="宋体" w:hAnsi="宋体" w:cs="宋体"/>
        </w:rPr>
      </w:pPr>
      <w:r>
        <w:rPr>
          <w:rFonts w:hint="eastAsia" w:ascii="宋体" w:hAnsi="宋体" w:cs="宋体"/>
          <w:b/>
          <w:sz w:val="22"/>
        </w:rPr>
        <w:t xml:space="preserve">主机安全</w:t>
      </w:r>
      <w:r>
        <w:rPr>
          <w:rFonts w:hint="eastAsia" w:ascii="宋体" w:hAnsi="宋体" w:cs="宋体"/>
          <w:sz w:val="22"/>
        </w:rPr>
        <w:t xml:space="preserve">：国产服务器启用安全基线，关闭高危端口，定期补丁更新，部署国产终端安全软件；操作系统账号强密码策略，操作日志独立存储不可删除。</w:t>
      </w:r>
      <w:r/>
    </w:p>
    <w:p>
      <w:pPr>
        <w:numPr>
          <w:ilvl w:val="0"/>
          <w:numId w:val="17"/>
        </w:numPr>
        <w:jc w:val="left"/>
        <w:spacing w:after="120" w:line="360" w:lineRule="auto"/>
        <w:rPr>
          <w:rFonts w:ascii="宋体" w:hAnsi="宋体" w:cs="宋体"/>
        </w:rPr>
      </w:pPr>
      <w:r>
        <w:rPr>
          <w:rFonts w:hint="eastAsia" w:ascii="宋体" w:hAnsi="宋体" w:cs="宋体"/>
          <w:b/>
          <w:sz w:val="22"/>
        </w:rPr>
        <w:t xml:space="preserve">应用安全</w:t>
      </w:r>
      <w:r>
        <w:rPr>
          <w:rFonts w:hint="eastAsia" w:ascii="宋体" w:hAnsi="宋体" w:cs="宋体"/>
          <w:sz w:val="22"/>
        </w:rPr>
        <w:t xml:space="preserve">：全面修复 SQL 注入、XSS 跨站、目录遍历、弱口令漏洞；闲置 15 分钟自动登出，登录验证码、接口访问限流；文件</w:t>
      </w:r>
      <w:r>
        <w:rPr>
          <w:rFonts w:hint="eastAsia" w:ascii="宋体" w:hAnsi="宋体" w:cs="宋体"/>
          <w:sz w:val="22"/>
        </w:rPr>
        <w:t xml:space="preserve">上传白名单</w:t>
      </w:r>
      <w:r>
        <w:rPr>
          <w:rFonts w:hint="eastAsia" w:ascii="宋体" w:hAnsi="宋体" w:cs="宋体"/>
          <w:sz w:val="22"/>
        </w:rPr>
        <w:t xml:space="preserve">管控。</w:t>
      </w:r>
      <w:r/>
    </w:p>
    <w:p>
      <w:pPr>
        <w:numPr>
          <w:ilvl w:val="0"/>
          <w:numId w:val="17"/>
        </w:numPr>
        <w:jc w:val="left"/>
        <w:spacing w:after="120" w:line="360" w:lineRule="auto"/>
        <w:rPr>
          <w:rFonts w:ascii="宋体" w:hAnsi="宋体" w:cs="宋体"/>
        </w:rPr>
      </w:pPr>
      <w:r>
        <w:rPr>
          <w:rFonts w:hint="eastAsia" w:ascii="宋体" w:hAnsi="宋体" w:cs="宋体"/>
          <w:b/>
          <w:sz w:val="22"/>
        </w:rPr>
        <w:t xml:space="preserve">数据安全</w:t>
      </w:r>
      <w:r>
        <w:rPr>
          <w:rFonts w:hint="eastAsia" w:ascii="宋体" w:hAnsi="宋体" w:cs="宋体"/>
          <w:sz w:val="22"/>
        </w:rPr>
        <w:t xml:space="preserve">：身份证、银行账号、缴款人姓名等敏感字段国密 SM4 加密存储，页面脱敏展示；数据导出增加线上审批流程，导出文件自动加密；数据库全量</w:t>
      </w:r>
      <w:r>
        <w:rPr>
          <w:rFonts w:hint="eastAsia" w:ascii="宋体" w:hAnsi="宋体" w:cs="宋体"/>
          <w:sz w:val="22"/>
        </w:rPr>
        <w:t xml:space="preserve">增删改查审计</w:t>
      </w:r>
      <w:r>
        <w:rPr>
          <w:rFonts w:hint="eastAsia" w:ascii="宋体" w:hAnsi="宋体" w:cs="宋体"/>
          <w:sz w:val="22"/>
        </w:rPr>
        <w:t xml:space="preserve">。</w:t>
      </w:r>
      <w:r/>
    </w:p>
    <w:p>
      <w:pPr>
        <w:numPr>
          <w:ilvl w:val="0"/>
          <w:numId w:val="17"/>
        </w:numPr>
        <w:jc w:val="left"/>
        <w:spacing w:after="120" w:line="360" w:lineRule="auto"/>
        <w:rPr>
          <w:rFonts w:ascii="宋体" w:hAnsi="宋体" w:cs="宋体"/>
        </w:rPr>
      </w:pPr>
      <w:r>
        <w:rPr>
          <w:rFonts w:hint="eastAsia" w:ascii="宋体" w:hAnsi="宋体" w:cs="宋体"/>
          <w:b/>
          <w:sz w:val="22"/>
        </w:rPr>
        <w:t xml:space="preserve">传输安全</w:t>
      </w:r>
      <w:r>
        <w:rPr>
          <w:rFonts w:hint="eastAsia" w:ascii="宋体" w:hAnsi="宋体" w:cs="宋体"/>
          <w:sz w:val="22"/>
        </w:rPr>
        <w:t xml:space="preserve">：系统内部、外部接口全部采用 SSL 加密通道，使用国密算法完成报文签名验签；接口访问绑定 IP 白名单、动态 Token 认证。</w:t>
      </w:r>
      <w:r/>
    </w:p>
    <w:p>
      <w:pPr>
        <w:numPr>
          <w:ilvl w:val="0"/>
          <w:numId w:val="17"/>
        </w:numPr>
        <w:jc w:val="left"/>
        <w:spacing w:after="120" w:line="360" w:lineRule="auto"/>
        <w:rPr>
          <w:rFonts w:ascii="宋体" w:hAnsi="宋体" w:cs="宋体"/>
        </w:rPr>
      </w:pPr>
      <w:r>
        <w:rPr>
          <w:rFonts w:hint="eastAsia" w:ascii="宋体" w:hAnsi="宋体" w:cs="宋体"/>
          <w:b/>
          <w:sz w:val="22"/>
        </w:rPr>
        <w:t xml:space="preserve">密码合</w:t>
      </w:r>
      <w:r>
        <w:rPr>
          <w:rFonts w:hint="eastAsia" w:ascii="宋体" w:hAnsi="宋体" w:cs="宋体"/>
          <w:b/>
          <w:sz w:val="22"/>
        </w:rPr>
        <w:t xml:space="preserve">规</w:t>
      </w:r>
      <w:r>
        <w:rPr>
          <w:rFonts w:hint="eastAsia" w:ascii="宋体" w:hAnsi="宋体" w:cs="宋体"/>
          <w:sz w:val="22"/>
        </w:rPr>
        <w:t xml:space="preserve">：</w:t>
      </w:r>
      <w:r>
        <w:rPr>
          <w:rFonts w:hint="eastAsia" w:ascii="宋体" w:hAnsi="宋体" w:cs="宋体"/>
          <w:sz w:val="22"/>
        </w:rPr>
        <w:t xml:space="preserve">全业务</w:t>
      </w:r>
      <w:r>
        <w:rPr>
          <w:rFonts w:hint="eastAsia" w:ascii="宋体" w:hAnsi="宋体" w:cs="宋体"/>
          <w:sz w:val="22"/>
        </w:rPr>
        <w:t xml:space="preserve">链路集成国密 SM2/SM3/SM4 算法，完成密码应用安全性评估，按照测评意见完成全部整改。</w:t>
      </w:r>
      <w:r/>
    </w:p>
    <w:p>
      <w:pPr>
        <w:numPr>
          <w:ilvl w:val="0"/>
          <w:numId w:val="17"/>
        </w:numPr>
        <w:jc w:val="left"/>
        <w:spacing w:after="120" w:line="360" w:lineRule="auto"/>
        <w:rPr>
          <w:rFonts w:ascii="宋体" w:hAnsi="宋体" w:cs="宋体"/>
        </w:rPr>
      </w:pPr>
      <w:r>
        <w:rPr>
          <w:rFonts w:hint="eastAsia" w:ascii="宋体" w:hAnsi="宋体" w:cs="宋体"/>
          <w:b/>
          <w:sz w:val="22"/>
        </w:rPr>
        <w:t xml:space="preserve">网络安全</w:t>
      </w:r>
      <w:r>
        <w:rPr>
          <w:rFonts w:hint="eastAsia" w:ascii="宋体" w:hAnsi="宋体" w:cs="宋体"/>
          <w:sz w:val="22"/>
        </w:rPr>
        <w:t xml:space="preserve">：防火墙精细化端口策略，部署国产 IDS 入侵检测系统，全程审计内外网访问流量，系统不直接暴露外网。</w:t>
      </w:r>
      <w:r/>
    </w:p>
    <w:p>
      <w:pPr>
        <w:jc w:val="left"/>
        <w:spacing w:after="120" w:line="360" w:lineRule="auto"/>
        <w:rPr>
          <w:rFonts w:ascii="宋体" w:hAnsi="宋体" w:cs="宋体"/>
        </w:rPr>
        <w:outlineLvl w:val="2"/>
      </w:pPr>
      <w:r/>
      <w:bookmarkStart w:id="224" w:name="heading_29"/>
      <w:r>
        <w:rPr>
          <w:rFonts w:hint="eastAsia" w:ascii="宋体" w:hAnsi="宋体" w:cs="宋体"/>
          <w:b/>
          <w:sz w:val="30"/>
        </w:rPr>
        <w:t xml:space="preserve">6.2 </w:t>
      </w:r>
      <w:r>
        <w:rPr>
          <w:rFonts w:hint="eastAsia" w:ascii="宋体" w:hAnsi="宋体" w:cs="宋体"/>
          <w:b/>
          <w:sz w:val="30"/>
        </w:rPr>
        <w:t xml:space="preserve">安全运维管理</w:t>
      </w:r>
      <w:r>
        <w:rPr>
          <w:rFonts w:hint="eastAsia" w:ascii="宋体" w:hAnsi="宋体" w:cs="宋体"/>
          <w:b/>
          <w:sz w:val="30"/>
        </w:rPr>
        <w:t xml:space="preserve">要求</w:t>
      </w:r>
      <w:bookmarkEnd w:id="224"/>
      <w:r/>
      <w:r/>
    </w:p>
    <w:p>
      <w:pPr>
        <w:numPr>
          <w:ilvl w:val="0"/>
          <w:numId w:val="18"/>
        </w:numPr>
        <w:jc w:val="left"/>
        <w:spacing w:after="120" w:line="360" w:lineRule="auto"/>
        <w:rPr>
          <w:rFonts w:ascii="宋体" w:hAnsi="宋体" w:cs="宋体"/>
        </w:rPr>
      </w:pPr>
      <w:r>
        <w:rPr>
          <w:rFonts w:hint="eastAsia" w:ascii="宋体" w:hAnsi="宋体" w:cs="宋体"/>
          <w:sz w:val="22"/>
        </w:rPr>
        <w:t xml:space="preserve">每季度开展账号权限全面清查，回收闲置、超权限账号；系统管理员、审计员、操作员三账号分离，一人不得多岗兼任。</w:t>
      </w:r>
      <w:r/>
    </w:p>
    <w:p>
      <w:pPr>
        <w:numPr>
          <w:ilvl w:val="0"/>
          <w:numId w:val="18"/>
        </w:numPr>
        <w:jc w:val="left"/>
        <w:spacing w:after="120" w:line="360" w:lineRule="auto"/>
        <w:rPr>
          <w:rFonts w:ascii="宋体" w:hAnsi="宋体" w:cs="宋体"/>
        </w:rPr>
      </w:pPr>
      <w:r>
        <w:rPr>
          <w:rFonts w:hint="eastAsia" w:ascii="宋体" w:hAnsi="宋体" w:cs="宋体"/>
          <w:sz w:val="22"/>
        </w:rPr>
        <w:t xml:space="preserve">每年至少 2 次全面网络安全自查、1 次完整应急演练、1 次全员安全培训，全部资料归</w:t>
      </w:r>
      <w:r>
        <w:rPr>
          <w:rFonts w:hint="eastAsia" w:ascii="宋体" w:hAnsi="宋体" w:cs="宋体"/>
          <w:sz w:val="22"/>
        </w:rPr>
        <w:t xml:space="preserve">档留存 1 年以上。</w:t>
      </w:r>
      <w:r/>
    </w:p>
    <w:p>
      <w:pPr>
        <w:numPr>
          <w:ilvl w:val="0"/>
          <w:numId w:val="18"/>
        </w:numPr>
        <w:jc w:val="left"/>
        <w:spacing w:after="120" w:line="360" w:lineRule="auto"/>
        <w:rPr>
          <w:rFonts w:ascii="宋体" w:hAnsi="宋体" w:cs="宋体"/>
        </w:rPr>
      </w:pPr>
      <w:r>
        <w:rPr>
          <w:rFonts w:hint="eastAsia" w:ascii="宋体" w:hAnsi="宋体" w:cs="宋体"/>
          <w:sz w:val="22"/>
        </w:rPr>
        <w:t xml:space="preserve">配合采购人完成网络安全等级保护三级年度测评，承建方负责所有系统层面漏洞整改，承担测评整改全部成本。</w:t>
      </w:r>
      <w:r/>
    </w:p>
    <w:p>
      <w:pPr>
        <w:numPr>
          <w:ilvl w:val="0"/>
          <w:numId w:val="18"/>
        </w:numPr>
        <w:jc w:val="left"/>
        <w:spacing w:after="120" w:line="360" w:lineRule="auto"/>
        <w:rPr>
          <w:rFonts w:ascii="宋体" w:hAnsi="宋体" w:cs="宋体"/>
        </w:rPr>
      </w:pPr>
      <w:r>
        <w:rPr>
          <w:rFonts w:hint="eastAsia" w:ascii="宋体" w:hAnsi="宋体" w:cs="宋体"/>
          <w:sz w:val="22"/>
        </w:rPr>
        <w:t xml:space="preserve">建立漏洞常态化扫描机制，每月开展应用、数据库、服务器漏洞扫描，高危漏洞 72 小时内修复。</w:t>
      </w:r>
      <w:r/>
    </w:p>
    <w:p>
      <w:pPr>
        <w:jc w:val="left"/>
        <w:spacing w:after="120" w:line="360" w:lineRule="auto"/>
        <w:rPr>
          <w:rFonts w:ascii="宋体" w:hAnsi="宋体" w:cs="宋体"/>
        </w:rPr>
        <w:outlineLvl w:val="2"/>
      </w:pPr>
      <w:r/>
      <w:bookmarkStart w:id="225" w:name="heading_30"/>
      <w:r>
        <w:rPr>
          <w:rFonts w:hint="eastAsia" w:ascii="宋体" w:hAnsi="宋体" w:cs="宋体"/>
          <w:b/>
          <w:sz w:val="30"/>
        </w:rPr>
        <w:t xml:space="preserve">6.3 信息保密要求</w:t>
      </w:r>
      <w:bookmarkEnd w:id="225"/>
      <w:r/>
      <w:r/>
    </w:p>
    <w:p>
      <w:pPr>
        <w:numPr>
          <w:ilvl w:val="0"/>
          <w:numId w:val="19"/>
        </w:numPr>
        <w:jc w:val="left"/>
        <w:spacing w:after="120" w:line="360" w:lineRule="auto"/>
        <w:rPr>
          <w:rFonts w:ascii="宋体" w:hAnsi="宋体" w:cs="宋体"/>
        </w:rPr>
      </w:pPr>
      <w:r>
        <w:rPr>
          <w:rFonts w:hint="eastAsia" w:ascii="宋体" w:hAnsi="宋体" w:cs="宋体"/>
          <w:sz w:val="22"/>
        </w:rPr>
        <w:t xml:space="preserve">中标供应商及所有驻场、开发、实施人员签订终身保密协议，项目期间、项目结束后均不得泄露财政非税业务数据、系统源码、内部接口、执收单位涉密信息。</w:t>
      </w:r>
      <w:r/>
    </w:p>
    <w:p>
      <w:pPr>
        <w:numPr>
          <w:ilvl w:val="0"/>
          <w:numId w:val="19"/>
        </w:numPr>
        <w:jc w:val="left"/>
        <w:spacing w:after="120" w:line="360" w:lineRule="auto"/>
        <w:rPr>
          <w:rFonts w:ascii="宋体" w:hAnsi="宋体" w:cs="宋体"/>
        </w:rPr>
      </w:pPr>
      <w:r>
        <w:rPr>
          <w:rFonts w:hint="eastAsia" w:ascii="宋体" w:hAnsi="宋体" w:cs="宋体"/>
          <w:sz w:val="22"/>
        </w:rPr>
        <w:t xml:space="preserve">未经采购人书面许可，不得向任何第三方提供项目方案、代码、数据、文档，不得将项目案例用于对外宣传。</w:t>
      </w:r>
      <w:r/>
    </w:p>
    <w:p>
      <w:pPr>
        <w:numPr>
          <w:ilvl w:val="0"/>
          <w:numId w:val="19"/>
        </w:numPr>
        <w:jc w:val="left"/>
        <w:spacing w:after="120" w:line="360" w:lineRule="auto"/>
        <w:rPr>
          <w:rFonts w:ascii="宋体" w:hAnsi="宋体" w:cs="宋体"/>
        </w:rPr>
      </w:pPr>
      <w:r>
        <w:rPr>
          <w:rFonts w:hint="eastAsia" w:ascii="宋体" w:hAnsi="宋体" w:cs="宋体"/>
          <w:sz w:val="22"/>
        </w:rPr>
        <w:t xml:space="preserve">项目验收交付后，供应商须删除自有服务器、设备中存储的全部宝应非税业务数据、源码、文档，提供删除确认单。</w:t>
      </w:r>
      <w:r/>
    </w:p>
    <w:p>
      <w:pPr>
        <w:numPr>
          <w:ilvl w:val="0"/>
          <w:numId w:val="19"/>
        </w:numPr>
        <w:jc w:val="left"/>
        <w:spacing w:after="120" w:line="360" w:lineRule="auto"/>
        <w:rPr>
          <w:rFonts w:ascii="宋体" w:hAnsi="宋体" w:cs="宋体"/>
        </w:rPr>
      </w:pPr>
      <w:r>
        <w:rPr>
          <w:rFonts w:hint="eastAsia" w:ascii="宋体" w:hAnsi="宋体" w:cs="宋体"/>
          <w:sz w:val="22"/>
        </w:rPr>
        <w:t xml:space="preserve">因人员操作、数据泄露造成财政资金、政务信息损失的，由中标供应商承担全部法律与经济责任。</w:t>
      </w:r>
      <w:r/>
    </w:p>
    <w:p>
      <w:pPr>
        <w:jc w:val="left"/>
        <w:spacing w:after="120" w:line="360" w:lineRule="auto"/>
        <w:rPr>
          <w:rFonts w:ascii="宋体" w:hAnsi="宋体" w:cs="宋体"/>
        </w:rPr>
        <w:outlineLvl w:val="1"/>
      </w:pPr>
      <w:r/>
      <w:bookmarkStart w:id="226" w:name="heading_31"/>
      <w:r>
        <w:rPr>
          <w:rFonts w:hint="eastAsia" w:ascii="宋体" w:hAnsi="宋体" w:cs="宋体"/>
          <w:b/>
          <w:sz w:val="32"/>
        </w:rPr>
        <w:t xml:space="preserve">7 交付成果要求</w:t>
      </w:r>
      <w:bookmarkEnd w:id="226"/>
      <w:r/>
      <w:r/>
    </w:p>
    <w:p>
      <w:pPr>
        <w:jc w:val="left"/>
        <w:spacing w:after="120" w:line="360" w:lineRule="auto"/>
        <w:rPr>
          <w:rFonts w:ascii="宋体" w:hAnsi="宋体" w:cs="宋体"/>
        </w:rPr>
      </w:pPr>
      <w:r>
        <w:rPr>
          <w:rFonts w:hint="eastAsia" w:ascii="宋体" w:hAnsi="宋体" w:cs="宋体"/>
          <w:sz w:val="22"/>
        </w:rPr>
        <w:t xml:space="preserve">中标供应商须完整交付以下全部纸质 + 电子资料，电子文档采用加密 U 盘交付，纸质文档加盖供应商公章归档。</w:t>
      </w:r>
      <w:r/>
    </w:p>
    <w:p>
      <w:pPr>
        <w:jc w:val="left"/>
        <w:spacing w:after="120" w:line="360" w:lineRule="auto"/>
        <w:rPr>
          <w:rFonts w:ascii="宋体" w:hAnsi="宋体" w:cs="宋体"/>
        </w:rPr>
        <w:outlineLvl w:val="1"/>
      </w:pPr>
      <w:r/>
      <w:bookmarkStart w:id="227" w:name="heading_32"/>
      <w:r>
        <w:rPr>
          <w:rFonts w:hint="eastAsia" w:ascii="宋体" w:hAnsi="宋体" w:cs="宋体"/>
          <w:b/>
          <w:sz w:val="32"/>
        </w:rPr>
        <w:t xml:space="preserve">8 服务与培训要求</w:t>
      </w:r>
      <w:bookmarkEnd w:id="227"/>
      <w:r/>
      <w:r/>
    </w:p>
    <w:p>
      <w:pPr>
        <w:jc w:val="left"/>
        <w:spacing w:after="120" w:line="360" w:lineRule="auto"/>
        <w:rPr>
          <w:rFonts w:ascii="宋体" w:hAnsi="宋体" w:cs="宋体"/>
        </w:rPr>
        <w:outlineLvl w:val="2"/>
      </w:pPr>
      <w:r/>
      <w:bookmarkStart w:id="228" w:name="heading_33"/>
      <w:r>
        <w:rPr>
          <w:rFonts w:hint="eastAsia" w:ascii="宋体" w:hAnsi="宋体" w:cs="宋体"/>
          <w:b/>
          <w:sz w:val="30"/>
        </w:rPr>
        <w:t xml:space="preserve">8.1 分层培训服务</w:t>
      </w:r>
      <w:bookmarkEnd w:id="228"/>
      <w:r/>
      <w:r/>
    </w:p>
    <w:p>
      <w:pPr>
        <w:jc w:val="left"/>
        <w:spacing w:after="120" w:line="360" w:lineRule="auto"/>
        <w:rPr>
          <w:rFonts w:ascii="宋体" w:hAnsi="宋体" w:cs="宋体"/>
        </w:rPr>
      </w:pPr>
      <w:r>
        <w:rPr>
          <w:rFonts w:hint="eastAsia" w:ascii="宋体" w:hAnsi="宋体" w:cs="宋体"/>
          <w:sz w:val="22"/>
        </w:rPr>
        <w:t xml:space="preserve">培训覆盖财政局信息中心、非税业务科室、全县所有机关 / 学校 / 医院 / 乡镇执收单位、代理银行对接人员，培训配套完整课件、实操视频。</w:t>
      </w:r>
      <w:r/>
    </w:p>
    <w:p>
      <w:pPr>
        <w:jc w:val="left"/>
        <w:spacing w:after="120" w:line="360" w:lineRule="auto"/>
        <w:rPr>
          <w:rFonts w:ascii="宋体" w:hAnsi="宋体" w:cs="宋体"/>
        </w:rPr>
        <w:outlineLvl w:val="2"/>
      </w:pPr>
      <w:r/>
      <w:bookmarkStart w:id="229" w:name="heading_34"/>
      <w:r>
        <w:rPr>
          <w:rFonts w:hint="eastAsia" w:ascii="宋体" w:hAnsi="宋体" w:cs="宋体"/>
          <w:b/>
          <w:sz w:val="30"/>
        </w:rPr>
        <w:t xml:space="preserve">8.2 运维服务要求</w:t>
      </w:r>
      <w:bookmarkEnd w:id="229"/>
      <w:r/>
      <w:r/>
    </w:p>
    <w:p>
      <w:pPr>
        <w:numPr>
          <w:ilvl w:val="0"/>
          <w:numId w:val="20"/>
        </w:numPr>
        <w:jc w:val="left"/>
        <w:spacing w:after="120" w:line="360" w:lineRule="auto"/>
        <w:tabs>
          <w:tab w:val="clear" w:pos="420" w:leader="none"/>
        </w:tabs>
        <w:rPr>
          <w:rFonts w:ascii="宋体" w:hAnsi="宋体" w:cs="宋体"/>
        </w:rPr>
      </w:pPr>
      <w:r>
        <w:rPr>
          <w:rFonts w:hint="eastAsia" w:ascii="宋体" w:hAnsi="宋体" w:cs="宋体"/>
          <w:b/>
          <w:sz w:val="22"/>
        </w:rPr>
        <w:t xml:space="preserve">运维服务期限</w:t>
      </w:r>
      <w:r>
        <w:rPr>
          <w:rFonts w:hint="eastAsia" w:ascii="宋体" w:hAnsi="宋体" w:cs="宋体"/>
          <w:sz w:val="22"/>
        </w:rPr>
        <w:t xml:space="preserve">：</w:t>
      </w:r>
      <w:r>
        <w:rPr>
          <w:rFonts w:hint="eastAsia" w:ascii="宋体" w:hAnsi="宋体" w:cs="宋体"/>
          <w:sz w:val="22"/>
        </w:rPr>
        <w:t xml:space="preserve">自项目</w:t>
      </w:r>
      <w:r>
        <w:rPr>
          <w:rFonts w:hint="eastAsia" w:ascii="宋体" w:hAnsi="宋体" w:cs="宋体"/>
          <w:sz w:val="22"/>
        </w:rPr>
        <w:t xml:space="preserve">整体验收合格之日起，提供</w:t>
      </w:r>
      <w:r>
        <w:rPr>
          <w:rFonts w:hint="eastAsia" w:ascii="宋体" w:hAnsi="宋体" w:cs="宋体"/>
          <w:b/>
          <w:sz w:val="22"/>
        </w:rPr>
        <w:t xml:space="preserve">1 年免费运维服务</w:t>
      </w:r>
      <w:r>
        <w:rPr>
          <w:rFonts w:hint="eastAsia" w:ascii="宋体" w:hAnsi="宋体" w:cs="宋体"/>
          <w:sz w:val="22"/>
        </w:rPr>
        <w:t xml:space="preserve">，运维期内免费修复故障、版本优化、性能调优、兼容升级、数据维护。</w:t>
      </w:r>
      <w:r/>
    </w:p>
    <w:p>
      <w:pPr>
        <w:numPr>
          <w:ilvl w:val="0"/>
          <w:numId w:val="20"/>
        </w:numPr>
        <w:jc w:val="left"/>
        <w:spacing w:after="120" w:line="360" w:lineRule="auto"/>
        <w:tabs>
          <w:tab w:val="clear" w:pos="420" w:leader="none"/>
        </w:tabs>
        <w:rPr>
          <w:rFonts w:ascii="宋体" w:hAnsi="宋体" w:cs="宋体"/>
        </w:rPr>
      </w:pPr>
      <w:r>
        <w:rPr>
          <w:rFonts w:hint="eastAsia" w:ascii="宋体" w:hAnsi="宋体" w:cs="宋体"/>
          <w:b/>
          <w:sz w:val="22"/>
        </w:rPr>
        <w:t xml:space="preserve">7×24 小时技术支撑</w:t>
      </w:r>
      <w:r>
        <w:rPr>
          <w:rFonts w:hint="eastAsia" w:ascii="宋体" w:hAnsi="宋体" w:cs="宋体"/>
          <w:sz w:val="22"/>
        </w:rPr>
        <w:t xml:space="preserve">：设立专属服务热线、线上沟通群，故障分级响应：一级紧急故障 2 小时到场处置；二级严重故障 4 小时现场响应；一般问题 2 小时远程响应</w:t>
      </w:r>
      <w:r>
        <w:rPr>
          <w:rFonts w:hint="eastAsia" w:ascii="宋体" w:hAnsi="宋体" w:cs="宋体"/>
          <w:sz w:val="22"/>
        </w:rPr>
        <w:t xml:space="preserve">解决。</w:t>
      </w:r>
      <w:r/>
    </w:p>
    <w:p>
      <w:pPr>
        <w:numPr>
          <w:ilvl w:val="0"/>
          <w:numId w:val="20"/>
        </w:numPr>
        <w:jc w:val="left"/>
        <w:spacing w:after="120" w:line="360" w:lineRule="auto"/>
        <w:tabs>
          <w:tab w:val="clear" w:pos="420" w:leader="none"/>
        </w:tabs>
        <w:rPr>
          <w:rFonts w:ascii="宋体" w:hAnsi="宋体" w:cs="宋体"/>
        </w:rPr>
      </w:pPr>
      <w:r>
        <w:rPr>
          <w:rFonts w:hint="eastAsia" w:ascii="宋体" w:hAnsi="宋体" w:cs="宋体"/>
          <w:b/>
          <w:sz w:val="22"/>
        </w:rPr>
        <w:t xml:space="preserve">驻场运维保障</w:t>
      </w:r>
      <w:r>
        <w:rPr>
          <w:rFonts w:hint="eastAsia" w:ascii="宋体" w:hAnsi="宋体" w:cs="宋体"/>
          <w:sz w:val="22"/>
        </w:rPr>
        <w:t xml:space="preserve">：项目实施、试运行阶段全程派驻专职工程师驻财政局办公；运维期内工作日提供驻场技术支撑，高峰期（收费旺季、年度结算）7×24 现场值守。</w:t>
      </w:r>
      <w:r/>
    </w:p>
    <w:p>
      <w:pPr>
        <w:numPr>
          <w:ilvl w:val="0"/>
          <w:numId w:val="20"/>
        </w:numPr>
        <w:jc w:val="left"/>
        <w:spacing w:after="120" w:line="360" w:lineRule="auto"/>
        <w:tabs>
          <w:tab w:val="clear" w:pos="420" w:leader="none"/>
        </w:tabs>
        <w:rPr>
          <w:rFonts w:ascii="宋体" w:hAnsi="宋体" w:cs="宋体"/>
        </w:rPr>
      </w:pPr>
      <w:r>
        <w:rPr>
          <w:rFonts w:hint="eastAsia" w:ascii="宋体" w:hAnsi="宋体" w:cs="宋体"/>
          <w:b/>
          <w:sz w:val="22"/>
        </w:rPr>
        <w:t xml:space="preserve">常态化运维</w:t>
      </w:r>
      <w:r>
        <w:rPr>
          <w:rFonts w:hint="eastAsia" w:ascii="宋体" w:hAnsi="宋体" w:cs="宋体"/>
          <w:b/>
          <w:sz w:val="22"/>
        </w:rPr>
        <w:t xml:space="preserve">工作</w:t>
      </w:r>
      <w:r>
        <w:rPr>
          <w:rFonts w:hint="eastAsia" w:ascii="宋体" w:hAnsi="宋体" w:cs="宋体"/>
          <w:sz w:val="22"/>
        </w:rPr>
        <w:t xml:space="preserve">：每月系统巡检、数据库性能优化、日志审计、漏洞扫描；定期备份校验，配合审计、上级检查提供数据支撑；持续优化国产软硬件兼容性问题。</w:t>
      </w:r>
      <w:r/>
    </w:p>
    <w:p>
      <w:pPr>
        <w:jc w:val="left"/>
        <w:spacing w:after="120" w:line="360" w:lineRule="auto"/>
        <w:rPr>
          <w:rFonts w:ascii="宋体" w:hAnsi="宋体" w:cs="宋体"/>
        </w:rPr>
        <w:outlineLvl w:val="1"/>
      </w:pPr>
      <w:r/>
      <w:bookmarkStart w:id="230" w:name="heading_36"/>
      <w:r>
        <w:rPr>
          <w:rFonts w:hint="eastAsia" w:ascii="宋体" w:hAnsi="宋体" w:cs="宋体"/>
          <w:b/>
          <w:sz w:val="32"/>
        </w:rPr>
        <w:t xml:space="preserve">9 验收标准与要求</w:t>
      </w:r>
      <w:bookmarkEnd w:id="230"/>
      <w:r/>
      <w:r/>
    </w:p>
    <w:p>
      <w:pPr>
        <w:spacing w:line="360" w:lineRule="auto"/>
        <w:rPr>
          <w:rFonts w:ascii="Arial" w:hAnsi="Arial"/>
          <w:color w:val="000000"/>
          <w:sz w:val="24"/>
          <w:szCs w:val="24"/>
        </w:rPr>
      </w:pPr>
      <w:r>
        <w:rPr>
          <w:rFonts w:hint="eastAsia" w:ascii="Arial" w:hAnsi="Arial"/>
          <w:color w:val="000000"/>
          <w:sz w:val="24"/>
          <w:szCs w:val="24"/>
        </w:rPr>
        <w:t xml:space="preserve">功能验收：所有模块功能全部实现，满足本采购需求全部条款。</w:t>
      </w:r>
      <w:r/>
    </w:p>
    <w:p>
      <w:pPr>
        <w:spacing w:line="360" w:lineRule="auto"/>
        <w:rPr>
          <w:rFonts w:ascii="Arial" w:hAnsi="Arial"/>
          <w:color w:val="000000"/>
          <w:sz w:val="24"/>
          <w:szCs w:val="24"/>
        </w:rPr>
      </w:pPr>
      <w:r>
        <w:rPr>
          <w:rFonts w:hint="eastAsia" w:ascii="Arial" w:hAnsi="Arial"/>
          <w:color w:val="000000"/>
          <w:sz w:val="24"/>
          <w:szCs w:val="24"/>
        </w:rPr>
        <w:t xml:space="preserve">数据验收：历史数据完整、准确、可正常查询、导出。</w:t>
      </w:r>
      <w:r/>
    </w:p>
    <w:p>
      <w:pPr>
        <w:spacing w:line="360" w:lineRule="auto"/>
        <w:rPr>
          <w:rFonts w:ascii="Arial" w:hAnsi="Arial"/>
          <w:color w:val="000000"/>
          <w:sz w:val="24"/>
          <w:szCs w:val="24"/>
        </w:rPr>
      </w:pPr>
      <w:r>
        <w:rPr>
          <w:rFonts w:hint="eastAsia" w:ascii="Arial" w:hAnsi="Arial"/>
          <w:color w:val="000000"/>
          <w:sz w:val="24"/>
          <w:szCs w:val="24"/>
        </w:rPr>
        <w:t xml:space="preserve">适配验收：</w:t>
      </w:r>
      <w:r>
        <w:rPr>
          <w:rFonts w:hint="eastAsia" w:ascii="Arial" w:hAnsi="Arial"/>
          <w:color w:val="000000"/>
          <w:sz w:val="24"/>
          <w:szCs w:val="24"/>
        </w:rPr>
        <w:t xml:space="preserve">Windows</w:t>
      </w:r>
      <w:r>
        <w:rPr>
          <w:rFonts w:hint="eastAsia" w:ascii="Arial" w:hAnsi="Arial"/>
          <w:color w:val="000000"/>
          <w:sz w:val="24"/>
          <w:szCs w:val="24"/>
        </w:rPr>
        <w:t xml:space="preserve">终端可正常访问。</w:t>
      </w:r>
      <w:r/>
    </w:p>
    <w:p>
      <w:pPr>
        <w:spacing w:line="360" w:lineRule="auto"/>
        <w:rPr>
          <w:rFonts w:ascii="Arial" w:hAnsi="Arial"/>
          <w:color w:val="000000"/>
          <w:sz w:val="24"/>
          <w:szCs w:val="24"/>
        </w:rPr>
      </w:pPr>
      <w:r>
        <w:rPr>
          <w:rFonts w:hint="eastAsia" w:ascii="Arial" w:hAnsi="Arial"/>
          <w:color w:val="000000"/>
          <w:sz w:val="24"/>
          <w:szCs w:val="24"/>
        </w:rPr>
        <w:t xml:space="preserve">安全验收：权限管控有效，日志完整，数据安全可控。</w:t>
      </w:r>
      <w:r/>
    </w:p>
    <w:p>
      <w:pPr>
        <w:spacing w:line="360" w:lineRule="auto"/>
        <w:rPr>
          <w:rFonts w:ascii="Arial" w:hAnsi="Arial"/>
          <w:color w:val="000000"/>
          <w:sz w:val="24"/>
          <w:szCs w:val="24"/>
        </w:rPr>
      </w:pPr>
      <w:r>
        <w:rPr>
          <w:rFonts w:hint="eastAsia" w:ascii="Arial" w:hAnsi="Arial"/>
          <w:color w:val="000000"/>
          <w:sz w:val="24"/>
          <w:szCs w:val="24"/>
        </w:rPr>
        <w:t xml:space="preserve">文档验收：交付资料齐全、规范、可归档。</w:t>
      </w:r>
      <w:r/>
    </w:p>
    <w:p>
      <w:pPr>
        <w:spacing w:line="360" w:lineRule="auto"/>
        <w:rPr>
          <w:rFonts w:ascii="Arial" w:hAnsi="Arial"/>
          <w:color w:val="000000"/>
          <w:sz w:val="24"/>
          <w:szCs w:val="24"/>
        </w:rPr>
      </w:pPr>
      <w:r>
        <w:rPr>
          <w:rFonts w:hint="eastAsia" w:ascii="Arial" w:hAnsi="Arial"/>
          <w:color w:val="000000"/>
          <w:sz w:val="24"/>
          <w:szCs w:val="24"/>
        </w:rPr>
        <w:t xml:space="preserve">试运行验收：系统连续稳定试运行不少于</w:t>
      </w:r>
      <w:r>
        <w:rPr>
          <w:rFonts w:hint="eastAsia" w:ascii="Arial" w:hAnsi="Arial"/>
          <w:color w:val="000000"/>
          <w:sz w:val="24"/>
          <w:szCs w:val="24"/>
        </w:rPr>
        <w:t xml:space="preserve"> 30</w:t>
      </w:r>
      <w:r>
        <w:rPr>
          <w:rFonts w:hint="eastAsia" w:ascii="Arial" w:hAnsi="Arial"/>
          <w:color w:val="000000"/>
          <w:sz w:val="24"/>
          <w:szCs w:val="24"/>
        </w:rPr>
        <w:t xml:space="preserve">个工作日，无重大故障。</w:t>
      </w:r>
      <w:r/>
    </w:p>
    <w:p>
      <w:pPr>
        <w:spacing w:line="360" w:lineRule="auto"/>
        <w:rPr>
          <w:rFonts w:ascii="宋体" w:hAnsi="宋体" w:cs="宋体"/>
        </w:rPr>
      </w:pPr>
      <w:r>
        <w:rPr>
          <w:rFonts w:hint="eastAsia" w:ascii="Arial" w:hAnsi="Arial"/>
          <w:color w:val="000000"/>
          <w:sz w:val="24"/>
          <w:szCs w:val="24"/>
        </w:rPr>
        <w:t xml:space="preserve">验收通过后出具书面验收报告，进入运维期。</w:t>
      </w:r>
      <w:bookmarkEnd w:id="194"/>
      <w:r/>
      <w:r/>
    </w:p>
    <w:p>
      <w:pPr>
        <w:pStyle w:val="902"/>
        <w:jc w:val="both"/>
        <w:spacing w:beforeAutospacing="0" w:afterAutospacing="0" w:line="360" w:lineRule="auto"/>
      </w:pPr>
      <w:r>
        <w:rPr>
          <w:rFonts w:hint="eastAsia" w:ascii="宋体" w:hAnsi="宋体" w:cs="宋体"/>
          <w:b/>
          <w:bCs/>
          <w:color w:val="000000"/>
          <w:szCs w:val="24"/>
        </w:rPr>
        <w:t xml:space="preserve">四、商务要求</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1、服务要求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合同履行期限：2027年6月前完成全部改造、迁移、测试、试运行、验收工作。</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售后服务期：</w:t>
      </w:r>
      <w:r>
        <w:rPr>
          <w:rFonts w:hint="eastAsia" w:ascii="宋体" w:hAnsi="宋体" w:cs="宋体"/>
          <w:color w:val="000000"/>
          <w:sz w:val="24"/>
          <w:szCs w:val="24"/>
        </w:rPr>
        <w:t xml:space="preserve">自项目</w:t>
      </w:r>
      <w:r>
        <w:rPr>
          <w:rFonts w:hint="eastAsia" w:ascii="宋体" w:hAnsi="宋体" w:cs="宋体"/>
          <w:color w:val="000000"/>
          <w:sz w:val="24"/>
          <w:szCs w:val="24"/>
        </w:rPr>
        <w:t xml:space="preserve">验收合格之日</w:t>
      </w:r>
      <w:r>
        <w:rPr>
          <w:rFonts w:hint="eastAsia" w:ascii="宋体" w:hAnsi="宋体" w:cs="宋体"/>
          <w:color w:val="000000"/>
          <w:sz w:val="24"/>
          <w:szCs w:val="24"/>
        </w:rPr>
        <w:t xml:space="preserve">起提供</w:t>
      </w:r>
      <w:r>
        <w:rPr>
          <w:rFonts w:hint="eastAsia" w:ascii="宋体" w:hAnsi="宋体" w:cs="宋体"/>
          <w:color w:val="000000"/>
          <w:sz w:val="24"/>
          <w:szCs w:val="24"/>
        </w:rPr>
        <w:t xml:space="preserve">一年软件免费运维服务。</w:t>
      </w:r>
      <w:r/>
    </w:p>
    <w:p>
      <w:pPr>
        <w:spacing w:line="360" w:lineRule="auto"/>
        <w:rPr>
          <w:rFonts w:ascii="宋体" w:hAnsi="宋体" w:cs="宋体"/>
          <w:b/>
          <w:bCs/>
          <w:sz w:val="24"/>
          <w:szCs w:val="24"/>
        </w:rPr>
      </w:pPr>
      <w:r>
        <w:rPr>
          <w:rFonts w:hint="eastAsia" w:ascii="宋体" w:hAnsi="宋体" w:cs="宋体"/>
          <w:b/>
          <w:bCs/>
          <w:sz w:val="24"/>
          <w:szCs w:val="24"/>
        </w:rPr>
        <w:t xml:space="preserve">2、售后服务要求</w:t>
      </w:r>
      <w:r/>
    </w:p>
    <w:p>
      <w:pPr>
        <w:ind w:firstLine="560"/>
        <w:spacing w:line="360" w:lineRule="auto"/>
        <w:rPr>
          <w:rFonts w:ascii="宋体" w:hAnsi="宋体" w:cs="宋体"/>
          <w:sz w:val="24"/>
          <w:szCs w:val="24"/>
        </w:rPr>
      </w:pPr>
      <w:r>
        <w:rPr>
          <w:rFonts w:hint="eastAsia" w:ascii="宋体" w:hAnsi="宋体" w:cs="宋体"/>
          <w:sz w:val="24"/>
          <w:szCs w:val="24"/>
        </w:rPr>
        <w:t xml:space="preserve">（1）需提供售后服务承诺，明确承诺提供一年软件免费运维服务，并能够在接到故障报修后</w:t>
      </w:r>
      <w:r>
        <w:rPr>
          <w:rFonts w:ascii="宋体" w:hAnsi="宋体" w:cs="宋体"/>
          <w:sz w:val="24"/>
          <w:szCs w:val="24"/>
        </w:rPr>
        <w:t xml:space="preserve">30</w:t>
      </w:r>
      <w:r>
        <w:rPr>
          <w:rFonts w:hint="eastAsia" w:ascii="宋体" w:hAnsi="宋体" w:cs="宋体"/>
          <w:sz w:val="24"/>
          <w:szCs w:val="24"/>
        </w:rPr>
        <w:t xml:space="preserve">分钟内响应，</w:t>
      </w:r>
      <w:r>
        <w:rPr>
          <w:rFonts w:ascii="宋体" w:hAnsi="宋体" w:cs="宋体"/>
          <w:sz w:val="24"/>
          <w:szCs w:val="24"/>
        </w:rPr>
        <w:t xml:space="preserve">6</w:t>
      </w:r>
      <w:r>
        <w:rPr>
          <w:rFonts w:hint="eastAsia" w:ascii="宋体" w:hAnsi="宋体" w:cs="宋体"/>
          <w:sz w:val="24"/>
          <w:szCs w:val="24"/>
        </w:rPr>
        <w:t xml:space="preserve">小时内解决、服务支持方式包括但不限于电话、远程、现场。</w:t>
      </w:r>
      <w:r/>
    </w:p>
    <w:p>
      <w:pPr>
        <w:ind w:firstLine="561"/>
        <w:spacing w:line="360" w:lineRule="auto"/>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）提供的服务措施应包含定期的系统巡检计划、运维服务管理制度以及突发事件应急保障方案等。</w:t>
      </w:r>
      <w:r/>
    </w:p>
    <w:p>
      <w:pPr>
        <w:pStyle w:val="902"/>
        <w:jc w:val="both"/>
        <w:spacing w:beforeAutospacing="0" w:afterAutospacing="0" w:line="360" w:lineRule="auto"/>
        <w:rPr>
          <w:rFonts w:ascii="宋体" w:hAnsi="宋体" w:cs="宋体"/>
          <w:color w:val="000000"/>
          <w:szCs w:val="24"/>
          <w:shd w:val="clear" w:color="auto" w:fill="ffff00"/>
        </w:rPr>
      </w:pPr>
      <w:r>
        <w:rPr>
          <w:rFonts w:hint="eastAsia" w:ascii="宋体" w:hAnsi="宋体" w:cs="宋体"/>
          <w:b/>
          <w:bCs/>
          <w:color w:val="000000"/>
          <w:szCs w:val="24"/>
        </w:rPr>
        <w:t xml:space="preserve">五、其他要求</w:t>
      </w:r>
      <w:r/>
    </w:p>
    <w:p>
      <w:pPr>
        <w:ind w:firstLine="560"/>
        <w:spacing w:line="360" w:lineRule="auto"/>
        <w:rPr>
          <w:rFonts w:ascii="宋体" w:hAnsi="宋体" w:cs="宋体"/>
          <w:sz w:val="24"/>
          <w:szCs w:val="24"/>
        </w:rPr>
      </w:pPr>
      <w:r>
        <w:rPr>
          <w:rFonts w:hint="eastAsia" w:ascii="宋体" w:hAnsi="宋体" w:cs="宋体"/>
          <w:b/>
          <w:bCs/>
          <w:sz w:val="24"/>
          <w:szCs w:val="24"/>
        </w:rPr>
        <w:t xml:space="preserve">1、演示要求：</w:t>
      </w:r>
      <w:r>
        <w:rPr>
          <w:rFonts w:hint="eastAsia" w:ascii="宋体" w:hAnsi="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w:t>
      </w:r>
      <w:r>
        <w:rPr>
          <w:rFonts w:hint="eastAsia" w:ascii="宋体" w:hAnsi="宋体" w:cs="宋体"/>
          <w:color w:val="000000"/>
          <w:sz w:val="24"/>
          <w:szCs w:val="24"/>
        </w:rPr>
        <w:t xml:space="preserve">传方式见</w:t>
      </w:r>
      <w:r>
        <w:rPr>
          <w:rFonts w:hint="eastAsia" w:ascii="宋体" w:hAnsi="宋体" w:cs="宋体"/>
          <w:color w:val="000000"/>
          <w:sz w:val="24"/>
          <w:szCs w:val="24"/>
        </w:rPr>
        <w:t xml:space="preserve">《操作手册》规定，上传的演示视频将作为投标文件的组成部分，</w:t>
      </w:r>
      <w:r>
        <w:rPr>
          <w:rFonts w:hint="eastAsia" w:ascii="宋体" w:hAnsi="宋体" w:cs="宋体"/>
          <w:sz w:val="24"/>
          <w:szCs w:val="24"/>
        </w:rPr>
        <w:t xml:space="preserve">视频时长总计不超过15分钟。</w:t>
      </w:r>
      <w:r/>
    </w:p>
    <w:p>
      <w:pPr>
        <w:pStyle w:val="902"/>
        <w:jc w:val="both"/>
        <w:spacing w:beforeAutospacing="0" w:afterAutospacing="0" w:line="360" w:lineRule="auto"/>
        <w:rPr>
          <w:rFonts w:ascii="宋体" w:hAnsi="宋体" w:cs="宋体"/>
          <w:b/>
          <w:bCs/>
        </w:rPr>
      </w:pPr>
      <w:r>
        <w:rPr>
          <w:rFonts w:hint="eastAsia" w:ascii="宋体" w:hAnsi="宋体" w:cs="宋体"/>
          <w:b/>
          <w:bCs/>
          <w:szCs w:val="24"/>
        </w:rPr>
        <w:t xml:space="preserve">2、</w:t>
      </w:r>
      <w:r>
        <w:rPr>
          <w:rFonts w:hint="eastAsia" w:ascii="宋体" w:hAnsi="宋体" w:cs="宋体"/>
          <w:b/>
          <w:bCs/>
          <w:color w:val="000000"/>
          <w:szCs w:val="24"/>
        </w:rPr>
        <w:t xml:space="preserve">演示内容如下：</w:t>
      </w:r>
      <w:r/>
    </w:p>
    <w:p>
      <w:pPr>
        <w:pStyle w:val="1148"/>
        <w:ind w:left="120" w:firstLine="360"/>
        <w:spacing w:line="0" w:lineRule="atLeast"/>
        <w:rPr>
          <w:rFonts w:ascii="宋体" w:hAnsi="宋体"/>
          <w:bCs/>
          <w:color w:val="000000"/>
        </w:rPr>
      </w:pPr>
      <w:r>
        <w:rPr>
          <w:rFonts w:hint="eastAsia" w:ascii="宋体" w:hAnsi="宋体"/>
          <w:bCs/>
          <w:color w:val="000000"/>
        </w:rPr>
        <w:t xml:space="preserve">（一）基础管理模块</w:t>
      </w:r>
      <w:r/>
    </w:p>
    <w:p>
      <w:pPr>
        <w:pStyle w:val="1148"/>
        <w:ind w:left="120" w:firstLine="360"/>
        <w:spacing w:line="0" w:lineRule="atLeast"/>
        <w:rPr>
          <w:rFonts w:ascii="宋体" w:hAnsi="宋体"/>
          <w:bCs/>
          <w:color w:val="000000"/>
        </w:rPr>
      </w:pPr>
      <w:r>
        <w:rPr>
          <w:rFonts w:hint="eastAsia" w:ascii="宋体" w:hAnsi="宋体"/>
          <w:bCs/>
          <w:color w:val="000000"/>
        </w:rPr>
        <w:t xml:space="preserve">1.基础数据管理：①非税项目管理、②银行账户管理等。</w:t>
      </w:r>
      <w:r/>
    </w:p>
    <w:p>
      <w:pPr>
        <w:pStyle w:val="1148"/>
        <w:ind w:left="120" w:firstLine="360"/>
        <w:spacing w:line="0" w:lineRule="atLeast"/>
        <w:rPr>
          <w:rFonts w:ascii="宋体" w:hAnsi="宋体"/>
          <w:bCs/>
          <w:color w:val="000000"/>
        </w:rPr>
      </w:pPr>
      <w:r>
        <w:rPr>
          <w:rFonts w:hint="eastAsia" w:ascii="宋体" w:hAnsi="宋体"/>
          <w:bCs/>
          <w:color w:val="000000"/>
        </w:rPr>
        <w:t xml:space="preserve">2.票据管理：①票据申请、②票据资格申请、③票据领用入库等。</w:t>
      </w:r>
      <w:r/>
    </w:p>
    <w:p>
      <w:pPr>
        <w:pStyle w:val="1148"/>
        <w:ind w:left="120" w:firstLine="360"/>
        <w:spacing w:line="0" w:lineRule="atLeast"/>
        <w:rPr>
          <w:rFonts w:ascii="宋体" w:hAnsi="宋体"/>
          <w:bCs/>
          <w:color w:val="000000"/>
        </w:rPr>
      </w:pPr>
      <w:r>
        <w:rPr>
          <w:rFonts w:hint="eastAsia" w:ascii="宋体" w:hAnsi="宋体"/>
          <w:bCs/>
          <w:color w:val="000000"/>
        </w:rPr>
        <w:t xml:space="preserve">（二）核心业务模块</w:t>
      </w:r>
      <w:r/>
    </w:p>
    <w:p>
      <w:pPr>
        <w:pStyle w:val="1148"/>
        <w:ind w:left="120" w:firstLine="360"/>
        <w:spacing w:line="0" w:lineRule="atLeast"/>
        <w:rPr>
          <w:rFonts w:ascii="宋体" w:hAnsi="宋体"/>
          <w:bCs/>
          <w:color w:val="000000"/>
        </w:rPr>
      </w:pPr>
      <w:r>
        <w:rPr>
          <w:rFonts w:hint="eastAsia" w:ascii="宋体" w:hAnsi="宋体"/>
          <w:bCs/>
          <w:color w:val="000000"/>
        </w:rPr>
        <w:t xml:space="preserve">1.收缴管理：①缴款通知书、②汇总通知书、③缴款打印模板设置、④退付申请等。</w:t>
      </w:r>
      <w:r/>
    </w:p>
    <w:p>
      <w:pPr>
        <w:pStyle w:val="1148"/>
        <w:ind w:left="120" w:firstLine="360"/>
        <w:spacing w:line="0" w:lineRule="atLeast"/>
        <w:rPr>
          <w:rFonts w:ascii="宋体" w:hAnsi="宋体"/>
          <w:bCs/>
          <w:color w:val="000000"/>
        </w:rPr>
      </w:pPr>
      <w:r>
        <w:rPr>
          <w:rFonts w:hint="eastAsia" w:ascii="宋体" w:hAnsi="宋体"/>
          <w:bCs/>
          <w:color w:val="000000"/>
        </w:rPr>
        <w:t xml:space="preserve">2.对账管理：①到账资金对账、②账户资金对账、③</w:t>
      </w:r>
      <w:r>
        <w:rPr>
          <w:rFonts w:hint="eastAsia" w:ascii="宋体" w:hAnsi="宋体"/>
          <w:bCs/>
          <w:color w:val="000000"/>
        </w:rPr>
        <w:t xml:space="preserve">不明款</w:t>
      </w:r>
      <w:r>
        <w:rPr>
          <w:rFonts w:hint="eastAsia" w:ascii="宋体" w:hAnsi="宋体"/>
          <w:bCs/>
          <w:color w:val="000000"/>
        </w:rPr>
        <w:t xml:space="preserve">处理、④过账处理等。</w:t>
      </w:r>
      <w:r/>
    </w:p>
    <w:p>
      <w:pPr>
        <w:pStyle w:val="1148"/>
        <w:ind w:left="120" w:firstLine="360"/>
        <w:spacing w:line="0" w:lineRule="atLeast"/>
        <w:rPr>
          <w:rFonts w:ascii="宋体" w:hAnsi="宋体"/>
          <w:bCs/>
          <w:color w:val="000000"/>
        </w:rPr>
      </w:pPr>
      <w:r>
        <w:rPr>
          <w:rFonts w:hint="eastAsia" w:ascii="宋体" w:hAnsi="宋体"/>
          <w:bCs/>
          <w:color w:val="000000"/>
        </w:rPr>
        <w:t xml:space="preserve">3.电子票据管理：①电子票据开具、②电子票据冲红等。</w:t>
      </w:r>
      <w:r/>
    </w:p>
    <w:p>
      <w:pPr>
        <w:pStyle w:val="1148"/>
        <w:ind w:left="120" w:firstLine="360"/>
        <w:spacing w:line="0" w:lineRule="atLeast"/>
        <w:rPr>
          <w:rFonts w:ascii="宋体" w:hAnsi="宋体"/>
          <w:bCs/>
          <w:color w:val="000000"/>
          <w:highlight w:val="yellow"/>
        </w:rPr>
      </w:pPr>
      <w:r>
        <w:rPr>
          <w:rFonts w:hint="eastAsia" w:ascii="宋体" w:hAnsi="宋体"/>
          <w:bCs/>
          <w:color w:val="000000"/>
        </w:rPr>
        <w:t xml:space="preserve">4.统计分析：①收入月报、②单位月报、③项目月报等。</w:t>
      </w:r>
      <w:r/>
    </w:p>
    <w:p>
      <w:pPr>
        <w:pStyle w:val="1148"/>
        <w:ind w:left="120" w:firstLine="360"/>
        <w:spacing w:line="0" w:lineRule="atLeast"/>
        <w:rPr>
          <w:rFonts w:ascii="宋体" w:hAnsi="宋体"/>
          <w:bCs/>
          <w:color w:val="000000"/>
        </w:rPr>
      </w:pPr>
      <w:r>
        <w:rPr>
          <w:rFonts w:ascii="宋体" w:hAnsi="宋体"/>
          <w:bCs/>
          <w:color w:val="000000"/>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pStyle w:val="1060"/>
        <w:jc w:val="both"/>
        <w:rPr>
          <w:rFonts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pgNumType w:start="16"/>
          <w:cols w:num="1" w:sep="0" w:space="1701" w:equalWidth="1"/>
          <w:docGrid w:linePitch="360"/>
          <w:titlePg/>
        </w:sectPr>
      </w:pPr>
      <w:r>
        <w:rPr>
          <w:rFonts w:ascii="黑体" w:eastAsia="黑体"/>
          <w:bCs/>
          <w:color w:val="000000"/>
          <w:sz w:val="44"/>
        </w:rPr>
      </w:r>
      <w:r/>
    </w:p>
    <w:p>
      <w:pPr>
        <w:pStyle w:val="1060"/>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148"/>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pStyle w:val="1148"/>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73"/>
        <w:gridCol w:w="5529"/>
      </w:tblGrid>
      <w:tr>
        <w:trPr/>
        <w:tc>
          <w:tcPr>
            <w:tcW w:w="2373"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529"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23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529"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148"/>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w:t>
      </w:r>
      <w:r>
        <w:rPr>
          <w:rFonts w:hint="eastAsia" w:ascii="宋体" w:hAnsi="宋体"/>
          <w:color w:val="000000"/>
          <w:sz w:val="24"/>
          <w:szCs w:val="24"/>
        </w:rPr>
        <w:t xml:space="preserve">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7.采购本国产品的支持政策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w:t>
      </w:r>
      <w:r>
        <w:rPr>
          <w:rFonts w:hint="eastAsia" w:ascii="宋体" w:hAnsi="宋体"/>
          <w:color w:val="000000"/>
          <w:sz w:val="24"/>
          <w:szCs w:val="24"/>
        </w:rPr>
        <w:t xml:space="preserve">商整个采购包给予</w:t>
      </w:r>
      <w:r>
        <w:rPr>
          <w:rFonts w:hint="eastAsia" w:ascii="宋体" w:hAnsi="宋体"/>
          <w:color w:val="000000"/>
          <w:sz w:val="24"/>
          <w:szCs w:val="24"/>
        </w:rPr>
        <w:t xml:space="preserve">价格评审优惠，即对该供应</w:t>
      </w:r>
      <w:r>
        <w:rPr>
          <w:rFonts w:hint="eastAsia" w:ascii="宋体" w:hAnsi="宋体"/>
          <w:color w:val="000000"/>
          <w:sz w:val="24"/>
          <w:szCs w:val="24"/>
        </w:rPr>
        <w:t xml:space="preserve">商整个</w:t>
      </w:r>
      <w:r>
        <w:rPr>
          <w:rFonts w:hint="eastAsia" w:ascii="宋体" w:hAnsi="宋体"/>
          <w:color w:val="000000"/>
          <w:sz w:val="24"/>
          <w:szCs w:val="24"/>
        </w:rPr>
        <w:t xml:space="preserve">采购包的总报价给予20%的价格扣除，用扣除后的价格参与评审。供应商未填写比例数值，或比例数值不足80%的，将不享受本国产品价格评审优惠。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7.2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7.3 供应商需在《声明函》中逐一、准确填写产品名称、厂名、生产厂址三项信息</w:t>
      </w:r>
      <w:r>
        <w:rPr>
          <w:rFonts w:hint="eastAsia" w:ascii="宋体" w:hAnsi="宋体"/>
          <w:sz w:val="24"/>
          <w:szCs w:val="24"/>
        </w:rPr>
        <w:t xml:space="preserve">（《声明函》中标注“  /  ”的地方无需填写）</w:t>
      </w:r>
      <w:r>
        <w:rPr>
          <w:rFonts w:hint="eastAsia" w:ascii="宋体" w:hAnsi="宋体"/>
          <w:color w:val="000000"/>
          <w:sz w:val="24"/>
          <w:szCs w:val="24"/>
        </w:rPr>
        <w:t xml:space="preserve">，三项信息中任意一项未填写的视为该项产品不符合本国产品标准，不享受本国产品价格评审优惠。</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7.4 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ascii="宋体" w:hAnsi="宋体"/>
          <w:b/>
          <w:color w:val="000000"/>
        </w:rPr>
      </w:r>
      <w:r/>
    </w:p>
    <w:p>
      <w:pPr>
        <w:pStyle w:val="1148"/>
        <w:ind w:firstLine="0"/>
        <w:spacing w:line="0" w:lineRule="atLeast"/>
        <w:rPr>
          <w:rFonts w:ascii="宋体" w:hAnsi="宋体"/>
          <w:b/>
          <w:color w:val="000000"/>
        </w:rPr>
      </w:pPr>
      <w:r>
        <w:rPr>
          <w:rFonts w:hint="eastAsia" w:ascii="宋体" w:hAnsi="宋体"/>
          <w:b/>
          <w:color w:val="000000"/>
        </w:rPr>
        <w:t xml:space="preserve">评标方法与评标标准</w:t>
      </w:r>
      <w:r>
        <w:rPr>
          <w:rFonts w:hint="eastAsia" w:ascii="宋体" w:hAnsi="宋体"/>
          <w:b/>
          <w:color w:val="000000"/>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7"/>
        <w:gridCol w:w="7482"/>
      </w:tblGrid>
      <w:tr>
        <w:trPr>
          <w:jc w:val="center"/>
          <w:trHeight w:val="90"/>
        </w:trPr>
        <w:tc>
          <w:tcPr>
            <w:tcW w:w="920" w:type="pct"/>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项目</w:t>
            </w:r>
            <w:r/>
          </w:p>
        </w:tc>
        <w:tc>
          <w:tcPr>
            <w:tcW w:w="4080" w:type="pct"/>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评分标准</w:t>
            </w:r>
            <w:r/>
          </w:p>
        </w:tc>
      </w:tr>
      <w:tr>
        <w:trPr>
          <w:jc w:val="center"/>
          <w:trHeight w:val="90"/>
        </w:trPr>
        <w:tc>
          <w:tcPr>
            <w:tcW w:w="92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报价</w:t>
            </w:r>
            <w:r/>
          </w:p>
          <w:p>
            <w:pPr>
              <w:ind w:firstLine="240"/>
              <w:jc w:val="center"/>
              <w:spacing w:line="360" w:lineRule="auto"/>
              <w:rPr>
                <w:rFonts w:ascii="宋体" w:hAnsi="宋体" w:cs="宋体"/>
                <w:sz w:val="24"/>
                <w:szCs w:val="24"/>
              </w:rPr>
            </w:pPr>
            <w:r>
              <w:rPr>
                <w:rFonts w:hint="eastAsia" w:ascii="宋体" w:hAnsi="宋体" w:cs="宋体"/>
                <w:sz w:val="24"/>
                <w:szCs w:val="24"/>
              </w:rPr>
              <w:t xml:space="preserve">（10分）</w:t>
            </w:r>
            <w:r/>
          </w:p>
        </w:tc>
        <w:tc>
          <w:tcPr>
            <w:tcW w:w="4080" w:type="pct"/>
            <w:textDirection w:val="lrTb"/>
            <w:noWrap w:val="false"/>
          </w:tcPr>
          <w:p>
            <w:pPr>
              <w:jc w:val="left"/>
              <w:spacing w:before="120" w:after="120" w:line="360" w:lineRule="auto"/>
              <w:rPr>
                <w:rFonts w:ascii="宋体" w:hAnsi="宋体" w:cs="宋体"/>
                <w:sz w:val="24"/>
                <w:szCs w:val="24"/>
              </w:rPr>
            </w:pPr>
            <w:r>
              <w:rPr>
                <w:rFonts w:hint="eastAsia" w:ascii="宋体" w:hAnsi="宋体" w:cs="宋体"/>
                <w:color w:val="000000"/>
                <w:sz w:val="24"/>
                <w:szCs w:val="24"/>
              </w:rPr>
              <w:t xml:space="preserve">以满足采购文件要求的最低投标报价为评标基准价，得满分10分，其他投标报价得分=（评标基准价/其他投标报价）×10×100%。</w:t>
            </w:r>
            <w:r/>
          </w:p>
        </w:tc>
      </w:tr>
      <w:tr>
        <w:trPr>
          <w:jc w:val="center"/>
          <w:trHeight w:val="90"/>
        </w:trPr>
        <w:tc>
          <w:tcPr>
            <w:tcW w:w="92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综合实力</w:t>
            </w:r>
            <w:r/>
          </w:p>
          <w:p>
            <w:pPr>
              <w:jc w:val="center"/>
              <w:spacing w:line="360" w:lineRule="auto"/>
              <w:rPr>
                <w:rFonts w:ascii="宋体" w:hAnsi="宋体" w:cs="宋体"/>
                <w:sz w:val="24"/>
                <w:szCs w:val="24"/>
              </w:rPr>
            </w:pPr>
            <w:r>
              <w:rPr>
                <w:rFonts w:hint="eastAsia" w:ascii="宋体" w:hAnsi="宋体" w:cs="宋体"/>
                <w:sz w:val="24"/>
                <w:szCs w:val="24"/>
              </w:rPr>
              <w:t xml:space="preserve">（4分）</w:t>
            </w:r>
            <w:r/>
          </w:p>
        </w:tc>
        <w:tc>
          <w:tcPr>
            <w:tcW w:w="4080" w:type="pct"/>
            <w:textDirection w:val="lrTb"/>
            <w:noWrap w:val="false"/>
          </w:tcPr>
          <w:p>
            <w:pPr>
              <w:spacing w:line="360" w:lineRule="auto"/>
              <w:rPr>
                <w:rFonts w:ascii="宋体" w:hAnsi="宋体" w:cs="宋体"/>
                <w:spacing w:val="-6"/>
                <w:sz w:val="24"/>
                <w:szCs w:val="24"/>
              </w:rPr>
            </w:pPr>
            <w:r>
              <w:rPr>
                <w:rFonts w:hint="eastAsia" w:ascii="宋体" w:hAnsi="宋体" w:cs="宋体"/>
                <w:spacing w:val="-6"/>
                <w:sz w:val="24"/>
                <w:szCs w:val="24"/>
              </w:rPr>
              <w:t xml:space="preserve">1、供应商具有ISO20000信息技术服务管理体系认证证书的得2分。</w:t>
            </w:r>
            <w:r/>
          </w:p>
          <w:p>
            <w:pPr>
              <w:spacing w:line="360" w:lineRule="auto"/>
              <w:rPr>
                <w:rFonts w:ascii="宋体" w:hAnsi="宋体" w:cs="宋体"/>
                <w:sz w:val="24"/>
                <w:szCs w:val="24"/>
              </w:rPr>
            </w:pPr>
            <w:r>
              <w:rPr>
                <w:rFonts w:hint="eastAsia" w:ascii="宋体" w:hAnsi="宋体" w:cs="宋体"/>
                <w:sz w:val="24"/>
                <w:szCs w:val="24"/>
              </w:rPr>
              <w:t xml:space="preserve">2、供应商具有</w:t>
            </w:r>
            <w:r>
              <w:rPr>
                <w:rFonts w:hint="eastAsia" w:ascii="宋体" w:hAnsi="宋体" w:cs="宋体"/>
                <w:sz w:val="24"/>
                <w:szCs w:val="24"/>
                <w:lang w:bidi="ar"/>
              </w:rPr>
              <w:t xml:space="preserve">ISO27001信息安全管理体系认证证书</w:t>
            </w:r>
            <w:r>
              <w:rPr>
                <w:rFonts w:hint="eastAsia" w:ascii="宋体" w:hAnsi="宋体" w:cs="宋体"/>
                <w:sz w:val="24"/>
                <w:szCs w:val="24"/>
              </w:rPr>
              <w:t xml:space="preserve">的得2分。</w:t>
            </w:r>
            <w:r/>
          </w:p>
          <w:p>
            <w:pPr>
              <w:spacing w:line="360" w:lineRule="auto"/>
              <w:rPr>
                <w:rFonts w:ascii="宋体" w:hAnsi="宋体" w:cs="宋体"/>
                <w:sz w:val="24"/>
                <w:szCs w:val="24"/>
                <w:lang w:val="zh-CN"/>
              </w:rPr>
            </w:pPr>
            <w:r>
              <w:rPr>
                <w:rFonts w:hint="eastAsia" w:ascii="宋体" w:hAnsi="宋体" w:cs="宋体"/>
                <w:b/>
                <w:bCs/>
                <w:spacing w:val="-6"/>
                <w:sz w:val="24"/>
                <w:szCs w:val="24"/>
              </w:rPr>
              <w:t xml:space="preserve">（以上需提供有效期内的证书，原件扫描上传。）</w:t>
            </w:r>
            <w:r/>
          </w:p>
        </w:tc>
      </w:tr>
      <w:tr>
        <w:trPr>
          <w:jc w:val="center"/>
          <w:trHeight w:val="1312"/>
        </w:trPr>
        <w:tc>
          <w:tcPr>
            <w:tcW w:w="920" w:type="pct"/>
            <w:textDirection w:val="lrTb"/>
            <w:noWrap w:val="false"/>
          </w:tcPr>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ascii="宋体" w:hAnsi="宋体" w:cs="宋体"/>
              </w:rPr>
            </w:r>
            <w:r/>
          </w:p>
          <w:p>
            <w:pPr>
              <w:jc w:val="center"/>
              <w:spacing w:line="360" w:lineRule="auto"/>
              <w:rPr>
                <w:rFonts w:ascii="宋体" w:hAnsi="宋体" w:cs="宋体"/>
                <w:sz w:val="24"/>
                <w:szCs w:val="24"/>
              </w:rPr>
            </w:pPr>
            <w:r>
              <w:rPr>
                <w:rFonts w:hint="eastAsia" w:ascii="宋体" w:hAnsi="宋体" w:cs="宋体"/>
                <w:sz w:val="24"/>
                <w:szCs w:val="24"/>
              </w:rPr>
              <w:t xml:space="preserve">项目组人员配置</w:t>
            </w:r>
            <w:r/>
          </w:p>
          <w:p>
            <w:pPr>
              <w:jc w:val="center"/>
              <w:spacing w:line="360" w:lineRule="auto"/>
              <w:rPr>
                <w:rFonts w:ascii="宋体" w:hAnsi="宋体" w:cs="宋体"/>
                <w:sz w:val="24"/>
                <w:szCs w:val="24"/>
              </w:rPr>
            </w:pPr>
            <w:r>
              <w:rPr>
                <w:rFonts w:hint="eastAsia" w:ascii="宋体" w:hAnsi="宋体" w:cs="宋体"/>
                <w:sz w:val="24"/>
                <w:szCs w:val="24"/>
              </w:rPr>
              <w:t xml:space="preserve">（14分）</w:t>
            </w:r>
            <w:r/>
          </w:p>
          <w:p>
            <w:pPr>
              <w:spacing w:line="360" w:lineRule="auto"/>
              <w:rPr>
                <w:rFonts w:ascii="宋体" w:hAnsi="宋体" w:cs="宋体"/>
                <w:sz w:val="24"/>
                <w:szCs w:val="24"/>
              </w:rPr>
            </w:pPr>
            <w:r>
              <w:rPr>
                <w:rFonts w:ascii="宋体" w:hAnsi="宋体" w:cs="宋体"/>
                <w:sz w:val="24"/>
                <w:szCs w:val="24"/>
              </w:rPr>
            </w:r>
            <w:r/>
          </w:p>
        </w:tc>
        <w:tc>
          <w:tcPr>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为保障项目顺利实施，考核供应</w:t>
            </w:r>
            <w:r>
              <w:rPr>
                <w:rFonts w:hint="eastAsia" w:ascii="宋体" w:hAnsi="宋体" w:cs="宋体"/>
                <w:sz w:val="24"/>
                <w:szCs w:val="24"/>
              </w:rPr>
              <w:t xml:space="preserve">商团队</w:t>
            </w:r>
            <w:r>
              <w:rPr>
                <w:rFonts w:hint="eastAsia" w:ascii="宋体" w:hAnsi="宋体" w:cs="宋体"/>
                <w:sz w:val="24"/>
                <w:szCs w:val="24"/>
              </w:rPr>
              <w:t xml:space="preserve">成员应具备以下相关专业能力</w:t>
            </w:r>
            <w:r/>
          </w:p>
          <w:p>
            <w:pPr>
              <w:pStyle w:val="1130"/>
              <w:ind w:firstLine="0"/>
              <w:rPr>
                <w:rFonts w:cs="宋体"/>
                <w:sz w:val="24"/>
                <w:szCs w:val="24"/>
              </w:rPr>
            </w:pPr>
            <w:r>
              <w:rPr>
                <w:rFonts w:hint="eastAsia" w:cs="宋体"/>
                <w:sz w:val="24"/>
                <w:szCs w:val="24"/>
              </w:rPr>
              <w:t xml:space="preserve">1、项目经理（1人）：</w:t>
            </w:r>
            <w:r>
              <w:rPr>
                <w:rFonts w:hint="eastAsia" w:cs="宋体"/>
                <w:color w:val="000000"/>
                <w:sz w:val="24"/>
                <w:szCs w:val="24"/>
              </w:rPr>
              <w:t xml:space="preserve">投标人拟派本项目的项目负责人具有IT服务项目经理证书、中国信息安全测评中心颁发的国家信息安全水平证书（NISP一级）的，有一类得2分，本项最高得4分。</w:t>
            </w:r>
            <w:r/>
          </w:p>
          <w:p>
            <w:pPr>
              <w:spacing w:line="360" w:lineRule="auto"/>
              <w:rPr>
                <w:rFonts w:ascii="宋体" w:hAnsi="宋体" w:cs="宋体"/>
                <w:sz w:val="24"/>
                <w:szCs w:val="24"/>
              </w:rPr>
            </w:pPr>
            <w:r>
              <w:rPr>
                <w:rFonts w:hint="eastAsia" w:ascii="宋体" w:hAnsi="宋体" w:cs="宋体"/>
                <w:sz w:val="24"/>
                <w:szCs w:val="24"/>
              </w:rPr>
              <w:t xml:space="preserve">2、技术经理（1人）：</w:t>
            </w:r>
            <w:r>
              <w:rPr>
                <w:rFonts w:hint="eastAsia" w:ascii="宋体" w:hAnsi="宋体" w:cs="宋体"/>
                <w:color w:val="000000"/>
                <w:sz w:val="24"/>
                <w:szCs w:val="24"/>
              </w:rPr>
              <w:t xml:space="preserve">投标人拟派本项目的技术经理具有全国计算机技术与软件专业技术高级资格证书、中</w:t>
            </w:r>
            <w:r>
              <w:rPr>
                <w:rFonts w:hint="eastAsia" w:cs="宋体"/>
                <w:color w:val="000000"/>
                <w:sz w:val="24"/>
                <w:szCs w:val="24"/>
              </w:rPr>
              <w:t xml:space="preserve">国信息安全测评中心颁发的注册信息</w:t>
            </w:r>
            <w:r>
              <w:rPr>
                <w:rFonts w:hint="eastAsia" w:ascii="宋体" w:hAnsi="宋体" w:cs="宋体"/>
                <w:color w:val="000000"/>
                <w:sz w:val="24"/>
                <w:szCs w:val="24"/>
              </w:rPr>
              <w:t xml:space="preserve">安全专业人员（CISP）证书的，</w:t>
            </w:r>
            <w:r>
              <w:rPr>
                <w:rFonts w:hint="eastAsia" w:ascii="宋体" w:hAnsi="宋体" w:cs="宋体"/>
                <w:sz w:val="24"/>
                <w:szCs w:val="24"/>
              </w:rPr>
              <w:t xml:space="preserve">有一类得2分，本项最高得4分。</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3、研发经理（1人）：投标人拟派本项目的研发经理具有全国计算机技术与软件专业技术高级资格证书的得2分，本项最高得2分。</w:t>
            </w:r>
            <w:r/>
          </w:p>
          <w:p>
            <w:pPr>
              <w:spacing w:line="360" w:lineRule="auto"/>
              <w:rPr>
                <w:rFonts w:ascii="宋体" w:hAnsi="宋体" w:cs="宋体"/>
                <w:sz w:val="24"/>
                <w:szCs w:val="24"/>
              </w:rPr>
            </w:pPr>
            <w:r>
              <w:rPr>
                <w:rFonts w:hint="eastAsia" w:ascii="宋体" w:hAnsi="宋体" w:cs="宋体"/>
                <w:sz w:val="24"/>
                <w:szCs w:val="24"/>
              </w:rPr>
              <w:t xml:space="preserve">4、拟派本项目的其他人员要求：投标人拟派本项目的其他人员要求具有</w:t>
            </w:r>
            <w:r>
              <w:rPr>
                <w:rFonts w:hint="eastAsia" w:ascii="宋体" w:hAnsi="宋体" w:cs="宋体"/>
                <w:color w:val="000000"/>
                <w:sz w:val="24"/>
                <w:szCs w:val="24"/>
              </w:rPr>
              <w:t xml:space="preserve">全国计算机技术与软件专业技术中级及以上资格证书的，每拥有一个中级证书得1分，每拥有一个高级证书得2分，本项最高得4分。</w:t>
            </w:r>
            <w:r/>
          </w:p>
          <w:p>
            <w:pPr>
              <w:spacing w:line="360" w:lineRule="auto"/>
              <w:rPr>
                <w:rFonts w:ascii="宋体" w:hAnsi="宋体" w:cs="宋体"/>
                <w:sz w:val="24"/>
                <w:szCs w:val="24"/>
                <w:lang w:val="zh-CN"/>
              </w:rPr>
            </w:pPr>
            <w:r>
              <w:rPr>
                <w:rFonts w:hint="eastAsia" w:ascii="宋体" w:hAnsi="宋体" w:cs="宋体"/>
                <w:b/>
                <w:bCs/>
                <w:sz w:val="24"/>
                <w:szCs w:val="28"/>
              </w:rPr>
              <w:t xml:space="preserve">（以上人员不重复得分，需提供有效期内的证书或官方查询证明及投标人近3个月内任意一个月为其缴纳社保的证明，原件扫描上传）</w:t>
            </w:r>
            <w:r/>
          </w:p>
        </w:tc>
      </w:tr>
      <w:tr>
        <w:trPr>
          <w:jc w:val="center"/>
          <w:trHeight w:val="1634"/>
        </w:trPr>
        <w:tc>
          <w:tcPr>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业绩</w:t>
            </w:r>
            <w:r/>
          </w:p>
          <w:p>
            <w:pPr>
              <w:jc w:val="center"/>
              <w:spacing w:line="360" w:lineRule="auto"/>
              <w:rPr>
                <w:rFonts w:ascii="宋体" w:hAnsi="宋体" w:cs="宋体"/>
                <w:sz w:val="24"/>
                <w:szCs w:val="24"/>
              </w:rPr>
            </w:pPr>
            <w:r>
              <w:rPr>
                <w:rFonts w:hint="eastAsia" w:ascii="宋体" w:hAnsi="宋体" w:cs="宋体"/>
                <w:sz w:val="24"/>
                <w:szCs w:val="24"/>
              </w:rPr>
              <w:t xml:space="preserve">（9分）</w:t>
            </w:r>
            <w:r/>
          </w:p>
        </w:tc>
        <w:tc>
          <w:tcPr>
            <w:tcW w:w="4080" w:type="pct"/>
            <w:textDirection w:val="lrTb"/>
            <w:noWrap w:val="false"/>
          </w:tcPr>
          <w:p>
            <w:pPr>
              <w:spacing w:before="240" w:line="360" w:lineRule="auto"/>
              <w:rPr>
                <w:rFonts w:ascii="宋体" w:hAnsi="宋体" w:cs="宋体"/>
                <w:sz w:val="24"/>
                <w:szCs w:val="24"/>
              </w:rPr>
            </w:pPr>
            <w:r>
              <w:rPr>
                <w:rFonts w:hint="eastAsia" w:ascii="宋体" w:hAnsi="宋体" w:cs="宋体"/>
                <w:sz w:val="24"/>
                <w:szCs w:val="24"/>
              </w:rPr>
              <w:t xml:space="preserve">供应商自2023年1月1日以来，实施过类似本项目（信息系统</w:t>
            </w:r>
            <w:r>
              <w:rPr>
                <w:rFonts w:hint="eastAsia" w:ascii="宋体" w:hAnsi="宋体" w:cs="宋体"/>
                <w:sz w:val="24"/>
                <w:szCs w:val="24"/>
              </w:rPr>
              <w:t xml:space="preserve">实施或运维</w:t>
            </w:r>
            <w:r>
              <w:rPr>
                <w:rFonts w:hint="eastAsia" w:ascii="宋体" w:hAnsi="宋体" w:cs="宋体"/>
                <w:sz w:val="24"/>
                <w:szCs w:val="24"/>
              </w:rPr>
              <w:t xml:space="preserve">）的成功案例每提供一个案例得3分，满分9分。</w:t>
            </w:r>
            <w:r>
              <w:rPr>
                <w:rFonts w:hint="eastAsia" w:ascii="宋体" w:hAnsi="宋体" w:cs="宋体"/>
                <w:b/>
                <w:sz w:val="24"/>
                <w:szCs w:val="24"/>
              </w:rPr>
              <w:t xml:space="preserve">（以合同签订时间为准，提供合同原件扫描上传）</w:t>
            </w:r>
            <w:r/>
          </w:p>
        </w:tc>
      </w:tr>
      <w:tr>
        <w:trPr>
          <w:jc w:val="center"/>
          <w:trHeight w:val="90"/>
        </w:trPr>
        <w:tc>
          <w:tcPr>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实施方案</w:t>
            </w:r>
            <w:r/>
          </w:p>
          <w:p>
            <w:pPr>
              <w:jc w:val="center"/>
              <w:spacing w:line="360" w:lineRule="auto"/>
              <w:rPr>
                <w:rFonts w:ascii="宋体" w:hAnsi="宋体" w:cs="宋体"/>
                <w:sz w:val="24"/>
                <w:szCs w:val="24"/>
              </w:rPr>
            </w:pPr>
            <w:r>
              <w:rPr>
                <w:rFonts w:hint="eastAsia" w:ascii="宋体" w:hAnsi="宋体" w:cs="宋体"/>
                <w:sz w:val="24"/>
                <w:szCs w:val="24"/>
              </w:rPr>
              <w:t xml:space="preserve">（5分）</w:t>
            </w:r>
            <w:r/>
          </w:p>
        </w:tc>
        <w:tc>
          <w:tcPr>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投标人根据招标文件要求提供项目实施方案：方案优于招标文件要求的得5分；方案符合招标文件要求的得3分；方案基本满足招标文件</w:t>
            </w:r>
            <w:r>
              <w:rPr>
                <w:rFonts w:hint="eastAsia" w:ascii="宋体" w:hAnsi="宋体" w:cs="宋体"/>
                <w:sz w:val="24"/>
                <w:szCs w:val="24"/>
              </w:rPr>
              <w:t xml:space="preserve">要求得1分；不符合招标文件要求或未提供方案的不得分。</w:t>
            </w:r>
            <w:r/>
          </w:p>
        </w:tc>
      </w:tr>
      <w:tr>
        <w:trPr>
          <w:jc w:val="center"/>
          <w:trHeight w:val="1416"/>
        </w:trPr>
        <w:tc>
          <w:tcPr>
            <w:shd w:val="clear" w:color="auto" w:fill="auto"/>
            <w:tcW w:w="92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重点难点分析及解决策略方案（5分）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本项目重点难点分析及解决策略方案：方案优于招标文件要求的得5分；方案符合招标文件要求的得3分；方案基本满足招标文件要求得1分；不符合招标文件要求或未提供方案的不得分。</w:t>
            </w:r>
            <w:r/>
          </w:p>
        </w:tc>
      </w:tr>
      <w:tr>
        <w:trPr>
          <w:jc w:val="center"/>
          <w:trHeight w:val="90"/>
        </w:trPr>
        <w:tc>
          <w:tcPr>
            <w:shd w:val="clear" w:color="auto" w:fill="auto"/>
            <w:tcW w:w="92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非税收入管理系统业务熟悉程度方案</w:t>
            </w:r>
            <w:r/>
          </w:p>
          <w:p>
            <w:pPr>
              <w:jc w:val="center"/>
              <w:spacing w:line="360" w:lineRule="auto"/>
              <w:rPr>
                <w:rFonts w:ascii="宋体" w:hAnsi="宋体" w:cs="宋体"/>
                <w:sz w:val="24"/>
                <w:szCs w:val="24"/>
              </w:rPr>
            </w:pPr>
            <w:r>
              <w:rPr>
                <w:rFonts w:hint="eastAsia" w:ascii="宋体" w:hAnsi="宋体" w:cs="宋体"/>
                <w:sz w:val="24"/>
                <w:szCs w:val="24"/>
              </w:rPr>
              <w:t xml:space="preserve">（5分）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对非税收入管理系统业务熟悉程度方案：方案优于招标文件要求的得5分；方案符合招标文件要求的得3分；方案基本满足招标文件要求得1分；不符合招标文件要求或未提供方案的不得分。</w:t>
            </w:r>
            <w:r/>
          </w:p>
        </w:tc>
      </w:tr>
      <w:tr>
        <w:trPr>
          <w:jc w:val="center"/>
          <w:trHeight w:val="90"/>
        </w:trPr>
        <w:tc>
          <w:tcPr>
            <w:shd w:val="clear" w:color="auto" w:fill="auto"/>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应急响应方案（5分）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投标人根据招标文件要求提供系统应急响应方案：方案优于招标文件要求的得5分；方案符合招标文件要求的得3分；方案基本满足招标文件要求得1分；不符合招标文件要求或未提供方案的不得分。</w:t>
            </w:r>
            <w:r/>
          </w:p>
        </w:tc>
      </w:tr>
      <w:tr>
        <w:trPr>
          <w:jc w:val="center"/>
          <w:trHeight w:val="90"/>
        </w:trPr>
        <w:tc>
          <w:tcPr>
            <w:shd w:val="clear" w:color="auto" w:fill="auto"/>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系统对接方案</w:t>
            </w:r>
            <w:r/>
          </w:p>
          <w:p>
            <w:pPr>
              <w:jc w:val="center"/>
              <w:spacing w:line="360" w:lineRule="auto"/>
              <w:rPr>
                <w:rFonts w:ascii="宋体" w:hAnsi="宋体" w:cs="宋体"/>
                <w:sz w:val="24"/>
                <w:szCs w:val="24"/>
              </w:rPr>
            </w:pPr>
            <w:r>
              <w:rPr>
                <w:rFonts w:hint="eastAsia" w:ascii="宋体" w:hAnsi="宋体" w:cs="宋体"/>
                <w:sz w:val="24"/>
                <w:szCs w:val="24"/>
              </w:rPr>
              <w:t xml:space="preserve">（5分）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投标人根据招标文件要求提供系统对接方案：方案优于招标文件要求的得5分；方案符合招标文件要求的得3分；方案基本满足招标文件要求得1分；不符合招标文件要求或未提供方案的不得分。</w:t>
            </w:r>
            <w:r/>
          </w:p>
        </w:tc>
      </w:tr>
      <w:tr>
        <w:trPr>
          <w:jc w:val="center"/>
          <w:trHeight w:val="90"/>
        </w:trPr>
        <w:tc>
          <w:tcPr>
            <w:shd w:val="clear" w:color="auto" w:fill="auto"/>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安全管理方案</w:t>
            </w:r>
            <w:r/>
          </w:p>
          <w:p>
            <w:pPr>
              <w:jc w:val="center"/>
              <w:spacing w:line="360" w:lineRule="auto"/>
              <w:rPr>
                <w:rFonts w:ascii="宋体" w:hAnsi="宋体" w:cs="宋体"/>
                <w:sz w:val="24"/>
                <w:szCs w:val="24"/>
              </w:rPr>
            </w:pPr>
            <w:r>
              <w:rPr>
                <w:rFonts w:hint="eastAsia" w:ascii="宋体" w:hAnsi="宋体" w:cs="宋体"/>
                <w:sz w:val="24"/>
                <w:szCs w:val="24"/>
              </w:rPr>
              <w:t xml:space="preserve">（5分）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投标人根据招标文件要求提供安全管理方案：方案优于招标文件要求的得5分；方案符合招标文件要求的得3分；方案基本满足招标文件要求得1分；不符合招标文件要求或未提供方案的不得分。</w:t>
            </w:r>
            <w:r/>
          </w:p>
        </w:tc>
      </w:tr>
      <w:tr>
        <w:trPr>
          <w:jc w:val="center"/>
          <w:trHeight w:val="90"/>
        </w:trPr>
        <w:tc>
          <w:tcPr>
            <w:shd w:val="clear" w:color="auto" w:fill="auto"/>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运维服务方案</w:t>
            </w:r>
            <w:r/>
          </w:p>
          <w:p>
            <w:pPr>
              <w:jc w:val="center"/>
              <w:spacing w:line="360" w:lineRule="auto"/>
              <w:rPr>
                <w:rFonts w:ascii="宋体" w:hAnsi="宋体" w:cs="宋体"/>
                <w:sz w:val="24"/>
                <w:szCs w:val="24"/>
              </w:rPr>
            </w:pPr>
            <w:r>
              <w:rPr>
                <w:rFonts w:hint="eastAsia" w:ascii="宋体" w:hAnsi="宋体" w:cs="宋体"/>
                <w:sz w:val="24"/>
                <w:szCs w:val="24"/>
              </w:rPr>
              <w:t xml:space="preserve">（5分）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投标人根据招标文件要求提供运维服务方案：方案优于招标文件要求的得5分；方案符合招标文件要求的得3分；方案基本满足招标文件要求得1分；不符合招标文件要求或未提供方案的不得分。</w:t>
            </w:r>
            <w:r/>
          </w:p>
        </w:tc>
      </w:tr>
      <w:tr>
        <w:trPr>
          <w:jc w:val="center"/>
          <w:trHeight w:val="90"/>
        </w:trPr>
        <w:tc>
          <w:tcPr>
            <w:shd w:val="clear" w:color="auto" w:fill="auto"/>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培训方案</w:t>
            </w:r>
            <w:r/>
          </w:p>
          <w:p>
            <w:pPr>
              <w:jc w:val="center"/>
              <w:spacing w:line="360" w:lineRule="auto"/>
              <w:rPr>
                <w:rFonts w:ascii="宋体" w:hAnsi="宋体" w:cs="宋体"/>
                <w:sz w:val="24"/>
                <w:szCs w:val="24"/>
              </w:rPr>
            </w:pPr>
            <w:r>
              <w:rPr>
                <w:rFonts w:hint="eastAsia" w:ascii="宋体" w:hAnsi="宋体" w:cs="宋体"/>
                <w:sz w:val="24"/>
                <w:szCs w:val="24"/>
              </w:rPr>
              <w:t xml:space="preserve">（5分）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投标人根据招标文件要求提供项目的培训方案：方案优于招标文件要求的得5分；方案符合招标文件要求的得3分；方案基本满足招标文件要求得1分；不符合招标文件要求或未提供方案的不得分。</w:t>
            </w:r>
            <w:r/>
          </w:p>
        </w:tc>
      </w:tr>
      <w:tr>
        <w:trPr>
          <w:jc w:val="center"/>
          <w:trHeight w:val="90"/>
        </w:trPr>
        <w:tc>
          <w:tcPr>
            <w:shd w:val="clear" w:color="auto" w:fill="auto"/>
            <w:tcW w:w="920"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验收方案</w:t>
            </w:r>
            <w:r/>
          </w:p>
          <w:p>
            <w:pPr>
              <w:jc w:val="center"/>
              <w:spacing w:line="360" w:lineRule="auto"/>
              <w:rPr>
                <w:rFonts w:ascii="宋体" w:hAnsi="宋体" w:cs="宋体"/>
                <w:sz w:val="24"/>
                <w:szCs w:val="24"/>
              </w:rPr>
            </w:pPr>
            <w:r>
              <w:rPr>
                <w:rFonts w:hint="eastAsia" w:ascii="宋体" w:hAnsi="宋体" w:cs="宋体"/>
                <w:sz w:val="24"/>
                <w:szCs w:val="24"/>
              </w:rPr>
              <w:t xml:space="preserve">（5分）</w:t>
            </w:r>
            <w:r/>
          </w:p>
        </w:tc>
        <w:tc>
          <w:tcPr>
            <w:shd w:val="clear" w:color="auto" w:fill="auto"/>
            <w:tcW w:w="4080" w:type="pct"/>
            <w:textDirection w:val="lrTb"/>
            <w:noWrap w:val="false"/>
          </w:tcPr>
          <w:p>
            <w:pPr>
              <w:pStyle w:val="906"/>
              <w:ind w:left="0" w:firstLine="0"/>
              <w:spacing w:after="0" w:line="360" w:lineRule="auto"/>
              <w:rPr>
                <w:rFonts w:ascii="宋体" w:hAnsi="宋体" w:cs="宋体"/>
                <w:sz w:val="24"/>
                <w:szCs w:val="24"/>
              </w:rPr>
            </w:pPr>
            <w:r>
              <w:rPr>
                <w:rFonts w:hint="eastAsia" w:ascii="宋体" w:hAnsi="宋体" w:cs="宋体"/>
                <w:sz w:val="24"/>
                <w:szCs w:val="24"/>
              </w:rPr>
              <w:t xml:space="preserve">投标人根据招标文件要求提供项目的验收方案：方案优于招标文件要求的得5分；方案符合招标文件要求的得3分；方案基本满足招标文件要求得1分；不符合招标文件要求或未提供方案的不得分。</w:t>
            </w:r>
            <w:r/>
          </w:p>
        </w:tc>
      </w:tr>
      <w:tr>
        <w:trPr>
          <w:jc w:val="center"/>
          <w:trHeight w:val="6521"/>
        </w:trPr>
        <w:tc>
          <w:tcPr>
            <w:shd w:val="clear" w:color="auto" w:fill="auto"/>
            <w:tcW w:w="920" w:type="pct"/>
            <w:textDirection w:val="lrTb"/>
            <w:noWrap w:val="false"/>
          </w:tcPr>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视频演示</w:t>
            </w:r>
            <w:r/>
          </w:p>
          <w:p>
            <w:pPr>
              <w:jc w:val="center"/>
              <w:spacing w:line="360" w:lineRule="auto"/>
              <w:rPr>
                <w:rFonts w:ascii="宋体" w:hAnsi="宋体" w:cs="宋体"/>
                <w:sz w:val="24"/>
                <w:szCs w:val="24"/>
              </w:rPr>
            </w:pPr>
            <w:r>
              <w:rPr>
                <w:rFonts w:hint="eastAsia" w:ascii="宋体" w:hAnsi="宋体" w:cs="宋体"/>
                <w:sz w:val="24"/>
                <w:szCs w:val="24"/>
              </w:rPr>
              <w:t xml:space="preserve">（18分）</w:t>
            </w:r>
            <w:r/>
          </w:p>
        </w:tc>
        <w:tc>
          <w:tcPr>
            <w:shd w:val="clear" w:color="auto" w:fill="auto"/>
            <w:tcW w:w="4080"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投标人针对系统主要功能进行视频讲解，演示内容包括：</w:t>
            </w:r>
            <w:r/>
          </w:p>
          <w:p>
            <w:pPr>
              <w:spacing w:line="360" w:lineRule="auto"/>
              <w:rPr>
                <w:rFonts w:ascii="宋体" w:hAnsi="宋体" w:cs="宋体"/>
                <w:sz w:val="24"/>
                <w:szCs w:val="24"/>
              </w:rPr>
            </w:pPr>
            <w:r>
              <w:rPr>
                <w:rFonts w:hint="eastAsia" w:ascii="宋体" w:hAnsi="宋体" w:cs="宋体"/>
                <w:sz w:val="24"/>
                <w:szCs w:val="24"/>
              </w:rPr>
              <w:t xml:space="preserve">（一）基础管理模块</w:t>
            </w:r>
            <w:r/>
          </w:p>
          <w:p>
            <w:pPr>
              <w:spacing w:line="360" w:lineRule="auto"/>
              <w:rPr>
                <w:rFonts w:ascii="宋体" w:hAnsi="宋体" w:cs="宋体"/>
                <w:sz w:val="24"/>
                <w:szCs w:val="24"/>
              </w:rPr>
            </w:pPr>
            <w:r>
              <w:rPr>
                <w:rFonts w:hint="eastAsia" w:ascii="宋体" w:hAnsi="宋体" w:cs="宋体"/>
                <w:sz w:val="24"/>
                <w:szCs w:val="24"/>
              </w:rPr>
              <w:t xml:space="preserve">1、基础数据管理、票据管理：①非税项目管理、②银行账户管理、③票据申请、④票据资格申请、⑤票据领用入库。演示内容</w:t>
            </w:r>
            <w:r>
              <w:rPr>
                <w:rFonts w:hint="eastAsia" w:ascii="宋体" w:hAnsi="宋体" w:cs="仿宋"/>
                <w:sz w:val="24"/>
                <w:szCs w:val="24"/>
              </w:rPr>
              <w:t xml:space="preserve">满足上述功能的</w:t>
            </w:r>
            <w:r>
              <w:rPr>
                <w:rFonts w:hint="eastAsia" w:ascii="宋体" w:hAnsi="宋体" w:cs="宋体"/>
                <w:sz w:val="24"/>
                <w:szCs w:val="24"/>
              </w:rPr>
              <w:t xml:space="preserve">得5分</w:t>
            </w:r>
            <w:r>
              <w:rPr>
                <w:rFonts w:hint="eastAsia" w:ascii="宋体" w:hAnsi="宋体" w:cs="宋体"/>
                <w:sz w:val="24"/>
                <w:szCs w:val="24"/>
              </w:rPr>
              <w:t xml:space="preserve">，</w:t>
            </w:r>
            <w:r>
              <w:rPr>
                <w:rFonts w:hint="eastAsia" w:ascii="宋体" w:hAnsi="宋体" w:cs="仿宋"/>
                <w:sz w:val="24"/>
                <w:szCs w:val="24"/>
              </w:rPr>
              <w:t xml:space="preserve">每有一个功能不满足的</w:t>
            </w:r>
            <w:r>
              <w:rPr>
                <w:rFonts w:hint="eastAsia" w:ascii="宋体" w:hAnsi="宋体" w:cs="宋体"/>
                <w:sz w:val="24"/>
              </w:rPr>
              <w:t xml:space="preserve">扣1分。</w:t>
            </w:r>
            <w:r/>
          </w:p>
          <w:p>
            <w:pPr>
              <w:spacing w:line="360" w:lineRule="auto"/>
              <w:rPr>
                <w:rFonts w:ascii="宋体" w:hAnsi="宋体" w:cs="宋体"/>
                <w:sz w:val="24"/>
                <w:szCs w:val="24"/>
              </w:rPr>
            </w:pPr>
            <w:r>
              <w:rPr>
                <w:rFonts w:hint="eastAsia" w:ascii="宋体" w:hAnsi="宋体" w:cs="宋体"/>
                <w:sz w:val="24"/>
                <w:szCs w:val="24"/>
              </w:rPr>
              <w:t xml:space="preserve">（二）核心业务模块</w:t>
            </w:r>
            <w:r/>
          </w:p>
          <w:p>
            <w:pPr>
              <w:spacing w:line="360" w:lineRule="auto"/>
              <w:rPr>
                <w:rFonts w:ascii="宋体" w:hAnsi="宋体" w:cs="宋体"/>
                <w:sz w:val="24"/>
                <w:szCs w:val="24"/>
              </w:rPr>
            </w:pPr>
            <w:r>
              <w:rPr>
                <w:rFonts w:hint="eastAsia" w:ascii="宋体" w:hAnsi="宋体" w:cs="宋体"/>
                <w:sz w:val="24"/>
                <w:szCs w:val="24"/>
              </w:rPr>
              <w:t xml:space="preserve">1、收缴管理：①缴款通知书、②汇总通知书、③缴款打印模板设置、④退付申请。演示内容</w:t>
            </w:r>
            <w:r>
              <w:rPr>
                <w:rFonts w:hint="eastAsia" w:ascii="宋体" w:hAnsi="宋体" w:cs="仿宋"/>
                <w:sz w:val="24"/>
                <w:szCs w:val="24"/>
              </w:rPr>
              <w:t xml:space="preserve">满足上述功能的</w:t>
            </w:r>
            <w:r>
              <w:rPr>
                <w:rFonts w:hint="eastAsia" w:ascii="宋体" w:hAnsi="宋体" w:cs="宋体"/>
                <w:sz w:val="24"/>
                <w:szCs w:val="24"/>
              </w:rPr>
              <w:t xml:space="preserve">得4分</w:t>
            </w:r>
            <w:r>
              <w:rPr>
                <w:rFonts w:hint="eastAsia" w:ascii="宋体" w:hAnsi="宋体" w:cs="宋体"/>
                <w:sz w:val="24"/>
                <w:szCs w:val="24"/>
              </w:rPr>
              <w:t xml:space="preserve">，</w:t>
            </w:r>
            <w:r>
              <w:rPr>
                <w:rFonts w:hint="eastAsia" w:ascii="宋体" w:hAnsi="宋体" w:cs="仿宋"/>
                <w:sz w:val="24"/>
                <w:szCs w:val="24"/>
              </w:rPr>
              <w:t xml:space="preserve">每有一个功能不满足的</w:t>
            </w:r>
            <w:r>
              <w:rPr>
                <w:rFonts w:hint="eastAsia" w:ascii="宋体" w:hAnsi="宋体" w:cs="宋体"/>
                <w:sz w:val="24"/>
              </w:rPr>
              <w:t xml:space="preserve">扣1分。</w:t>
            </w:r>
            <w:r/>
          </w:p>
          <w:p>
            <w:pPr>
              <w:spacing w:line="360" w:lineRule="auto"/>
              <w:rPr>
                <w:rFonts w:ascii="宋体" w:hAnsi="宋体" w:cs="宋体"/>
                <w:sz w:val="24"/>
                <w:szCs w:val="24"/>
              </w:rPr>
            </w:pPr>
            <w:r>
              <w:rPr>
                <w:rFonts w:hint="eastAsia" w:ascii="宋体" w:hAnsi="宋体" w:cs="宋体"/>
                <w:sz w:val="24"/>
                <w:szCs w:val="24"/>
              </w:rPr>
              <w:t xml:space="preserve">2、对账管理：①到账资金对账、②账户资金对账、③</w:t>
            </w:r>
            <w:r>
              <w:rPr>
                <w:rFonts w:hint="eastAsia" w:ascii="宋体" w:hAnsi="宋体" w:cs="宋体"/>
                <w:sz w:val="24"/>
                <w:szCs w:val="24"/>
              </w:rPr>
              <w:t xml:space="preserve">不明款</w:t>
            </w:r>
            <w:r>
              <w:rPr>
                <w:rFonts w:hint="eastAsia" w:ascii="宋体" w:hAnsi="宋体" w:cs="宋体"/>
                <w:sz w:val="24"/>
                <w:szCs w:val="24"/>
              </w:rPr>
              <w:t xml:space="preserve">处理、④过账处理。演示内容</w:t>
            </w:r>
            <w:r>
              <w:rPr>
                <w:rFonts w:hint="eastAsia" w:ascii="宋体" w:hAnsi="宋体" w:cs="仿宋"/>
                <w:sz w:val="24"/>
                <w:szCs w:val="24"/>
              </w:rPr>
              <w:t xml:space="preserve">满足上述功能的</w:t>
            </w:r>
            <w:r>
              <w:rPr>
                <w:rFonts w:hint="eastAsia" w:ascii="宋体" w:hAnsi="宋体" w:cs="宋体"/>
                <w:sz w:val="24"/>
                <w:szCs w:val="24"/>
              </w:rPr>
              <w:t xml:space="preserve">得4分</w:t>
            </w:r>
            <w:r>
              <w:rPr>
                <w:rFonts w:hint="eastAsia" w:ascii="宋体" w:hAnsi="宋体" w:cs="宋体"/>
                <w:sz w:val="24"/>
                <w:szCs w:val="24"/>
              </w:rPr>
              <w:t xml:space="preserve">，</w:t>
            </w:r>
            <w:r>
              <w:rPr>
                <w:rFonts w:hint="eastAsia" w:ascii="宋体" w:hAnsi="宋体" w:cs="仿宋"/>
                <w:sz w:val="24"/>
                <w:szCs w:val="24"/>
              </w:rPr>
              <w:t xml:space="preserve">每有一个功能不满足的</w:t>
            </w:r>
            <w:r>
              <w:rPr>
                <w:rFonts w:hint="eastAsia" w:ascii="宋体" w:hAnsi="宋体" w:cs="宋体"/>
                <w:sz w:val="24"/>
              </w:rPr>
              <w:t xml:space="preserve">扣1分。</w:t>
            </w:r>
            <w:r/>
          </w:p>
          <w:p>
            <w:pPr>
              <w:spacing w:line="360" w:lineRule="auto"/>
              <w:rPr>
                <w:rFonts w:ascii="宋体" w:hAnsi="宋体" w:cs="宋体"/>
                <w:sz w:val="24"/>
                <w:szCs w:val="24"/>
              </w:rPr>
            </w:pPr>
            <w:r>
              <w:rPr>
                <w:rFonts w:hint="eastAsia" w:ascii="宋体" w:hAnsi="宋体" w:cs="宋体"/>
                <w:sz w:val="24"/>
                <w:szCs w:val="24"/>
              </w:rPr>
              <w:t xml:space="preserve">3、电子票据管理、统计分析：①电子票据开具、②电子票据冲红、③收入月报、④单位月报、⑤项目月报。演示内容</w:t>
            </w:r>
            <w:r>
              <w:rPr>
                <w:rFonts w:hint="eastAsia" w:ascii="宋体" w:hAnsi="宋体" w:cs="仿宋"/>
                <w:sz w:val="24"/>
                <w:szCs w:val="24"/>
              </w:rPr>
              <w:t xml:space="preserve">满足上述功能的</w:t>
            </w:r>
            <w:r>
              <w:rPr>
                <w:rFonts w:hint="eastAsia" w:ascii="宋体" w:hAnsi="宋体" w:cs="宋体"/>
                <w:sz w:val="24"/>
                <w:szCs w:val="24"/>
              </w:rPr>
              <w:t xml:space="preserve">得5分</w:t>
            </w:r>
            <w:r>
              <w:rPr>
                <w:rFonts w:hint="eastAsia" w:ascii="宋体" w:hAnsi="宋体" w:cs="宋体"/>
                <w:sz w:val="24"/>
                <w:szCs w:val="24"/>
              </w:rPr>
              <w:t xml:space="preserve">，</w:t>
            </w:r>
            <w:r>
              <w:rPr>
                <w:rFonts w:hint="eastAsia" w:ascii="宋体" w:hAnsi="宋体" w:cs="仿宋"/>
                <w:sz w:val="24"/>
                <w:szCs w:val="24"/>
              </w:rPr>
              <w:t xml:space="preserve">每有一个功能不满足的</w:t>
            </w:r>
            <w:r>
              <w:rPr>
                <w:rFonts w:hint="eastAsia" w:ascii="宋体" w:hAnsi="宋体" w:cs="宋体"/>
                <w:sz w:val="24"/>
              </w:rPr>
              <w:t xml:space="preserve">扣1分。</w:t>
            </w:r>
            <w:r/>
          </w:p>
        </w:tc>
      </w:tr>
    </w:tbl>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jc w:val="left"/>
        <w:spacing w:before="120" w:after="120" w:line="400" w:lineRule="exact"/>
        <w:rPr>
          <w:rFonts w:ascii="宋体" w:hAnsi="宋体"/>
          <w:color w:val="000000"/>
          <w:sz w:val="24"/>
          <w:szCs w:val="24"/>
        </w:rPr>
      </w:pPr>
      <w:r>
        <w:rPr>
          <w:rFonts w:ascii="宋体" w:hAnsi="宋体"/>
          <w:color w:val="000000"/>
          <w:sz w:val="24"/>
          <w:szCs w:val="24"/>
        </w:rPr>
      </w:r>
      <w:r/>
    </w:p>
    <w:p>
      <w:pPr>
        <w:pStyle w:val="1060"/>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231" w:name="_Hlt26671244"/>
      <w:r/>
      <w:bookmarkStart w:id="232" w:name="_Hlt26955039"/>
      <w:r/>
      <w:bookmarkStart w:id="233" w:name="_Toc120614282"/>
      <w:r/>
      <w:bookmarkStart w:id="234" w:name="_Toc49090576"/>
      <w:r/>
      <w:bookmarkStart w:id="235" w:name="_Toc26554094"/>
      <w:r/>
      <w:bookmarkEnd w:id="231"/>
      <w:r/>
      <w:bookmarkEnd w:id="232"/>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905"/>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905"/>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8.联合体协议（格式见附件14）。</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5）</w:t>
      </w:r>
      <w:r/>
    </w:p>
    <w:p>
      <w:pPr>
        <w:pStyle w:val="902"/>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90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90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ind w:firstLine="480"/>
        <w:spacing w:line="400" w:lineRule="exact"/>
        <w:rPr>
          <w:rFonts w:ascii="宋体" w:hAnsi="宋体" w:cs="宋体"/>
          <w:sz w:val="24"/>
        </w:rPr>
      </w:pPr>
      <w:r>
        <w:rPr>
          <w:rFonts w:hint="eastAsia" w:ascii="宋体" w:hAnsi="宋体" w:cs="宋体"/>
          <w:sz w:val="24"/>
        </w:rPr>
        <w:t xml:space="preserve">3.关于符合本国产品标准的声明函（格式见附件13）</w:t>
      </w:r>
      <w:r/>
    </w:p>
    <w:p>
      <w:pPr>
        <w:pStyle w:val="902"/>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902"/>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902"/>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902"/>
        <w:ind w:firstLine="482"/>
        <w:jc w:val="both"/>
        <w:spacing w:beforeAutospacing="0" w:afterAutospacing="0" w:line="360" w:lineRule="auto"/>
      </w:pPr>
      <w:r>
        <w:rPr>
          <w:rFonts w:hint="eastAsia" w:ascii="宋体" w:hAnsi="宋体" w:cs="宋体"/>
          <w:color w:val="000000"/>
          <w:szCs w:val="24"/>
        </w:rPr>
        <w:t xml:space="preserve">项目名称：</w:t>
      </w:r>
      <w:r/>
    </w:p>
    <w:p>
      <w:pPr>
        <w:pStyle w:val="902"/>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902"/>
        <w:spacing w:beforeAutospacing="0" w:afterAutospacing="0" w:line="360" w:lineRule="auto"/>
      </w:pPr>
      <w:r>
        <w:rPr>
          <w:rFonts w:hint="eastAsia" w:ascii="宋体" w:hAnsi="宋体" w:cs="宋体"/>
          <w:color w:val="000000"/>
          <w:szCs w:val="24"/>
        </w:rPr>
        <w:t xml:space="preserve">  采购包号：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15"/>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902"/>
        <w:ind w:firstLine="480"/>
        <w:jc w:val="both"/>
        <w:spacing w:beforeAutospacing="0" w:afterAutospacing="0" w:line="360" w:lineRule="auto"/>
      </w:pPr>
      <w:r>
        <w:t xml:space="preserve"> </w:t>
      </w:r>
      <w:r/>
    </w:p>
    <w:p>
      <w:pPr>
        <w:pStyle w:val="902"/>
        <w:jc w:val="center"/>
        <w:spacing w:beforeAutospacing="0" w:afterAutospacing="0" w:line="360" w:lineRule="auto"/>
      </w:pPr>
      <w:r>
        <w:t xml:space="preserve"> </w:t>
      </w:r>
      <w:r/>
    </w:p>
    <w:p>
      <w:pPr>
        <w:pStyle w:val="90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902"/>
        <w:jc w:val="both"/>
        <w:spacing w:beforeAutospacing="0" w:afterAutospacing="0" w:line="360" w:lineRule="auto"/>
        <w:rPr>
          <w:rFonts w:ascii="宋体" w:hAnsi="宋体" w:cs="宋体"/>
          <w:color w:val="000000"/>
          <w:szCs w:val="24"/>
        </w:rPr>
      </w:pPr>
      <w:r>
        <w:rPr>
          <w:rFonts w:ascii="宋体" w:hAnsi="宋体" w:cs="宋体"/>
          <w:color w:val="000000"/>
          <w:szCs w:val="24"/>
        </w:rPr>
      </w:r>
      <w:r/>
    </w:p>
    <w:tbl>
      <w:tblPr>
        <w:tblW w:w="9324"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序号</w:t>
            </w:r>
            <w:r/>
          </w:p>
        </w:tc>
        <w:tc>
          <w:tcPr>
            <w:tcW w:w="102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73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10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98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10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W w:w="125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c>
          <w:tcPr>
            <w:tcW w:w="8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7</w:t>
            </w:r>
            <w:r/>
          </w:p>
        </w:tc>
        <w:tc>
          <w:tcPr>
            <w:tcW w:w="9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86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9</w:t>
            </w:r>
            <w:r/>
          </w:p>
        </w:tc>
      </w:tr>
      <w:tr>
        <w:trPr>
          <w:cantSplit/>
          <w:trHeight w:val="294"/>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1021"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分项服务名称/货物名称</w:t>
            </w:r>
            <w:r/>
          </w:p>
        </w:tc>
        <w:tc>
          <w:tcPr>
            <w:tcW w:w="73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品牌</w:t>
            </w:r>
            <w:r/>
          </w:p>
        </w:tc>
        <w:tc>
          <w:tcPr>
            <w:tcW w:w="10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规格</w:t>
            </w:r>
            <w:r/>
          </w:p>
          <w:p>
            <w:pPr>
              <w:jc w:val="center"/>
              <w:spacing w:line="400" w:lineRule="exact"/>
              <w:rPr>
                <w:rFonts w:ascii="宋体" w:hAnsi="宋体" w:cs="宋体"/>
                <w:sz w:val="24"/>
                <w:szCs w:val="24"/>
              </w:rPr>
            </w:pPr>
            <w:r>
              <w:rPr>
                <w:rFonts w:hint="eastAsia" w:ascii="宋体" w:hAnsi="宋体" w:cs="宋体"/>
                <w:sz w:val="24"/>
                <w:szCs w:val="24"/>
              </w:rPr>
              <w:t xml:space="preserve">型号</w:t>
            </w:r>
            <w:r/>
          </w:p>
        </w:tc>
        <w:tc>
          <w:tcPr>
            <w:tcW w:w="98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制造商名称</w:t>
            </w:r>
            <w:r/>
          </w:p>
        </w:tc>
        <w:tc>
          <w:tcPr>
            <w:tcW w:w="10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产地</w:t>
            </w:r>
            <w:r/>
          </w:p>
        </w:tc>
        <w:tc>
          <w:tcPr>
            <w:tcW w:w="125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交付期/服务期</w:t>
            </w:r>
            <w:r/>
          </w:p>
        </w:tc>
        <w:tc>
          <w:tcPr>
            <w:tcW w:w="8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数量</w:t>
            </w:r>
            <w:r/>
          </w:p>
        </w:tc>
        <w:tc>
          <w:tcPr>
            <w:tcW w:w="9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分项</w:t>
            </w:r>
            <w:r/>
          </w:p>
          <w:p>
            <w:pPr>
              <w:jc w:val="center"/>
              <w:spacing w:line="400" w:lineRule="exact"/>
              <w:rPr>
                <w:rFonts w:ascii="宋体" w:hAnsi="宋体" w:cs="宋体"/>
                <w:sz w:val="24"/>
                <w:szCs w:val="24"/>
              </w:rPr>
            </w:pPr>
            <w:r>
              <w:rPr>
                <w:rFonts w:hint="eastAsia" w:ascii="宋体" w:hAnsi="宋体" w:cs="宋体"/>
                <w:sz w:val="24"/>
                <w:szCs w:val="24"/>
              </w:rPr>
              <w:t xml:space="preserve">单价</w:t>
            </w:r>
            <w:r/>
          </w:p>
        </w:tc>
        <w:tc>
          <w:tcPr>
            <w:tcW w:w="86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分项</w:t>
            </w:r>
            <w:r/>
          </w:p>
          <w:p>
            <w:pPr>
              <w:jc w:val="center"/>
              <w:spacing w:line="400" w:lineRule="exact"/>
              <w:rPr>
                <w:rFonts w:ascii="宋体" w:hAnsi="宋体" w:cs="宋体"/>
                <w:sz w:val="24"/>
                <w:szCs w:val="24"/>
              </w:rPr>
            </w:pPr>
            <w:r>
              <w:rPr>
                <w:rFonts w:hint="eastAsia" w:ascii="宋体" w:hAnsi="宋体" w:cs="宋体"/>
                <w:sz w:val="24"/>
                <w:szCs w:val="24"/>
              </w:rPr>
              <w:t xml:space="preserve">总价</w:t>
            </w:r>
            <w:r/>
          </w:p>
        </w:tc>
      </w:tr>
      <w:tr>
        <w:trPr>
          <w:cantSplit/>
          <w:trHeight w:val="696"/>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102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724"/>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102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640"/>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102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580"/>
        </w:trPr>
        <w:tc>
          <w:tcPr>
            <w:tcW w:w="60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02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732"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cantSplit/>
          <w:trHeight w:val="434"/>
        </w:trPr>
        <w:tc>
          <w:tcPr>
            <w:gridSpan w:val="10"/>
            <w:tcW w:w="9324" w:type="dxa"/>
            <w:textDirection w:val="lrTb"/>
            <w:noWrap w:val="false"/>
          </w:tcPr>
          <w:p>
            <w:pPr>
              <w:spacing w:line="400" w:lineRule="exact"/>
              <w:rPr>
                <w:rFonts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p>
        </w:tc>
      </w:tr>
      <w:tr>
        <w:trPr>
          <w:cantSplit/>
          <w:trHeight w:val="757"/>
        </w:trPr>
        <w:tc>
          <w:tcPr>
            <w:gridSpan w:val="10"/>
            <w:tcW w:w="9324" w:type="dxa"/>
            <w:textDirection w:val="lrTb"/>
            <w:noWrap w:val="false"/>
          </w:tcPr>
          <w:p>
            <w:pPr>
              <w:pStyle w:val="902"/>
              <w:spacing w:beforeAutospacing="0" w:afterAutospacing="0" w:line="400" w:lineRule="exact"/>
              <w:widowControl/>
              <w:rPr>
                <w:rFonts w:ascii="宋体" w:hAnsi="宋体" w:cs="宋体"/>
                <w:szCs w:val="24"/>
              </w:rPr>
            </w:pPr>
            <w:r>
              <w:rPr>
                <w:rFonts w:hint="eastAsia" w:ascii="宋体" w:hAnsi="宋体" w:cs="宋体"/>
                <w:szCs w:val="24"/>
              </w:rPr>
              <w:t xml:space="preserve">本采购包中提供的符合本国产品标准的货物成本之和占该采购</w:t>
            </w:r>
            <w:r>
              <w:rPr>
                <w:rFonts w:hint="eastAsia" w:ascii="宋体" w:hAnsi="宋体" w:cs="宋体"/>
                <w:szCs w:val="24"/>
              </w:rPr>
              <w:t xml:space="preserve">包全部</w:t>
            </w:r>
            <w:r>
              <w:rPr>
                <w:rFonts w:hint="eastAsia" w:ascii="宋体" w:hAnsi="宋体" w:cs="宋体"/>
                <w:szCs w:val="24"/>
              </w:rPr>
              <w:t xml:space="preserve">成本之和的比例为</w:t>
            </w:r>
            <w:r>
              <w:rPr>
                <w:rFonts w:hint="eastAsia" w:ascii="宋体" w:hAnsi="宋体" w:cs="宋体"/>
                <w:szCs w:val="24"/>
                <w:u w:val="single"/>
              </w:rPr>
              <w:t xml:space="preserve">XX</w:t>
            </w:r>
            <w:r>
              <w:rPr>
                <w:rFonts w:hint="eastAsia" w:ascii="宋体" w:hAnsi="宋体" w:cs="宋体"/>
                <w:szCs w:val="24"/>
              </w:rPr>
              <w:t xml:space="preserve">%。</w:t>
            </w:r>
            <w:r/>
          </w:p>
        </w:tc>
      </w:tr>
    </w:tbl>
    <w:p>
      <w:pPr>
        <w:pStyle w:val="902"/>
        <w:jc w:val="both"/>
        <w:spacing w:beforeAutospacing="0" w:afterAutospacing="0" w:line="360" w:lineRule="auto"/>
        <w:rPr>
          <w:rFonts w:ascii="宋体" w:hAnsi="宋体" w:cs="宋体"/>
          <w:color w:val="000000"/>
          <w:szCs w:val="24"/>
        </w:rPr>
      </w:pPr>
      <w:r>
        <w:rPr>
          <w:rFonts w:ascii="宋体" w:hAnsi="宋体" w:cs="宋体"/>
          <w:color w:val="000000"/>
          <w:szCs w:val="24"/>
        </w:rPr>
      </w:r>
      <w:r/>
    </w:p>
    <w:p>
      <w:pPr>
        <w:pStyle w:val="902"/>
        <w:jc w:val="both"/>
        <w:spacing w:beforeAutospacing="0" w:afterAutospacing="0" w:line="360" w:lineRule="auto"/>
      </w:pPr>
      <w:r>
        <w:rPr>
          <w:rFonts w:hint="eastAsia" w:ascii="宋体" w:hAnsi="宋体" w:cs="宋体"/>
          <w:color w:val="000000"/>
          <w:szCs w:val="24"/>
        </w:rPr>
        <w:t xml:space="preserve">备注：</w:t>
      </w:r>
      <w:r/>
    </w:p>
    <w:p>
      <w:pPr>
        <w:pStyle w:val="902"/>
        <w:jc w:val="both"/>
        <w:spacing w:beforeAutospacing="0" w:afterAutospacing="0" w:line="360" w:lineRule="auto"/>
      </w:pPr>
      <w:r>
        <w:rPr>
          <w:rFonts w:hint="eastAsia" w:ascii="宋体" w:hAnsi="宋体" w:cs="宋体"/>
          <w:color w:val="000000"/>
          <w:szCs w:val="24"/>
        </w:rPr>
        <w:t xml:space="preserve">1.投标报价</w:t>
      </w:r>
      <w:r>
        <w:rPr>
          <w:rFonts w:hint="eastAsia" w:ascii="宋体" w:hAnsi="宋体" w:cs="宋体"/>
          <w:color w:val="000000"/>
          <w:szCs w:val="24"/>
        </w:rPr>
        <w:t xml:space="preserve">采用总</w:t>
      </w:r>
      <w:r>
        <w:rPr>
          <w:rFonts w:hint="eastAsia" w:ascii="宋体" w:hAnsi="宋体" w:cs="宋体"/>
          <w:color w:val="000000"/>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rPr>
        <w:t xml:space="preserve">投标总报价</w:t>
      </w:r>
      <w:r>
        <w:rPr>
          <w:rFonts w:hint="eastAsia"/>
        </w:rPr>
        <w:t xml:space="preserve">”</w:t>
      </w:r>
      <w:r>
        <w:rPr>
          <w:rFonts w:hint="eastAsia"/>
        </w:rPr>
        <w:t xml:space="preserve">数额为各“分项总价”之</w:t>
      </w:r>
      <w:r>
        <w:rPr>
          <w:rFonts w:hint="eastAsia"/>
        </w:rPr>
        <w:t xml:space="preserve">和</w:t>
      </w:r>
      <w:r>
        <w:rPr>
          <w:rFonts w:hint="eastAsia"/>
        </w:rPr>
        <w:t xml:space="preserve">。</w:t>
      </w:r>
      <w:r/>
    </w:p>
    <w:p>
      <w:pPr>
        <w:pStyle w:val="902"/>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2.“投标分项报价表”中“投标总报价”数额应当与“开标一览表”中“投标总报价”数额一致。</w:t>
      </w:r>
      <w:r/>
    </w:p>
    <w:p>
      <w:pPr>
        <w:spacing w:line="400" w:lineRule="exact"/>
        <w:rPr>
          <w:rFonts w:ascii="宋体" w:hAnsi="宋体" w:cs="宋体"/>
          <w:color w:val="ff0000"/>
          <w:sz w:val="24"/>
          <w:szCs w:val="24"/>
          <w:lang w:bidi="ar"/>
        </w:rPr>
      </w:pPr>
      <w:r>
        <w:rPr>
          <w:rFonts w:hint="eastAsia" w:ascii="宋体" w:hAnsi="宋体" w:cs="宋体"/>
          <w:color w:val="ff0000"/>
          <w:sz w:val="24"/>
          <w:szCs w:val="24"/>
          <w:lang w:bidi="ar"/>
        </w:rPr>
        <w:t xml:space="preserve">3.分项服务不需填写品牌、规格型号、制造商、产地。</w:t>
      </w:r>
      <w:r/>
    </w:p>
    <w:p>
      <w:pPr>
        <w:spacing w:line="400" w:lineRule="exact"/>
        <w:rPr>
          <w:rFonts w:ascii="宋体" w:hAnsi="宋体" w:cs="宋体"/>
          <w:color w:val="ff0000"/>
          <w:sz w:val="24"/>
          <w:szCs w:val="24"/>
        </w:rPr>
      </w:pPr>
      <w:r>
        <w:rPr>
          <w:rFonts w:hint="eastAsia" w:ascii="宋体" w:hAnsi="宋体" w:cs="宋体"/>
          <w:color w:val="ff0000"/>
          <w:sz w:val="24"/>
          <w:szCs w:val="24"/>
          <w:lang w:bidi="ar"/>
        </w:rPr>
        <w:t xml:space="preserve">4.本采购包中含有货物时，供应商未填写本采购包中提供的符合本国产品标准的货物成本之和占该采购</w:t>
      </w:r>
      <w:r>
        <w:rPr>
          <w:rFonts w:hint="eastAsia" w:ascii="宋体" w:hAnsi="宋体" w:cs="宋体"/>
          <w:color w:val="ff0000"/>
          <w:sz w:val="24"/>
          <w:szCs w:val="24"/>
          <w:lang w:bidi="ar"/>
        </w:rPr>
        <w:t xml:space="preserve">包全部</w:t>
      </w:r>
      <w:r>
        <w:rPr>
          <w:rFonts w:hint="eastAsia" w:ascii="宋体" w:hAnsi="宋体" w:cs="宋体"/>
          <w:color w:val="ff0000"/>
          <w:sz w:val="24"/>
          <w:szCs w:val="24"/>
          <w:lang w:bidi="ar"/>
        </w:rPr>
        <w:t xml:space="preserve">成本之和比例数值的，或比例数值低于80%的，将不享受本国产品价格评审优惠。</w:t>
      </w:r>
      <w:r/>
    </w:p>
    <w:p>
      <w:pPr>
        <w:pStyle w:val="902"/>
        <w:jc w:val="both"/>
        <w:spacing w:beforeAutospacing="0" w:afterAutospacing="0" w:line="360" w:lineRule="auto"/>
      </w:pPr>
      <w:r>
        <w:rPr>
          <w:rFonts w:hint="eastAsia" w:ascii="宋体" w:hAnsi="宋体" w:cs="宋体"/>
          <w:color w:val="000000"/>
          <w:szCs w:val="24"/>
        </w:rPr>
        <w:t xml:space="preserve">5. 项目经办人可以根据项目实际需要对表格结构进行调整。</w:t>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05"/>
        <w:ind w:firstLine="480"/>
        <w:rPr>
          <w:rFonts w:ascii="宋体" w:hAnsi="宋体"/>
          <w:sz w:val="24"/>
          <w:szCs w:val="24"/>
        </w:rPr>
      </w:pPr>
      <w:r>
        <w:rPr>
          <w:rFonts w:ascii="宋体" w:hAnsi="宋体"/>
          <w:sz w:val="24"/>
          <w:szCs w:val="24"/>
        </w:rPr>
      </w:r>
      <w:r/>
    </w:p>
    <w:p>
      <w:pPr>
        <w:pStyle w:val="905"/>
        <w:ind w:firstLine="480"/>
        <w:rPr>
          <w:rFonts w:ascii="宋体" w:hAnsi="宋体"/>
          <w:sz w:val="24"/>
          <w:szCs w:val="24"/>
        </w:rPr>
      </w:pPr>
      <w:r>
        <w:rPr>
          <w:rFonts w:ascii="宋体" w:hAnsi="宋体"/>
          <w:sz w:val="24"/>
          <w:szCs w:val="24"/>
        </w:rPr>
      </w:r>
      <w:r/>
    </w:p>
    <w:p>
      <w:pPr>
        <w:pStyle w:val="905"/>
        <w:ind w:firstLine="480"/>
        <w:rPr>
          <w:rFonts w:ascii="宋体" w:hAnsi="宋体"/>
          <w:sz w:val="24"/>
          <w:szCs w:val="24"/>
        </w:rPr>
      </w:pPr>
      <w:r>
        <w:rPr>
          <w:rFonts w:ascii="宋体" w:hAnsi="宋体"/>
          <w:sz w:val="24"/>
          <w:szCs w:val="24"/>
        </w:rPr>
      </w:r>
      <w:r/>
    </w:p>
    <w:p>
      <w:pPr>
        <w:pStyle w:val="905"/>
        <w:ind w:firstLine="480"/>
        <w:rPr>
          <w:rFonts w:ascii="宋体" w:hAnsi="宋体"/>
          <w:sz w:val="24"/>
          <w:szCs w:val="24"/>
        </w:rPr>
      </w:pPr>
      <w:r>
        <w:rPr>
          <w:rFonts w:ascii="宋体" w:hAnsi="宋体"/>
          <w:sz w:val="24"/>
          <w:szCs w:val="24"/>
        </w:rPr>
      </w:r>
      <w:r/>
    </w:p>
    <w:p>
      <w:pPr>
        <w:pStyle w:val="905"/>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905"/>
        <w:ind w:firstLine="482"/>
        <w:rPr>
          <w:rFonts w:ascii="宋体" w:hAnsi="宋体"/>
          <w:b/>
          <w:sz w:val="24"/>
          <w:szCs w:val="21"/>
        </w:rPr>
      </w:pPr>
      <w:r>
        <w:rPr>
          <w:rFonts w:ascii="宋体" w:hAnsi="宋体"/>
          <w:b/>
          <w:sz w:val="24"/>
          <w:szCs w:val="21"/>
        </w:rPr>
      </w:r>
      <w:r/>
    </w:p>
    <w:p>
      <w:pPr>
        <w:pStyle w:val="905"/>
        <w:ind w:firstLine="482"/>
        <w:rPr>
          <w:rFonts w:ascii="宋体" w:hAnsi="宋体"/>
          <w:b/>
          <w:sz w:val="24"/>
          <w:szCs w:val="21"/>
        </w:rPr>
      </w:pPr>
      <w:r>
        <w:rPr>
          <w:rFonts w:ascii="宋体" w:hAnsi="宋体"/>
          <w:b/>
          <w:sz w:val="24"/>
          <w:szCs w:val="21"/>
        </w:rPr>
      </w:r>
      <w:r/>
    </w:p>
    <w:p>
      <w:pPr>
        <w:pStyle w:val="905"/>
        <w:ind w:firstLine="482"/>
        <w:rPr>
          <w:rFonts w:ascii="宋体" w:hAnsi="宋体"/>
          <w:b/>
          <w:sz w:val="24"/>
          <w:szCs w:val="21"/>
        </w:rPr>
      </w:pPr>
      <w:r>
        <w:rPr>
          <w:rFonts w:ascii="宋体" w:hAnsi="宋体"/>
          <w:b/>
          <w:sz w:val="24"/>
          <w:szCs w:val="21"/>
        </w:rPr>
      </w:r>
      <w:r/>
    </w:p>
    <w:p>
      <w:pPr>
        <w:pStyle w:val="905"/>
        <w:ind w:firstLine="482"/>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致：扬州市公共资源交易中心宝应分中心：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482"/>
        <w:rPr>
          <w:rFonts w:ascii="宋体" w:hAnsi="宋体"/>
          <w:b/>
          <w:color w:val="000000"/>
          <w:sz w:val="24"/>
          <w:szCs w:val="21"/>
        </w:rPr>
      </w:pPr>
      <w:r>
        <w:rPr>
          <w:rFonts w:ascii="宋体" w:hAnsi="宋体"/>
          <w:b/>
          <w:color w:val="000000"/>
          <w:sz w:val="24"/>
          <w:szCs w:val="21"/>
        </w:rPr>
      </w:r>
      <w:r/>
    </w:p>
    <w:p>
      <w:pPr>
        <w:pStyle w:val="905"/>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905"/>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w:t>
      </w:r>
      <w:r>
        <w:rPr>
          <w:rFonts w:hint="eastAsia" w:ascii="宋体" w:hAnsi="宋体" w:cs="宋体"/>
          <w:sz w:val="24"/>
          <w:szCs w:val="24"/>
        </w:rPr>
        <w:t xml:space="preserve">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902"/>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902"/>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本公司（联合体）郑重声明，根据《政府采购促进中小企业发展管理办法》(财库[2020]46号)的规定，本公司（联合体）参加扬州市公共资源交易中心宝应分中心组织的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902"/>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902"/>
        <w:ind w:firstLine="360"/>
        <w:jc w:val="both"/>
        <w:spacing w:beforeAutospacing="0" w:afterAutospacing="0" w:line="400" w:lineRule="atLeast"/>
      </w:pPr>
      <w:r>
        <w:rPr>
          <w:rFonts w:hint="eastAsia" w:ascii="宋体" w:hAnsi="宋体" w:cs="宋体"/>
          <w:color w:val="000000"/>
          <w:szCs w:val="24"/>
        </w:rPr>
        <w:t xml:space="preserve">……</w:t>
      </w:r>
      <w:r/>
    </w:p>
    <w:p>
      <w:pPr>
        <w:pStyle w:val="902"/>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902"/>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902"/>
        <w:ind w:right="720"/>
        <w:jc w:val="both"/>
        <w:spacing w:beforeAutospacing="0" w:afterAutospacing="0" w:line="400" w:lineRule="atLeast"/>
      </w:pPr>
      <w:r>
        <w:t xml:space="preserve"> </w:t>
      </w:r>
      <w:r/>
    </w:p>
    <w:p>
      <w:pPr>
        <w:pStyle w:val="902"/>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902"/>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902"/>
        <w:ind w:firstLine="240"/>
        <w:jc w:val="both"/>
        <w:spacing w:beforeAutospacing="0" w:afterAutospacing="0" w:line="400" w:lineRule="atLeast"/>
      </w:pPr>
      <w:r>
        <w:t xml:space="preserve"> </w:t>
      </w:r>
      <w:r/>
    </w:p>
    <w:p>
      <w:pPr>
        <w:pStyle w:val="902"/>
        <w:ind w:firstLine="480"/>
        <w:jc w:val="both"/>
        <w:spacing w:beforeAutospacing="0" w:afterAutospacing="0" w:line="400" w:lineRule="atLeast"/>
      </w:pPr>
      <w:r>
        <w:rPr>
          <w:rFonts w:hint="eastAsia" w:ascii="宋体" w:hAnsi="宋体" w:cs="宋体"/>
          <w:color w:val="000000"/>
          <w:szCs w:val="24"/>
        </w:rPr>
        <w:t xml:space="preserve">备注：</w:t>
      </w:r>
      <w:r/>
    </w:p>
    <w:p>
      <w:pPr>
        <w:pStyle w:val="902"/>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w:t>
      </w:r>
      <w:r>
        <w:rPr>
          <w:rFonts w:hint="eastAsia" w:ascii="宋体" w:hAnsi="宋体" w:cs="宋体"/>
          <w:color w:val="000000"/>
          <w:szCs w:val="24"/>
        </w:rPr>
        <w:t xml:space="preserve">一</w:t>
      </w:r>
      <w:r>
        <w:rPr>
          <w:rFonts w:hint="eastAsia" w:ascii="宋体" w:hAnsi="宋体" w:cs="宋体"/>
          <w:color w:val="000000"/>
          <w:szCs w:val="24"/>
        </w:rPr>
        <w:t xml:space="preserve">年度数据的新成立企业可不填报。</w:t>
      </w:r>
      <w:r/>
    </w:p>
    <w:p>
      <w:pPr>
        <w:pStyle w:val="902"/>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02"/>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w:t>
      </w:r>
      <w:r>
        <w:rPr>
          <w:rFonts w:hint="eastAsia" w:ascii="宋体" w:hAnsi="宋体" w:cs="宋体"/>
          <w:color w:val="ff0000"/>
          <w:szCs w:val="24"/>
        </w:rPr>
        <w:t xml:space="preserve">《</w:t>
      </w:r>
      <w:r>
        <w:rPr>
          <w:rFonts w:hint="eastAsia" w:ascii="宋体" w:hAnsi="宋体" w:cs="宋体"/>
          <w:color w:val="ff0000"/>
          <w:szCs w:val="24"/>
        </w:rPr>
        <w:t xml:space="preserve">工业和信息化部、国家统计局、国家发展和改革委员会、财政</w:t>
      </w:r>
      <w:r/>
    </w:p>
    <w:p>
      <w:pPr>
        <w:pStyle w:val="902"/>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w:t>
      </w:r>
      <w:r>
        <w:rPr>
          <w:rFonts w:hint="eastAsia" w:ascii="宋体" w:hAnsi="宋体" w:cs="宋体"/>
          <w:color w:val="ff0000"/>
          <w:szCs w:val="24"/>
        </w:rPr>
        <w:t xml:space="preserve">》</w:t>
      </w:r>
      <w:r>
        <w:rPr>
          <w:rFonts w:hint="eastAsia" w:ascii="宋体" w:hAnsi="宋体" w:cs="宋体"/>
          <w:color w:val="ff0000"/>
          <w:szCs w:val="24"/>
        </w:rPr>
        <w:t xml:space="preserve">(工信部联企业[2011]300号)《国家统计局关于印发〈统计上大中小微型企业划分办法（2017）〉的通知》（国统字〔2017〕213号）的规定，</w:t>
      </w:r>
      <w:r>
        <w:rPr>
          <w:rFonts w:hint="eastAsia" w:ascii="宋体" w:hAnsi="宋体" w:cs="宋体"/>
          <w:color w:val="ff0000"/>
          <w:szCs w:val="24"/>
        </w:rPr>
        <w:t xml:space="preserve">自行勾选承接</w:t>
      </w:r>
      <w:r>
        <w:rPr>
          <w:rFonts w:hint="eastAsia" w:ascii="宋体" w:hAnsi="宋体" w:cs="宋体"/>
          <w:color w:val="ff0000"/>
          <w:szCs w:val="24"/>
        </w:rPr>
        <w:t xml:space="preserve">企业的企业规模类型。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jc w:val="center"/>
        <w:spacing w:line="360" w:lineRule="auto"/>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902"/>
        <w:ind w:firstLine="420"/>
        <w:spacing w:beforeAutospacing="0" w:afterAutospacing="0" w:line="360" w:lineRule="auto"/>
        <w:rPr>
          <w:rFonts w:ascii="宋体" w:hAnsi="宋体" w:cs="宋体"/>
          <w:szCs w:val="24"/>
        </w:rPr>
      </w:pPr>
      <w:r>
        <w:rPr>
          <w:rFonts w:ascii="宋体" w:hAnsi="宋体" w:cs="宋体"/>
          <w:szCs w:val="24"/>
        </w:rPr>
      </w:r>
      <w:r/>
    </w:p>
    <w:p>
      <w:pPr>
        <w:pStyle w:val="902"/>
        <w:ind w:firstLine="480"/>
        <w:spacing w:beforeAutospacing="0" w:afterAutospacing="0" w:line="400" w:lineRule="exact"/>
        <w:widowControl/>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2"/>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1.</w:t>
      </w:r>
      <w:r>
        <w:rPr>
          <w:rStyle w:val="909"/>
          <w:rFonts w:hint="eastAsia" w:ascii="宋体" w:hAnsi="宋体" w:cs="宋体"/>
          <w:i w:val="0"/>
          <w:szCs w:val="24"/>
          <w:u w:val="single"/>
          <w:shd w:val="clear" w:color="auto" w:fill="ffffff"/>
        </w:rPr>
        <w:t xml:space="preserve">（产品名称1）</w:t>
      </w:r>
      <w:r>
        <w:rPr>
          <w:rStyle w:val="909"/>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909"/>
          <w:rFonts w:hint="eastAsia" w:ascii="宋体" w:hAnsi="宋体" w:cs="宋体"/>
          <w:i w:val="0"/>
          <w:szCs w:val="24"/>
          <w:u w:val="single"/>
          <w:shd w:val="clear" w:color="auto" w:fill="ffffff"/>
        </w:rPr>
        <w:t xml:space="preserve">（厂名）</w:t>
      </w:r>
      <w:r>
        <w:rPr>
          <w:rStyle w:val="909"/>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909"/>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Style w:val="909"/>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Style w:val="909"/>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Style w:val="909"/>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902"/>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2.</w:t>
      </w:r>
      <w:r>
        <w:rPr>
          <w:rStyle w:val="909"/>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909"/>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909"/>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909"/>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在中国境内完成。</w:t>
      </w:r>
      <w:r/>
    </w:p>
    <w:p>
      <w:pPr>
        <w:pStyle w:val="902"/>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902"/>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902"/>
        <w:spacing w:before="30" w:beforeAutospacing="0" w:after="30" w:afterAutospacing="0" w:line="360" w:lineRule="auto"/>
        <w:rPr>
          <w:rFonts w:ascii="宋体" w:hAnsi="宋体" w:cs="宋体"/>
          <w:szCs w:val="24"/>
        </w:rPr>
      </w:pPr>
      <w:r>
        <w:rPr>
          <w:rFonts w:ascii="宋体" w:hAnsi="宋体" w:cs="宋体"/>
          <w:szCs w:val="24"/>
        </w:rPr>
      </w:r>
      <w:r/>
    </w:p>
    <w:p>
      <w:pPr>
        <w:pStyle w:val="902"/>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902"/>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902"/>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902"/>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902"/>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902"/>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902"/>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902"/>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6.《声明函》中标注“  /  ”的地方无需填写。</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自愿组成联合体，参加扬州市公共资源交易中心宝应分中心组织的采购编号为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w:t>
      </w:r>
      <w:r>
        <w:rPr>
          <w:rFonts w:hint="eastAsia" w:ascii="宋体" w:hAnsi="宋体"/>
          <w:sz w:val="24"/>
        </w:rPr>
        <w:t xml:space="preserve">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bookmarkEnd w:id="189"/>
      <w:r/>
      <w:bookmarkEnd w:id="190"/>
      <w:r/>
      <w:bookmarkEnd w:id="233"/>
      <w:r/>
      <w:bookmarkEnd w:id="234"/>
      <w:r/>
      <w:bookmarkEnd w:id="235"/>
      <w:r/>
      <w:r/>
    </w:p>
    <w:p>
      <w:pPr>
        <w:pStyle w:val="1062"/>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34"/>
      </w:rPr>
      <w:framePr w:wrap="around" w:vAnchor="text" w:hAnchor="margin" w:xAlign="center" w:y="1"/>
    </w:pPr>
    <w:r>
      <w:fldChar w:fldCharType="begin"/>
    </w:r>
    <w:r>
      <w:rPr>
        <w:rStyle w:val="1134"/>
      </w:rPr>
      <w:instrText xml:space="preserve">PAGE  </w:instrText>
    </w:r>
    <w:r>
      <w:fldChar w:fldCharType="separate"/>
    </w:r>
    <w:r>
      <w:rPr>
        <w:rStyle w:val="1134"/>
      </w:rPr>
      <w:t xml:space="preserve">1</w:t>
    </w:r>
    <w:r>
      <w:fldChar w:fldCharType="end"/>
    </w:r>
    <w:r/>
  </w:p>
  <w:p>
    <w:pPr>
      <w:pStyle w:val="11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14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decimal"/>
      <w:isLgl w:val="false"/>
      <w:suff w:val="tab"/>
      <w:lvlText w:val="(%2)"/>
      <w:lvlJc w:val="left"/>
      <w:pPr>
        <w:ind w:left="1260" w:hanging="420"/>
        <w:tabs>
          <w:tab w:val="left" w:pos="840" w:leader="none"/>
        </w:tabs>
      </w:pPr>
      <w:rPr>
        <w:rFonts w:hint="default"/>
      </w:rPr>
    </w:lvl>
    <w:lvl w:ilvl="2">
      <w:start w:val="1"/>
      <w:numFmt w:val="decimalEnclosedCircleChinese"/>
      <w:isLgl w:val="false"/>
      <w:suff w:val="tab"/>
      <w:lvlText w:val="%3"/>
      <w:lvlJc w:val="left"/>
      <w:pPr>
        <w:ind w:left="1680" w:hanging="420"/>
        <w:tabs>
          <w:tab w:val="left" w:pos="1260" w:leader="none"/>
        </w:tabs>
      </w:pPr>
      <w:rPr>
        <w:rFonts w:hint="default"/>
      </w:rPr>
    </w:lvl>
    <w:lvl w:ilvl="3">
      <w:start w:val="1"/>
      <w:numFmt w:val="decimal"/>
      <w:isLgl w:val="false"/>
      <w:suff w:val="tab"/>
      <w:lvlText w:val="%4)"/>
      <w:lvlJc w:val="left"/>
      <w:pPr>
        <w:ind w:left="2100" w:hanging="420"/>
        <w:tabs>
          <w:tab w:val="left" w:pos="1680" w:leader="none"/>
        </w:tabs>
      </w:pPr>
      <w:rPr>
        <w:rFonts w:hint="default"/>
      </w:rPr>
    </w:lvl>
    <w:lvl w:ilvl="4">
      <w:start w:val="1"/>
      <w:numFmt w:val="lowerLetter"/>
      <w:isLgl w:val="false"/>
      <w:suff w:val="tab"/>
      <w:lvlText w:val="%5."/>
      <w:lvlJc w:val="left"/>
      <w:pPr>
        <w:ind w:left="2520" w:hanging="420"/>
        <w:tabs>
          <w:tab w:val="left" w:pos="2100" w:leader="none"/>
        </w:tabs>
      </w:pPr>
      <w:rPr>
        <w:rFonts w:hint="default"/>
      </w:rPr>
    </w:lvl>
    <w:lvl w:ilvl="5">
      <w:start w:val="1"/>
      <w:numFmt w:val="lowerLetter"/>
      <w:isLgl w:val="false"/>
      <w:suff w:val="tab"/>
      <w:lvlText w:val="%6)"/>
      <w:lvlJc w:val="left"/>
      <w:pPr>
        <w:ind w:left="2940" w:hanging="420"/>
        <w:tabs>
          <w:tab w:val="left" w:pos="2520" w:leader="none"/>
        </w:tabs>
      </w:pPr>
      <w:rPr>
        <w:rFonts w:hint="default"/>
      </w:rPr>
    </w:lvl>
    <w:lvl w:ilvl="6">
      <w:start w:val="1"/>
      <w:numFmt w:val="lowerRoman"/>
      <w:isLgl w:val="false"/>
      <w:suff w:val="tab"/>
      <w:lvlText w:val="%7."/>
      <w:lvlJc w:val="left"/>
      <w:pPr>
        <w:ind w:left="3360" w:hanging="420"/>
        <w:tabs>
          <w:tab w:val="left" w:pos="2940" w:leader="none"/>
        </w:tabs>
      </w:pPr>
      <w:rPr>
        <w:rFonts w:hint="default"/>
      </w:rPr>
    </w:lvl>
    <w:lvl w:ilvl="7">
      <w:start w:val="1"/>
      <w:numFmt w:val="lowerRoman"/>
      <w:isLgl w:val="false"/>
      <w:suff w:val="tab"/>
      <w:lvlText w:val="%8)"/>
      <w:lvlJc w:val="left"/>
      <w:pPr>
        <w:ind w:left="3780" w:hanging="420"/>
        <w:tabs>
          <w:tab w:val="left" w:pos="3360" w:leader="none"/>
        </w:tabs>
      </w:pPr>
      <w:rPr>
        <w:rFonts w:hint="default"/>
      </w:rPr>
    </w:lvl>
    <w:lvl w:ilvl="8">
      <w:start w:val="1"/>
      <w:numFmt w:val="lowerLetter"/>
      <w:isLgl w:val="false"/>
      <w:suff w:val="tab"/>
      <w:lvlText w:val="%9."/>
      <w:lvlJc w:val="left"/>
      <w:pPr>
        <w:ind w:left="4200" w:hanging="420"/>
        <w:tabs>
          <w:tab w:val="left" w:pos="3780" w:leader="none"/>
        </w:tabs>
      </w:pPr>
      <w:rPr>
        <w:rFonts w:hint="default"/>
      </w:rPr>
    </w:lvl>
  </w:abstractNum>
  <w:abstractNum w:abstractNumId="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6"/>
      <w:isLgl w:val="false"/>
      <w:suff w:val="nothing"/>
      <w:lvlText w:val=""/>
      <w:lvlJc w:val="left"/>
      <w:pPr>
        <w:ind w:left="0" w:firstLine="0"/>
      </w:pPr>
      <w:rPr>
        <w:rFonts w:hint="eastAsia"/>
      </w:rPr>
    </w:lvl>
    <w:lvl w:ilvl="6">
      <w:start w:val="1"/>
      <w:numFmt w:val="decimal"/>
      <w:pStyle w:val="1067"/>
      <w:isLgl w:val="false"/>
      <w:suff w:val="nothing"/>
      <w:lvlText w:val=""/>
      <w:lvlJc w:val="left"/>
      <w:pPr>
        <w:ind w:left="0" w:firstLine="0"/>
      </w:pPr>
      <w:rPr>
        <w:rFonts w:hint="eastAsia"/>
      </w:rPr>
    </w:lvl>
    <w:lvl w:ilvl="7">
      <w:start w:val="1"/>
      <w:numFmt w:val="decimal"/>
      <w:pStyle w:val="1068"/>
      <w:isLgl w:val="false"/>
      <w:suff w:val="nothing"/>
      <w:lvlText w:val=""/>
      <w:lvlJc w:val="left"/>
      <w:pPr>
        <w:ind w:left="0" w:firstLine="0"/>
      </w:pPr>
      <w:rPr>
        <w:rFonts w:hint="eastAsia"/>
      </w:rPr>
    </w:lvl>
    <w:lvl w:ilvl="8">
      <w:start w:val="1"/>
      <w:numFmt w:val="decimal"/>
      <w:pStyle w:val="106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6"/>
  </w:num>
  <w:num w:numId="4">
    <w:abstractNumId w:val="5"/>
  </w:num>
  <w:num w:numId="5">
    <w:abstractNumId w:val="3"/>
  </w:num>
  <w:num w:numId="6">
    <w:abstractNumId w:val="0"/>
  </w:num>
  <w:num w:numId="7">
    <w:abstractNumId w:val="7"/>
  </w:num>
  <w:num w:numId="8">
    <w:abstractNumId w:val="14"/>
  </w:num>
  <w:num w:numId="9">
    <w:abstractNumId w:val="17"/>
  </w:num>
  <w:num w:numId="10">
    <w:abstractNumId w:val="11"/>
  </w:num>
  <w:num w:numId="11">
    <w:abstractNumId w:val="4"/>
  </w:num>
  <w:num w:numId="12">
    <w:abstractNumId w:val="19"/>
  </w:num>
  <w:num w:numId="13">
    <w:abstractNumId w:val="10"/>
  </w:num>
  <w:num w:numId="14">
    <w:abstractNumId w:val="13"/>
  </w:num>
  <w:num w:numId="15">
    <w:abstractNumId w:val="2"/>
  </w:num>
  <w:num w:numId="16">
    <w:abstractNumId w:val="15"/>
  </w:num>
  <w:num w:numId="17">
    <w:abstractNumId w:val="12"/>
  </w:num>
  <w:num w:numId="18">
    <w:abstractNumId w:val="8"/>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878"/>
    <w:link w:val="869"/>
    <w:uiPriority w:val="9"/>
    <w:rPr>
      <w:rFonts w:ascii="Arial" w:hAnsi="Arial" w:eastAsia="Arial" w:cs="Arial"/>
      <w:sz w:val="40"/>
      <w:szCs w:val="40"/>
    </w:rPr>
  </w:style>
  <w:style w:type="character" w:styleId="851">
    <w:name w:val="Heading 2 Char"/>
    <w:basedOn w:val="878"/>
    <w:link w:val="870"/>
    <w:uiPriority w:val="9"/>
    <w:rPr>
      <w:rFonts w:ascii="Arial" w:hAnsi="Arial" w:eastAsia="Arial" w:cs="Arial"/>
      <w:sz w:val="34"/>
    </w:rPr>
  </w:style>
  <w:style w:type="character" w:styleId="852">
    <w:name w:val="Heading 3 Char"/>
    <w:basedOn w:val="878"/>
    <w:link w:val="871"/>
    <w:uiPriority w:val="9"/>
    <w:rPr>
      <w:rFonts w:ascii="Arial" w:hAnsi="Arial" w:eastAsia="Arial" w:cs="Arial"/>
      <w:sz w:val="30"/>
      <w:szCs w:val="30"/>
    </w:rPr>
  </w:style>
  <w:style w:type="character" w:styleId="853">
    <w:name w:val="Heading 4 Char"/>
    <w:basedOn w:val="878"/>
    <w:link w:val="872"/>
    <w:uiPriority w:val="9"/>
    <w:rPr>
      <w:rFonts w:ascii="Arial" w:hAnsi="Arial" w:eastAsia="Arial" w:cs="Arial"/>
      <w:b/>
      <w:bCs/>
      <w:sz w:val="26"/>
      <w:szCs w:val="26"/>
    </w:rPr>
  </w:style>
  <w:style w:type="character" w:styleId="854">
    <w:name w:val="Heading 5 Char"/>
    <w:basedOn w:val="878"/>
    <w:link w:val="873"/>
    <w:uiPriority w:val="9"/>
    <w:rPr>
      <w:rFonts w:ascii="Arial" w:hAnsi="Arial" w:eastAsia="Arial" w:cs="Arial"/>
      <w:b/>
      <w:bCs/>
      <w:sz w:val="24"/>
      <w:szCs w:val="24"/>
    </w:rPr>
  </w:style>
  <w:style w:type="character" w:styleId="855">
    <w:name w:val="Heading 6 Char"/>
    <w:basedOn w:val="878"/>
    <w:link w:val="874"/>
    <w:uiPriority w:val="9"/>
    <w:rPr>
      <w:rFonts w:ascii="Arial" w:hAnsi="Arial" w:eastAsia="Arial" w:cs="Arial"/>
      <w:b/>
      <w:bCs/>
      <w:sz w:val="22"/>
      <w:szCs w:val="22"/>
    </w:rPr>
  </w:style>
  <w:style w:type="character" w:styleId="856">
    <w:name w:val="Heading 7 Char"/>
    <w:basedOn w:val="878"/>
    <w:link w:val="875"/>
    <w:uiPriority w:val="9"/>
    <w:rPr>
      <w:rFonts w:ascii="Arial" w:hAnsi="Arial" w:eastAsia="Arial" w:cs="Arial"/>
      <w:b/>
      <w:bCs/>
      <w:i/>
      <w:iCs/>
      <w:sz w:val="22"/>
      <w:szCs w:val="22"/>
    </w:rPr>
  </w:style>
  <w:style w:type="character" w:styleId="857">
    <w:name w:val="Heading 8 Char"/>
    <w:basedOn w:val="878"/>
    <w:link w:val="876"/>
    <w:uiPriority w:val="9"/>
    <w:rPr>
      <w:rFonts w:ascii="Arial" w:hAnsi="Arial" w:eastAsia="Arial" w:cs="Arial"/>
      <w:i/>
      <w:iCs/>
      <w:sz w:val="22"/>
      <w:szCs w:val="22"/>
    </w:rPr>
  </w:style>
  <w:style w:type="character" w:styleId="858">
    <w:name w:val="Heading 9 Char"/>
    <w:basedOn w:val="878"/>
    <w:link w:val="877"/>
    <w:uiPriority w:val="9"/>
    <w:rPr>
      <w:rFonts w:ascii="Arial" w:hAnsi="Arial" w:eastAsia="Arial" w:cs="Arial"/>
      <w:i/>
      <w:iCs/>
      <w:sz w:val="21"/>
      <w:szCs w:val="21"/>
    </w:rPr>
  </w:style>
  <w:style w:type="character" w:styleId="859">
    <w:name w:val="Title Char"/>
    <w:basedOn w:val="878"/>
    <w:link w:val="903"/>
    <w:uiPriority w:val="10"/>
    <w:rPr>
      <w:sz w:val="48"/>
      <w:szCs w:val="48"/>
    </w:rPr>
  </w:style>
  <w:style w:type="character" w:styleId="860">
    <w:name w:val="Subtitle Char"/>
    <w:basedOn w:val="878"/>
    <w:link w:val="896"/>
    <w:uiPriority w:val="11"/>
    <w:rPr>
      <w:sz w:val="24"/>
      <w:szCs w:val="24"/>
    </w:rPr>
  </w:style>
  <w:style w:type="character" w:styleId="861">
    <w:name w:val="Quote Char"/>
    <w:link w:val="925"/>
    <w:uiPriority w:val="29"/>
    <w:rPr>
      <w:i/>
    </w:rPr>
  </w:style>
  <w:style w:type="character" w:styleId="862">
    <w:name w:val="Intense Quote Char"/>
    <w:link w:val="927"/>
    <w:uiPriority w:val="30"/>
    <w:rPr>
      <w:i/>
    </w:rPr>
  </w:style>
  <w:style w:type="character" w:styleId="863">
    <w:name w:val="Header Char"/>
    <w:basedOn w:val="878"/>
    <w:link w:val="893"/>
    <w:uiPriority w:val="99"/>
  </w:style>
  <w:style w:type="character" w:styleId="864">
    <w:name w:val="Caption Char"/>
    <w:basedOn w:val="882"/>
    <w:link w:val="892"/>
    <w:uiPriority w:val="99"/>
  </w:style>
  <w:style w:type="character" w:styleId="865">
    <w:name w:val="Footnote Text Char"/>
    <w:link w:val="897"/>
    <w:uiPriority w:val="99"/>
    <w:rPr>
      <w:sz w:val="18"/>
    </w:rPr>
  </w:style>
  <w:style w:type="character" w:styleId="866">
    <w:name w:val="Endnote Text Char"/>
    <w:link w:val="890"/>
    <w:uiPriority w:val="99"/>
    <w:rPr>
      <w:sz w:val="20"/>
    </w:rPr>
  </w:style>
  <w:style w:type="paragraph" w:styleId="867">
    <w:name w:val="TOC Heading"/>
    <w:uiPriority w:val="39"/>
    <w:unhideWhenUsed/>
  </w:style>
  <w:style w:type="paragraph" w:styleId="868" w:default="1">
    <w:name w:val="Normal"/>
    <w:qFormat/>
    <w:pPr>
      <w:jc w:val="both"/>
      <w:widowControl w:val="off"/>
    </w:pPr>
    <w:rPr>
      <w:sz w:val="21"/>
      <w:szCs w:val="21"/>
    </w:rPr>
  </w:style>
  <w:style w:type="paragraph" w:styleId="869">
    <w:name w:val="Heading 1"/>
    <w:basedOn w:val="868"/>
    <w:next w:val="868"/>
    <w:link w:val="912"/>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13"/>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14"/>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15"/>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16"/>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17"/>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19"/>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20"/>
    <w:uiPriority w:val="9"/>
    <w:unhideWhenUsed/>
    <w:qFormat/>
    <w:pPr>
      <w:keepLines/>
      <w:keepNext/>
      <w:spacing w:before="320" w:after="200"/>
      <w:outlineLvl w:val="8"/>
    </w:pPr>
    <w:rPr>
      <w:rFonts w:ascii="Arial" w:hAnsi="Arial" w:eastAsia="Arial" w:cs="Arial"/>
      <w:i/>
      <w:iCs/>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toc 7"/>
    <w:basedOn w:val="868"/>
    <w:next w:val="868"/>
    <w:uiPriority w:val="39"/>
    <w:unhideWhenUsed/>
    <w:qFormat/>
    <w:pPr>
      <w:ind w:left="1701"/>
      <w:spacing w:after="57"/>
    </w:pPr>
  </w:style>
  <w:style w:type="paragraph" w:styleId="882">
    <w:name w:val="Caption"/>
    <w:basedOn w:val="868"/>
    <w:next w:val="868"/>
    <w:uiPriority w:val="35"/>
    <w:semiHidden/>
    <w:unhideWhenUsed/>
    <w:qFormat/>
    <w:pPr>
      <w:spacing w:line="276" w:lineRule="auto"/>
    </w:pPr>
    <w:rPr>
      <w:b/>
      <w:bCs/>
      <w:color w:val="4f81bd"/>
      <w:sz w:val="18"/>
      <w:szCs w:val="18"/>
    </w:rPr>
  </w:style>
  <w:style w:type="paragraph" w:styleId="883">
    <w:name w:val="annotation text"/>
    <w:basedOn w:val="868"/>
    <w:link w:val="1177"/>
    <w:uiPriority w:val="99"/>
    <w:semiHidden/>
    <w:unhideWhenUsed/>
    <w:qFormat/>
    <w:pPr>
      <w:jc w:val="left"/>
    </w:pPr>
  </w:style>
  <w:style w:type="paragraph" w:styleId="884">
    <w:name w:val="Body Text"/>
    <w:basedOn w:val="868"/>
    <w:qFormat/>
    <w:rPr>
      <w:rFonts w:ascii="楷体_GB2312" w:hAnsi="Arial" w:eastAsia="楷体_GB2312"/>
      <w:sz w:val="28"/>
      <w:szCs w:val="28"/>
    </w:rPr>
  </w:style>
  <w:style w:type="paragraph" w:styleId="885">
    <w:name w:val="Body Text Indent"/>
    <w:basedOn w:val="868"/>
    <w:qFormat/>
    <w:pPr>
      <w:ind w:left="420"/>
      <w:spacing w:after="120"/>
    </w:pPr>
  </w:style>
  <w:style w:type="paragraph" w:styleId="886">
    <w:name w:val="toc 5"/>
    <w:basedOn w:val="868"/>
    <w:next w:val="868"/>
    <w:uiPriority w:val="39"/>
    <w:unhideWhenUsed/>
    <w:qFormat/>
    <w:pPr>
      <w:ind w:left="1134"/>
      <w:spacing w:after="57"/>
    </w:pPr>
  </w:style>
  <w:style w:type="paragraph" w:styleId="887">
    <w:name w:val="toc 3"/>
    <w:basedOn w:val="868"/>
    <w:next w:val="868"/>
    <w:uiPriority w:val="39"/>
    <w:unhideWhenUsed/>
    <w:qFormat/>
    <w:pPr>
      <w:ind w:left="567"/>
      <w:spacing w:after="57"/>
    </w:pPr>
  </w:style>
  <w:style w:type="paragraph" w:styleId="888">
    <w:name w:val="Plain Text"/>
    <w:basedOn w:val="868"/>
    <w:qFormat/>
    <w:rPr>
      <w:rFonts w:ascii="宋体" w:hAnsi="Courier New" w:cs="Courier New"/>
    </w:rPr>
  </w:style>
  <w:style w:type="paragraph" w:styleId="889">
    <w:name w:val="toc 8"/>
    <w:basedOn w:val="868"/>
    <w:next w:val="868"/>
    <w:uiPriority w:val="39"/>
    <w:unhideWhenUsed/>
    <w:qFormat/>
    <w:pPr>
      <w:ind w:left="1984"/>
      <w:spacing w:after="57"/>
    </w:pPr>
  </w:style>
  <w:style w:type="paragraph" w:styleId="890">
    <w:name w:val="endnote text"/>
    <w:basedOn w:val="868"/>
    <w:link w:val="1058"/>
    <w:uiPriority w:val="99"/>
    <w:semiHidden/>
    <w:unhideWhenUsed/>
    <w:qFormat/>
    <w:rPr>
      <w:sz w:val="20"/>
    </w:rPr>
  </w:style>
  <w:style w:type="paragraph" w:styleId="891">
    <w:name w:val="Balloon Text"/>
    <w:basedOn w:val="868"/>
    <w:link w:val="1180"/>
    <w:uiPriority w:val="99"/>
    <w:semiHidden/>
    <w:unhideWhenUsed/>
    <w:qFormat/>
    <w:rPr>
      <w:sz w:val="18"/>
      <w:szCs w:val="18"/>
    </w:rPr>
  </w:style>
  <w:style w:type="paragraph" w:styleId="892">
    <w:name w:val="Footer"/>
    <w:basedOn w:val="868"/>
    <w:link w:val="931"/>
    <w:uiPriority w:val="99"/>
    <w:unhideWhenUsed/>
    <w:qFormat/>
    <w:pPr>
      <w:tabs>
        <w:tab w:val="center" w:pos="7143" w:leader="none"/>
        <w:tab w:val="right" w:pos="14287" w:leader="none"/>
      </w:tabs>
    </w:pPr>
  </w:style>
  <w:style w:type="paragraph" w:styleId="893">
    <w:name w:val="Header"/>
    <w:basedOn w:val="868"/>
    <w:link w:val="929"/>
    <w:uiPriority w:val="99"/>
    <w:unhideWhenUsed/>
    <w:qFormat/>
    <w:pPr>
      <w:tabs>
        <w:tab w:val="center" w:pos="7143" w:leader="none"/>
        <w:tab w:val="right" w:pos="14287" w:leader="none"/>
      </w:tabs>
    </w:pPr>
  </w:style>
  <w:style w:type="paragraph" w:styleId="894">
    <w:name w:val="toc 1"/>
    <w:basedOn w:val="868"/>
    <w:next w:val="868"/>
    <w:uiPriority w:val="39"/>
    <w:unhideWhenUsed/>
    <w:qFormat/>
    <w:pPr>
      <w:spacing w:after="57"/>
    </w:pPr>
  </w:style>
  <w:style w:type="paragraph" w:styleId="895">
    <w:name w:val="toc 4"/>
    <w:basedOn w:val="868"/>
    <w:next w:val="868"/>
    <w:uiPriority w:val="39"/>
    <w:unhideWhenUsed/>
    <w:qFormat/>
    <w:pPr>
      <w:ind w:left="850"/>
      <w:spacing w:after="57"/>
    </w:pPr>
  </w:style>
  <w:style w:type="paragraph" w:styleId="896">
    <w:name w:val="Subtitle"/>
    <w:basedOn w:val="868"/>
    <w:next w:val="868"/>
    <w:link w:val="924"/>
    <w:uiPriority w:val="11"/>
    <w:qFormat/>
    <w:pPr>
      <w:spacing w:before="200" w:after="200"/>
    </w:pPr>
    <w:rPr>
      <w:sz w:val="24"/>
      <w:szCs w:val="24"/>
    </w:rPr>
  </w:style>
  <w:style w:type="paragraph" w:styleId="897">
    <w:name w:val="footnote text"/>
    <w:basedOn w:val="868"/>
    <w:link w:val="1057"/>
    <w:uiPriority w:val="99"/>
    <w:semiHidden/>
    <w:unhideWhenUsed/>
    <w:qFormat/>
    <w:pPr>
      <w:spacing w:after="40"/>
    </w:pPr>
    <w:rPr>
      <w:sz w:val="18"/>
    </w:rPr>
  </w:style>
  <w:style w:type="paragraph" w:styleId="898">
    <w:name w:val="toc 6"/>
    <w:basedOn w:val="868"/>
    <w:next w:val="868"/>
    <w:uiPriority w:val="39"/>
    <w:unhideWhenUsed/>
    <w:qFormat/>
    <w:pPr>
      <w:ind w:left="1417"/>
      <w:spacing w:after="57"/>
    </w:pPr>
  </w:style>
  <w:style w:type="paragraph" w:styleId="899">
    <w:name w:val="table of figures"/>
    <w:basedOn w:val="868"/>
    <w:next w:val="868"/>
    <w:uiPriority w:val="99"/>
    <w:unhideWhenUsed/>
    <w:qFormat/>
  </w:style>
  <w:style w:type="paragraph" w:styleId="900">
    <w:name w:val="toc 2"/>
    <w:basedOn w:val="868"/>
    <w:next w:val="868"/>
    <w:uiPriority w:val="39"/>
    <w:unhideWhenUsed/>
    <w:qFormat/>
    <w:pPr>
      <w:ind w:left="283"/>
      <w:spacing w:after="57"/>
    </w:pPr>
  </w:style>
  <w:style w:type="paragraph" w:styleId="901">
    <w:name w:val="toc 9"/>
    <w:basedOn w:val="868"/>
    <w:next w:val="868"/>
    <w:uiPriority w:val="39"/>
    <w:unhideWhenUsed/>
    <w:qFormat/>
    <w:pPr>
      <w:ind w:left="2268"/>
      <w:spacing w:after="57"/>
    </w:pPr>
  </w:style>
  <w:style w:type="paragraph" w:styleId="902">
    <w:name w:val="Normal (Web)"/>
    <w:basedOn w:val="868"/>
    <w:uiPriority w:val="99"/>
    <w:unhideWhenUsed/>
    <w:qFormat/>
    <w:pPr>
      <w:jc w:val="left"/>
      <w:spacing w:beforeAutospacing="1" w:afterAutospacing="1"/>
    </w:pPr>
    <w:rPr>
      <w:sz w:val="24"/>
    </w:rPr>
  </w:style>
  <w:style w:type="paragraph" w:styleId="903">
    <w:name w:val="Title"/>
    <w:basedOn w:val="868"/>
    <w:next w:val="868"/>
    <w:link w:val="923"/>
    <w:uiPriority w:val="10"/>
    <w:qFormat/>
    <w:pPr>
      <w:contextualSpacing/>
      <w:spacing w:before="300" w:after="200"/>
    </w:pPr>
    <w:rPr>
      <w:sz w:val="48"/>
      <w:szCs w:val="48"/>
    </w:rPr>
  </w:style>
  <w:style w:type="paragraph" w:styleId="904">
    <w:name w:val="annotation subject"/>
    <w:basedOn w:val="883"/>
    <w:next w:val="883"/>
    <w:link w:val="1178"/>
    <w:uiPriority w:val="99"/>
    <w:semiHidden/>
    <w:unhideWhenUsed/>
    <w:qFormat/>
    <w:rPr>
      <w:b/>
      <w:bCs/>
    </w:rPr>
  </w:style>
  <w:style w:type="paragraph" w:styleId="905">
    <w:name w:val="Body Text First Indent"/>
    <w:basedOn w:val="884"/>
    <w:qFormat/>
    <w:pPr>
      <w:ind w:firstLine="200"/>
      <w:spacing w:line="360" w:lineRule="auto"/>
    </w:pPr>
    <w:rPr>
      <w:rFonts w:ascii="仿宋_GB2312" w:hAnsi="Times New Roman" w:eastAsia="仿宋_GB2312"/>
      <w:sz w:val="30"/>
      <w:szCs w:val="30"/>
    </w:rPr>
  </w:style>
  <w:style w:type="paragraph" w:styleId="906">
    <w:name w:val="Body Text First Indent 2"/>
    <w:basedOn w:val="885"/>
    <w:next w:val="868"/>
    <w:uiPriority w:val="99"/>
    <w:unhideWhenUsed/>
    <w:qFormat/>
    <w:pPr>
      <w:ind w:firstLine="420"/>
    </w:pPr>
    <w:rPr>
      <w:szCs w:val="22"/>
    </w:rPr>
  </w:style>
  <w:style w:type="table" w:styleId="9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uiPriority w:val="99"/>
    <w:semiHidden/>
    <w:unhideWhenUsed/>
    <w:qFormat/>
    <w:rPr>
      <w:vertAlign w:val="superscript"/>
    </w:rPr>
  </w:style>
  <w:style w:type="character" w:styleId="909">
    <w:name w:val="Emphasis"/>
    <w:qFormat/>
    <w:rPr>
      <w:i/>
    </w:rPr>
  </w:style>
  <w:style w:type="character" w:styleId="910">
    <w:name w:val="Hyperlink"/>
    <w:uiPriority w:val="99"/>
    <w:unhideWhenUsed/>
    <w:qFormat/>
    <w:rPr>
      <w:color w:val="0000ff"/>
      <w:u w:val="single"/>
    </w:rPr>
  </w:style>
  <w:style w:type="character" w:styleId="911">
    <w:name w:val="footnote reference"/>
    <w:uiPriority w:val="99"/>
    <w:unhideWhenUsed/>
    <w:qFormat/>
    <w:rPr>
      <w:vertAlign w:val="superscript"/>
    </w:rPr>
  </w:style>
  <w:style w:type="character" w:styleId="912" w:customStyle="1">
    <w:name w:val="标题 1 Char1"/>
    <w:link w:val="869"/>
    <w:uiPriority w:val="9"/>
    <w:qFormat/>
    <w:rPr>
      <w:rFonts w:ascii="Arial" w:hAnsi="Arial" w:eastAsia="Arial" w:cs="Arial"/>
      <w:sz w:val="40"/>
      <w:szCs w:val="40"/>
    </w:rPr>
  </w:style>
  <w:style w:type="character" w:styleId="913" w:customStyle="1">
    <w:name w:val="标题 2 Char1"/>
    <w:link w:val="870"/>
    <w:uiPriority w:val="9"/>
    <w:qFormat/>
    <w:rPr>
      <w:rFonts w:ascii="Arial" w:hAnsi="Arial" w:eastAsia="Arial" w:cs="Arial"/>
      <w:sz w:val="34"/>
    </w:rPr>
  </w:style>
  <w:style w:type="character" w:styleId="914" w:customStyle="1">
    <w:name w:val="标题 3 Char1"/>
    <w:link w:val="871"/>
    <w:uiPriority w:val="9"/>
    <w:qFormat/>
    <w:rPr>
      <w:rFonts w:ascii="Arial" w:hAnsi="Arial" w:eastAsia="Arial" w:cs="Arial"/>
      <w:sz w:val="30"/>
      <w:szCs w:val="30"/>
    </w:rPr>
  </w:style>
  <w:style w:type="character" w:styleId="915" w:customStyle="1">
    <w:name w:val="标题 4 Char1"/>
    <w:link w:val="872"/>
    <w:uiPriority w:val="9"/>
    <w:qFormat/>
    <w:rPr>
      <w:rFonts w:ascii="Arial" w:hAnsi="Arial" w:eastAsia="Arial" w:cs="Arial"/>
      <w:b/>
      <w:bCs/>
      <w:sz w:val="26"/>
      <w:szCs w:val="26"/>
    </w:rPr>
  </w:style>
  <w:style w:type="character" w:styleId="916" w:customStyle="1">
    <w:name w:val="标题 5 Char1"/>
    <w:link w:val="873"/>
    <w:uiPriority w:val="9"/>
    <w:qFormat/>
    <w:rPr>
      <w:rFonts w:ascii="Arial" w:hAnsi="Arial" w:eastAsia="Arial" w:cs="Arial"/>
      <w:b/>
      <w:bCs/>
      <w:sz w:val="24"/>
      <w:szCs w:val="24"/>
    </w:rPr>
  </w:style>
  <w:style w:type="character" w:styleId="917" w:customStyle="1">
    <w:name w:val="标题 6 Char1"/>
    <w:link w:val="874"/>
    <w:uiPriority w:val="9"/>
    <w:qFormat/>
    <w:rPr>
      <w:rFonts w:ascii="Arial" w:hAnsi="Arial" w:eastAsia="Arial" w:cs="Arial"/>
      <w:b/>
      <w:bCs/>
      <w:sz w:val="22"/>
      <w:szCs w:val="22"/>
    </w:rPr>
  </w:style>
  <w:style w:type="character" w:styleId="918" w:customStyle="1">
    <w:name w:val="标题 7 Char1"/>
    <w:link w:val="875"/>
    <w:uiPriority w:val="9"/>
    <w:qFormat/>
    <w:rPr>
      <w:rFonts w:ascii="Arial" w:hAnsi="Arial" w:eastAsia="Arial" w:cs="Arial"/>
      <w:b/>
      <w:bCs/>
      <w:i/>
      <w:iCs/>
      <w:sz w:val="22"/>
      <w:szCs w:val="22"/>
    </w:rPr>
  </w:style>
  <w:style w:type="character" w:styleId="919" w:customStyle="1">
    <w:name w:val="标题 8 Char1"/>
    <w:link w:val="876"/>
    <w:uiPriority w:val="9"/>
    <w:qFormat/>
    <w:rPr>
      <w:rFonts w:ascii="Arial" w:hAnsi="Arial" w:eastAsia="Arial" w:cs="Arial"/>
      <w:i/>
      <w:iCs/>
      <w:sz w:val="22"/>
      <w:szCs w:val="22"/>
    </w:rPr>
  </w:style>
  <w:style w:type="character" w:styleId="920" w:customStyle="1">
    <w:name w:val="标题 9 Char1"/>
    <w:link w:val="877"/>
    <w:uiPriority w:val="9"/>
    <w:qFormat/>
    <w:rPr>
      <w:rFonts w:ascii="Arial" w:hAnsi="Arial" w:eastAsia="Arial" w:cs="Arial"/>
      <w:i/>
      <w:iCs/>
      <w:sz w:val="21"/>
      <w:szCs w:val="21"/>
    </w:rPr>
  </w:style>
  <w:style w:type="paragraph" w:styleId="921">
    <w:name w:val="List Paragraph"/>
    <w:basedOn w:val="868"/>
    <w:uiPriority w:val="34"/>
    <w:qFormat/>
    <w:pPr>
      <w:contextualSpacing/>
      <w:ind w:left="720"/>
    </w:pPr>
  </w:style>
  <w:style w:type="paragraph" w:styleId="922">
    <w:name w:val="No Spacing"/>
    <w:uiPriority w:val="1"/>
    <w:qFormat/>
    <w:rPr>
      <w:rFonts w:ascii="Calibri" w:hAnsi="Calibri"/>
    </w:rPr>
  </w:style>
  <w:style w:type="character" w:styleId="923" w:customStyle="1">
    <w:name w:val="标题 Char"/>
    <w:link w:val="903"/>
    <w:uiPriority w:val="10"/>
    <w:qFormat/>
    <w:rPr>
      <w:sz w:val="48"/>
      <w:szCs w:val="48"/>
    </w:rPr>
  </w:style>
  <w:style w:type="character" w:styleId="924" w:customStyle="1">
    <w:name w:val="副标题 Char"/>
    <w:link w:val="896"/>
    <w:uiPriority w:val="11"/>
    <w:qFormat/>
    <w:rPr>
      <w:sz w:val="24"/>
      <w:szCs w:val="24"/>
    </w:rPr>
  </w:style>
  <w:style w:type="paragraph" w:styleId="925">
    <w:name w:val="Quote"/>
    <w:basedOn w:val="868"/>
    <w:next w:val="868"/>
    <w:link w:val="926"/>
    <w:uiPriority w:val="29"/>
    <w:qFormat/>
    <w:pPr>
      <w:ind w:left="720" w:right="720"/>
    </w:pPr>
    <w:rPr>
      <w:i/>
    </w:rPr>
  </w:style>
  <w:style w:type="character" w:styleId="926" w:customStyle="1">
    <w:name w:val="引用 Char"/>
    <w:link w:val="925"/>
    <w:uiPriority w:val="29"/>
    <w:qFormat/>
    <w:rPr>
      <w:i/>
    </w:rPr>
  </w:style>
  <w:style w:type="paragraph" w:styleId="927">
    <w:name w:val="Intense Quote"/>
    <w:basedOn w:val="868"/>
    <w:next w:val="868"/>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character" w:styleId="929" w:customStyle="1">
    <w:name w:val="页眉 Char1"/>
    <w:link w:val="893"/>
    <w:uiPriority w:val="99"/>
    <w:qFormat/>
  </w:style>
  <w:style w:type="character" w:styleId="930" w:customStyle="1">
    <w:name w:val="Footer Char"/>
    <w:uiPriority w:val="99"/>
    <w:qFormat/>
  </w:style>
  <w:style w:type="character" w:styleId="931" w:customStyle="1">
    <w:name w:val="页脚 Char1"/>
    <w:link w:val="892"/>
    <w:uiPriority w:val="99"/>
    <w:qFormat/>
  </w:style>
  <w:style w:type="table" w:styleId="9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5" w:customStyle="1">
    <w:name w:val="Plain Table 3"/>
    <w:uiPriority w:val="99"/>
    <w:qFormat/>
    <w:tblPr>
      <w:tblCellMar>
        <w:left w:w="0" w:type="dxa"/>
        <w:top w:w="0" w:type="dxa"/>
        <w:right w:w="0" w:type="dxa"/>
        <w:bottom w:w="0" w:type="dxa"/>
      </w:tblCellMar>
    </w:tblPr>
  </w:style>
  <w:style w:type="table" w:styleId="936" w:customStyle="1">
    <w:name w:val="Plain Table 4"/>
    <w:uiPriority w:val="99"/>
    <w:qFormat/>
    <w:tblPr>
      <w:tblCellMar>
        <w:left w:w="0" w:type="dxa"/>
        <w:top w:w="0" w:type="dxa"/>
        <w:right w:w="0" w:type="dxa"/>
        <w:bottom w:w="0" w:type="dxa"/>
      </w:tblCellMar>
    </w:tblPr>
  </w:style>
  <w:style w:type="table" w:styleId="937" w:customStyle="1">
    <w:name w:val="Plain Table 5"/>
    <w:uiPriority w:val="99"/>
    <w:qFormat/>
    <w:tblPr>
      <w:tblCellMar>
        <w:left w:w="0" w:type="dxa"/>
        <w:top w:w="0" w:type="dxa"/>
        <w:right w:w="0" w:type="dxa"/>
        <w:bottom w:w="0" w:type="dxa"/>
      </w:tblCellMar>
    </w:tblPr>
  </w:style>
  <w:style w:type="table" w:styleId="93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7" w:customStyle="1">
    <w:name w:val="List Table 1 Light"/>
    <w:uiPriority w:val="99"/>
    <w:qFormat/>
    <w:tblPr>
      <w:tblCellMar>
        <w:left w:w="0" w:type="dxa"/>
        <w:top w:w="0" w:type="dxa"/>
        <w:right w:w="0" w:type="dxa"/>
        <w:bottom w:w="0" w:type="dxa"/>
      </w:tblCellMar>
    </w:tblPr>
  </w:style>
  <w:style w:type="table" w:styleId="988" w:customStyle="1">
    <w:name w:val="List Table 1 Light - Accent 1"/>
    <w:uiPriority w:val="99"/>
    <w:qFormat/>
    <w:tblPr>
      <w:tblCellMar>
        <w:left w:w="0" w:type="dxa"/>
        <w:top w:w="0" w:type="dxa"/>
        <w:right w:w="0" w:type="dxa"/>
        <w:bottom w:w="0" w:type="dxa"/>
      </w:tblCellMar>
    </w:tblPr>
  </w:style>
  <w:style w:type="table" w:styleId="989" w:customStyle="1">
    <w:name w:val="List Table 1 Light - Accent 2"/>
    <w:uiPriority w:val="99"/>
    <w:qFormat/>
    <w:tblPr>
      <w:tblCellMar>
        <w:left w:w="0" w:type="dxa"/>
        <w:top w:w="0" w:type="dxa"/>
        <w:right w:w="0" w:type="dxa"/>
        <w:bottom w:w="0" w:type="dxa"/>
      </w:tblCellMar>
    </w:tblPr>
  </w:style>
  <w:style w:type="table" w:styleId="990" w:customStyle="1">
    <w:name w:val="List Table 1 Light - Accent 3"/>
    <w:uiPriority w:val="99"/>
    <w:qFormat/>
    <w:tblPr>
      <w:tblCellMar>
        <w:left w:w="0" w:type="dxa"/>
        <w:top w:w="0" w:type="dxa"/>
        <w:right w:w="0" w:type="dxa"/>
        <w:bottom w:w="0" w:type="dxa"/>
      </w:tblCellMar>
    </w:tblPr>
  </w:style>
  <w:style w:type="table" w:styleId="991" w:customStyle="1">
    <w:name w:val="List Table 1 Light - Accent 4"/>
    <w:uiPriority w:val="99"/>
    <w:qFormat/>
    <w:tblPr>
      <w:tblCellMar>
        <w:left w:w="0" w:type="dxa"/>
        <w:top w:w="0" w:type="dxa"/>
        <w:right w:w="0" w:type="dxa"/>
        <w:bottom w:w="0" w:type="dxa"/>
      </w:tblCellMar>
    </w:tblPr>
  </w:style>
  <w:style w:type="table" w:styleId="992" w:customStyle="1">
    <w:name w:val="List Table 1 Light - Accent 5"/>
    <w:uiPriority w:val="99"/>
    <w:qFormat/>
    <w:tblPr>
      <w:tblCellMar>
        <w:left w:w="0" w:type="dxa"/>
        <w:top w:w="0" w:type="dxa"/>
        <w:right w:w="0" w:type="dxa"/>
        <w:bottom w:w="0" w:type="dxa"/>
      </w:tblCellMar>
    </w:tblPr>
  </w:style>
  <w:style w:type="table" w:styleId="993" w:customStyle="1">
    <w:name w:val="List Table 1 Light - Accent 6"/>
    <w:uiPriority w:val="99"/>
    <w:qFormat/>
    <w:tblPr>
      <w:tblCellMar>
        <w:left w:w="0" w:type="dxa"/>
        <w:top w:w="0" w:type="dxa"/>
        <w:right w:w="0" w:type="dxa"/>
        <w:bottom w:w="0" w:type="dxa"/>
      </w:tblCellMar>
    </w:tblPr>
  </w:style>
  <w:style w:type="table" w:styleId="99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6" w:customStyle="1">
    <w:name w:val="Lined - Accent"/>
    <w:uiPriority w:val="99"/>
    <w:qFormat/>
    <w:rPr>
      <w:color w:val="404040"/>
    </w:rPr>
    <w:tblPr>
      <w:tblCellMar>
        <w:left w:w="0" w:type="dxa"/>
        <w:top w:w="0" w:type="dxa"/>
        <w:right w:w="0" w:type="dxa"/>
        <w:bottom w:w="0" w:type="dxa"/>
      </w:tblCellMar>
    </w:tblPr>
  </w:style>
  <w:style w:type="table" w:styleId="1037" w:customStyle="1">
    <w:name w:val="Lined - Accent 1"/>
    <w:uiPriority w:val="99"/>
    <w:qFormat/>
    <w:rPr>
      <w:color w:val="404040"/>
    </w:rPr>
    <w:tblPr>
      <w:tblCellMar>
        <w:left w:w="0" w:type="dxa"/>
        <w:top w:w="0" w:type="dxa"/>
        <w:right w:w="0" w:type="dxa"/>
        <w:bottom w:w="0" w:type="dxa"/>
      </w:tblCellMar>
    </w:tblPr>
  </w:style>
  <w:style w:type="table" w:styleId="1038" w:customStyle="1">
    <w:name w:val="Lined - Accent 2"/>
    <w:uiPriority w:val="99"/>
    <w:qFormat/>
    <w:rPr>
      <w:color w:val="404040"/>
    </w:rPr>
    <w:tblPr>
      <w:tblCellMar>
        <w:left w:w="0" w:type="dxa"/>
        <w:top w:w="0" w:type="dxa"/>
        <w:right w:w="0" w:type="dxa"/>
        <w:bottom w:w="0" w:type="dxa"/>
      </w:tblCellMar>
    </w:tblPr>
  </w:style>
  <w:style w:type="table" w:styleId="1039" w:customStyle="1">
    <w:name w:val="Lined - Accent 3"/>
    <w:uiPriority w:val="99"/>
    <w:qFormat/>
    <w:rPr>
      <w:color w:val="404040"/>
    </w:rPr>
    <w:tblPr>
      <w:tblCellMar>
        <w:left w:w="0" w:type="dxa"/>
        <w:top w:w="0" w:type="dxa"/>
        <w:right w:w="0" w:type="dxa"/>
        <w:bottom w:w="0" w:type="dxa"/>
      </w:tblCellMar>
    </w:tblPr>
  </w:style>
  <w:style w:type="table" w:styleId="1040" w:customStyle="1">
    <w:name w:val="Lined - Accent 4"/>
    <w:uiPriority w:val="99"/>
    <w:qFormat/>
    <w:rPr>
      <w:color w:val="404040"/>
    </w:rPr>
    <w:tblPr>
      <w:tblCellMar>
        <w:left w:w="0" w:type="dxa"/>
        <w:top w:w="0" w:type="dxa"/>
        <w:right w:w="0" w:type="dxa"/>
        <w:bottom w:w="0" w:type="dxa"/>
      </w:tblCellMar>
    </w:tblPr>
  </w:style>
  <w:style w:type="table" w:styleId="1041" w:customStyle="1">
    <w:name w:val="Lined - Accent 5"/>
    <w:uiPriority w:val="99"/>
    <w:qFormat/>
    <w:rPr>
      <w:color w:val="404040"/>
    </w:rPr>
    <w:tblPr>
      <w:tblCellMar>
        <w:left w:w="0" w:type="dxa"/>
        <w:top w:w="0" w:type="dxa"/>
        <w:right w:w="0" w:type="dxa"/>
        <w:bottom w:w="0" w:type="dxa"/>
      </w:tblCellMar>
    </w:tblPr>
  </w:style>
  <w:style w:type="table" w:styleId="1042" w:customStyle="1">
    <w:name w:val="Lined - Accent 6"/>
    <w:uiPriority w:val="99"/>
    <w:qFormat/>
    <w:rPr>
      <w:color w:val="404040"/>
    </w:rPr>
    <w:tblPr>
      <w:tblCellMar>
        <w:left w:w="0" w:type="dxa"/>
        <w:top w:w="0" w:type="dxa"/>
        <w:right w:w="0" w:type="dxa"/>
        <w:bottom w:w="0" w:type="dxa"/>
      </w:tblCellMar>
    </w:tblPr>
  </w:style>
  <w:style w:type="table" w:styleId="10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7" w:customStyle="1">
    <w:name w:val="脚注文本 Char"/>
    <w:link w:val="897"/>
    <w:uiPriority w:val="99"/>
    <w:qFormat/>
    <w:rPr>
      <w:sz w:val="18"/>
    </w:rPr>
  </w:style>
  <w:style w:type="character" w:styleId="1058" w:customStyle="1">
    <w:name w:val="尾注文本 Char"/>
    <w:link w:val="890"/>
    <w:uiPriority w:val="99"/>
    <w:qFormat/>
    <w:rPr>
      <w:sz w:val="20"/>
    </w:rPr>
  </w:style>
  <w:style w:type="paragraph" w:styleId="1059" w:customStyle="1">
    <w:name w:val="TOC 标题1"/>
    <w:uiPriority w:val="39"/>
    <w:unhideWhenUsed/>
    <w:qFormat/>
    <w:rPr>
      <w:rFonts w:ascii="Calibri" w:hAnsi="Calibri"/>
    </w:rPr>
  </w:style>
  <w:style w:type="paragraph" w:styleId="1060" w:customStyle="1">
    <w:name w:val="标题 11"/>
    <w:basedOn w:val="868"/>
    <w:next w:val="868"/>
    <w:link w:val="1072"/>
    <w:qFormat/>
    <w:pPr>
      <w:jc w:val="center"/>
      <w:keepNext/>
      <w:outlineLvl w:val="0"/>
    </w:pPr>
    <w:rPr>
      <w:rFonts w:ascii="楷体_GB2312" w:eastAsia="楷体_GB2312"/>
      <w:sz w:val="28"/>
      <w:szCs w:val="28"/>
    </w:rPr>
  </w:style>
  <w:style w:type="paragraph" w:styleId="1061" w:customStyle="1">
    <w:name w:val="标题 21"/>
    <w:basedOn w:val="868"/>
    <w:next w:val="1062"/>
    <w:link w:val="1073"/>
    <w:qFormat/>
    <w:pPr>
      <w:jc w:val="center"/>
      <w:keepLines/>
      <w:keepNext/>
      <w:spacing w:before="260" w:after="260" w:line="416" w:lineRule="auto"/>
      <w:outlineLvl w:val="1"/>
    </w:pPr>
    <w:rPr>
      <w:rFonts w:ascii="Arial" w:hAnsi="Arial" w:eastAsia="幼圆" w:cs="Arial"/>
      <w:b/>
      <w:bCs/>
      <w:sz w:val="44"/>
      <w:szCs w:val="44"/>
    </w:rPr>
  </w:style>
  <w:style w:type="paragraph" w:styleId="1062" w:customStyle="1">
    <w:name w:val="正文缩进1"/>
    <w:basedOn w:val="868"/>
    <w:link w:val="1074"/>
    <w:qFormat/>
    <w:pPr>
      <w:ind w:firstLine="420"/>
    </w:pPr>
  </w:style>
  <w:style w:type="paragraph" w:styleId="1063" w:customStyle="1">
    <w:name w:val="标题 31"/>
    <w:basedOn w:val="868"/>
    <w:next w:val="1062"/>
    <w:link w:val="1075"/>
    <w:qFormat/>
    <w:pPr>
      <w:keepLines/>
      <w:keepNext/>
      <w:spacing w:before="260" w:after="260" w:line="416" w:lineRule="auto"/>
      <w:outlineLvl w:val="2"/>
    </w:pPr>
    <w:rPr>
      <w:b/>
      <w:bCs/>
      <w:sz w:val="32"/>
      <w:szCs w:val="32"/>
    </w:rPr>
  </w:style>
  <w:style w:type="paragraph" w:styleId="1064" w:customStyle="1">
    <w:name w:val="标题 41"/>
    <w:basedOn w:val="868"/>
    <w:next w:val="1062"/>
    <w:link w:val="1076"/>
    <w:qFormat/>
    <w:pPr>
      <w:keepLines/>
      <w:keepNext/>
      <w:spacing w:before="280" w:after="290" w:line="376" w:lineRule="auto"/>
      <w:outlineLvl w:val="3"/>
    </w:pPr>
    <w:rPr>
      <w:rFonts w:ascii="Arial" w:hAnsi="Arial" w:eastAsia="黑体" w:cs="Arial"/>
      <w:b/>
      <w:bCs/>
      <w:sz w:val="28"/>
      <w:szCs w:val="28"/>
    </w:rPr>
  </w:style>
  <w:style w:type="paragraph" w:styleId="1065" w:customStyle="1">
    <w:name w:val="标题 51"/>
    <w:basedOn w:val="868"/>
    <w:next w:val="1062"/>
    <w:link w:val="1077"/>
    <w:qFormat/>
    <w:pPr>
      <w:keepNext/>
      <w:outlineLvl w:val="4"/>
    </w:pPr>
    <w:rPr>
      <w:rFonts w:ascii="宋体"/>
      <w:color w:val="000000"/>
      <w:sz w:val="28"/>
      <w:szCs w:val="28"/>
    </w:rPr>
  </w:style>
  <w:style w:type="paragraph" w:styleId="1066" w:customStyle="1">
    <w:name w:val="标题 61"/>
    <w:basedOn w:val="868"/>
    <w:next w:val="868"/>
    <w:link w:val="107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7" w:customStyle="1">
    <w:name w:val="标题 71"/>
    <w:basedOn w:val="868"/>
    <w:next w:val="868"/>
    <w:link w:val="1079"/>
    <w:qFormat/>
    <w:pPr>
      <w:numPr>
        <w:ilvl w:val="6"/>
        <w:numId w:val="1"/>
      </w:numPr>
      <w:keepLines/>
      <w:keepNext/>
      <w:spacing w:before="240" w:after="64" w:line="320" w:lineRule="auto"/>
      <w:outlineLvl w:val="6"/>
    </w:pPr>
    <w:rPr>
      <w:b/>
      <w:bCs/>
      <w:sz w:val="24"/>
      <w:szCs w:val="24"/>
    </w:rPr>
  </w:style>
  <w:style w:type="paragraph" w:styleId="1068" w:customStyle="1">
    <w:name w:val="标题 81"/>
    <w:basedOn w:val="868"/>
    <w:next w:val="868"/>
    <w:link w:val="1080"/>
    <w:qFormat/>
    <w:pPr>
      <w:numPr>
        <w:ilvl w:val="7"/>
        <w:numId w:val="1"/>
      </w:numPr>
      <w:keepLines/>
      <w:keepNext/>
      <w:spacing w:before="240" w:after="64" w:line="320" w:lineRule="auto"/>
      <w:outlineLvl w:val="7"/>
    </w:pPr>
    <w:rPr>
      <w:rFonts w:ascii="Arial" w:hAnsi="Arial" w:eastAsia="黑体"/>
      <w:sz w:val="24"/>
      <w:szCs w:val="24"/>
    </w:rPr>
  </w:style>
  <w:style w:type="paragraph" w:styleId="1069" w:customStyle="1">
    <w:name w:val="标题 91"/>
    <w:basedOn w:val="868"/>
    <w:next w:val="868"/>
    <w:link w:val="1081"/>
    <w:qFormat/>
    <w:pPr>
      <w:numPr>
        <w:ilvl w:val="8"/>
        <w:numId w:val="1"/>
      </w:numPr>
      <w:keepLines/>
      <w:keepNext/>
      <w:spacing w:before="240" w:after="64" w:line="320" w:lineRule="auto"/>
      <w:outlineLvl w:val="8"/>
    </w:pPr>
    <w:rPr>
      <w:rFonts w:ascii="Arial" w:hAnsi="Arial" w:eastAsia="黑体"/>
    </w:rPr>
  </w:style>
  <w:style w:type="character" w:styleId="1070" w:customStyle="1">
    <w:name w:val="默认段落字体1"/>
    <w:uiPriority w:val="1"/>
    <w:unhideWhenUsed/>
    <w:qFormat/>
  </w:style>
  <w:style w:type="table" w:styleId="1071" w:customStyle="1">
    <w:name w:val="普通表格1"/>
    <w:uiPriority w:val="99"/>
    <w:unhideWhenUsed/>
    <w:qFormat/>
    <w:tblPr>
      <w:tblCellMar>
        <w:left w:w="0" w:type="dxa"/>
        <w:top w:w="0" w:type="dxa"/>
        <w:right w:w="0" w:type="dxa"/>
        <w:bottom w:w="0" w:type="dxa"/>
      </w:tblCellMar>
    </w:tblPr>
  </w:style>
  <w:style w:type="character" w:styleId="1072" w:customStyle="1">
    <w:name w:val="标题 1 Char"/>
    <w:link w:val="1060"/>
    <w:qFormat/>
    <w:rPr>
      <w:rFonts w:ascii="楷体_GB2312" w:hAnsi="Times New Roman" w:eastAsia="楷体_GB2312" w:cs="Times New Roman"/>
      <w:sz w:val="28"/>
      <w:szCs w:val="28"/>
    </w:rPr>
  </w:style>
  <w:style w:type="character" w:styleId="1073" w:customStyle="1">
    <w:name w:val="标题 2 Char"/>
    <w:link w:val="1061"/>
    <w:qFormat/>
    <w:rPr>
      <w:rFonts w:ascii="Arial" w:hAnsi="Arial" w:eastAsia="幼圆" w:cs="Arial"/>
      <w:b/>
      <w:bCs/>
      <w:sz w:val="44"/>
      <w:szCs w:val="44"/>
    </w:rPr>
  </w:style>
  <w:style w:type="character" w:styleId="1074" w:customStyle="1">
    <w:name w:val="正文缩进 Char"/>
    <w:link w:val="1062"/>
    <w:qFormat/>
    <w:rPr>
      <w:rFonts w:ascii="Times New Roman" w:hAnsi="Times New Roman" w:eastAsia="宋体" w:cs="Times New Roman"/>
      <w:szCs w:val="21"/>
    </w:rPr>
  </w:style>
  <w:style w:type="character" w:styleId="1075" w:customStyle="1">
    <w:name w:val="标题 3 Char"/>
    <w:link w:val="1063"/>
    <w:qFormat/>
    <w:rPr>
      <w:rFonts w:ascii="Times New Roman" w:hAnsi="Times New Roman" w:eastAsia="宋体" w:cs="Times New Roman"/>
      <w:b/>
      <w:bCs/>
      <w:sz w:val="32"/>
      <w:szCs w:val="32"/>
    </w:rPr>
  </w:style>
  <w:style w:type="character" w:styleId="1076" w:customStyle="1">
    <w:name w:val="标题 4 Char"/>
    <w:link w:val="1064"/>
    <w:qFormat/>
    <w:rPr>
      <w:rFonts w:ascii="Arial" w:hAnsi="Arial" w:eastAsia="黑体" w:cs="Arial"/>
      <w:b/>
      <w:bCs/>
      <w:sz w:val="28"/>
      <w:szCs w:val="28"/>
    </w:rPr>
  </w:style>
  <w:style w:type="character" w:styleId="1077" w:customStyle="1">
    <w:name w:val="标题 5 Char"/>
    <w:link w:val="1065"/>
    <w:qFormat/>
    <w:rPr>
      <w:rFonts w:ascii="宋体" w:hAnsi="Times New Roman" w:eastAsia="宋体" w:cs="Times New Roman"/>
      <w:color w:val="000000"/>
      <w:sz w:val="28"/>
      <w:szCs w:val="28"/>
    </w:rPr>
  </w:style>
  <w:style w:type="character" w:styleId="1078" w:customStyle="1">
    <w:name w:val="标题 6 Char"/>
    <w:link w:val="1066"/>
    <w:qFormat/>
    <w:rPr>
      <w:rFonts w:ascii="Arial" w:hAnsi="Arial" w:eastAsia="黑体" w:cs="Times New Roman"/>
      <w:b/>
      <w:bCs/>
      <w:sz w:val="24"/>
      <w:szCs w:val="24"/>
    </w:rPr>
  </w:style>
  <w:style w:type="character" w:styleId="1079" w:customStyle="1">
    <w:name w:val="标题 7 Char"/>
    <w:link w:val="1067"/>
    <w:qFormat/>
    <w:rPr>
      <w:rFonts w:ascii="Times New Roman" w:hAnsi="Times New Roman" w:eastAsia="宋体" w:cs="Times New Roman"/>
      <w:b/>
      <w:bCs/>
      <w:sz w:val="24"/>
      <w:szCs w:val="24"/>
    </w:rPr>
  </w:style>
  <w:style w:type="character" w:styleId="1080" w:customStyle="1">
    <w:name w:val="标题 8 Char"/>
    <w:link w:val="1068"/>
    <w:qFormat/>
    <w:rPr>
      <w:rFonts w:ascii="Arial" w:hAnsi="Arial" w:eastAsia="黑体" w:cs="Times New Roman"/>
      <w:sz w:val="24"/>
      <w:szCs w:val="24"/>
    </w:rPr>
  </w:style>
  <w:style w:type="character" w:styleId="1081" w:customStyle="1">
    <w:name w:val="标题 9 Char"/>
    <w:link w:val="1069"/>
    <w:qFormat/>
    <w:rPr>
      <w:rFonts w:ascii="Arial" w:hAnsi="Arial" w:eastAsia="黑体" w:cs="Times New Roman"/>
      <w:szCs w:val="21"/>
    </w:rPr>
  </w:style>
  <w:style w:type="paragraph" w:styleId="1082" w:customStyle="1">
    <w:name w:val="列表 31"/>
    <w:basedOn w:val="868"/>
    <w:qFormat/>
    <w:pPr>
      <w:ind w:left="100" w:hanging="200"/>
    </w:pPr>
  </w:style>
  <w:style w:type="paragraph" w:styleId="1083" w:customStyle="1">
    <w:name w:val="目录 71"/>
    <w:basedOn w:val="868"/>
    <w:next w:val="868"/>
    <w:semiHidden/>
    <w:qFormat/>
    <w:pPr>
      <w:ind w:left="1260"/>
      <w:jc w:val="left"/>
    </w:pPr>
  </w:style>
  <w:style w:type="paragraph" w:styleId="1084" w:customStyle="1">
    <w:name w:val="文档结构图1"/>
    <w:basedOn w:val="868"/>
    <w:link w:val="1085"/>
    <w:semiHidden/>
    <w:qFormat/>
    <w:pPr>
      <w:shd w:val="clear" w:color="auto" w:fill="000080"/>
    </w:pPr>
  </w:style>
  <w:style w:type="character" w:styleId="1085" w:customStyle="1">
    <w:name w:val="文档结构图 Char"/>
    <w:link w:val="1084"/>
    <w:semiHidden/>
    <w:qFormat/>
    <w:rPr>
      <w:rFonts w:ascii="Times New Roman" w:hAnsi="Times New Roman" w:eastAsia="宋体" w:cs="Times New Roman"/>
      <w:szCs w:val="21"/>
      <w:shd w:val="clear" w:color="auto" w:fill="000080"/>
    </w:rPr>
  </w:style>
  <w:style w:type="paragraph" w:styleId="1086" w:customStyle="1">
    <w:name w:val="批注文字1"/>
    <w:basedOn w:val="868"/>
    <w:link w:val="1087"/>
    <w:semiHidden/>
    <w:qFormat/>
    <w:pPr>
      <w:jc w:val="left"/>
    </w:pPr>
  </w:style>
  <w:style w:type="character" w:styleId="1087" w:customStyle="1">
    <w:name w:val="批注文字 Char"/>
    <w:link w:val="1086"/>
    <w:semiHidden/>
    <w:qFormat/>
    <w:rPr>
      <w:rFonts w:ascii="Times New Roman" w:hAnsi="Times New Roman" w:eastAsia="宋体" w:cs="Times New Roman"/>
      <w:szCs w:val="21"/>
    </w:rPr>
  </w:style>
  <w:style w:type="paragraph" w:styleId="1088" w:customStyle="1">
    <w:name w:val="正文文本 31"/>
    <w:basedOn w:val="868"/>
    <w:link w:val="1089"/>
    <w:qFormat/>
    <w:rPr>
      <w:rFonts w:ascii="仿宋_GB2312" w:hAnsi="Arial" w:eastAsia="仿宋_GB2312"/>
      <w:sz w:val="32"/>
      <w:szCs w:val="32"/>
    </w:rPr>
  </w:style>
  <w:style w:type="character" w:styleId="1089" w:customStyle="1">
    <w:name w:val="正文文本 3 Char"/>
    <w:link w:val="1088"/>
    <w:qFormat/>
    <w:rPr>
      <w:rFonts w:ascii="仿宋_GB2312" w:hAnsi="Arial" w:eastAsia="仿宋_GB2312" w:cs="Times New Roman"/>
      <w:sz w:val="32"/>
      <w:szCs w:val="32"/>
    </w:rPr>
  </w:style>
  <w:style w:type="paragraph" w:styleId="1090" w:customStyle="1">
    <w:name w:val="正文文本1"/>
    <w:basedOn w:val="868"/>
    <w:link w:val="1091"/>
    <w:qFormat/>
    <w:rPr>
      <w:rFonts w:ascii="楷体_GB2312" w:hAnsi="Arial" w:eastAsia="楷体_GB2312"/>
      <w:sz w:val="28"/>
      <w:szCs w:val="28"/>
    </w:rPr>
  </w:style>
  <w:style w:type="character" w:styleId="1091" w:customStyle="1">
    <w:name w:val="正文文本 Char"/>
    <w:link w:val="1090"/>
    <w:qFormat/>
    <w:rPr>
      <w:rFonts w:ascii="楷体_GB2312" w:hAnsi="Arial" w:eastAsia="楷体_GB2312" w:cs="Times New Roman"/>
      <w:sz w:val="28"/>
      <w:szCs w:val="28"/>
    </w:rPr>
  </w:style>
  <w:style w:type="paragraph" w:styleId="1092" w:customStyle="1">
    <w:name w:val="正文文本缩进1"/>
    <w:basedOn w:val="1093"/>
    <w:next w:val="1095"/>
    <w:link w:val="1096"/>
    <w:qFormat/>
    <w:pPr>
      <w:ind w:firstLine="645"/>
    </w:pPr>
    <w:rPr>
      <w:rFonts w:ascii="楷体_GB2312" w:eastAsia="楷体_GB2312"/>
      <w:sz w:val="32"/>
      <w:szCs w:val="32"/>
    </w:rPr>
  </w:style>
  <w:style w:type="paragraph" w:styleId="1093" w:customStyle="1">
    <w:name w:val="正文11"/>
    <w:next w:val="1094"/>
    <w:qFormat/>
    <w:pPr>
      <w:jc w:val="both"/>
    </w:pPr>
  </w:style>
  <w:style w:type="paragraph" w:styleId="1094" w:customStyle="1">
    <w:name w:val="无间隔1"/>
    <w:uiPriority w:val="99"/>
    <w:qFormat/>
    <w:pPr>
      <w:jc w:val="both"/>
      <w:widowControl w:val="off"/>
    </w:pPr>
    <w:rPr>
      <w:sz w:val="21"/>
      <w:szCs w:val="21"/>
    </w:rPr>
  </w:style>
  <w:style w:type="paragraph" w:styleId="1095" w:customStyle="1">
    <w:name w:val="寄信人地址1"/>
    <w:basedOn w:val="1093"/>
    <w:qFormat/>
    <w:rPr>
      <w:rFonts w:ascii="Arial" w:hAnsi="Arial"/>
    </w:rPr>
  </w:style>
  <w:style w:type="character" w:styleId="1096" w:customStyle="1">
    <w:name w:val="正文文本缩进 Char"/>
    <w:link w:val="1092"/>
    <w:qFormat/>
    <w:rPr>
      <w:rFonts w:ascii="楷体_GB2312" w:hAnsi="Times New Roman" w:eastAsia="楷体_GB2312" w:cs="Times New Roman"/>
      <w:sz w:val="32"/>
      <w:szCs w:val="32"/>
    </w:rPr>
  </w:style>
  <w:style w:type="paragraph" w:styleId="1097" w:customStyle="1">
    <w:name w:val="列表 21"/>
    <w:basedOn w:val="868"/>
    <w:qFormat/>
    <w:pPr>
      <w:ind w:left="100" w:hanging="200"/>
    </w:pPr>
  </w:style>
  <w:style w:type="paragraph" w:styleId="1098" w:customStyle="1">
    <w:name w:val="目录 51"/>
    <w:basedOn w:val="868"/>
    <w:next w:val="868"/>
    <w:semiHidden/>
    <w:qFormat/>
    <w:pPr>
      <w:ind w:left="840"/>
      <w:jc w:val="left"/>
    </w:pPr>
  </w:style>
  <w:style w:type="paragraph" w:styleId="1099" w:customStyle="1">
    <w:name w:val="目录 31"/>
    <w:basedOn w:val="868"/>
    <w:next w:val="868"/>
    <w:semiHidden/>
    <w:qFormat/>
    <w:pPr>
      <w:ind w:left="420"/>
      <w:jc w:val="left"/>
    </w:pPr>
    <w:rPr>
      <w:i/>
      <w:iCs/>
      <w:szCs w:val="24"/>
    </w:rPr>
  </w:style>
  <w:style w:type="paragraph" w:styleId="1100" w:customStyle="1">
    <w:name w:val="纯文本1"/>
    <w:basedOn w:val="868"/>
    <w:link w:val="1101"/>
    <w:qFormat/>
    <w:rPr>
      <w:rFonts w:ascii="宋体" w:hAnsi="Courier New" w:cs="Courier New"/>
    </w:rPr>
  </w:style>
  <w:style w:type="character" w:styleId="1101" w:customStyle="1">
    <w:name w:val="纯文本 Char"/>
    <w:link w:val="1100"/>
    <w:qFormat/>
    <w:rPr>
      <w:rFonts w:ascii="宋体" w:hAnsi="Courier New" w:eastAsia="宋体" w:cs="Courier New"/>
      <w:szCs w:val="21"/>
    </w:rPr>
  </w:style>
  <w:style w:type="paragraph" w:styleId="1102" w:customStyle="1">
    <w:name w:val="目录 81"/>
    <w:basedOn w:val="868"/>
    <w:next w:val="868"/>
    <w:semiHidden/>
    <w:qFormat/>
    <w:pPr>
      <w:ind w:left="1470"/>
      <w:jc w:val="left"/>
    </w:pPr>
  </w:style>
  <w:style w:type="paragraph" w:styleId="1103" w:customStyle="1">
    <w:name w:val="日期1"/>
    <w:basedOn w:val="868"/>
    <w:next w:val="868"/>
    <w:link w:val="1104"/>
    <w:qFormat/>
    <w:rPr>
      <w:sz w:val="24"/>
      <w:szCs w:val="24"/>
    </w:rPr>
  </w:style>
  <w:style w:type="character" w:styleId="1104" w:customStyle="1">
    <w:name w:val="日期 Char"/>
    <w:link w:val="1103"/>
    <w:qFormat/>
    <w:rPr>
      <w:rFonts w:ascii="Times New Roman" w:hAnsi="Times New Roman" w:eastAsia="宋体" w:cs="Times New Roman"/>
      <w:sz w:val="24"/>
      <w:szCs w:val="24"/>
    </w:rPr>
  </w:style>
  <w:style w:type="paragraph" w:styleId="1105" w:customStyle="1">
    <w:name w:val="正文文本缩进 21"/>
    <w:basedOn w:val="868"/>
    <w:link w:val="1106"/>
    <w:qFormat/>
    <w:pPr>
      <w:ind w:left="630" w:firstLine="645"/>
    </w:pPr>
    <w:rPr>
      <w:rFonts w:ascii="Arial" w:hAnsi="Arial" w:eastAsia="仿宋_GB2312" w:cs="Arial"/>
      <w:sz w:val="32"/>
      <w:szCs w:val="32"/>
    </w:rPr>
  </w:style>
  <w:style w:type="character" w:styleId="1106" w:customStyle="1">
    <w:name w:val="正文文本缩进 2 Char"/>
    <w:link w:val="1105"/>
    <w:qFormat/>
    <w:rPr>
      <w:rFonts w:ascii="Arial" w:hAnsi="Arial" w:eastAsia="仿宋_GB2312" w:cs="Arial"/>
      <w:sz w:val="32"/>
      <w:szCs w:val="32"/>
    </w:rPr>
  </w:style>
  <w:style w:type="paragraph" w:styleId="1107" w:customStyle="1">
    <w:name w:val="批注框文本1"/>
    <w:basedOn w:val="868"/>
    <w:link w:val="1108"/>
    <w:semiHidden/>
    <w:qFormat/>
    <w:rPr>
      <w:sz w:val="18"/>
      <w:szCs w:val="18"/>
    </w:rPr>
  </w:style>
  <w:style w:type="character" w:styleId="1108" w:customStyle="1">
    <w:name w:val="批注框文本 Char"/>
    <w:link w:val="1107"/>
    <w:semiHidden/>
    <w:qFormat/>
    <w:rPr>
      <w:rFonts w:ascii="Times New Roman" w:hAnsi="Times New Roman" w:eastAsia="宋体" w:cs="Times New Roman"/>
      <w:sz w:val="18"/>
      <w:szCs w:val="18"/>
    </w:rPr>
  </w:style>
  <w:style w:type="paragraph" w:styleId="1109" w:customStyle="1">
    <w:name w:val="页脚1"/>
    <w:basedOn w:val="868"/>
    <w:link w:val="1110"/>
    <w:uiPriority w:val="99"/>
    <w:qFormat/>
    <w:pPr>
      <w:jc w:val="left"/>
      <w:tabs>
        <w:tab w:val="center" w:pos="4153" w:leader="none"/>
        <w:tab w:val="right" w:pos="8306" w:leader="none"/>
      </w:tabs>
    </w:pPr>
    <w:rPr>
      <w:sz w:val="18"/>
      <w:szCs w:val="18"/>
    </w:rPr>
  </w:style>
  <w:style w:type="character" w:styleId="1110" w:customStyle="1">
    <w:name w:val="页脚 Char"/>
    <w:link w:val="1109"/>
    <w:uiPriority w:val="99"/>
    <w:qFormat/>
    <w:rPr>
      <w:rFonts w:ascii="Times New Roman" w:hAnsi="Times New Roman" w:eastAsia="宋体" w:cs="Times New Roman"/>
      <w:sz w:val="18"/>
      <w:szCs w:val="18"/>
    </w:rPr>
  </w:style>
  <w:style w:type="paragraph" w:styleId="1111" w:customStyle="1">
    <w:name w:val="页眉1"/>
    <w:basedOn w:val="868"/>
    <w:link w:val="1112"/>
    <w:qFormat/>
    <w:pPr>
      <w:jc w:val="center"/>
      <w:tabs>
        <w:tab w:val="center" w:pos="4153" w:leader="none"/>
        <w:tab w:val="right" w:pos="8306" w:leader="none"/>
      </w:tabs>
      <w:pBdr>
        <w:bottom w:val="single" w:color="000000" w:sz="6" w:space="1"/>
      </w:pBdr>
    </w:pPr>
    <w:rPr>
      <w:sz w:val="18"/>
      <w:szCs w:val="18"/>
    </w:rPr>
  </w:style>
  <w:style w:type="character" w:styleId="1112" w:customStyle="1">
    <w:name w:val="页眉 Char"/>
    <w:link w:val="1111"/>
    <w:qFormat/>
    <w:rPr>
      <w:rFonts w:ascii="Times New Roman" w:hAnsi="Times New Roman" w:eastAsia="宋体" w:cs="Times New Roman"/>
      <w:sz w:val="18"/>
      <w:szCs w:val="18"/>
    </w:rPr>
  </w:style>
  <w:style w:type="paragraph" w:styleId="1113" w:customStyle="1">
    <w:name w:val="目录 11"/>
    <w:basedOn w:val="868"/>
    <w:next w:val="868"/>
    <w:semiHidden/>
    <w:qFormat/>
    <w:pPr>
      <w:jc w:val="left"/>
      <w:spacing w:before="120" w:after="120" w:line="400" w:lineRule="exact"/>
      <w:tabs>
        <w:tab w:val="right" w:pos="8720" w:leader="dot"/>
      </w:tabs>
    </w:pPr>
    <w:rPr>
      <w:rFonts w:ascii="宋体" w:hAnsi="宋体"/>
      <w:caps/>
      <w:sz w:val="24"/>
      <w:szCs w:val="24"/>
    </w:rPr>
  </w:style>
  <w:style w:type="paragraph" w:styleId="1114" w:customStyle="1">
    <w:name w:val="目录 41"/>
    <w:basedOn w:val="868"/>
    <w:next w:val="868"/>
    <w:semiHidden/>
    <w:qFormat/>
    <w:pPr>
      <w:ind w:left="630"/>
      <w:jc w:val="left"/>
    </w:pPr>
  </w:style>
  <w:style w:type="paragraph" w:styleId="1115" w:customStyle="1">
    <w:name w:val="列表1"/>
    <w:basedOn w:val="868"/>
    <w:qFormat/>
    <w:pPr>
      <w:ind w:left="200" w:hanging="200"/>
    </w:pPr>
  </w:style>
  <w:style w:type="paragraph" w:styleId="1116" w:customStyle="1">
    <w:name w:val="目录 61"/>
    <w:basedOn w:val="868"/>
    <w:next w:val="868"/>
    <w:semiHidden/>
    <w:qFormat/>
    <w:pPr>
      <w:ind w:left="1050"/>
      <w:jc w:val="left"/>
    </w:pPr>
  </w:style>
  <w:style w:type="paragraph" w:styleId="1117" w:customStyle="1">
    <w:name w:val="正文文本缩进 31"/>
    <w:basedOn w:val="868"/>
    <w:link w:val="1118"/>
    <w:qFormat/>
    <w:pPr>
      <w:ind w:left="645" w:firstLine="645"/>
    </w:pPr>
    <w:rPr>
      <w:rFonts w:ascii="Arial" w:hAnsi="Arial" w:eastAsia="仿宋_GB2312" w:cs="Arial"/>
      <w:color w:val="ffff00"/>
      <w:sz w:val="32"/>
      <w:szCs w:val="32"/>
    </w:rPr>
  </w:style>
  <w:style w:type="character" w:styleId="1118" w:customStyle="1">
    <w:name w:val="正文文本缩进 3 Char"/>
    <w:link w:val="1117"/>
    <w:qFormat/>
    <w:rPr>
      <w:rFonts w:ascii="Arial" w:hAnsi="Arial" w:eastAsia="仿宋_GB2312" w:cs="Arial"/>
      <w:color w:val="ffff00"/>
      <w:sz w:val="32"/>
      <w:szCs w:val="32"/>
    </w:rPr>
  </w:style>
  <w:style w:type="paragraph" w:styleId="1119" w:customStyle="1">
    <w:name w:val="图表目录1"/>
    <w:basedOn w:val="868"/>
    <w:next w:val="868"/>
    <w:semiHidden/>
    <w:qFormat/>
    <w:pPr>
      <w:ind w:left="840" w:hanging="420"/>
    </w:pPr>
  </w:style>
  <w:style w:type="paragraph" w:styleId="1120" w:customStyle="1">
    <w:name w:val="目录 21"/>
    <w:basedOn w:val="868"/>
    <w:next w:val="868"/>
    <w:semiHidden/>
    <w:qFormat/>
    <w:pPr>
      <w:ind w:left="210"/>
      <w:jc w:val="left"/>
    </w:pPr>
    <w:rPr>
      <w:smallCaps/>
      <w:szCs w:val="24"/>
    </w:rPr>
  </w:style>
  <w:style w:type="paragraph" w:styleId="1121" w:customStyle="1">
    <w:name w:val="目录 91"/>
    <w:basedOn w:val="868"/>
    <w:next w:val="868"/>
    <w:semiHidden/>
    <w:qFormat/>
    <w:pPr>
      <w:ind w:left="1680"/>
      <w:jc w:val="left"/>
    </w:pPr>
  </w:style>
  <w:style w:type="paragraph" w:styleId="1122" w:customStyle="1">
    <w:name w:val="正文文本 21"/>
    <w:basedOn w:val="868"/>
    <w:link w:val="1123"/>
    <w:qFormat/>
    <w:pPr>
      <w:jc w:val="center"/>
      <w:widowControl/>
    </w:pPr>
    <w:rPr>
      <w:rFonts w:ascii="楷体_GB2312" w:eastAsia="楷体_GB2312"/>
      <w:sz w:val="28"/>
      <w:szCs w:val="28"/>
    </w:rPr>
  </w:style>
  <w:style w:type="character" w:styleId="1123" w:customStyle="1">
    <w:name w:val="正文文本 2 Char"/>
    <w:link w:val="1122"/>
    <w:qFormat/>
    <w:rPr>
      <w:rFonts w:ascii="楷体_GB2312" w:hAnsi="Times New Roman" w:eastAsia="楷体_GB2312" w:cs="Times New Roman"/>
      <w:sz w:val="28"/>
      <w:szCs w:val="28"/>
    </w:rPr>
  </w:style>
  <w:style w:type="paragraph" w:styleId="1124" w:customStyle="1">
    <w:name w:val="普通(网站)1"/>
    <w:basedOn w:val="868"/>
    <w:uiPriority w:val="99"/>
    <w:qFormat/>
    <w:pPr>
      <w:jc w:val="left"/>
      <w:spacing w:before="100" w:beforeAutospacing="1" w:after="100" w:afterAutospacing="1"/>
      <w:widowControl/>
    </w:pPr>
    <w:rPr>
      <w:rFonts w:ascii="宋体" w:hAnsi="宋体" w:cs="宋体"/>
      <w:sz w:val="24"/>
      <w:szCs w:val="24"/>
    </w:rPr>
  </w:style>
  <w:style w:type="paragraph" w:styleId="1125" w:customStyle="1">
    <w:name w:val="索引 11"/>
    <w:basedOn w:val="868"/>
    <w:next w:val="868"/>
    <w:semiHidden/>
    <w:qFormat/>
    <w:pPr>
      <w:spacing w:line="240" w:lineRule="atLeast"/>
    </w:pPr>
    <w:rPr>
      <w:b/>
      <w:bCs/>
    </w:rPr>
  </w:style>
  <w:style w:type="paragraph" w:styleId="1126" w:customStyle="1">
    <w:name w:val="批注主题1"/>
    <w:basedOn w:val="1086"/>
    <w:next w:val="1086"/>
    <w:link w:val="1127"/>
    <w:semiHidden/>
    <w:qFormat/>
    <w:rPr>
      <w:b/>
      <w:bCs/>
    </w:rPr>
  </w:style>
  <w:style w:type="character" w:styleId="1127" w:customStyle="1">
    <w:name w:val="批注主题 Char"/>
    <w:link w:val="1126"/>
    <w:semiHidden/>
    <w:qFormat/>
    <w:rPr>
      <w:rFonts w:ascii="Times New Roman" w:hAnsi="Times New Roman" w:eastAsia="宋体" w:cs="Times New Roman"/>
      <w:b/>
      <w:bCs/>
      <w:szCs w:val="21"/>
    </w:rPr>
  </w:style>
  <w:style w:type="paragraph" w:styleId="1128" w:customStyle="1">
    <w:name w:val="正文首行缩进1"/>
    <w:basedOn w:val="868"/>
    <w:link w:val="1129"/>
    <w:qFormat/>
    <w:pPr>
      <w:ind w:firstLine="200"/>
      <w:spacing w:line="360" w:lineRule="auto"/>
    </w:pPr>
    <w:rPr>
      <w:rFonts w:ascii="仿宋_GB2312" w:eastAsia="仿宋_GB2312"/>
      <w:sz w:val="30"/>
      <w:szCs w:val="30"/>
    </w:rPr>
  </w:style>
  <w:style w:type="character" w:styleId="1129" w:customStyle="1">
    <w:name w:val="正文首行缩进 Char"/>
    <w:link w:val="1128"/>
    <w:qFormat/>
    <w:rPr>
      <w:rFonts w:ascii="仿宋_GB2312" w:hAnsi="Times New Roman" w:eastAsia="仿宋_GB2312" w:cs="Times New Roman"/>
      <w:sz w:val="30"/>
      <w:szCs w:val="30"/>
    </w:rPr>
  </w:style>
  <w:style w:type="paragraph" w:styleId="1130" w:customStyle="1">
    <w:name w:val="正文首行缩进 21"/>
    <w:basedOn w:val="1092"/>
    <w:next w:val="868"/>
    <w:link w:val="1131"/>
    <w:qFormat/>
    <w:pPr>
      <w:ind w:firstLine="420"/>
      <w:spacing w:line="360" w:lineRule="auto"/>
    </w:pPr>
    <w:rPr>
      <w:rFonts w:ascii="宋体" w:hAnsi="宋体" w:eastAsia="宋体"/>
      <w:sz w:val="21"/>
      <w:szCs w:val="20"/>
    </w:rPr>
  </w:style>
  <w:style w:type="character" w:styleId="1131" w:customStyle="1">
    <w:name w:val="正文首行缩进 2 Char"/>
    <w:link w:val="1130"/>
    <w:qFormat/>
    <w:rPr>
      <w:rFonts w:ascii="宋体" w:hAnsi="宋体" w:eastAsia="宋体" w:cs="Times New Roman"/>
      <w:sz w:val="32"/>
      <w:szCs w:val="20"/>
    </w:rPr>
  </w:style>
  <w:style w:type="table" w:styleId="1132" w:customStyle="1">
    <w:name w:val="网格型1"/>
    <w:basedOn w:val="1071"/>
    <w:qFormat/>
    <w:pPr>
      <w:jc w:val="both"/>
      <w:widowControl w:val="off"/>
    </w:pPr>
    <w:tblPr>
      <w:tblCellMar>
        <w:left w:w="0" w:type="dxa"/>
        <w:top w:w="0" w:type="dxa"/>
        <w:right w:w="0" w:type="dxa"/>
        <w:bottom w:w="0" w:type="dxa"/>
      </w:tblCellMar>
    </w:tblPr>
  </w:style>
  <w:style w:type="character" w:styleId="1133" w:customStyle="1">
    <w:name w:val="要点1"/>
    <w:qFormat/>
    <w:rPr>
      <w:b/>
      <w:bCs/>
    </w:rPr>
  </w:style>
  <w:style w:type="character" w:styleId="1134" w:customStyle="1">
    <w:name w:val="页码1"/>
    <w:qFormat/>
  </w:style>
  <w:style w:type="character" w:styleId="1135" w:customStyle="1">
    <w:name w:val="已访问的超链接1"/>
    <w:qFormat/>
    <w:rPr>
      <w:color w:val="800080"/>
      <w:u w:val="single"/>
    </w:rPr>
  </w:style>
  <w:style w:type="character" w:styleId="1136" w:customStyle="1">
    <w:name w:val="超链接1"/>
    <w:qFormat/>
    <w:rPr>
      <w:color w:val="0000ff"/>
      <w:u w:val="single"/>
    </w:rPr>
  </w:style>
  <w:style w:type="character" w:styleId="1137" w:customStyle="1">
    <w:name w:val="批注引用1"/>
    <w:semiHidden/>
    <w:qFormat/>
    <w:rPr>
      <w:sz w:val="21"/>
      <w:szCs w:val="21"/>
    </w:rPr>
  </w:style>
  <w:style w:type="character" w:styleId="1138" w:customStyle="1">
    <w:name w:val="font5 Char"/>
    <w:qFormat/>
    <w:rPr>
      <w:rFonts w:ascii="宋体" w:hAnsi="宋体" w:eastAsia="宋体"/>
      <w:sz w:val="28"/>
      <w:szCs w:val="28"/>
      <w:lang w:val="en-US" w:eastAsia="zh-CN" w:bidi="ar-SA"/>
    </w:rPr>
  </w:style>
  <w:style w:type="character" w:styleId="1139" w:customStyle="1">
    <w:name w:val="二级目录 Char"/>
    <w:link w:val="1140"/>
    <w:qFormat/>
    <w:rPr>
      <w:rFonts w:ascii="Calibri" w:hAnsi="Calibri"/>
      <w:b/>
      <w:sz w:val="30"/>
      <w:szCs w:val="28"/>
    </w:rPr>
  </w:style>
  <w:style w:type="paragraph" w:styleId="1140" w:customStyle="1">
    <w:name w:val="二级目录"/>
    <w:next w:val="868"/>
    <w:link w:val="1139"/>
    <w:qFormat/>
    <w:pPr>
      <w:ind w:left="907" w:hanging="907"/>
      <w:tabs>
        <w:tab w:val="left" w:pos="907" w:leader="none"/>
        <w:tab w:val="left" w:pos="1145" w:leader="none"/>
      </w:tabs>
      <w:outlineLvl w:val="1"/>
    </w:pPr>
    <w:rPr>
      <w:rFonts w:ascii="Calibri" w:hAnsi="Calibri"/>
      <w:b/>
      <w:sz w:val="30"/>
      <w:szCs w:val="28"/>
    </w:rPr>
  </w:style>
  <w:style w:type="character" w:styleId="1141" w:customStyle="1">
    <w:name w:val="列出段落 Char"/>
    <w:link w:val="1142"/>
    <w:qFormat/>
    <w:rPr>
      <w:rFonts w:ascii="Calibri" w:hAnsi="Calibri"/>
      <w:sz w:val="24"/>
      <w:szCs w:val="24"/>
      <w:lang w:eastAsia="en-US" w:bidi="en-US"/>
    </w:rPr>
  </w:style>
  <w:style w:type="paragraph" w:styleId="1142" w:customStyle="1">
    <w:name w:val="列出段落1"/>
    <w:basedOn w:val="868"/>
    <w:link w:val="1141"/>
    <w:qFormat/>
    <w:pPr>
      <w:contextualSpacing/>
      <w:ind w:left="720"/>
      <w:jc w:val="left"/>
      <w:widowControl/>
    </w:pPr>
    <w:rPr>
      <w:rFonts w:ascii="Calibri" w:hAnsi="Calibri"/>
      <w:sz w:val="24"/>
      <w:szCs w:val="24"/>
      <w:lang w:eastAsia="en-US" w:bidi="en-US"/>
    </w:rPr>
  </w:style>
  <w:style w:type="paragraph" w:styleId="1143" w:customStyle="1">
    <w:name w:val="Body Text(ch)"/>
    <w:basedOn w:val="868"/>
    <w:next w:val="1090"/>
    <w:qFormat/>
    <w:pPr>
      <w:spacing w:after="120"/>
    </w:pPr>
    <w:rPr>
      <w:rFonts w:ascii="宋体" w:hAnsi="Arial"/>
      <w:bCs/>
      <w:iCs/>
      <w:szCs w:val="24"/>
    </w:rPr>
  </w:style>
  <w:style w:type="paragraph" w:styleId="1144" w:customStyle="1">
    <w:name w:val="xl27"/>
    <w:basedOn w:val="8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5" w:customStyle="1">
    <w:name w:val="xl26"/>
    <w:basedOn w:val="8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6" w:customStyle="1">
    <w:name w:val="Char"/>
    <w:basedOn w:val="868"/>
    <w:qFormat/>
    <w:pPr>
      <w:ind w:firstLine="200"/>
      <w:tabs>
        <w:tab w:val="left" w:pos="360" w:leader="none"/>
      </w:tabs>
    </w:pPr>
    <w:rPr>
      <w:sz w:val="28"/>
      <w:szCs w:val="30"/>
    </w:rPr>
  </w:style>
  <w:style w:type="paragraph" w:styleId="1147" w:customStyle="1">
    <w:name w:val="Char1"/>
    <w:basedOn w:val="1084"/>
    <w:qFormat/>
    <w:rPr>
      <w:rFonts w:ascii="Tahoma" w:hAnsi="Tahoma"/>
      <w:sz w:val="24"/>
      <w:szCs w:val="24"/>
    </w:rPr>
  </w:style>
  <w:style w:type="paragraph" w:styleId="1148" w:customStyle="1">
    <w:name w:val="普通正文"/>
    <w:basedOn w:val="868"/>
    <w:qFormat/>
    <w:pPr>
      <w:ind w:firstLine="480"/>
      <w:jc w:val="left"/>
      <w:spacing w:before="120" w:after="120" w:line="360" w:lineRule="auto"/>
    </w:pPr>
    <w:rPr>
      <w:rFonts w:ascii="Arial" w:hAnsi="Arial"/>
      <w:sz w:val="24"/>
      <w:szCs w:val="24"/>
    </w:rPr>
  </w:style>
  <w:style w:type="paragraph" w:styleId="1149" w:customStyle="1">
    <w:name w:val="table_lines"/>
    <w:basedOn w:val="868"/>
    <w:qFormat/>
    <w:pPr>
      <w:jc w:val="left"/>
      <w:widowControl/>
    </w:pPr>
    <w:rPr>
      <w:sz w:val="20"/>
      <w:szCs w:val="20"/>
      <w:lang w:val="de-DE" w:eastAsia="de-DE"/>
    </w:rPr>
  </w:style>
  <w:style w:type="paragraph" w:styleId="1150" w:customStyle="1">
    <w:name w:val="附录1"/>
    <w:qFormat/>
    <w:pPr>
      <w:numPr>
        <w:numId w:val="2"/>
      </w:numPr>
      <w:spacing w:before="240" w:line="600" w:lineRule="atLeast"/>
    </w:pPr>
    <w:rPr>
      <w:b/>
      <w:i/>
      <w:sz w:val="28"/>
    </w:rPr>
  </w:style>
  <w:style w:type="paragraph" w:styleId="1151" w:customStyle="1">
    <w:name w:val="font7"/>
    <w:basedOn w:val="868"/>
    <w:qFormat/>
    <w:pPr>
      <w:jc w:val="left"/>
      <w:spacing w:before="100" w:beforeAutospacing="1" w:after="100" w:afterAutospacing="1"/>
      <w:widowControl/>
    </w:pPr>
    <w:rPr>
      <w:rFonts w:hint="eastAsia" w:ascii="宋体" w:hAnsi="宋体"/>
      <w:sz w:val="18"/>
      <w:szCs w:val="18"/>
    </w:rPr>
  </w:style>
  <w:style w:type="paragraph" w:styleId="1152" w:customStyle="1">
    <w:name w:val="Char Char Char Char"/>
    <w:basedOn w:val="1084"/>
    <w:qFormat/>
    <w:pPr>
      <w:spacing w:line="360" w:lineRule="auto"/>
    </w:pPr>
    <w:rPr>
      <w:rFonts w:ascii="Tahoma" w:hAnsi="Tahoma"/>
      <w:sz w:val="24"/>
      <w:szCs w:val="24"/>
    </w:rPr>
  </w:style>
  <w:style w:type="paragraph" w:styleId="1153" w:customStyle="1">
    <w:name w:val="列出段落2"/>
    <w:basedOn w:val="868"/>
    <w:qFormat/>
    <w:pPr>
      <w:contextualSpacing/>
      <w:ind w:left="720"/>
      <w:jc w:val="left"/>
      <w:widowControl/>
    </w:pPr>
    <w:rPr>
      <w:rFonts w:ascii="Calibri" w:hAnsi="Calibri"/>
      <w:sz w:val="24"/>
      <w:szCs w:val="24"/>
      <w:lang w:eastAsia="en-US" w:bidi="en-US"/>
    </w:rPr>
  </w:style>
  <w:style w:type="paragraph" w:styleId="1154" w:customStyle="1">
    <w:name w:val="4"/>
    <w:basedOn w:val="868"/>
    <w:next w:val="1117"/>
    <w:qFormat/>
    <w:pPr>
      <w:ind w:firstLine="420"/>
      <w:spacing w:line="360" w:lineRule="auto"/>
    </w:pPr>
    <w:rPr>
      <w:color w:val="ff0000"/>
      <w:sz w:val="24"/>
      <w:szCs w:val="24"/>
    </w:rPr>
  </w:style>
  <w:style w:type="paragraph" w:styleId="1155" w:customStyle="1">
    <w:name w:val="普通 (Web)"/>
    <w:basedOn w:val="868"/>
    <w:qFormat/>
    <w:pPr>
      <w:jc w:val="left"/>
      <w:spacing w:before="100" w:beforeAutospacing="1" w:after="100" w:afterAutospacing="1"/>
      <w:widowControl/>
    </w:pPr>
    <w:rPr>
      <w:rFonts w:ascii="宋体" w:hAnsi="宋体"/>
      <w:sz w:val="24"/>
      <w:szCs w:val="24"/>
    </w:rPr>
  </w:style>
  <w:style w:type="paragraph" w:styleId="1156" w:customStyle="1">
    <w:name w:val="Char Char Char Char Char Char Char Char Char Char"/>
    <w:basedOn w:val="868"/>
    <w:qFormat/>
    <w:pPr>
      <w:spacing w:line="360" w:lineRule="auto"/>
    </w:pPr>
    <w:rPr>
      <w:sz w:val="24"/>
      <w:szCs w:val="20"/>
    </w:rPr>
  </w:style>
  <w:style w:type="paragraph" w:styleId="1157" w:customStyle="1">
    <w:name w:val="样式1"/>
    <w:basedOn w:val="868"/>
    <w:qFormat/>
    <w:pPr>
      <w:numPr>
        <w:numId w:val="3"/>
      </w:numPr>
    </w:pPr>
    <w:rPr>
      <w:rFonts w:ascii="宋体" w:hAnsi="宋体"/>
    </w:rPr>
  </w:style>
  <w:style w:type="paragraph" w:styleId="1158" w:customStyle="1">
    <w:name w:val="font6"/>
    <w:basedOn w:val="868"/>
    <w:qFormat/>
    <w:pPr>
      <w:jc w:val="left"/>
      <w:spacing w:before="100" w:beforeAutospacing="1" w:after="100" w:afterAutospacing="1"/>
      <w:widowControl/>
    </w:pPr>
    <w:rPr>
      <w:rFonts w:hint="eastAsia" w:ascii="宋体" w:hAnsi="宋体"/>
      <w:sz w:val="28"/>
      <w:szCs w:val="28"/>
      <w:u w:val="single"/>
    </w:rPr>
  </w:style>
  <w:style w:type="paragraph" w:styleId="1159" w:customStyle="1">
    <w:name w:val="xl25"/>
    <w:basedOn w:val="86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0" w:customStyle="1">
    <w:name w:val="图标"/>
    <w:basedOn w:val="868"/>
    <w:next w:val="86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1" w:customStyle="1">
    <w:name w:val="标题3"/>
    <w:basedOn w:val="868"/>
    <w:next w:val="868"/>
    <w:qFormat/>
    <w:pPr>
      <w:ind w:firstLine="624"/>
      <w:spacing w:line="590" w:lineRule="atLeast"/>
    </w:pPr>
    <w:rPr>
      <w:rFonts w:ascii="方正黑体_GBK" w:eastAsia="方正黑体_GBK"/>
      <w:sz w:val="32"/>
      <w:szCs w:val="32"/>
    </w:rPr>
  </w:style>
  <w:style w:type="paragraph" w:styleId="1162" w:customStyle="1">
    <w:name w:val="xl24"/>
    <w:basedOn w:val="8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3" w:customStyle="1">
    <w:name w:val="xl29"/>
    <w:basedOn w:val="86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4" w:customStyle="1">
    <w:name w:val="Char Char Char Char Char Char Char Char"/>
    <w:basedOn w:val="868"/>
    <w:qFormat/>
    <w:pPr>
      <w:jc w:val="left"/>
      <w:spacing w:after="160" w:line="240" w:lineRule="exact"/>
      <w:widowControl/>
    </w:pPr>
    <w:rPr>
      <w:rFonts w:ascii="Verdana" w:hAnsi="Verdana"/>
      <w:sz w:val="20"/>
      <w:szCs w:val="20"/>
      <w:lang w:eastAsia="en-US"/>
    </w:rPr>
  </w:style>
  <w:style w:type="paragraph" w:styleId="1165" w:customStyle="1">
    <w:name w:val="xl28"/>
    <w:basedOn w:val="86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6" w:customStyle="1">
    <w:name w:val="Char Char Char Char Char Char Char Char1"/>
    <w:basedOn w:val="868"/>
    <w:qFormat/>
    <w:pPr>
      <w:jc w:val="left"/>
      <w:spacing w:after="160" w:line="240" w:lineRule="exact"/>
      <w:widowControl/>
    </w:pPr>
    <w:rPr>
      <w:rFonts w:ascii="Verdana" w:hAnsi="Verdana"/>
      <w:sz w:val="20"/>
      <w:szCs w:val="20"/>
      <w:lang w:eastAsia="en-US"/>
    </w:rPr>
  </w:style>
  <w:style w:type="paragraph" w:styleId="1167" w:customStyle="1">
    <w:name w:val="xl30"/>
    <w:basedOn w:val="868"/>
    <w:qFormat/>
    <w:pPr>
      <w:jc w:val="center"/>
      <w:spacing w:before="100" w:beforeAutospacing="1" w:after="100" w:afterAutospacing="1"/>
      <w:widowControl/>
    </w:pPr>
    <w:rPr>
      <w:rFonts w:ascii="宋体" w:hAnsi="宋体"/>
      <w:b/>
      <w:bCs/>
      <w:sz w:val="36"/>
      <w:szCs w:val="36"/>
    </w:rPr>
  </w:style>
  <w:style w:type="paragraph" w:styleId="1168" w:customStyle="1">
    <w:name w:val="Char Char Char Char1"/>
    <w:basedOn w:val="1084"/>
    <w:qFormat/>
    <w:pPr>
      <w:spacing w:line="360" w:lineRule="auto"/>
    </w:pPr>
    <w:rPr>
      <w:rFonts w:ascii="Tahoma" w:hAnsi="Tahoma"/>
      <w:sz w:val="24"/>
      <w:szCs w:val="24"/>
    </w:rPr>
  </w:style>
  <w:style w:type="paragraph" w:styleId="1169" w:customStyle="1">
    <w:name w:val="table_1stline"/>
    <w:basedOn w:val="868"/>
    <w:qFormat/>
    <w:pPr>
      <w:jc w:val="left"/>
      <w:spacing w:before="120"/>
      <w:widowControl/>
    </w:pPr>
    <w:rPr>
      <w:bCs/>
      <w:sz w:val="20"/>
      <w:szCs w:val="20"/>
      <w:lang w:val="de-DE" w:eastAsia="de-DE"/>
    </w:rPr>
  </w:style>
  <w:style w:type="paragraph" w:styleId="1170" w:customStyle="1">
    <w:name w:val="font5"/>
    <w:basedOn w:val="868"/>
    <w:qFormat/>
    <w:pPr>
      <w:jc w:val="left"/>
      <w:spacing w:before="100" w:beforeAutospacing="1" w:after="100" w:afterAutospacing="1"/>
      <w:widowControl/>
    </w:pPr>
    <w:rPr>
      <w:rFonts w:hint="eastAsia" w:ascii="宋体" w:hAnsi="宋体"/>
      <w:sz w:val="28"/>
      <w:szCs w:val="28"/>
    </w:rPr>
  </w:style>
  <w:style w:type="paragraph" w:styleId="1171" w:customStyle="1">
    <w:name w:val="标题1"/>
    <w:basedOn w:val="868"/>
    <w:next w:val="86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2" w:customStyle="1">
    <w:name w:val="修订1"/>
    <w:uiPriority w:val="99"/>
    <w:semiHidden/>
    <w:qFormat/>
    <w:rPr>
      <w:sz w:val="21"/>
      <w:szCs w:val="21"/>
    </w:rPr>
  </w:style>
  <w:style w:type="character" w:styleId="1173" w:customStyle="1">
    <w:name w:val="font41"/>
    <w:qFormat/>
    <w:rPr>
      <w:rFonts w:ascii="Times New Roman" w:hAnsi="Times New Roman" w:cs="Times New Roman"/>
      <w:color w:val="000000"/>
      <w:sz w:val="20"/>
      <w:szCs w:val="20"/>
      <w:u w:val="none"/>
    </w:rPr>
  </w:style>
  <w:style w:type="character" w:styleId="1174" w:customStyle="1">
    <w:name w:val="font21"/>
    <w:qFormat/>
    <w:rPr>
      <w:rFonts w:hint="eastAsia" w:ascii="宋体" w:hAnsi="宋体" w:eastAsia="宋体" w:cs="宋体"/>
      <w:b/>
      <w:bCs/>
      <w:color w:val="000000"/>
      <w:sz w:val="20"/>
      <w:szCs w:val="20"/>
      <w:u w:val="none"/>
    </w:rPr>
  </w:style>
  <w:style w:type="character" w:styleId="1175" w:customStyle="1">
    <w:name w:val="font31"/>
    <w:qFormat/>
    <w:rPr>
      <w:rFonts w:ascii="Times New Roman" w:hAnsi="Times New Roman" w:cs="Times New Roman"/>
      <w:color w:val="000000"/>
      <w:sz w:val="20"/>
      <w:szCs w:val="20"/>
      <w:u w:val="none"/>
    </w:rPr>
  </w:style>
  <w:style w:type="paragraph" w:styleId="1176" w:customStyle="1">
    <w:name w:val="正文文本缩进11"/>
    <w:basedOn w:val="868"/>
    <w:next w:val="868"/>
    <w:qFormat/>
    <w:pPr>
      <w:ind w:firstLine="540"/>
      <w:spacing w:line="400" w:lineRule="exact"/>
    </w:pPr>
  </w:style>
  <w:style w:type="character" w:styleId="1177" w:customStyle="1">
    <w:name w:val="批注文字 Char1"/>
    <w:link w:val="883"/>
    <w:uiPriority w:val="99"/>
    <w:semiHidden/>
    <w:qFormat/>
    <w:rPr>
      <w:sz w:val="21"/>
      <w:szCs w:val="21"/>
    </w:rPr>
  </w:style>
  <w:style w:type="character" w:styleId="1178" w:customStyle="1">
    <w:name w:val="批注主题 Char1"/>
    <w:link w:val="904"/>
    <w:uiPriority w:val="99"/>
    <w:semiHidden/>
    <w:qFormat/>
    <w:rPr>
      <w:b/>
      <w:bCs/>
      <w:sz w:val="21"/>
      <w:szCs w:val="21"/>
    </w:rPr>
  </w:style>
  <w:style w:type="paragraph" w:styleId="1179" w:customStyle="1">
    <w:name w:val="Default"/>
    <w:next w:val="868"/>
    <w:uiPriority w:val="99"/>
    <w:qFormat/>
    <w:pPr>
      <w:widowControl w:val="off"/>
    </w:pPr>
    <w:rPr>
      <w:rFonts w:ascii="宋体" w:cs="宋体"/>
      <w:color w:val="000000"/>
      <w:sz w:val="24"/>
      <w:szCs w:val="24"/>
    </w:rPr>
  </w:style>
  <w:style w:type="character" w:styleId="1180" w:customStyle="1">
    <w:name w:val="批注框文本 Char1"/>
    <w:link w:val="891"/>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王艳</cp:lastModifiedBy>
  <cp:revision>201</cp:revision>
  <dcterms:created xsi:type="dcterms:W3CDTF">2023-03-16T02:16:00Z</dcterms:created>
  <dcterms:modified xsi:type="dcterms:W3CDTF">2026-10-19T01:39:53Z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eyJoZGlkIjoiMzEwNTM5NzYwMDRjMzkwZTVkZjY2ODkwMGIxNGU0OTUiLCJ1c2VySWQiOiI0MDgzNTc5NTMifQ==</vt:lpwstr>
  </property>
  <property fmtid="{D5CDD505-2E9C-101B-9397-08002B2CF9AE}" pid="3" name="KSOProductBuildVer">
    <vt:lpwstr>2052-12.1.0.28505</vt:lpwstr>
  </property>
  <property fmtid="{D5CDD505-2E9C-101B-9397-08002B2CF9AE}" pid="4" name="ICV">
    <vt:lpwstr>4EDE4917AC2543CFB805F7BA76581F44_13</vt:lpwstr>
  </property>
</Properties>
</file>