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5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57"/>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96"/>
          <w:szCs w:val="96"/>
          <w:highlight w:val="none"/>
          <w:shd w:val="clear" w:color="auto" w:fill="auto"/>
          <w:lang w:val="en-US" w:eastAsia="zh-CN" w:bidi="ar-SA"/>
          <w14:textFill>
            <w14:solidFill>
              <w14:schemeClr w14:val="tx1"/>
            </w14:solidFill>
          </w14:textFill>
        </w:rPr>
        <w:t xml:space="preserve">锡山区政府采购</w:t>
      </w:r>
      <w:r/>
    </w:p>
    <w:p>
      <w:pPr>
        <w:pStyle w:val="853"/>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54"/>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52"/>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52"/>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57"/>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4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4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4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4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4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84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1120"/>
        <w:jc w:val="both"/>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项目名称：湖贤佳苑（安置房七期）物业服务采购项目</w:t>
      </w:r>
      <w:r/>
    </w:p>
    <w:p>
      <w:pPr>
        <w:ind w:firstLine="1120"/>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w:t>
      </w:r>
      <w:bookmarkStart w:id="79" w:name="_GoBack"/>
      <w:r/>
      <w:bookmarkEnd w:id="79"/>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JSZC-320205-JZCG-G2026-0054</w:t>
      </w:r>
      <w:r/>
    </w:p>
    <w:p>
      <w:pPr>
        <w:ind w:firstLine="1120"/>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采购单位：无锡市锡山区东港镇人民政府</w:t>
      </w:r>
      <w:r/>
    </w:p>
    <w:p>
      <w:pPr>
        <w:ind w:firstLine="1120"/>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852"/>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852"/>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二○二</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十</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二十</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九</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847"/>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853"/>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859"/>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859"/>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59"/>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859"/>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59"/>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项目要求和有关说明........................................20</w:t>
      </w:r>
      <w:r/>
    </w:p>
    <w:p>
      <w:pPr>
        <w:pStyle w:val="859"/>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59"/>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合同书（格式）............................................60</w:t>
      </w:r>
      <w:r/>
    </w:p>
    <w:p>
      <w:pPr>
        <w:pStyle w:val="859"/>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59"/>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合同条款..................................................62</w:t>
      </w:r>
      <w:r/>
    </w:p>
    <w:p>
      <w:pPr>
        <w:pStyle w:val="859"/>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859"/>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附件......................................................78</w:t>
      </w:r>
      <w:r/>
    </w:p>
    <w:p>
      <w:pPr>
        <w:pStyle w:val="859"/>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860"/>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61"/>
        <w:rPr>
          <w:rStyle w:val="860"/>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860"/>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rPr>
          <w:rStyle w:val="860"/>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p>
    <w:p>
      <w:pPr>
        <w:pStyle w:val="861"/>
        <w:rPr>
          <w:rStyle w:val="860"/>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860"/>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rPr>
          <w:rStyle w:val="860"/>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p>
    <w:p>
      <w:pPr>
        <w:pStyle w:val="861"/>
        <w:rPr>
          <w:rStyle w:val="860"/>
          <w:rFonts w:hint="eastAsia" w:ascii="宋体" w:hAnsi="宋体" w:eastAsia="宋体" w:cs="宋体"/>
          <w:b/>
          <w:bCs/>
          <w:caps w:val="0"/>
          <w:smallCaps/>
          <w:sz w:val="24"/>
          <w:szCs w:val="24"/>
          <w:highlight w:val="none"/>
          <w:lang w:val="en-US" w:eastAsia="zh-CN" w:bidi="ar-SA"/>
          <w14:textFill>
            <w14:solidFill>
              <w14:schemeClr w14:val="tx1"/>
            </w14:solidFill>
          </w14:textFill>
        </w:rPr>
      </w:pPr>
      <w:r>
        <w:rPr>
          <w:rStyle w:val="860"/>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r>
        <w:rPr>
          <w:rStyle w:val="860"/>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r>
    </w:p>
    <w:p>
      <w:pPr>
        <w:pStyle w:val="861"/>
        <w:rPr>
          <w:rStyle w:val="860"/>
          <w:rFonts w:hint="eastAsia" w:ascii="宋体" w:hAnsi="宋体" w:eastAsia="宋体" w:cs="宋体"/>
          <w:b/>
          <w:bCs/>
          <w:caps w:val="0"/>
          <w:smallCaps/>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61"/>
        <w:rPr>
          <w:rStyle w:val="860"/>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61"/>
        <w:rPr>
          <w:rStyle w:val="860"/>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61"/>
        <w:rPr>
          <w:rStyle w:val="860"/>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861"/>
        <w:rPr>
          <w:rStyle w:val="860"/>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无锡市公共资源交易中心锡山分中心受无锡市锡山区东港镇人民政府的委托，对湖贤佳苑（安置房七期）物业服务采购项目进行公开招标采购，欢迎符合相关条件的供应商参加投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1.项目名称：湖贤佳苑（安置房七期）物业服务采购项目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2.项目编号：JSZC-320205-JZCG-G2026-0054</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项目预算：486.7465万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投标最高限价为486.7465万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6.采购人：无锡市锡山区东港镇人民政府</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本项目是否专门面向小微企业：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小型企业</w:t>
      </w:r>
      <w:bookmarkEnd w:id="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7"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8"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JSZC-320205-JZCG-G2026-0054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10"/>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无锡市锡山区东港镇人民政府</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联系人：王英飞</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宋体" w:hAnsi="宋体"/>
          <w:color w:val="000000" w:themeColor="text1"/>
          <w:sz w:val="24"/>
          <w:szCs w:val="24"/>
          <w:highlight w:val="none"/>
          <w:lang w:val="en-US" w:eastAsia="zh-CN"/>
          <w14:textFill>
            <w14:solidFill>
              <w14:schemeClr w14:val="tx1"/>
            </w14:solidFill>
          </w14:textFill>
        </w:rPr>
        <w:t xml:space="preserve">0510-88793652</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862"/>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Hlk529436263"/>
      <w:r/>
      <w:bookmarkStart w:id="19" w:name="_Hlk2351097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8"/>
      <w:bookmarkEnd w:id="19"/>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7"/>
      <w:r/>
      <w:bookmarkStart w:id="22"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863"/>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2"/>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电子投标文件未按招标文件要求签章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和签字</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根据《关于推动解决政府采购异常低价问题的通知》（财库〔2026〕2号）要求，政府采购评审中出现下列情形之一 的，评审委员会应当启动异常低价投标（响应）审查程序：</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 )报价＜全部通过符合性审查供应商投标（响应）报价平均值×50%；</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 )报价＜通过符合性审查的次低报价供应商投标（响应）报价×50%；</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（3）投标（响应）报价低于采购项目最高限价45%的，即投标（响应）报价＜采购项目最高限价×45% ;</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评审委员会启动异常</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p>
    <w:p>
      <w:pPr>
        <w:ind w:firstLine="480"/>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财政部门在投诉处理、监督检查中发现评审委员会未按规定对异常低价开展审查的，依法予以纠正并追究评审专家的法律责任。</w:t>
      </w:r>
      <w:r/>
    </w:p>
    <w:p>
      <w:pPr>
        <w:ind w:firstLine="480"/>
        <w:spacing w:line="360" w:lineRule="auto"/>
        <w:rPr>
          <w:rFonts w:hint="eastAsia"/>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86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836"/>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5"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0"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2"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5"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6"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pStyle w:val="864"/>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836"/>
        <w:tblpPr w:horzAnchor="page" w:tblpX="1584" w:vertAnchor="text" w:tblpY="1714"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1809"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bl>
    <w:p>
      <w:pPr>
        <w:pStyle w:val="864"/>
        <w:rPr>
          <w:rFonts w:hint="eastAsia" w:ascii="宋体" w:hAnsi="宋体" w:eastAsia="宋体" w:cs="宋体"/>
          <w:color w:val="000000" w:themeColor="text1"/>
          <w:highlight w:val="none"/>
          <w:shd w:val="clear" w:color="auto" w:fill="auto"/>
          <w14:textFill>
            <w14:solidFill>
              <w14:schemeClr w14:val="tx1"/>
            </w14:solidFill>
          </w14:textFill>
        </w:rPr>
      </w:pPr>
      <w:r/>
      <w:bookmarkStart w:id="63" w:name="_Toc116946315"/>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bookmarkEnd w:id="63"/>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7"/>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865"/>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861"/>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lang w:eastAsia="zh-CN"/>
          <w14:textFill>
            <w14:solidFill>
              <w14:schemeClr w14:val="tx1"/>
            </w14:solidFill>
          </w14:textFill>
        </w:rPr>
        <w:t xml:space="preserve">无锡市锡山区东港镇人民政府</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湖贤佳苑（安置房七期）物业服务采购项目</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eastAsia="宋体"/>
          <w:color w:val="000000" w:themeColor="text1"/>
          <w:sz w:val="20"/>
          <w:szCs w:val="21"/>
          <w:lang w:eastAsia="zh-CN"/>
          <w14:textFill>
            <w14:solidFill>
              <w14:schemeClr w14:val="tx1"/>
            </w14:solidFill>
          </w14:textFill>
        </w:rPr>
      </w:pP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物业管理服务政府采购需求标准</w:t>
      </w:r>
      <w:r>
        <w:rPr>
          <w:rFonts w:ascii="微软雅黑" w:hAnsi="微软雅黑" w:eastAsia="微软雅黑" w:cs="微软雅黑"/>
          <w:color w:val="000000" w:themeColor="text1"/>
          <w:spacing w:val="28"/>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8"/>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办公场所类</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25"/>
          <w:position w:val="-1"/>
          <w:sz w:val="21"/>
          <w:szCs w:val="21"/>
          <w14:textFill>
            <w14:solidFill>
              <w14:schemeClr w14:val="tx1"/>
            </w14:solidFill>
          </w14:textFill>
        </w:rPr>
        <w:t xml:space="preserve">  </w:t>
      </w:r>
      <w:r>
        <w:rPr>
          <w:rFonts w:hint="eastAsia" w:ascii="微软雅黑" w:hAnsi="微软雅黑" w:eastAsia="微软雅黑" w:cs="微软雅黑"/>
          <w:color w:val="000000" w:themeColor="text1"/>
          <w:spacing w:val="25"/>
          <w:position w:val="-1"/>
          <w:sz w:val="21"/>
          <w:szCs w:val="21"/>
          <w:lang w:eastAsia="zh-CN"/>
          <w14:textFill>
            <w14:solidFill>
              <w14:schemeClr w14:val="tx1"/>
            </w14:solidFill>
          </w14:textFill>
        </w:rPr>
        <w:t xml:space="preserve">（</w:t>
      </w:r>
      <w:r>
        <w:rPr>
          <w:rFonts w:ascii="微软雅黑" w:hAnsi="微软雅黑" w:eastAsia="微软雅黑" w:cs="微软雅黑"/>
          <w:color w:val="000000" w:themeColor="text1"/>
          <w:spacing w:val="-1"/>
          <w:position w:val="-1"/>
          <w:sz w:val="21"/>
          <w:szCs w:val="21"/>
          <w14:textFill>
            <w14:solidFill>
              <w14:schemeClr w14:val="tx1"/>
            </w14:solidFill>
          </w14:textFill>
        </w:rPr>
        <w:t xml:space="preserve">试行</w:t>
      </w:r>
      <w:r>
        <w:rPr>
          <w:rFonts w:hint="eastAsia" w:ascii="微软雅黑" w:hAnsi="微软雅黑" w:eastAsia="微软雅黑" w:cs="微软雅黑"/>
          <w:color w:val="000000" w:themeColor="text1"/>
          <w:spacing w:val="-1"/>
          <w:position w:val="-1"/>
          <w:sz w:val="21"/>
          <w:szCs w:val="21"/>
          <w:lang w:eastAsia="zh-CN"/>
          <w14:textFill>
            <w14:solidFill>
              <w14:schemeClr w14:val="tx1"/>
            </w14:solidFill>
          </w14:textFill>
        </w:rPr>
        <w:t xml:space="preserve">）</w:t>
      </w:r>
      <w:r/>
    </w:p>
    <w:p>
      <w:pPr>
        <w:jc w:val="center"/>
        <w:spacing w:before="133" w:line="188" w:lineRule="auto"/>
        <w:rPr>
          <w:rFonts w:ascii="微软雅黑" w:hAnsi="微软雅黑" w:eastAsia="微软雅黑" w:cs="微软雅黑"/>
          <w:color w:val="000000" w:themeColor="text1"/>
          <w:sz w:val="28"/>
          <w:szCs w:val="28"/>
          <w14:textFill>
            <w14:solidFill>
              <w14:schemeClr w14:val="tx1"/>
            </w14:solidFill>
          </w14:textFill>
        </w:rPr>
        <w:outlineLvl w:val="0"/>
      </w:pPr>
      <w:r>
        <w:rPr>
          <w:rFonts w:ascii="微软雅黑" w:hAnsi="微软雅黑" w:eastAsia="微软雅黑" w:cs="微软雅黑"/>
          <w:b/>
          <w:bCs/>
          <w:color w:val="000000" w:themeColor="text1"/>
          <w:spacing w:val="7"/>
          <w:sz w:val="28"/>
          <w:szCs w:val="28"/>
          <w14:textFill>
            <w14:solidFill>
              <w14:schemeClr w14:val="tx1"/>
            </w14:solidFill>
          </w14:textFill>
        </w:rPr>
        <w:t xml:space="preserve">使用说明</w:t>
      </w:r>
      <w:r/>
    </w:p>
    <w:p>
      <w:pPr>
        <w:pStyle w:val="840"/>
        <w:ind w:left="583"/>
        <w:spacing w:before="94"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840"/>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840"/>
        <w:ind w:left="9"/>
        <w:spacing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840"/>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840"/>
        <w:ind w:left="15"/>
        <w:spacing w:line="22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840"/>
        <w:ind w:left="9" w:right="77" w:firstLine="563"/>
        <w:spacing w:before="118"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 许可的单位提供的服务，如锅炉、压力容器、电梯等特种设备维修等， 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866"/>
        <w:tblW w:w="8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13"/>
        <w:gridCol w:w="3906"/>
      </w:tblGrid>
      <w:tr>
        <w:trPr>
          <w:trHeight w:val="467"/>
        </w:trPr>
        <w:tc>
          <w:tcPr>
            <w:tcW w:w="4613" w:type="dxa"/>
            <w:vAlign w:val="top"/>
            <w:textDirection w:val="lrTb"/>
            <w:noWrap w:val="false"/>
          </w:tcPr>
          <w:p>
            <w:pPr>
              <w:ind w:left="116"/>
              <w:jc w:val="center"/>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物业名称</w:t>
            </w:r>
            <w:r/>
          </w:p>
        </w:tc>
        <w:tc>
          <w:tcPr>
            <w:tcW w:w="3906" w:type="dxa"/>
            <w:vAlign w:val="top"/>
            <w:textDirection w:val="lrTb"/>
            <w:noWrap w:val="false"/>
          </w:tcPr>
          <w:p>
            <w:pPr>
              <w:ind w:left="111"/>
              <w:jc w:val="center"/>
              <w:spacing w:before="94" w:line="222"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物业地址</w:t>
            </w:r>
            <w:r/>
          </w:p>
        </w:tc>
      </w:tr>
      <w:tr>
        <w:trPr>
          <w:trHeight w:val="688"/>
        </w:trPr>
        <w:tc>
          <w:tcPr>
            <w:tcW w:w="4613" w:type="dxa"/>
            <w:vAlign w:val="center"/>
            <w:textDirection w:val="lrTb"/>
            <w:noWrap w:val="false"/>
          </w:tcPr>
          <w:p>
            <w:pPr>
              <w:ind w:left="114"/>
              <w:jc w:val="center"/>
              <w:spacing w:before="204" w:line="219"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湖贤佳苑（安置房七期）物业服务采购项目</w:t>
            </w:r>
            <w:r/>
          </w:p>
        </w:tc>
        <w:tc>
          <w:tcPr>
            <w:tcW w:w="3906" w:type="dxa"/>
            <w:vAlign w:val="center"/>
            <w:textDirection w:val="lrTb"/>
            <w:noWrap w:val="false"/>
          </w:tcPr>
          <w:p>
            <w:pPr>
              <w:ind w:left="114"/>
              <w:jc w:val="center"/>
              <w:spacing w:before="204" w:line="219" w:lineRule="auto"/>
              <w:rPr>
                <w:rFonts w:hint="default" w:ascii="宋体" w:hAnsi="宋体" w:eastAsia="宋体" w:cs="宋体"/>
                <w:color w:val="000000" w:themeColor="text1"/>
                <w:spacing w:val="-2"/>
                <w:sz w:val="24"/>
                <w:szCs w:val="24"/>
                <w:highlight w:val="none"/>
                <w:shd w:val="clear" w:color="auto" w:fill="auto"/>
                <w:lang w:val="en-US"/>
                <w14:textFill>
                  <w14:solidFill>
                    <w14:schemeClr w14:val="tx1"/>
                  </w14:solidFill>
                </w14:textFill>
              </w:rPr>
            </w:pPr>
            <w:r>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t xml:space="preserve">无锡市锡山区东港镇</w:t>
            </w:r>
            <w:r>
              <w:rPr>
                <w:rFonts w:hint="eastAsia" w:ascii="宋体" w:hAnsi="宋体" w:eastAsia="宋体" w:cs="宋体"/>
                <w:color w:val="000000" w:themeColor="text1"/>
                <w:spacing w:val="-2"/>
                <w:sz w:val="24"/>
                <w:szCs w:val="24"/>
                <w:highlight w:val="none"/>
                <w:shd w:val="clear" w:color="auto" w:fill="auto"/>
                <w:lang w:val="en-US" w:eastAsia="zh-CN"/>
                <w14:textFill>
                  <w14:solidFill>
                    <w14:schemeClr w14:val="tx1"/>
                  </w14:solidFill>
                </w14:textFill>
              </w:rPr>
              <w:t xml:space="preserve">湖贤佳苑</w:t>
            </w: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840"/>
        <w:ind w:firstLine="480"/>
        <w:keepLines w:val="0"/>
        <w:keepNext w:val="0"/>
        <w:pageBreakBefore w:val="0"/>
        <w:spacing w:before="91" w:line="360" w:lineRule="auto"/>
        <w:widowControl w:val="off"/>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（1）采购人可提供的办公室，需明确办公室数量、大小、办公室内可用设施设备清单等；</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（2）采购人可提供的物业管理服务设备， 需明确设备名称、用途、主要技术指标、数量等；</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（3）采购人可提供的食堂，餐费由供应商自理；</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（4）采购人可提供的住宿，需明确房间数量、房间内设施情况、床位数量等</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（5）采购人可提供的零星维修材料；</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（6）采购人可提供的低值易耗品；</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（7）采购人可提供的苗木；</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（8）采购人可提供的客耗品， 需明确客耗品名称及数量， 如厕纸、洗手液、擦手纸等。（可参照上一年同类型客耗品实际数据进行增删拟定本次需求）</w:t>
      </w:r>
      <w:r/>
    </w:p>
    <w:p>
      <w:pPr>
        <w:pStyle w:val="840"/>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sectPr>
          <w:headerReference w:type="default" r:id="rId9"/>
          <w:footerReference w:type="default" r:id="rId13"/>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供应商应当承担除以上所列场地、设施、设备、材料外，与物业管理服务有关的其他场地、设施、设备、材料等。</w:t>
      </w:r>
      <w:r/>
    </w:p>
    <w:p>
      <w:pPr>
        <w:ind w:left="541"/>
        <w:spacing w:before="90" w:line="186"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2.物业服务范围</w:t>
      </w:r>
      <w:r/>
    </w:p>
    <w:p>
      <w:pPr>
        <w:ind w:left="549"/>
        <w:spacing w:before="90" w:line="18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 xml:space="preserve">【物业名称1】</w:t>
      </w:r>
      <w:r/>
    </w:p>
    <w:p>
      <w:pPr>
        <w:ind w:left="508"/>
        <w:spacing w:before="60" w:line="18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 xml:space="preserve">（1）物业管理（建筑物）</w:t>
      </w:r>
      <w:r/>
    </w:p>
    <w:p>
      <w:pPr>
        <w:spacing w:line="31"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86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463"/>
        </w:trPr>
        <w:tc>
          <w:tcPr>
            <w:gridSpan w:val="2"/>
            <w:tcW w:w="3616" w:type="dxa"/>
            <w:vAlign w:val="top"/>
            <w:textDirection w:val="lrTb"/>
            <w:noWrap w:val="false"/>
          </w:tcPr>
          <w:p>
            <w:pPr>
              <w:ind w:left="1599"/>
              <w:spacing w:before="94" w:line="187"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名称</w:t>
            </w:r>
            <w:r/>
          </w:p>
        </w:tc>
        <w:tc>
          <w:tcPr>
            <w:tcW w:w="6762" w:type="dxa"/>
            <w:vAlign w:val="top"/>
            <w:textDirection w:val="lrTb"/>
            <w:noWrap w:val="false"/>
          </w:tcPr>
          <w:p>
            <w:pPr>
              <w:ind w:left="3180"/>
              <w:spacing w:before="94" w:line="185"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3"/>
                <w:sz w:val="21"/>
                <w:szCs w:val="21"/>
                <w:highlight w:val="none"/>
                <w14:textFill>
                  <w14:solidFill>
                    <w14:schemeClr w14:val="tx1"/>
                  </w14:solidFill>
                </w14:textFill>
              </w:rPr>
              <w:t xml:space="preserve">明细</w:t>
            </w:r>
            <w:r/>
          </w:p>
        </w:tc>
        <w:tc>
          <w:tcPr>
            <w:tcW w:w="4189" w:type="dxa"/>
            <w:vAlign w:val="top"/>
            <w:textDirection w:val="lrTb"/>
            <w:noWrap w:val="false"/>
          </w:tcPr>
          <w:p>
            <w:pPr>
              <w:ind w:left="1355"/>
              <w:spacing w:before="94" w:line="185"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服务内容及标准</w:t>
            </w:r>
            <w:r/>
          </w:p>
        </w:tc>
      </w:tr>
      <w:tr>
        <w:trPr>
          <w:trHeight w:val="458"/>
        </w:trPr>
        <w:tc>
          <w:tcPr>
            <w:gridSpan w:val="2"/>
            <w:tcW w:w="3616" w:type="dxa"/>
            <w:vAlign w:val="top"/>
            <w:textDirection w:val="lrTb"/>
            <w:noWrap w:val="false"/>
          </w:tcPr>
          <w:p>
            <w:pPr>
              <w:pStyle w:val="867"/>
              <w:ind w:left="118"/>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建筑</w:t>
            </w:r>
            <w:r>
              <w:rPr>
                <w:rFonts w:hint="eastAsia" w:asciiTheme="minorEastAsia" w:hAnsiTheme="minorEastAsia" w:eastAsiaTheme="minorEastAsia" w:cstheme="minorEastAsia"/>
                <w:color w:val="000000" w:themeColor="text1"/>
                <w:spacing w:val="-3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名称</w:t>
            </w:r>
            <w:r/>
          </w:p>
        </w:tc>
        <w:tc>
          <w:tcPr>
            <w:tcW w:w="6762" w:type="dxa"/>
            <w:vAlign w:val="center"/>
            <w:textDirection w:val="lrTb"/>
            <w:noWrap w:val="false"/>
          </w:tcPr>
          <w:p>
            <w:pPr>
              <w:ind w:left="107"/>
              <w:jc w:val="center"/>
              <w:spacing w:before="90" w:line="218" w:lineRule="auto"/>
              <w:shd w:val="clear" w:color="auto" w:fil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湖贤佳苑</w:t>
            </w:r>
            <w:r/>
          </w:p>
        </w:tc>
        <w:tc>
          <w:tcPr>
            <w:tcW w:w="4189" w:type="dxa"/>
            <w:vAlign w:val="top"/>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460"/>
        </w:trPr>
        <w:tc>
          <w:tcPr>
            <w:tcW w:w="1178" w:type="dxa"/>
            <w:vAlign w:val="top"/>
            <w:vMerge w:val="restart"/>
            <w:textDirection w:val="lrTb"/>
            <w:noWrap w:val="false"/>
          </w:tcPr>
          <w:p>
            <w:pPr>
              <w:spacing w:line="25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21"/>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总面积</w:t>
            </w:r>
            <w:r/>
          </w:p>
        </w:tc>
        <w:tc>
          <w:tcPr>
            <w:tcW w:w="2438" w:type="dxa"/>
            <w:vAlign w:val="top"/>
            <w:textDirection w:val="lrTb"/>
            <w:noWrap w:val="false"/>
          </w:tcPr>
          <w:p>
            <w:pPr>
              <w:pStyle w:val="867"/>
              <w:ind w:left="112"/>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建筑面积（㎡）</w:t>
            </w:r>
            <w:r/>
          </w:p>
        </w:tc>
        <w:tc>
          <w:tcPr>
            <w:tcW w:w="6762" w:type="dxa"/>
            <w:vAlign w:val="center"/>
            <w:textDirection w:val="lrTb"/>
            <w:noWrap w:val="false"/>
          </w:tcPr>
          <w:p>
            <w:pPr>
              <w:ind w:left="115"/>
              <w:jc w:val="center"/>
              <w:spacing w:before="90"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225616.1㎡</w:t>
            </w:r>
            <w:r/>
          </w:p>
        </w:tc>
        <w:tc>
          <w:tcPr>
            <w:tcW w:w="4189" w:type="dxa"/>
            <w:vAlign w:val="top"/>
            <w:textDirection w:val="lrTb"/>
            <w:noWrap w:val="false"/>
          </w:tcPr>
          <w:p>
            <w:pPr>
              <w:pStyle w:val="867"/>
              <w:ind w:left="115"/>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见“3.6 保安服务”</w:t>
            </w:r>
            <w:r/>
          </w:p>
        </w:tc>
      </w:tr>
      <w:tr>
        <w:trPr>
          <w:trHeight w:val="458"/>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2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需保洁面积（㎡）</w:t>
            </w:r>
            <w:r/>
          </w:p>
        </w:tc>
        <w:tc>
          <w:tcPr>
            <w:tcW w:w="6762" w:type="dxa"/>
            <w:vAlign w:val="center"/>
            <w:textDirection w:val="lrTb"/>
            <w:noWrap w:val="false"/>
          </w:tcPr>
          <w:p>
            <w:pPr>
              <w:ind w:left="115"/>
              <w:jc w:val="center"/>
              <w:spacing w:before="91"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126344㎡</w:t>
            </w:r>
            <w:r/>
          </w:p>
        </w:tc>
        <w:tc>
          <w:tcPr>
            <w:tcW w:w="4189" w:type="dxa"/>
            <w:vAlign w:val="top"/>
            <w:textDirection w:val="lrTb"/>
            <w:noWrap w:val="false"/>
          </w:tcPr>
          <w:p>
            <w:pPr>
              <w:pStyle w:val="867"/>
              <w:ind w:left="115"/>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见“3.4 保洁服务”</w:t>
            </w:r>
            <w:r/>
          </w:p>
        </w:tc>
      </w:tr>
      <w:tr>
        <w:trPr>
          <w:trHeight w:val="686"/>
        </w:trPr>
        <w:tc>
          <w:tcPr>
            <w:tcW w:w="1178" w:type="dxa"/>
            <w:vAlign w:val="top"/>
            <w:textDirection w:val="lrTb"/>
            <w:noWrap w:val="false"/>
          </w:tcPr>
          <w:p>
            <w:pPr>
              <w:pStyle w:val="867"/>
              <w:ind w:left="139"/>
              <w:spacing w:before="20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门窗</w:t>
            </w:r>
            <w:r/>
          </w:p>
        </w:tc>
        <w:tc>
          <w:tcPr>
            <w:tcW w:w="2438" w:type="dxa"/>
            <w:vAlign w:val="top"/>
            <w:textDirection w:val="lrTb"/>
            <w:noWrap w:val="false"/>
          </w:tcPr>
          <w:p>
            <w:pPr>
              <w:pStyle w:val="867"/>
              <w:ind w:left="109" w:right="104" w:firstLine="23"/>
              <w:spacing w:before="32" w:line="26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1"/>
                <w:highlight w:val="none"/>
                <w14:textFill>
                  <w14:solidFill>
                    <w14:schemeClr w14:val="tx1"/>
                  </w14:solidFill>
                </w14:textFill>
              </w:rPr>
              <w:t xml:space="preserve">门窗总数量（个）及总面</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积（㎡）</w:t>
            </w:r>
            <w:r/>
          </w:p>
        </w:tc>
        <w:tc>
          <w:tcPr>
            <w:tcW w:w="6762" w:type="dxa"/>
            <w:vAlign w:val="center"/>
            <w:textDirection w:val="lrTb"/>
            <w:noWrap w:val="false"/>
          </w:tcPr>
          <w:p>
            <w:pPr>
              <w:pStyle w:val="867"/>
              <w:ind w:left="112"/>
              <w:jc w:val="center"/>
              <w:spacing w:before="204" w:line="221" w:lineRule="auto"/>
              <w:shd w:val="clear" w:color="auto" w:fill="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玻璃窗户1086个，玻璃门229扇，约5500㎡</w:t>
            </w:r>
            <w:r/>
          </w:p>
        </w:tc>
        <w:tc>
          <w:tcPr>
            <w:tcW w:w="4189" w:type="dxa"/>
            <w:vAlign w:val="top"/>
            <w:textDirection w:val="lrTb"/>
            <w:noWrap w:val="false"/>
          </w:tcPr>
          <w:p>
            <w:pPr>
              <w:pStyle w:val="867"/>
              <w:ind w:left="115"/>
              <w:spacing w:before="20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见“3.2 房屋维护服务”“3.4 保洁服务”</w:t>
            </w:r>
            <w:r/>
          </w:p>
        </w:tc>
      </w:tr>
      <w:tr>
        <w:trPr>
          <w:trHeight w:val="686"/>
        </w:trPr>
        <w:tc>
          <w:tcPr>
            <w:tcW w:w="1178" w:type="dxa"/>
            <w:vAlign w:val="top"/>
            <w:textDirection w:val="lrTb"/>
            <w:noWrap w:val="false"/>
          </w:tcPr>
          <w:p>
            <w:pPr>
              <w:pStyle w:val="867"/>
              <w:ind w:left="116"/>
              <w:spacing w:before="204"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地面</w:t>
            </w:r>
            <w:r/>
          </w:p>
        </w:tc>
        <w:tc>
          <w:tcPr>
            <w:tcW w:w="2438" w:type="dxa"/>
            <w:vAlign w:val="top"/>
            <w:textDirection w:val="lrTb"/>
            <w:noWrap w:val="false"/>
          </w:tcPr>
          <w:p>
            <w:pPr>
              <w:pStyle w:val="867"/>
              <w:ind w:left="115" w:right="104" w:hanging="6"/>
              <w:spacing w:before="34" w:line="266"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地面</w:t>
            </w:r>
            <w:r>
              <w:rPr>
                <w:rFonts w:hint="eastAsia" w:asciiTheme="minorEastAsia" w:hAnsiTheme="minorEastAsia" w:eastAsiaTheme="minorEastAsia" w:cstheme="minorEastAsia"/>
                <w:color w:val="000000" w:themeColor="text1"/>
                <w:spacing w:val="-5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各</w:t>
            </w:r>
            <w:r>
              <w:rPr>
                <w:rFonts w:hint="eastAsia" w:asciiTheme="minorEastAsia" w:hAnsiTheme="minorEastAsia" w:eastAsiaTheme="minorEastAsia" w:cstheme="minorEastAsia"/>
                <w:color w:val="000000" w:themeColor="text1"/>
                <w:spacing w:val="-5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材质</w:t>
            </w:r>
            <w:r>
              <w:rPr>
                <w:rFonts w:hint="eastAsia" w:asciiTheme="minorEastAsia" w:hAnsiTheme="minorEastAsia" w:eastAsiaTheme="minorEastAsia" w:cstheme="minorEastAsia"/>
                <w:color w:val="000000" w:themeColor="text1"/>
                <w:spacing w:val="-5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及</w:t>
            </w:r>
            <w:r>
              <w:rPr>
                <w:rFonts w:hint="eastAsia" w:asciiTheme="minorEastAsia" w:hAnsiTheme="minorEastAsia" w:eastAsiaTheme="minorEastAsia" w:cstheme="minorEastAsia"/>
                <w:color w:val="000000" w:themeColor="text1"/>
                <w:spacing w:val="-5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总</w:t>
            </w:r>
            <w:r>
              <w:rPr>
                <w:rFonts w:hint="eastAsia" w:asciiTheme="minorEastAsia" w:hAnsiTheme="minorEastAsia" w:eastAsiaTheme="minorEastAsia" w:cstheme="minorEastAsia"/>
                <w:color w:val="000000" w:themeColor="text1"/>
                <w:spacing w:val="-5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面积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w:t>
            </w:r>
            <w:r/>
          </w:p>
        </w:tc>
        <w:tc>
          <w:tcPr>
            <w:tcW w:w="6762" w:type="dxa"/>
            <w:vAlign w:val="center"/>
            <w:textDirection w:val="lrTb"/>
            <w:noWrap w:val="false"/>
          </w:tcPr>
          <w:p>
            <w:pPr>
              <w:ind w:left="116" w:right="136" w:hanging="9"/>
              <w:jc w:val="center"/>
              <w:spacing w:before="33" w:line="262"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地面为瓷砖材质12050㎡、汽车库地面为环氧地坪材质59507㎡</w:t>
            </w:r>
            <w:r/>
          </w:p>
        </w:tc>
        <w:tc>
          <w:tcPr>
            <w:tcW w:w="4189" w:type="dxa"/>
            <w:vAlign w:val="top"/>
            <w:textDirection w:val="lrTb"/>
            <w:noWrap w:val="false"/>
          </w:tcPr>
          <w:p>
            <w:pPr>
              <w:pStyle w:val="867"/>
              <w:ind w:left="115"/>
              <w:spacing w:before="20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见“3.2 房屋维护服务”“3.4 保洁服务”</w:t>
            </w:r>
            <w:r/>
          </w:p>
        </w:tc>
      </w:tr>
      <w:tr>
        <w:trPr>
          <w:trHeight w:val="686"/>
        </w:trPr>
        <w:tc>
          <w:tcPr>
            <w:tcW w:w="1178" w:type="dxa"/>
            <w:vAlign w:val="top"/>
            <w:textDirection w:val="lrTb"/>
            <w:noWrap w:val="false"/>
          </w:tcPr>
          <w:p>
            <w:pPr>
              <w:pStyle w:val="867"/>
              <w:ind w:left="141"/>
              <w:spacing w:before="20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内墙饰面</w:t>
            </w:r>
            <w:r/>
          </w:p>
        </w:tc>
        <w:tc>
          <w:tcPr>
            <w:tcW w:w="2438" w:type="dxa"/>
            <w:vAlign w:val="top"/>
            <w:textDirection w:val="lrTb"/>
            <w:noWrap w:val="false"/>
          </w:tcPr>
          <w:p>
            <w:pPr>
              <w:pStyle w:val="867"/>
              <w:ind w:left="109" w:right="104" w:firstLine="25"/>
              <w:spacing w:before="35"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内墙饰面各材质及总面</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积（㎡）</w:t>
            </w:r>
            <w:r/>
          </w:p>
        </w:tc>
        <w:tc>
          <w:tcPr>
            <w:tcW w:w="6762" w:type="dxa"/>
            <w:vAlign w:val="center"/>
            <w:textDirection w:val="lrTb"/>
            <w:noWrap w:val="false"/>
          </w:tcPr>
          <w:p>
            <w:pPr>
              <w:ind w:left="128" w:right="105" w:hanging="21"/>
              <w:jc w:val="center"/>
              <w:spacing w:before="34" w:line="25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单元大堂及电梯前室为瓷砖墙面29230㎡、消防通道及地库为乳胶漆涂料约12.6万㎡</w:t>
            </w:r>
            <w:r/>
          </w:p>
        </w:tc>
        <w:tc>
          <w:tcPr>
            <w:tcW w:w="4189" w:type="dxa"/>
            <w:vAlign w:val="top"/>
            <w:textDirection w:val="lrTb"/>
            <w:noWrap w:val="false"/>
          </w:tcPr>
          <w:p>
            <w:pPr>
              <w:pStyle w:val="867"/>
              <w:ind w:left="115"/>
              <w:spacing w:before="20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见“3.2 房屋维护服务”“3.4 保洁服务”</w:t>
            </w:r>
            <w:r/>
          </w:p>
        </w:tc>
      </w:tr>
      <w:tr>
        <w:trPr>
          <w:trHeight w:val="684"/>
        </w:trPr>
        <w:tc>
          <w:tcPr>
            <w:tcW w:w="1178" w:type="dxa"/>
            <w:vAlign w:val="top"/>
            <w:textDirection w:val="lrTb"/>
            <w:noWrap w:val="false"/>
          </w:tcPr>
          <w:p>
            <w:pPr>
              <w:pStyle w:val="867"/>
              <w:ind w:left="116"/>
              <w:spacing w:before="20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顶面</w:t>
            </w:r>
            <w:r/>
          </w:p>
        </w:tc>
        <w:tc>
          <w:tcPr>
            <w:tcW w:w="2438" w:type="dxa"/>
            <w:vAlign w:val="top"/>
            <w:textDirection w:val="lrTb"/>
            <w:noWrap w:val="false"/>
          </w:tcPr>
          <w:p>
            <w:pPr>
              <w:pStyle w:val="867"/>
              <w:ind w:left="115" w:right="104" w:hanging="6"/>
              <w:spacing w:before="35" w:line="266"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highlight w:val="none"/>
                <w14:textFill>
                  <w14:solidFill>
                    <w14:schemeClr w14:val="tx1"/>
                  </w14:solidFill>
                </w14:textFill>
              </w:rPr>
              <w:t xml:space="preserve">顶面各</w:t>
            </w:r>
            <w:r>
              <w:rPr>
                <w:rFonts w:hint="eastAsia" w:asciiTheme="minorEastAsia" w:hAnsiTheme="minorEastAsia" w:eastAsiaTheme="minorEastAsia" w:cstheme="minorEastAsia"/>
                <w:color w:val="000000" w:themeColor="text1"/>
                <w:spacing w:val="-5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4"/>
                <w:highlight w:val="none"/>
                <w14:textFill>
                  <w14:solidFill>
                    <w14:schemeClr w14:val="tx1"/>
                  </w14:solidFill>
                </w14:textFill>
              </w:rPr>
              <w:t xml:space="preserve">材质</w:t>
            </w:r>
            <w:r>
              <w:rPr>
                <w:rFonts w:hint="eastAsia" w:asciiTheme="minorEastAsia" w:hAnsiTheme="minorEastAsia" w:eastAsiaTheme="minorEastAsia" w:cstheme="minorEastAsia"/>
                <w:color w:val="000000" w:themeColor="text1"/>
                <w:spacing w:val="-5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4"/>
                <w:highlight w:val="none"/>
                <w14:textFill>
                  <w14:solidFill>
                    <w14:schemeClr w14:val="tx1"/>
                  </w14:solidFill>
                </w14:textFill>
              </w:rPr>
              <w:t xml:space="preserve">及</w:t>
            </w:r>
            <w:r>
              <w:rPr>
                <w:rFonts w:hint="eastAsia" w:asciiTheme="minorEastAsia" w:hAnsiTheme="minorEastAsia" w:eastAsiaTheme="minorEastAsia" w:cstheme="minorEastAsia"/>
                <w:color w:val="000000" w:themeColor="text1"/>
                <w:spacing w:val="-5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4"/>
                <w:highlight w:val="none"/>
                <w14:textFill>
                  <w14:solidFill>
                    <w14:schemeClr w14:val="tx1"/>
                  </w14:solidFill>
                </w14:textFill>
              </w:rPr>
              <w:t xml:space="preserve">总</w:t>
            </w:r>
            <w:r>
              <w:rPr>
                <w:rFonts w:hint="eastAsia" w:asciiTheme="minorEastAsia" w:hAnsiTheme="minorEastAsia" w:eastAsiaTheme="minorEastAsia" w:cstheme="minorEastAsia"/>
                <w:color w:val="000000" w:themeColor="text1"/>
                <w:spacing w:val="-5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4"/>
                <w:highlight w:val="none"/>
                <w14:textFill>
                  <w14:solidFill>
                    <w14:schemeClr w14:val="tx1"/>
                  </w14:solidFill>
                </w14:textFill>
              </w:rPr>
              <w:t xml:space="preserve">面积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w:t>
            </w:r>
            <w:r/>
          </w:p>
        </w:tc>
        <w:tc>
          <w:tcPr>
            <w:tcW w:w="6762" w:type="dxa"/>
            <w:vAlign w:val="center"/>
            <w:textDirection w:val="lrTb"/>
            <w:noWrap w:val="false"/>
          </w:tcPr>
          <w:p>
            <w:pPr>
              <w:ind w:left="111" w:right="28" w:hanging="4"/>
              <w:jc w:val="center"/>
              <w:spacing w:before="35" w:line="256"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石膏板吊顶约9190㎡</w:t>
            </w:r>
            <w:r/>
          </w:p>
        </w:tc>
        <w:tc>
          <w:tcPr>
            <w:tcW w:w="4189" w:type="dxa"/>
            <w:vAlign w:val="top"/>
            <w:textDirection w:val="lrTb"/>
            <w:noWrap w:val="false"/>
          </w:tcPr>
          <w:p>
            <w:pPr>
              <w:pStyle w:val="867"/>
              <w:ind w:left="115"/>
              <w:spacing w:before="20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见“3.2 房屋维护服务”“3.4 保洁服务”</w:t>
            </w:r>
            <w:r/>
          </w:p>
        </w:tc>
      </w:tr>
      <w:tr>
        <w:trPr>
          <w:trHeight w:val="1026"/>
        </w:trPr>
        <w:tc>
          <w:tcPr>
            <w:tcW w:w="1178" w:type="dxa"/>
            <w:vAlign w:val="top"/>
            <w:vMerge w:val="restart"/>
            <w:textDirection w:val="lrTb"/>
            <w:noWrap w:val="false"/>
          </w:tcPr>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20"/>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外墙</w:t>
            </w:r>
            <w:r/>
          </w:p>
        </w:tc>
        <w:tc>
          <w:tcPr>
            <w:tcW w:w="2438" w:type="dxa"/>
            <w:vAlign w:val="top"/>
            <w:textDirection w:val="lrTb"/>
            <w:noWrap w:val="false"/>
          </w:tcPr>
          <w:p>
            <w:pPr>
              <w:pStyle w:val="867"/>
              <w:ind w:left="115" w:right="104" w:hanging="2"/>
              <w:spacing w:before="208" w:line="265"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外墙</w:t>
            </w:r>
            <w:r>
              <w:rPr>
                <w:rFonts w:hint="eastAsia" w:asciiTheme="minorEastAsia" w:hAnsiTheme="minorEastAsia" w:eastAsiaTheme="minorEastAsia" w:cstheme="minorEastAsia"/>
                <w:color w:val="000000" w:themeColor="text1"/>
                <w:spacing w:val="-4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各</w:t>
            </w:r>
            <w:r>
              <w:rPr>
                <w:rFonts w:hint="eastAsia" w:asciiTheme="minorEastAsia" w:hAnsiTheme="minorEastAsia" w:eastAsiaTheme="minorEastAsia" w:cstheme="minorEastAsia"/>
                <w:color w:val="000000" w:themeColor="text1"/>
                <w:spacing w:val="-5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材质</w:t>
            </w:r>
            <w:r>
              <w:rPr>
                <w:rFonts w:hint="eastAsia" w:asciiTheme="minorEastAsia" w:hAnsiTheme="minorEastAsia" w:eastAsiaTheme="minorEastAsia" w:cstheme="minorEastAsia"/>
                <w:color w:val="000000" w:themeColor="text1"/>
                <w:spacing w:val="-5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及</w:t>
            </w:r>
            <w:r>
              <w:rPr>
                <w:rFonts w:hint="eastAsia" w:asciiTheme="minorEastAsia" w:hAnsiTheme="minorEastAsia" w:eastAsiaTheme="minorEastAsia" w:cstheme="minorEastAsia"/>
                <w:color w:val="000000" w:themeColor="text1"/>
                <w:spacing w:val="-5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总</w:t>
            </w:r>
            <w:r>
              <w:rPr>
                <w:rFonts w:hint="eastAsia" w:asciiTheme="minorEastAsia" w:hAnsiTheme="minorEastAsia" w:eastAsiaTheme="minorEastAsia" w:cstheme="minorEastAsia"/>
                <w:color w:val="000000" w:themeColor="text1"/>
                <w:spacing w:val="-5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面积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w:t>
            </w:r>
            <w:r/>
          </w:p>
        </w:tc>
        <w:tc>
          <w:tcPr>
            <w:tcW w:w="6762" w:type="dxa"/>
            <w:vAlign w:val="center"/>
            <w:textDirection w:val="lrTb"/>
            <w:noWrap w:val="false"/>
          </w:tcPr>
          <w:p>
            <w:pPr>
              <w:ind w:left="114" w:right="104" w:hanging="7"/>
              <w:jc w:val="center"/>
              <w:spacing w:before="38" w:line="272"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楼栋外墙材质为保温一体板，面积约17.7万㎡</w:t>
            </w:r>
            <w:r/>
          </w:p>
        </w:tc>
        <w:tc>
          <w:tcPr>
            <w:tcW w:w="4189" w:type="dxa"/>
            <w:vAlign w:val="top"/>
            <w:textDirection w:val="lrTb"/>
            <w:noWrap w:val="false"/>
          </w:tcPr>
          <w:p>
            <w:pPr>
              <w:spacing w:line="30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5"/>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见“3.2 房屋维护服务”“3.4 保洁服务”</w:t>
            </w:r>
            <w:r/>
          </w:p>
        </w:tc>
      </w:tr>
      <w:tr>
        <w:trPr>
          <w:trHeight w:val="460"/>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13"/>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外墙需清洗面积（㎡）</w:t>
            </w:r>
            <w:r/>
          </w:p>
        </w:tc>
        <w:tc>
          <w:tcPr>
            <w:tcW w:w="6762" w:type="dxa"/>
            <w:vAlign w:val="center"/>
            <w:textDirection w:val="lrTb"/>
            <w:noWrap w:val="false"/>
          </w:tcPr>
          <w:p>
            <w:pPr>
              <w:ind w:left="115"/>
              <w:jc w:val="center"/>
              <w:spacing w:before="93" w:line="216"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p>
        </w:tc>
        <w:tc>
          <w:tcPr>
            <w:tcW w:w="4189" w:type="dxa"/>
            <w:vAlign w:val="top"/>
            <w:textDirection w:val="lrTb"/>
            <w:noWrap w:val="false"/>
          </w:tcPr>
          <w:p>
            <w:pPr>
              <w:pStyle w:val="867"/>
              <w:ind w:left="115"/>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见“3.4 保洁服务”</w:t>
            </w:r>
            <w:r/>
          </w:p>
        </w:tc>
      </w:tr>
      <w:tr>
        <w:trPr>
          <w:trHeight w:val="686"/>
        </w:trPr>
        <w:tc>
          <w:tcPr>
            <w:tcW w:w="1178" w:type="dxa"/>
            <w:vAlign w:val="top"/>
            <w:textDirection w:val="lrTb"/>
            <w:noWrap w:val="false"/>
          </w:tcPr>
          <w:p>
            <w:pPr>
              <w:pStyle w:val="867"/>
              <w:ind w:left="117"/>
              <w:spacing w:before="204" w:line="22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卫生间</w:t>
            </w:r>
            <w:r/>
          </w:p>
        </w:tc>
        <w:tc>
          <w:tcPr>
            <w:tcW w:w="2438" w:type="dxa"/>
            <w:vAlign w:val="top"/>
            <w:textDirection w:val="lrTb"/>
            <w:noWrap w:val="false"/>
          </w:tcPr>
          <w:p>
            <w:pPr>
              <w:pStyle w:val="867"/>
              <w:ind w:left="109" w:right="104" w:firstLine="1"/>
              <w:spacing w:before="32" w:line="26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卫生间数量（个）及总面</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积（㎡）</w:t>
            </w:r>
            <w:r/>
          </w:p>
        </w:tc>
        <w:tc>
          <w:tcPr>
            <w:tcW w:w="6762" w:type="dxa"/>
            <w:vAlign w:val="center"/>
            <w:textDirection w:val="lrTb"/>
            <w:noWrap w:val="false"/>
          </w:tcPr>
          <w:p>
            <w:pPr>
              <w:ind w:left="112"/>
              <w:jc w:val="center"/>
              <w:spacing w:before="204" w:line="221"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p>
        </w:tc>
        <w:tc>
          <w:tcPr>
            <w:tcW w:w="4189" w:type="dxa"/>
            <w:vAlign w:val="top"/>
            <w:textDirection w:val="lrTb"/>
            <w:noWrap w:val="false"/>
          </w:tcPr>
          <w:p>
            <w:pPr>
              <w:pStyle w:val="867"/>
              <w:ind w:left="115"/>
              <w:spacing w:before="20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见“3.4 保洁服务”</w:t>
            </w:r>
            <w:r/>
          </w:p>
        </w:tc>
      </w:tr>
      <w:tr>
        <w:trPr>
          <w:trHeight w:val="458"/>
        </w:trPr>
        <w:tc>
          <w:tcPr>
            <w:tcW w:w="1178" w:type="dxa"/>
            <w:vAlign w:val="top"/>
            <w:vMerge w:val="restart"/>
            <w:textDirection w:val="lrTb"/>
            <w:noWrap w:val="false"/>
          </w:tcPr>
          <w:p>
            <w:pPr>
              <w:spacing w:line="25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7"/>
              <w:spacing w:before="6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车位数</w:t>
            </w:r>
            <w:r/>
          </w:p>
        </w:tc>
        <w:tc>
          <w:tcPr>
            <w:tcW w:w="2438" w:type="dxa"/>
            <w:vAlign w:val="top"/>
            <w:textDirection w:val="lrTb"/>
            <w:noWrap w:val="false"/>
          </w:tcPr>
          <w:p>
            <w:pPr>
              <w:pStyle w:val="867"/>
              <w:ind w:left="109"/>
              <w:spacing w:before="8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地下车位数</w:t>
            </w:r>
            <w:r/>
          </w:p>
        </w:tc>
        <w:tc>
          <w:tcPr>
            <w:tcW w:w="6762" w:type="dxa"/>
            <w:vAlign w:val="center"/>
            <w:textDirection w:val="lrTb"/>
            <w:noWrap w:val="false"/>
          </w:tcPr>
          <w:p>
            <w:pPr>
              <w:ind w:left="115"/>
              <w:jc w:val="center"/>
              <w:spacing w:before="89"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1513个</w:t>
            </w:r>
            <w:r/>
          </w:p>
        </w:tc>
        <w:tc>
          <w:tcPr>
            <w:tcW w:w="4189" w:type="dxa"/>
            <w:vAlign w:val="top"/>
            <w:textDirection w:val="lrTb"/>
            <w:noWrap w:val="false"/>
          </w:tcPr>
          <w:p>
            <w:pPr>
              <w:pStyle w:val="867"/>
              <w:ind w:left="115"/>
              <w:spacing w:before="8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见“3.6 保安服务”</w:t>
            </w:r>
            <w:r/>
          </w:p>
        </w:tc>
      </w:tr>
      <w:tr>
        <w:trPr>
          <w:trHeight w:val="90"/>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09"/>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地面车位数</w:t>
            </w:r>
            <w:r/>
          </w:p>
        </w:tc>
        <w:tc>
          <w:tcPr>
            <w:tcW w:w="6762" w:type="dxa"/>
            <w:vAlign w:val="center"/>
            <w:textDirection w:val="lrTb"/>
            <w:noWrap w:val="false"/>
          </w:tcPr>
          <w:p>
            <w:pPr>
              <w:ind w:left="115"/>
              <w:jc w:val="center"/>
              <w:spacing w:before="92"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71个</w:t>
            </w:r>
            <w:r/>
          </w:p>
        </w:tc>
        <w:tc>
          <w:tcPr>
            <w:tcW w:w="4189" w:type="dxa"/>
            <w:vAlign w:val="top"/>
            <w:textDirection w:val="lrTb"/>
            <w:noWrap w:val="false"/>
          </w:tcPr>
          <w:p>
            <w:pPr>
              <w:pStyle w:val="867"/>
              <w:ind w:left="115"/>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见“3.6 保安服务”</w:t>
            </w:r>
            <w:r/>
          </w:p>
        </w:tc>
      </w:tr>
      <w:tr>
        <w:trPr>
          <w:trHeight w:val="540"/>
        </w:trPr>
        <w:tc>
          <w:tcPr>
            <w:tcW w:w="1178" w:type="dxa"/>
            <w:vAlign w:val="top"/>
            <w:vMerge w:val="restart"/>
            <w:textDirection w:val="lrTb"/>
            <w:noWrap w:val="false"/>
          </w:tcPr>
          <w:p>
            <w:pPr>
              <w:pStyle w:val="867"/>
              <w:ind w:left="147" w:right="104" w:hanging="30"/>
              <w:spacing w:before="154" w:line="26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车行/人行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口</w:t>
            </w:r>
            <w:r/>
          </w:p>
        </w:tc>
        <w:tc>
          <w:tcPr>
            <w:tcW w:w="2438" w:type="dxa"/>
            <w:vAlign w:val="top"/>
            <w:textDirection w:val="lrTb"/>
            <w:noWrap w:val="false"/>
          </w:tcPr>
          <w:p>
            <w:pPr>
              <w:pStyle w:val="867"/>
              <w:ind w:left="11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车行口</w:t>
            </w:r>
            <w:r/>
          </w:p>
        </w:tc>
        <w:tc>
          <w:tcPr>
            <w:tcW w:w="6762" w:type="dxa"/>
            <w:vAlign w:val="center"/>
            <w:textDirection w:val="lrTb"/>
            <w:noWrap w:val="false"/>
          </w:tcPr>
          <w:p>
            <w:pPr>
              <w:ind w:left="115"/>
              <w:jc w:val="center"/>
              <w:spacing w:before="92"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8个通道</w:t>
            </w:r>
            <w:r/>
          </w:p>
        </w:tc>
        <w:tc>
          <w:tcPr>
            <w:tcW w:w="4189" w:type="dxa"/>
            <w:vAlign w:val="top"/>
            <w:textDirection w:val="lrTb"/>
            <w:noWrap w:val="false"/>
          </w:tcPr>
          <w:p>
            <w:pPr>
              <w:pStyle w:val="867"/>
              <w:ind w:left="115"/>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见“3.6 保安服务”</w:t>
            </w:r>
            <w:r/>
          </w:p>
        </w:tc>
      </w:tr>
      <w:tr>
        <w:trPr>
          <w:trHeight w:val="458"/>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1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人行口</w:t>
            </w:r>
            <w:r/>
          </w:p>
        </w:tc>
        <w:tc>
          <w:tcPr>
            <w:tcW w:w="6762" w:type="dxa"/>
            <w:vAlign w:val="center"/>
            <w:textDirection w:val="lrTb"/>
            <w:noWrap w:val="false"/>
          </w:tcPr>
          <w:p>
            <w:pPr>
              <w:ind w:left="115"/>
              <w:jc w:val="center"/>
              <w:spacing w:before="89"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11个通道</w:t>
            </w:r>
            <w:r/>
          </w:p>
        </w:tc>
        <w:tc>
          <w:tcPr>
            <w:tcW w:w="4189" w:type="dxa"/>
            <w:vAlign w:val="top"/>
            <w:textDirection w:val="lrTb"/>
            <w:noWrap w:val="false"/>
          </w:tcPr>
          <w:p>
            <w:pPr>
              <w:pStyle w:val="867"/>
              <w:ind w:left="115"/>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见“3.6 保安服务”</w:t>
            </w:r>
            <w:r/>
          </w:p>
        </w:tc>
      </w:tr>
      <w:tr>
        <w:trPr>
          <w:trHeight w:val="1365"/>
        </w:trPr>
        <w:tc>
          <w:tcPr>
            <w:tcW w:w="1178" w:type="dxa"/>
            <w:vAlign w:val="top"/>
            <w:vMerge w:val="restart"/>
            <w:textDirection w:val="lrTb"/>
            <w:noWrap w:val="false"/>
          </w:tcPr>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21" w:right="105" w:hanging="2"/>
              <w:jc w:val="both"/>
              <w:spacing w:before="68" w:line="27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7"/>
                <w:highlight w:val="none"/>
                <w14:textFill>
                  <w14:solidFill>
                    <w14:schemeClr w14:val="tx1"/>
                  </w14:solidFill>
                </w14:textFill>
              </w:rPr>
              <w:t xml:space="preserve">设施设备</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（可另行</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附表）</w:t>
            </w:r>
            <w:r/>
          </w:p>
        </w:tc>
        <w:tc>
          <w:tcPr>
            <w:tcW w:w="2438" w:type="dxa"/>
            <w:vAlign w:val="top"/>
            <w:textDirection w:val="lrTb"/>
            <w:noWrap w:val="false"/>
          </w:tcPr>
          <w:p>
            <w:pPr>
              <w:spacing w:line="47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34"/>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电梯系统</w:t>
            </w:r>
            <w:r/>
          </w:p>
        </w:tc>
        <w:tc>
          <w:tcPr>
            <w:tcW w:w="6762" w:type="dxa"/>
            <w:vAlign w:val="center"/>
            <w:textDirection w:val="lrTb"/>
            <w:noWrap w:val="false"/>
          </w:tcPr>
          <w:p>
            <w:pPr>
              <w:ind w:left="115"/>
              <w:jc w:val="center"/>
              <w:spacing w:before="93"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ind w:left="115"/>
              <w:jc w:val="center"/>
              <w:spacing w:before="93"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78台电梯， 68间电梯机房</w:t>
            </w:r>
            <w:r/>
          </w:p>
        </w:tc>
        <w:tc>
          <w:tcPr>
            <w:tcW w:w="4189" w:type="dxa"/>
            <w:vAlign w:val="top"/>
            <w:textDirection w:val="lrTb"/>
            <w:noWrap w:val="false"/>
          </w:tcPr>
          <w:p>
            <w:pPr>
              <w:spacing w:line="30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2" w:right="107" w:firstLine="3"/>
              <w:spacing w:before="68"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见“3.6</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保安服务”“3.3</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维护服务</w:t>
            </w:r>
            <w:r>
              <w:rPr>
                <w:rFonts w:hint="eastAsia" w:asciiTheme="minorEastAsia" w:hAnsiTheme="minorEastAsia" w:eastAsiaTheme="minorEastAsia" w:cstheme="minorEastAsia"/>
                <w:color w:val="000000" w:themeColor="text1"/>
                <w:spacing w:val="33"/>
                <w:highlight w:val="none"/>
                <w14:textFill>
                  <w14:solidFill>
                    <w14:schemeClr w14:val="tx1"/>
                  </w14:solidFill>
                </w14:textFill>
              </w:rPr>
              <w:t xml:space="preserve">”</w:t>
            </w:r>
            <w:r/>
          </w:p>
        </w:tc>
      </w:tr>
      <w:tr>
        <w:trPr>
          <w:trHeight w:val="1708"/>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spacing w:line="32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2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6"/>
              <w:spacing w:before="68"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空调系统</w:t>
            </w:r>
            <w:r/>
          </w:p>
        </w:tc>
        <w:tc>
          <w:tcPr>
            <w:tcW w:w="6762" w:type="dxa"/>
            <w:vAlign w:val="center"/>
            <w:textDirection w:val="lrTb"/>
            <w:noWrap w:val="false"/>
          </w:tcPr>
          <w:p>
            <w:pPr>
              <w:ind w:left="115"/>
              <w:jc w:val="center"/>
              <w:spacing w:before="93"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ind w:left="115"/>
              <w:jc w:val="center"/>
              <w:spacing w:before="93"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电梯机房空调68台，消控室2台</w:t>
            </w:r>
            <w:r/>
          </w:p>
        </w:tc>
        <w:tc>
          <w:tcPr>
            <w:tcW w:w="4189" w:type="dxa"/>
            <w:vAlign w:val="top"/>
            <w:textDirection w:val="lrTb"/>
            <w:noWrap w:val="false"/>
          </w:tcPr>
          <w:p>
            <w:pPr>
              <w:spacing w:line="47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2" w:right="107" w:firstLine="3"/>
              <w:spacing w:before="69"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见“3.6</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保安服务”“3.3</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维护服务</w:t>
            </w:r>
            <w:r>
              <w:rPr>
                <w:rFonts w:hint="eastAsia" w:asciiTheme="minorEastAsia" w:hAnsiTheme="minorEastAsia" w:eastAsiaTheme="minorEastAsia" w:cstheme="minorEastAsia"/>
                <w:color w:val="000000" w:themeColor="text1"/>
                <w:spacing w:val="33"/>
                <w:highlight w:val="none"/>
                <w14:textFill>
                  <w14:solidFill>
                    <w14:schemeClr w14:val="tx1"/>
                  </w14:solidFill>
                </w14:textFill>
              </w:rPr>
              <w:t xml:space="preserve">”</w:t>
            </w:r>
            <w:r/>
          </w:p>
        </w:tc>
      </w:tr>
      <w:tr>
        <w:trPr>
          <w:trHeight w:val="1031"/>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spacing w:line="30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8"/>
              <w:spacing w:before="6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采暖系统</w:t>
            </w:r>
            <w:r/>
          </w:p>
        </w:tc>
        <w:tc>
          <w:tcPr>
            <w:tcW w:w="6762" w:type="dxa"/>
            <w:vAlign w:val="top"/>
            <w:textDirection w:val="lrTb"/>
            <w:noWrap w:val="false"/>
          </w:tcPr>
          <w:p>
            <w:pPr>
              <w:ind w:left="115"/>
              <w:jc w:val="center"/>
              <w:spacing w:before="94" w:line="218"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ind w:left="115"/>
              <w:jc w:val="center"/>
              <w:spacing w:before="94" w:line="218"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无</w:t>
            </w:r>
            <w:r/>
          </w:p>
        </w:tc>
        <w:tc>
          <w:tcPr>
            <w:tcW w:w="4189" w:type="dxa"/>
            <w:vAlign w:val="top"/>
            <w:textDirection w:val="lrTb"/>
            <w:noWrap w:val="false"/>
          </w:tcPr>
          <w:p>
            <w:pPr>
              <w:pStyle w:val="867"/>
              <w:ind w:left="112" w:right="107" w:firstLine="3"/>
              <w:spacing w:before="207"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见“3.6</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保安服务”“3.3</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维护服务</w:t>
            </w:r>
            <w:r>
              <w:rPr>
                <w:rFonts w:hint="eastAsia" w:asciiTheme="minorEastAsia" w:hAnsiTheme="minorEastAsia" w:eastAsiaTheme="minorEastAsia" w:cstheme="minorEastAsia"/>
                <w:color w:val="000000" w:themeColor="text1"/>
                <w:spacing w:val="33"/>
                <w:highlight w:val="none"/>
                <w14:textFill>
                  <w14:solidFill>
                    <w14:schemeClr w14:val="tx1"/>
                  </w14:solidFill>
                </w14:textFill>
              </w:rPr>
              <w:t xml:space="preserve">”</w:t>
            </w:r>
            <w:r/>
          </w:p>
        </w:tc>
      </w:tr>
      <w:tr>
        <w:trPr>
          <w:trHeight w:val="717"/>
        </w:trPr>
        <w:tc>
          <w:tcPr>
            <w:tcW w:w="1178" w:type="dxa"/>
            <w:vAlign w:val="top"/>
            <w:vMerge w:val="restart"/>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10"/>
              <w:spacing w:before="22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给排水系统</w:t>
            </w:r>
            <w:r/>
          </w:p>
        </w:tc>
        <w:tc>
          <w:tcPr>
            <w:tcW w:w="6762" w:type="dxa"/>
            <w:vAlign w:val="center"/>
            <w:textDirection w:val="lrTb"/>
            <w:noWrap w:val="false"/>
          </w:tcPr>
          <w:p>
            <w:pPr>
              <w:ind w:left="0" w:right="0" w:firstLine="420"/>
              <w:jc w:val="center"/>
              <w:spacing w:before="51" w:line="258" w:lineRule="auto"/>
              <w:shd w:val="clear" w:color="auto" w:fill="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污水井 467 个，雨水井341个，集水井 134 个，污水管道总长 9294  米，雨水管道总长 12215  米。</w:t>
            </w:r>
            <w:r/>
          </w:p>
        </w:tc>
        <w:tc>
          <w:tcPr>
            <w:tcW w:w="4189" w:type="dxa"/>
            <w:vAlign w:val="top"/>
            <w:textDirection w:val="lrTb"/>
            <w:noWrap w:val="false"/>
          </w:tcPr>
          <w:p>
            <w:pPr>
              <w:pStyle w:val="867"/>
              <w:ind w:left="112" w:right="107" w:firstLine="3"/>
              <w:spacing w:before="51"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见“3.6</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保安服务”“3.3</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维护服务</w:t>
            </w:r>
            <w:r>
              <w:rPr>
                <w:rFonts w:hint="eastAsia" w:asciiTheme="minorEastAsia" w:hAnsiTheme="minorEastAsia" w:eastAsiaTheme="minorEastAsia" w:cstheme="minorEastAsia"/>
                <w:color w:val="000000" w:themeColor="text1"/>
                <w:spacing w:val="33"/>
                <w:highlight w:val="none"/>
                <w14:textFill>
                  <w14:solidFill>
                    <w14:schemeClr w14:val="tx1"/>
                  </w14:solidFill>
                </w14:textFill>
              </w:rPr>
              <w:t xml:space="preserve">”</w:t>
            </w:r>
            <w:r/>
          </w:p>
        </w:tc>
      </w:tr>
      <w:tr>
        <w:trPr>
          <w:trHeight w:val="685"/>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13"/>
              <w:spacing w:before="20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消防系统</w:t>
            </w:r>
            <w:r/>
          </w:p>
        </w:tc>
        <w:tc>
          <w:tcPr>
            <w:shd w:val="clear" w:color="auto" w:fill="auto"/>
            <w:tcW w:w="6762" w:type="dxa"/>
            <w:vAlign w:val="center"/>
            <w:textDirection w:val="lrTb"/>
            <w:noWrap w:val="false"/>
          </w:tcPr>
          <w:p>
            <w:pPr>
              <w:ind w:firstLine="420"/>
              <w:jc w:val="center"/>
              <w:spacing w:before="94"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湿式报警阀组16个，室内消火栓1239个，消火栓泵 4 个，喷淋泵 2个，稳压泵2个，消防水泵接合器16个，烟感4529个，高位水箱2个，消防水池2个.</w:t>
            </w:r>
            <w:r/>
          </w:p>
        </w:tc>
        <w:tc>
          <w:tcPr>
            <w:tcW w:w="4189" w:type="dxa"/>
            <w:vAlign w:val="top"/>
            <w:textDirection w:val="lrTb"/>
            <w:noWrap w:val="false"/>
          </w:tcPr>
          <w:p>
            <w:pPr>
              <w:pStyle w:val="867"/>
              <w:ind w:left="112" w:right="107" w:firstLine="3"/>
              <w:spacing w:before="32"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见“3.6</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保安服务”“3.3</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维护服务</w:t>
            </w:r>
            <w:r>
              <w:rPr>
                <w:rFonts w:hint="eastAsia" w:asciiTheme="minorEastAsia" w:hAnsiTheme="minorEastAsia" w:eastAsiaTheme="minorEastAsia" w:cstheme="minorEastAsia"/>
                <w:color w:val="000000" w:themeColor="text1"/>
                <w:spacing w:val="33"/>
                <w:highlight w:val="none"/>
                <w14:textFill>
                  <w14:solidFill>
                    <w14:schemeClr w14:val="tx1"/>
                  </w14:solidFill>
                </w14:textFill>
              </w:rPr>
              <w:t xml:space="preserve">”</w:t>
            </w:r>
            <w:r/>
          </w:p>
        </w:tc>
      </w:tr>
      <w:tr>
        <w:trPr>
          <w:trHeight w:val="686"/>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09"/>
              <w:spacing w:before="20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锅炉设备</w:t>
            </w:r>
            <w:r/>
          </w:p>
        </w:tc>
        <w:tc>
          <w:tcPr>
            <w:tcW w:w="6762" w:type="dxa"/>
            <w:vAlign w:val="top"/>
            <w:textDirection w:val="lrTb"/>
            <w:noWrap w:val="false"/>
          </w:tcPr>
          <w:p>
            <w:pPr>
              <w:ind w:left="115"/>
              <w:jc w:val="center"/>
              <w:spacing w:before="95" w:line="218"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无</w:t>
            </w:r>
            <w:r/>
          </w:p>
        </w:tc>
        <w:tc>
          <w:tcPr>
            <w:tcW w:w="4189" w:type="dxa"/>
            <w:vAlign w:val="top"/>
            <w:textDirection w:val="lrTb"/>
            <w:noWrap w:val="false"/>
          </w:tcPr>
          <w:p>
            <w:pPr>
              <w:pStyle w:val="867"/>
              <w:ind w:left="112" w:right="107" w:firstLine="3"/>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见“3.6</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保安服务”“3.3</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维护服务</w:t>
            </w:r>
            <w:r>
              <w:rPr>
                <w:rFonts w:hint="eastAsia" w:asciiTheme="minorEastAsia" w:hAnsiTheme="minorEastAsia" w:eastAsiaTheme="minorEastAsia" w:cstheme="minorEastAsia"/>
                <w:color w:val="000000" w:themeColor="text1"/>
                <w:spacing w:val="33"/>
                <w:highlight w:val="none"/>
                <w14:textFill>
                  <w14:solidFill>
                    <w14:schemeClr w14:val="tx1"/>
                  </w14:solidFill>
                </w14:textFill>
              </w:rPr>
              <w:t xml:space="preserve">”</w:t>
            </w:r>
            <w:r/>
          </w:p>
        </w:tc>
      </w:tr>
      <w:tr>
        <w:trPr>
          <w:trHeight w:val="683"/>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13"/>
              <w:spacing w:before="205"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安防系统</w:t>
            </w:r>
            <w:r/>
          </w:p>
        </w:tc>
        <w:tc>
          <w:tcPr>
            <w:tcW w:w="6762" w:type="dxa"/>
            <w:vAlign w:val="center"/>
            <w:textDirection w:val="lrTb"/>
            <w:noWrap w:val="false"/>
          </w:tcPr>
          <w:p>
            <w:pPr>
              <w:ind w:firstLine="210"/>
              <w:jc w:val="center"/>
              <w:spacing w:before="94"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视频监控、楼宇对讲及门禁、周界报警、电子巡更等</w:t>
            </w:r>
            <w:r/>
          </w:p>
        </w:tc>
        <w:tc>
          <w:tcPr>
            <w:tcW w:w="4189" w:type="dxa"/>
            <w:vAlign w:val="top"/>
            <w:textDirection w:val="lrTb"/>
            <w:noWrap w:val="false"/>
          </w:tcPr>
          <w:p>
            <w:pPr>
              <w:pStyle w:val="867"/>
              <w:ind w:left="112" w:right="107" w:firstLine="3"/>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见“3.6</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保安服务”“3.3</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维护服务</w:t>
            </w:r>
            <w:r>
              <w:rPr>
                <w:rFonts w:hint="eastAsia" w:asciiTheme="minorEastAsia" w:hAnsiTheme="minorEastAsia" w:eastAsiaTheme="minorEastAsia" w:cstheme="minorEastAsia"/>
                <w:color w:val="000000" w:themeColor="text1"/>
                <w:spacing w:val="33"/>
                <w:highlight w:val="none"/>
                <w14:textFill>
                  <w14:solidFill>
                    <w14:schemeClr w14:val="tx1"/>
                  </w14:solidFill>
                </w14:textFill>
              </w:rPr>
              <w:t xml:space="preserve">”</w:t>
            </w:r>
            <w:r/>
          </w:p>
        </w:tc>
      </w:tr>
      <w:tr>
        <w:trPr>
          <w:trHeight w:val="685"/>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16"/>
              <w:spacing w:before="207"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照明系统</w:t>
            </w:r>
            <w:r/>
          </w:p>
        </w:tc>
        <w:tc>
          <w:tcPr>
            <w:tcW w:w="6762" w:type="dxa"/>
            <w:vAlign w:val="center"/>
            <w:textDirection w:val="lrTb"/>
            <w:noWrap w:val="false"/>
          </w:tcPr>
          <w:p>
            <w:pPr>
              <w:ind w:left="115" w:firstLine="210"/>
              <w:jc w:val="center"/>
              <w:spacing w:before="94"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消防通道及电梯前室公共照明灯1364个</w:t>
            </w:r>
            <w:r/>
          </w:p>
        </w:tc>
        <w:tc>
          <w:tcPr>
            <w:tcW w:w="4189" w:type="dxa"/>
            <w:vAlign w:val="top"/>
            <w:textDirection w:val="lrTb"/>
            <w:noWrap w:val="false"/>
          </w:tcPr>
          <w:p>
            <w:pPr>
              <w:pStyle w:val="867"/>
              <w:ind w:left="112" w:right="107" w:firstLine="3"/>
              <w:spacing w:before="37"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见“3.6</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保安服务”“3.3</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维护服务</w:t>
            </w:r>
            <w:r>
              <w:rPr>
                <w:rFonts w:hint="eastAsia" w:asciiTheme="minorEastAsia" w:hAnsiTheme="minorEastAsia" w:eastAsiaTheme="minorEastAsia" w:cstheme="minorEastAsia"/>
                <w:color w:val="000000" w:themeColor="text1"/>
                <w:spacing w:val="33"/>
                <w:highlight w:val="none"/>
                <w14:textFill>
                  <w14:solidFill>
                    <w14:schemeClr w14:val="tx1"/>
                  </w14:solidFill>
                </w14:textFill>
              </w:rPr>
              <w:t xml:space="preserve">”</w:t>
            </w:r>
            <w:r/>
          </w:p>
        </w:tc>
      </w:tr>
      <w:tr>
        <w:trPr>
          <w:trHeight w:val="345"/>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pStyle w:val="867"/>
              <w:ind w:left="109"/>
              <w:spacing w:before="3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供配电系统</w:t>
            </w:r>
            <w:r/>
          </w:p>
        </w:tc>
        <w:tc>
          <w:tcPr>
            <w:tcW w:w="6762" w:type="dxa"/>
            <w:vAlign w:val="center"/>
            <w:textDirection w:val="lrTb"/>
            <w:noWrap w:val="false"/>
          </w:tcPr>
          <w:p>
            <w:pPr>
              <w:ind w:left="115" w:firstLine="210"/>
              <w:jc w:val="center"/>
              <w:spacing w:before="39"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强电间62个，弱电间35个</w:t>
            </w:r>
            <w:r/>
          </w:p>
        </w:tc>
        <w:tc>
          <w:tcPr>
            <w:tcW w:w="4189" w:type="dxa"/>
            <w:vAlign w:val="top"/>
            <w:textDirection w:val="lrTb"/>
            <w:noWrap w:val="false"/>
          </w:tcPr>
          <w:p>
            <w:pPr>
              <w:pStyle w:val="867"/>
              <w:ind w:left="115"/>
              <w:spacing w:before="3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见“3.3</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公用设施设备维护服务”</w:t>
            </w:r>
            <w:r/>
          </w:p>
        </w:tc>
      </w:tr>
      <w:tr>
        <w:trPr>
          <w:trHeight w:val="465"/>
        </w:trPr>
        <w:tc>
          <w:tcPr>
            <w:tcW w:w="117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438" w:type="dxa"/>
            <w:vAlign w:val="top"/>
            <w:textDirection w:val="lrTb"/>
            <w:noWrap w:val="false"/>
          </w:tcPr>
          <w:p>
            <w:pPr>
              <w:ind w:left="116"/>
              <w:spacing w:before="248" w:line="79" w:lineRule="exact"/>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position w:val="1"/>
                <w:sz w:val="21"/>
                <w:szCs w:val="21"/>
                <w:highlight w:val="none"/>
                <w14:textFill>
                  <w14:solidFill>
                    <w14:schemeClr w14:val="tx1"/>
                  </w14:solidFill>
                </w14:textFill>
              </w:rPr>
              <w:t xml:space="preserve">……</w:t>
            </w:r>
            <w:r/>
          </w:p>
        </w:tc>
        <w:tc>
          <w:tcPr>
            <w:tcW w:w="6762" w:type="dxa"/>
            <w:vAlign w:val="top"/>
            <w:textDirection w:val="lrTb"/>
            <w:noWrap w:val="false"/>
          </w:tcPr>
          <w:p>
            <w:pPr>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4189" w:type="dxa"/>
            <w:vAlign w:val="top"/>
            <w:textDirection w:val="lrTb"/>
            <w:noWrap w:val="false"/>
          </w:tcPr>
          <w:p>
            <w:pP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w:t>
            </w:r>
            <w:r/>
          </w:p>
        </w:tc>
      </w:tr>
    </w:tbl>
    <w:p>
      <w:pPr>
        <w:ind w:left="551"/>
        <w:spacing w:before="32" w:line="213" w:lineRule="auto"/>
        <w:shd w:val="clear" w:color="auto"/>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r>
      <w:r/>
    </w:p>
    <w:p>
      <w:pPr>
        <w:ind w:left="551"/>
        <w:spacing w:before="32" w:line="213"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注：此表格详细列出了不同建筑物的物业管理指标项及其明细。若存在“建筑</w:t>
      </w:r>
      <w:r>
        <w:rPr>
          <w:rFonts w:hint="eastAsia" w:asciiTheme="minorEastAsia" w:hAnsiTheme="minorEastAsia" w:eastAsiaTheme="minorEastAsia" w:cstheme="minorEastAsia"/>
          <w:color w:val="000000" w:themeColor="text1"/>
          <w:spacing w:val="-42"/>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77"/>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”，则相应增加内容，以此类推。</w:t>
      </w:r>
      <w:r/>
    </w:p>
    <w:p>
      <w:pPr>
        <w:ind w:left="988"/>
        <w:spacing w:before="98" w:line="21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以上内容体现需要供应商进行物业管理的物业的</w:t>
      </w: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情况、边界、范围。指标的设置要充分考虑可能影响供应商报价和项目实施风险的因素。</w:t>
      </w:r>
      <w:r/>
    </w:p>
    <w:p>
      <w:pPr>
        <w:spacing w:line="32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08"/>
        <w:spacing w:before="90" w:line="185"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14:textFill>
            <w14:solidFill>
              <w14:schemeClr w14:val="tx1"/>
            </w14:solidFill>
          </w14:textFill>
        </w:rPr>
        <w:t xml:space="preserve">（2）物业管理（室外）</w:t>
      </w:r>
      <w:r/>
    </w:p>
    <w:p>
      <w:pPr>
        <w:spacing w:line="31"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名称</w:t>
            </w:r>
            <w:r/>
          </w:p>
        </w:tc>
        <w:tc>
          <w:tcPr>
            <w:tcW w:w="5298" w:type="dxa"/>
            <w:vAlign w:val="top"/>
            <w:textDirection w:val="lrTb"/>
            <w:noWrap w:val="false"/>
          </w:tcPr>
          <w:p>
            <w:pPr>
              <w:ind w:left="2446"/>
              <w:spacing w:before="93" w:line="185"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3"/>
                <w:sz w:val="21"/>
                <w:szCs w:val="21"/>
                <w:highlight w:val="none"/>
                <w14:textFill>
                  <w14:solidFill>
                    <w14:schemeClr w14:val="tx1"/>
                  </w14:solidFill>
                </w14:textFill>
              </w:rPr>
              <w:t xml:space="preserve">明细</w:t>
            </w:r>
            <w:r/>
          </w:p>
        </w:tc>
        <w:tc>
          <w:tcPr>
            <w:tcW w:w="6630" w:type="dxa"/>
            <w:vAlign w:val="top"/>
            <w:textDirection w:val="lrTb"/>
            <w:noWrap w:val="false"/>
          </w:tcPr>
          <w:p>
            <w:pPr>
              <w:ind w:left="2576"/>
              <w:spacing w:before="94" w:line="185"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服务内容及标准</w:t>
            </w:r>
            <w:r/>
          </w:p>
        </w:tc>
      </w:tr>
      <w:tr>
        <w:trPr>
          <w:trHeight w:val="460"/>
        </w:trPr>
        <w:tc>
          <w:tcPr>
            <w:tcW w:w="2632" w:type="dxa"/>
            <w:vAlign w:val="top"/>
            <w:textDirection w:val="lrTb"/>
            <w:noWrap w:val="false"/>
          </w:tcPr>
          <w:p>
            <w:pPr>
              <w:pStyle w:val="867"/>
              <w:ind w:left="119"/>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室外面积</w:t>
            </w:r>
            <w:r/>
          </w:p>
        </w:tc>
        <w:tc>
          <w:tcPr>
            <w:tcW w:w="5298" w:type="dxa"/>
            <w:vAlign w:val="top"/>
            <w:textDirection w:val="lrTb"/>
            <w:noWrap w:val="false"/>
          </w:tcPr>
          <w:p>
            <w:pPr>
              <w:ind w:left="113"/>
              <w:jc w:val="center"/>
              <w:spacing w:before="91"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74820㎡</w:t>
            </w:r>
            <w:r/>
          </w:p>
        </w:tc>
        <w:tc>
          <w:tcPr>
            <w:tcW w:w="6630" w:type="dxa"/>
            <w:vAlign w:val="top"/>
            <w:textDirection w:val="lrTb"/>
            <w:noWrap w:val="false"/>
          </w:tcPr>
          <w:p>
            <w:pPr>
              <w:pStyle w:val="867"/>
              <w:ind w:left="115"/>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见“3.4 保洁服务”“3.6 保安服务”</w:t>
            </w:r>
            <w:r/>
          </w:p>
        </w:tc>
      </w:tr>
      <w:tr>
        <w:trPr>
          <w:trHeight w:val="457"/>
        </w:trPr>
        <w:tc>
          <w:tcPr>
            <w:tcW w:w="2632" w:type="dxa"/>
            <w:vAlign w:val="top"/>
            <w:textDirection w:val="lrTb"/>
            <w:noWrap w:val="false"/>
          </w:tcPr>
          <w:p>
            <w:pPr>
              <w:pStyle w:val="867"/>
              <w:ind w:left="117"/>
              <w:spacing w:before="89"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绿化</w:t>
            </w:r>
            <w:r/>
          </w:p>
        </w:tc>
        <w:tc>
          <w:tcPr>
            <w:tcW w:w="5298" w:type="dxa"/>
            <w:vAlign w:val="top"/>
            <w:textDirection w:val="lrTb"/>
            <w:noWrap w:val="false"/>
          </w:tcPr>
          <w:p>
            <w:pPr>
              <w:ind w:left="113"/>
              <w:jc w:val="center"/>
              <w:spacing w:before="89"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39862㎡</w:t>
            </w:r>
            <w:r/>
          </w:p>
        </w:tc>
        <w:tc>
          <w:tcPr>
            <w:tcW w:w="6630" w:type="dxa"/>
            <w:vAlign w:val="top"/>
            <w:textDirection w:val="lrTb"/>
            <w:noWrap w:val="false"/>
          </w:tcPr>
          <w:p>
            <w:pPr>
              <w:pStyle w:val="867"/>
              <w:ind w:left="115"/>
              <w:spacing w:before="8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见“3.4 保洁服务”“3.5</w:t>
            </w:r>
            <w:r>
              <w:rPr>
                <w:rFonts w:hint="eastAsia" w:asciiTheme="minorEastAsia" w:hAnsiTheme="minorEastAsia" w:eastAsiaTheme="minorEastAsia" w:cstheme="minorEastAsia"/>
                <w:color w:val="000000" w:themeColor="text1"/>
                <w:spacing w:val="2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绿化服务”</w:t>
            </w:r>
            <w:r/>
          </w:p>
        </w:tc>
      </w:tr>
      <w:tr>
        <w:trPr>
          <w:trHeight w:val="458"/>
        </w:trPr>
        <w:tc>
          <w:tcPr>
            <w:tcW w:w="2632" w:type="dxa"/>
            <w:vAlign w:val="top"/>
            <w:textDirection w:val="lrTb"/>
            <w:noWrap w:val="false"/>
          </w:tcPr>
          <w:p>
            <w:pPr>
              <w:pStyle w:val="867"/>
              <w:ind w:left="116"/>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广场</w:t>
            </w:r>
            <w:r/>
          </w:p>
        </w:tc>
        <w:tc>
          <w:tcPr>
            <w:tcW w:w="5298" w:type="dxa"/>
            <w:vAlign w:val="top"/>
            <w:textDirection w:val="lrTb"/>
            <w:noWrap w:val="false"/>
          </w:tcPr>
          <w:p>
            <w:pPr>
              <w:ind w:left="113"/>
              <w:jc w:val="center"/>
              <w:spacing w:before="93" w:line="219"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 </w:t>
            </w:r>
            <w:r/>
          </w:p>
        </w:tc>
        <w:tc>
          <w:tcPr>
            <w:tcW w:w="6630" w:type="dxa"/>
            <w:vAlign w:val="top"/>
            <w:textDirection w:val="lrTb"/>
            <w:noWrap w:val="false"/>
          </w:tcPr>
          <w:p>
            <w:pPr>
              <w:pStyle w:val="867"/>
              <w:ind w:left="115"/>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见“3.4 保洁服务”“3.6 保安服务”</w:t>
            </w:r>
            <w:r/>
          </w:p>
        </w:tc>
      </w:tr>
      <w:tr>
        <w:trPr>
          <w:trHeight w:val="460"/>
        </w:trPr>
        <w:tc>
          <w:tcPr>
            <w:tcW w:w="2632" w:type="dxa"/>
            <w:vAlign w:val="top"/>
            <w:textDirection w:val="lrTb"/>
            <w:noWrap w:val="false"/>
          </w:tcPr>
          <w:p>
            <w:pPr>
              <w:pStyle w:val="867"/>
              <w:ind w:left="117"/>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路灯、草坪灯、音箱</w:t>
            </w:r>
            <w:r/>
          </w:p>
        </w:tc>
        <w:tc>
          <w:tcPr>
            <w:tcW w:w="5298" w:type="dxa"/>
            <w:vAlign w:val="top"/>
            <w:textDirection w:val="lrTb"/>
            <w:noWrap w:val="false"/>
          </w:tcPr>
          <w:p>
            <w:pPr>
              <w:jc w:val="center"/>
              <w:spacing w:before="93"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庭院路灯187个，草坪灯12个、照树灯78个</w:t>
            </w:r>
            <w:r/>
          </w:p>
        </w:tc>
        <w:tc>
          <w:tcPr>
            <w:tcW w:w="6630" w:type="dxa"/>
            <w:vAlign w:val="top"/>
            <w:textDirection w:val="lrTb"/>
            <w:noWrap w:val="false"/>
          </w:tcPr>
          <w:p>
            <w:pPr>
              <w:pStyle w:val="867"/>
              <w:ind w:left="115"/>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见“3.4 保洁服务”“3.3</w:t>
            </w:r>
            <w:r>
              <w:rPr>
                <w:rFonts w:hint="eastAsia" w:asciiTheme="minorEastAsia" w:hAnsiTheme="minorEastAsia" w:eastAsiaTheme="minorEastAsia" w:cstheme="minorEastAsia"/>
                <w:color w:val="000000" w:themeColor="text1"/>
                <w:spacing w:val="2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公用设施设备维护服务”</w:t>
            </w:r>
            <w:r/>
          </w:p>
        </w:tc>
      </w:tr>
      <w:tr>
        <w:trPr>
          <w:trHeight w:val="458"/>
        </w:trPr>
        <w:tc>
          <w:tcPr>
            <w:tcW w:w="2632" w:type="dxa"/>
            <w:vAlign w:val="top"/>
            <w:textDirection w:val="lrTb"/>
            <w:noWrap w:val="false"/>
          </w:tcPr>
          <w:p>
            <w:pPr>
              <w:pStyle w:val="867"/>
              <w:ind w:left="120"/>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消防栓</w:t>
            </w:r>
            <w:r/>
          </w:p>
        </w:tc>
        <w:tc>
          <w:tcPr>
            <w:tcW w:w="5298" w:type="dxa"/>
            <w:vAlign w:val="top"/>
            <w:textDirection w:val="lrTb"/>
            <w:noWrap w:val="false"/>
          </w:tcPr>
          <w:p>
            <w:pPr>
              <w:ind w:left="113"/>
              <w:jc w:val="center"/>
              <w:spacing w:before="91"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室内消火栓1239个</w:t>
            </w:r>
            <w:r/>
          </w:p>
        </w:tc>
        <w:tc>
          <w:tcPr>
            <w:tcW w:w="6630" w:type="dxa"/>
            <w:vAlign w:val="top"/>
            <w:textDirection w:val="lrTb"/>
            <w:noWrap w:val="false"/>
          </w:tcPr>
          <w:p>
            <w:pPr>
              <w:pStyle w:val="867"/>
              <w:ind w:left="115"/>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见“3.4 保洁服务”“3.3</w:t>
            </w:r>
            <w:r>
              <w:rPr>
                <w:rFonts w:hint="eastAsia" w:asciiTheme="minorEastAsia" w:hAnsiTheme="minorEastAsia" w:eastAsiaTheme="minorEastAsia" w:cstheme="minorEastAsia"/>
                <w:color w:val="000000" w:themeColor="text1"/>
                <w:spacing w:val="2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公用设施设备维护服务”</w:t>
            </w:r>
            <w:r/>
          </w:p>
        </w:tc>
      </w:tr>
      <w:tr>
        <w:trPr>
          <w:trHeight w:val="462"/>
        </w:trPr>
        <w:tc>
          <w:tcPr>
            <w:tcW w:w="2632" w:type="dxa"/>
            <w:vAlign w:val="top"/>
            <w:textDirection w:val="lrTb"/>
            <w:noWrap w:val="false"/>
          </w:tcPr>
          <w:p>
            <w:pPr>
              <w:pStyle w:val="867"/>
              <w:ind w:left="117"/>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垃圾箱</w:t>
            </w:r>
            <w:r/>
          </w:p>
        </w:tc>
        <w:tc>
          <w:tcPr>
            <w:tcW w:w="5298" w:type="dxa"/>
            <w:vAlign w:val="top"/>
            <w:textDirection w:val="lrTb"/>
            <w:noWrap w:val="false"/>
          </w:tcPr>
          <w:p>
            <w:pPr>
              <w:ind w:left="113"/>
              <w:jc w:val="center"/>
              <w:spacing w:before="94"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生活垃圾箱5个，建筑垃圾箱1个</w:t>
            </w:r>
            <w:r/>
          </w:p>
        </w:tc>
        <w:tc>
          <w:tcPr>
            <w:tcW w:w="6630" w:type="dxa"/>
            <w:vAlign w:val="top"/>
            <w:textDirection w:val="lrTb"/>
            <w:noWrap w:val="false"/>
          </w:tcPr>
          <w:p>
            <w:pPr>
              <w:pStyle w:val="867"/>
              <w:ind w:left="115"/>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见“3.4 保洁服务”</w:t>
            </w:r>
            <w:r/>
          </w:p>
        </w:tc>
      </w:tr>
      <w:tr>
        <w:trPr>
          <w:trHeight w:val="462"/>
        </w:trPr>
        <w:tc>
          <w:tcPr>
            <w:tcW w:w="2632" w:type="dxa"/>
            <w:vAlign w:val="top"/>
            <w:textDirection w:val="lrTb"/>
            <w:noWrap w:val="false"/>
          </w:tcPr>
          <w:p>
            <w:pPr>
              <w:pStyle w:val="867"/>
              <w:ind w:left="119"/>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室外配电箱</w:t>
            </w:r>
            <w:r/>
          </w:p>
        </w:tc>
        <w:tc>
          <w:tcPr>
            <w:tcW w:w="5298" w:type="dxa"/>
            <w:vAlign w:val="top"/>
            <w:textDirection w:val="lrTb"/>
            <w:noWrap w:val="false"/>
          </w:tcPr>
          <w:p>
            <w:pPr>
              <w:ind w:left="113"/>
              <w:jc w:val="center"/>
              <w:spacing w:before="94" w:line="218"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配电房7个</w:t>
            </w:r>
            <w:r/>
          </w:p>
        </w:tc>
        <w:tc>
          <w:tcPr>
            <w:tcW w:w="6630" w:type="dxa"/>
            <w:vAlign w:val="top"/>
            <w:textDirection w:val="lrTb"/>
            <w:noWrap w:val="false"/>
          </w:tcPr>
          <w:p>
            <w:pPr>
              <w:pStyle w:val="867"/>
              <w:ind w:left="115"/>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见“3.4 保洁服务”“3.3</w:t>
            </w:r>
            <w:r>
              <w:rPr>
                <w:rFonts w:hint="eastAsia" w:asciiTheme="minorEastAsia" w:hAnsiTheme="minorEastAsia" w:eastAsiaTheme="minorEastAsia" w:cstheme="minorEastAsia"/>
                <w:color w:val="000000" w:themeColor="text1"/>
                <w:spacing w:val="2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公用设施设备维护服务”</w:t>
            </w:r>
            <w:r/>
          </w:p>
        </w:tc>
      </w:tr>
      <w:tr>
        <w:trPr>
          <w:trHeight w:val="460"/>
        </w:trPr>
        <w:tc>
          <w:tcPr>
            <w:tcW w:w="2632" w:type="dxa"/>
            <w:vAlign w:val="top"/>
            <w:textDirection w:val="lrTb"/>
            <w:noWrap w:val="false"/>
          </w:tcPr>
          <w:p>
            <w:pPr>
              <w:pStyle w:val="867"/>
              <w:ind w:left="139"/>
              <w:spacing w:before="90" w:line="22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门前三包</w:t>
            </w:r>
            <w:r/>
          </w:p>
        </w:tc>
        <w:tc>
          <w:tcPr>
            <w:tcW w:w="5298" w:type="dxa"/>
            <w:vAlign w:val="top"/>
            <w:textDirection w:val="lrTb"/>
            <w:noWrap w:val="false"/>
          </w:tcPr>
          <w:p>
            <w:pPr>
              <w:ind w:left="113"/>
              <w:jc w:val="center"/>
              <w:spacing w:before="90"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约1500㎡</w:t>
            </w:r>
            <w:r/>
          </w:p>
        </w:tc>
        <w:tc>
          <w:tcPr>
            <w:tcW w:w="6630" w:type="dxa"/>
            <w:vAlign w:val="top"/>
            <w:textDirection w:val="lrTb"/>
            <w:noWrap w:val="false"/>
          </w:tcPr>
          <w:p>
            <w:pPr>
              <w:pStyle w:val="867"/>
              <w:ind w:left="115"/>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见“3.4 保洁服务”</w:t>
            </w:r>
            <w:r/>
          </w:p>
        </w:tc>
      </w:tr>
      <w:tr>
        <w:trPr>
          <w:trHeight w:val="457"/>
        </w:trPr>
        <w:tc>
          <w:tcPr>
            <w:tcW w:w="2632" w:type="dxa"/>
            <w:vAlign w:val="top"/>
            <w:textDirection w:val="lrTb"/>
            <w:noWrap w:val="false"/>
          </w:tcPr>
          <w:p>
            <w:pPr>
              <w:pStyle w:val="867"/>
              <w:ind w:left="12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露台</w:t>
            </w:r>
            <w:r/>
          </w:p>
        </w:tc>
        <w:tc>
          <w:tcPr>
            <w:tcW w:w="5298" w:type="dxa"/>
            <w:vAlign w:val="top"/>
            <w:textDirection w:val="lrTb"/>
            <w:noWrap w:val="false"/>
          </w:tcPr>
          <w:p>
            <w:pPr>
              <w:ind w:left="113"/>
              <w:jc w:val="center"/>
              <w:spacing w:before="91"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16934㎡</w:t>
            </w:r>
            <w:r/>
          </w:p>
        </w:tc>
        <w:tc>
          <w:tcPr>
            <w:tcW w:w="6630" w:type="dxa"/>
            <w:vAlign w:val="top"/>
            <w:textDirection w:val="lrTb"/>
            <w:noWrap w:val="false"/>
          </w:tcPr>
          <w:p>
            <w:pPr>
              <w:pStyle w:val="867"/>
              <w:ind w:left="115"/>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见“3.2 房屋维护服务”“3.4 保洁服务”</w:t>
            </w:r>
            <w:r/>
          </w:p>
        </w:tc>
      </w:tr>
      <w:tr>
        <w:trPr>
          <w:trHeight w:val="458"/>
        </w:trPr>
        <w:tc>
          <w:tcPr>
            <w:tcW w:w="2632" w:type="dxa"/>
            <w:vAlign w:val="top"/>
            <w:textDirection w:val="lrTb"/>
            <w:noWrap w:val="false"/>
          </w:tcPr>
          <w:p>
            <w:pPr>
              <w:pStyle w:val="867"/>
              <w:ind w:left="116"/>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监控</w:t>
            </w:r>
            <w:r/>
          </w:p>
        </w:tc>
        <w:tc>
          <w:tcPr>
            <w:tcW w:w="5298" w:type="dxa"/>
            <w:vAlign w:val="top"/>
            <w:textDirection w:val="lrTb"/>
            <w:noWrap w:val="false"/>
          </w:tcPr>
          <w:p>
            <w:pPr>
              <w:ind w:left="113"/>
              <w:jc w:val="center"/>
              <w:spacing w:before="92" w:line="219"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高清摄像机698个</w:t>
            </w:r>
            <w:r/>
          </w:p>
        </w:tc>
        <w:tc>
          <w:tcPr>
            <w:tcW w:w="6630" w:type="dxa"/>
            <w:vAlign w:val="top"/>
            <w:textDirection w:val="lrTb"/>
            <w:noWrap w:val="false"/>
          </w:tcPr>
          <w:p>
            <w:pPr>
              <w:pStyle w:val="867"/>
              <w:ind w:left="115"/>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见“3.4 保洁服务”“3.3</w:t>
            </w:r>
            <w:r>
              <w:rPr>
                <w:rFonts w:hint="eastAsia" w:asciiTheme="minorEastAsia" w:hAnsiTheme="minorEastAsia" w:eastAsiaTheme="minorEastAsia" w:cstheme="minorEastAsia"/>
                <w:color w:val="000000" w:themeColor="text1"/>
                <w:spacing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公用设施设备维护服务”</w:t>
            </w:r>
            <w:r/>
          </w:p>
        </w:tc>
      </w:tr>
      <w:tr>
        <w:trPr>
          <w:trHeight w:val="460"/>
        </w:trPr>
        <w:tc>
          <w:tcPr>
            <w:tcW w:w="2632" w:type="dxa"/>
            <w:vAlign w:val="top"/>
            <w:textDirection w:val="lrTb"/>
            <w:noWrap w:val="false"/>
          </w:tcPr>
          <w:p>
            <w:pPr>
              <w:pStyle w:val="867"/>
              <w:ind w:left="118"/>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指示牌、显示屏</w:t>
            </w:r>
            <w:r/>
          </w:p>
        </w:tc>
        <w:tc>
          <w:tcPr>
            <w:tcW w:w="5298" w:type="dxa"/>
            <w:vAlign w:val="top"/>
            <w:textDirection w:val="lrTb"/>
            <w:noWrap w:val="false"/>
          </w:tcPr>
          <w:p>
            <w:pPr>
              <w:ind w:firstLine="1890"/>
              <w:jc w:val="both"/>
              <w:spacing w:before="92" w:line="216" w:lineRule="auto"/>
              <w:shd w:val="clear" w:color="auto" w:fil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指示牌143个</w:t>
            </w:r>
            <w:r/>
          </w:p>
        </w:tc>
        <w:tc>
          <w:tcPr>
            <w:tcW w:w="6630" w:type="dxa"/>
            <w:vAlign w:val="top"/>
            <w:textDirection w:val="lrTb"/>
            <w:noWrap w:val="false"/>
          </w:tcPr>
          <w:p>
            <w:pPr>
              <w:pStyle w:val="867"/>
              <w:ind w:left="115"/>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见“3.4 保洁服务”“3.3</w:t>
            </w:r>
            <w:r>
              <w:rPr>
                <w:rFonts w:hint="eastAsia" w:asciiTheme="minorEastAsia" w:hAnsiTheme="minorEastAsia" w:eastAsiaTheme="minorEastAsia" w:cstheme="minorEastAsia"/>
                <w:color w:val="000000" w:themeColor="text1"/>
                <w:spacing w:val="2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公用设施设备维护服务”</w:t>
            </w:r>
            <w:r/>
          </w:p>
        </w:tc>
      </w:tr>
      <w:tr>
        <w:trPr>
          <w:trHeight w:val="462"/>
        </w:trPr>
        <w:tc>
          <w:tcPr>
            <w:tcW w:w="2632" w:type="dxa"/>
            <w:vAlign w:val="top"/>
            <w:textDirection w:val="lrTb"/>
            <w:noWrap w:val="false"/>
          </w:tcPr>
          <w:p>
            <w:pPr>
              <w:ind w:left="123"/>
              <w:spacing w:before="247" w:line="79" w:lineRule="exact"/>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position w:val="1"/>
                <w:sz w:val="21"/>
                <w:szCs w:val="21"/>
                <w:highlight w:val="none"/>
                <w14:textFill>
                  <w14:solidFill>
                    <w14:schemeClr w14:val="tx1"/>
                  </w14:solidFill>
                </w14:textFill>
              </w:rPr>
              <w:t xml:space="preserve">……</w:t>
            </w:r>
            <w:r/>
          </w:p>
        </w:tc>
        <w:tc>
          <w:tcPr>
            <w:tcW w:w="5298" w:type="dxa"/>
            <w:vAlign w:val="top"/>
            <w:textDirection w:val="lrTb"/>
            <w:noWrap w:val="false"/>
          </w:tcPr>
          <w:p>
            <w:pPr>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6630" w:type="dxa"/>
            <w:vAlign w:val="top"/>
            <w:textDirection w:val="lrTb"/>
            <w:noWrap w:val="false"/>
          </w:tcPr>
          <w:p>
            <w:pP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p>
        </w:tc>
      </w:tr>
    </w:tbl>
    <w:p>
      <w:pPr>
        <w:spacing w:line="26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21" w:lineRule="auto"/>
        <w:shd w:val="clear" w:color="auto"/>
        <w:rPr>
          <w:rFonts w:hint="eastAsia" w:asciiTheme="minorEastAsia" w:hAnsiTheme="minorEastAsia" w:eastAsiaTheme="minorEastAsia" w:cstheme="minorEastAsia"/>
          <w:color w:val="000000" w:themeColor="text1"/>
          <w:sz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eastAsia="zh-CN"/>
          <w14:textFill>
            <w14:solidFill>
              <w14:schemeClr w14:val="tx1"/>
            </w14:solidFill>
          </w14:textFill>
        </w:rPr>
      </w:r>
      <w:r/>
    </w:p>
    <w:p>
      <w:pPr>
        <w:ind w:left="541"/>
        <w:spacing w:before="90" w:line="185"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3.物业管理服务内容及标准</w:t>
      </w:r>
      <w:r/>
    </w:p>
    <w:p>
      <w:pPr>
        <w:spacing w:line="31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51"/>
        <w:ind w:left="541"/>
        <w:spacing w:before="68" w:line="22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物业管理服务包括基本服务、房屋维护服务、</w:t>
      </w:r>
      <w:r>
        <w:rPr>
          <w:rFonts w:hint="eastAsia" w:asciiTheme="minorEastAsia" w:hAnsiTheme="minorEastAsia" w:eastAsiaTheme="minorEastAsia" w:cstheme="minorEastAsia"/>
          <w:color w:val="000000" w:themeColor="text1"/>
          <w:spacing w:val="-24"/>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公用设施</w:t>
      </w: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 xml:space="preserve">设备维护服务、保洁服务、绿化服务、保安服务、会议服务等。</w:t>
      </w:r>
      <w:r/>
    </w:p>
    <w:p>
      <w:pPr>
        <w:ind w:left="541"/>
        <w:spacing w:before="91"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3.1基本服务</w:t>
      </w:r>
      <w:r/>
    </w:p>
    <w:p>
      <w:pPr>
        <w:spacing w:line="29"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3294" w:type="dxa"/>
            <w:vAlign w:val="top"/>
            <w:textDirection w:val="lrTb"/>
            <w:noWrap w:val="false"/>
          </w:tcPr>
          <w:p>
            <w:pPr>
              <w:ind w:left="1225"/>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w:t>
            </w:r>
            <w:r/>
          </w:p>
        </w:tc>
        <w:tc>
          <w:tcPr>
            <w:tcW w:w="10020" w:type="dxa"/>
            <w:vAlign w:val="top"/>
            <w:textDirection w:val="lrTb"/>
            <w:noWrap w:val="false"/>
          </w:tcPr>
          <w:p>
            <w:pPr>
              <w:ind w:left="4587"/>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服务标准</w:t>
            </w:r>
            <w:r/>
          </w:p>
        </w:tc>
      </w:tr>
      <w:tr>
        <w:trPr>
          <w:trHeight w:val="460"/>
        </w:trPr>
        <w:tc>
          <w:tcPr>
            <w:tcW w:w="1236" w:type="dxa"/>
            <w:vAlign w:val="top"/>
            <w:vMerge w:val="restart"/>
            <w:textDirection w:val="lrTb"/>
            <w:noWrap w:val="false"/>
          </w:tcPr>
          <w:p>
            <w:pPr>
              <w:spacing w:line="29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9"/>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3294" w:type="dxa"/>
            <w:vAlign w:val="top"/>
            <w:vMerge w:val="restart"/>
            <w:textDirection w:val="lrTb"/>
            <w:noWrap w:val="false"/>
          </w:tcPr>
          <w:p>
            <w:pPr>
              <w:spacing w:line="25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49"/>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目标与责任</w:t>
            </w:r>
            <w:r/>
          </w:p>
        </w:tc>
        <w:tc>
          <w:tcPr>
            <w:tcW w:w="10020" w:type="dxa"/>
            <w:vAlign w:val="top"/>
            <w:textDirection w:val="lrTb"/>
            <w:noWrap w:val="false"/>
          </w:tcPr>
          <w:p>
            <w:pPr>
              <w:pStyle w:val="867"/>
              <w:ind w:firstLine="388"/>
              <w:jc w:val="both"/>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þ（1）制定小区物业服务年度计划并组织实施，每半年向委托方报告一次计划实施情况。公示服务标准和收费标准，每年向业主公布财务状况一次，公共水电费能耗分摊每半年向业主公布一次。</w:t>
            </w:r>
            <w:r/>
          </w:p>
        </w:tc>
      </w:tr>
      <w:tr>
        <w:trPr>
          <w:trHeight w:val="460"/>
        </w:trPr>
        <w:tc>
          <w:tcPr>
            <w:tcW w:w="1236" w:type="dxa"/>
            <w:vAlign w:val="top"/>
            <w:vMerge w:val="continue"/>
            <w:textDirection w:val="lrTb"/>
            <w:noWrap w:val="false"/>
          </w:tcPr>
          <w:p>
            <w:pPr>
              <w:ind w:left="579"/>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294" w:type="dxa"/>
            <w:vAlign w:val="top"/>
            <w:vMerge w:val="continue"/>
            <w:textDirection w:val="lrTb"/>
            <w:noWrap w:val="false"/>
          </w:tcPr>
          <w:p>
            <w:pPr>
              <w:pStyle w:val="867"/>
              <w:ind w:left="149"/>
              <w:spacing w:before="68" w:line="221" w:lineRule="auto"/>
              <w:shd w:val="clear" w:color="auto"/>
              <w:rPr>
                <w:rFonts w:hint="eastAsia" w:asciiTheme="minorEastAsia" w:hAnsiTheme="minorEastAsia" w:eastAsiaTheme="minorEastAsia" w:cstheme="minorEastAsia"/>
                <w:color w:val="000000" w:themeColor="text1"/>
                <w:spacing w:val="-9"/>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r>
            <w:r/>
          </w:p>
        </w:tc>
        <w:tc>
          <w:tcPr>
            <w:tcW w:w="10020" w:type="dxa"/>
            <w:vAlign w:val="top"/>
            <w:textDirection w:val="lrTb"/>
            <w:noWrap w:val="false"/>
          </w:tcPr>
          <w:p>
            <w:pPr>
              <w:pStyle w:val="867"/>
              <w:ind w:firstLine="388"/>
              <w:jc w:val="both"/>
              <w:spacing w:before="90" w:line="220"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8"/>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）小区内</w:t>
            </w:r>
            <w:r>
              <w:rPr>
                <w:rFonts w:hint="eastAsia" w:asciiTheme="minorEastAsia" w:hAnsiTheme="minorEastAsia" w:eastAsiaTheme="minorEastAsia" w:cstheme="minorEastAsia"/>
                <w:color w:val="000000" w:themeColor="text1"/>
                <w:spacing w:val="-8"/>
                <w:highlight w:val="none"/>
                <w:lang w:val="en-US" w:eastAsia="zh-CN"/>
                <w14:textFill>
                  <w14:solidFill>
                    <w14:schemeClr w14:val="tx1"/>
                  </w14:solidFill>
                </w14:textFill>
              </w:rPr>
              <w:t xml:space="preserve">设置</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管理处。管理处周一至周五每天 8 小时业务接待。</w:t>
            </w:r>
            <w:r/>
          </w:p>
        </w:tc>
      </w:tr>
      <w:tr>
        <w:trPr>
          <w:trHeight w:val="460"/>
        </w:trPr>
        <w:tc>
          <w:tcPr>
            <w:tcW w:w="1236" w:type="dxa"/>
            <w:vAlign w:val="top"/>
            <w:vMerge w:val="continue"/>
            <w:textDirection w:val="lrTb"/>
            <w:noWrap w:val="false"/>
          </w:tcPr>
          <w:p>
            <w:pPr>
              <w:ind w:left="579"/>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294" w:type="dxa"/>
            <w:vAlign w:val="top"/>
            <w:vMerge w:val="continue"/>
            <w:textDirection w:val="lrTb"/>
            <w:noWrap w:val="false"/>
          </w:tcPr>
          <w:p>
            <w:pPr>
              <w:pStyle w:val="867"/>
              <w:ind w:left="149"/>
              <w:spacing w:before="68" w:line="221" w:lineRule="auto"/>
              <w:shd w:val="clear" w:color="auto"/>
              <w:rPr>
                <w:rFonts w:hint="eastAsia" w:asciiTheme="minorEastAsia" w:hAnsiTheme="minorEastAsia" w:eastAsiaTheme="minorEastAsia" w:cstheme="minorEastAsia"/>
                <w:color w:val="000000" w:themeColor="text1"/>
                <w:spacing w:val="-9"/>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r>
            <w:r/>
          </w:p>
        </w:tc>
        <w:tc>
          <w:tcPr>
            <w:tcW w:w="10020" w:type="dxa"/>
            <w:vAlign w:val="top"/>
            <w:textDirection w:val="lrTb"/>
            <w:noWrap w:val="false"/>
          </w:tcPr>
          <w:p>
            <w:pPr>
              <w:pStyle w:val="867"/>
              <w:ind w:firstLine="388"/>
              <w:jc w:val="both"/>
              <w:spacing w:before="90" w:line="220"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lang w:val="en-US" w:eastAsia="zh-CN"/>
                <w14:textFill>
                  <w14:solidFill>
                    <w14:schemeClr w14:val="tx1"/>
                  </w14:solidFill>
                </w14:textFill>
              </w:rPr>
              <w:t xml:space="preserve">配置</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办公家具、电话、电脑、打印机等办公设施及办公用品。</w:t>
            </w:r>
            <w:r/>
          </w:p>
        </w:tc>
      </w:tr>
      <w:tr>
        <w:trPr>
          <w:trHeight w:val="685"/>
        </w:trPr>
        <w:tc>
          <w:tcPr>
            <w:tcW w:w="1236" w:type="dxa"/>
            <w:vAlign w:val="top"/>
            <w:vMerge w:val="restart"/>
            <w:textDirection w:val="lrTb"/>
            <w:noWrap w:val="false"/>
          </w:tcPr>
          <w:p>
            <w:pPr>
              <w:spacing w:line="25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3"/>
              <w:spacing w:before="64"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3294" w:type="dxa"/>
            <w:vAlign w:val="top"/>
            <w:vMerge w:val="restart"/>
            <w:textDirection w:val="lrTb"/>
            <w:noWrap w:val="false"/>
          </w:tcPr>
          <w:p>
            <w:pPr>
              <w:spacing w:line="35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5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服务人员要求</w:t>
            </w:r>
            <w:r/>
          </w:p>
        </w:tc>
        <w:tc>
          <w:tcPr>
            <w:tcW w:w="10020" w:type="dxa"/>
            <w:vAlign w:val="top"/>
            <w:textDirection w:val="lrTb"/>
            <w:noWrap w:val="false"/>
          </w:tcPr>
          <w:p>
            <w:pPr>
              <w:pStyle w:val="867"/>
              <w:ind w:left="111" w:right="106" w:firstLine="222"/>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（1）每季度至少开展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1次岗位技能、职业素质、服务知识、客户文化、绿色节能环保等教育培训，并</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进行适当形式的考核。</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（2）根据采购人要求对服务人员进行从业资格审查</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，审查结果向采购人报备。</w:t>
            </w:r>
            <w:r/>
          </w:p>
        </w:tc>
      </w:tr>
      <w:tr>
        <w:trPr>
          <w:trHeight w:val="690"/>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6" w:right="104" w:firstLine="217"/>
              <w:spacing w:before="35"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（3）服务人员的年龄、学历、工作经验及资格条件应当与所在岗位能力要求相匹配，到岗前应当经过</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必要的岗前培训以达到岗位能力要求，国家、行业规定应当取得职业资格证书或特种作业证书的，应当按规定持证上岗。</w:t>
            </w:r>
            <w:r/>
          </w:p>
        </w:tc>
      </w:tr>
      <w:tr>
        <w:trPr>
          <w:trHeight w:val="1026"/>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3" w:right="112" w:firstLine="220"/>
              <w:jc w:val="both"/>
              <w:spacing w:before="32" w:line="27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（4）如采购人认为服务人员不适应岗位要求或存在其他影响工作的，可要求供应商进行调换。如因供</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应商原因对服务人员进行调换，应当经采购人同意，更换比例不得超过本项目服务人员总数的</w:t>
            </w:r>
            <w:r>
              <w:rPr>
                <w:rFonts w:hint="eastAsia" w:asciiTheme="minorEastAsia" w:hAnsiTheme="minorEastAsia" w:eastAsiaTheme="minorEastAsia" w:cstheme="minorEastAsia"/>
                <w:color w:val="000000" w:themeColor="text1"/>
                <w:spacing w:val="-3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20%。本项目服务人员不得在其他项目兼职。</w:t>
            </w:r>
            <w:r/>
          </w:p>
        </w:tc>
      </w:tr>
      <w:tr>
        <w:trPr>
          <w:trHeight w:val="461"/>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（5）着装分类统一，佩戴标识。仪容整洁、姿态端正、举止文明。用语文明礼貌，</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态度温和耐心。</w:t>
            </w:r>
            <w:r/>
          </w:p>
        </w:tc>
      </w:tr>
      <w:tr>
        <w:trPr>
          <w:trHeight w:val="686"/>
        </w:trPr>
        <w:tc>
          <w:tcPr>
            <w:tcW w:w="1236" w:type="dxa"/>
            <w:vAlign w:val="top"/>
            <w:vMerge w:val="restart"/>
            <w:textDirection w:val="lrTb"/>
            <w:noWrap w:val="false"/>
          </w:tcPr>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1"/>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3294" w:type="dxa"/>
            <w:vAlign w:val="top"/>
            <w:vMerge w:val="restart"/>
            <w:textDirection w:val="lrTb"/>
            <w:noWrap w:val="false"/>
          </w:tcPr>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0"/>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保密和思想政治教育</w:t>
            </w:r>
            <w:r/>
          </w:p>
        </w:tc>
        <w:tc>
          <w:tcPr>
            <w:tcW w:w="10020" w:type="dxa"/>
            <w:vAlign w:val="top"/>
            <w:textDirection w:val="lrTb"/>
            <w:noWrap w:val="false"/>
          </w:tcPr>
          <w:p>
            <w:pPr>
              <w:pStyle w:val="867"/>
              <w:ind w:left="114" w:right="128" w:firstLine="219"/>
              <w:spacing w:before="16" w:line="268"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（1）建立保密管理制度。制度内容应当包括但不限于：①明确重点要害岗位保密职责。</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②对涉密工</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作岗位的保密要求。</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（2）根据采购人要求与涉密工作岗位的服务人员签订保密协议。保密协议应当向采购人报备。</w:t>
            </w:r>
            <w:r/>
          </w:p>
        </w:tc>
      </w:tr>
      <w:tr>
        <w:trPr>
          <w:trHeight w:val="1017"/>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2" w:right="104" w:firstLine="221"/>
              <w:jc w:val="both"/>
              <w:spacing w:before="32" w:line="274"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（3）每季度至少开展</w:t>
            </w:r>
            <w:r>
              <w:rPr>
                <w:rFonts w:hint="eastAsia" w:asciiTheme="minorEastAsia" w:hAnsiTheme="minorEastAsia" w:eastAsiaTheme="minorEastAsia" w:cstheme="minorEastAsia"/>
                <w:color w:val="000000" w:themeColor="text1"/>
                <w:spacing w:val="-3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1次对服务人员进行保密、</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思想政治教育的培训，</w:t>
            </w:r>
            <w:r>
              <w:rPr>
                <w:rFonts w:hint="eastAsia" w:asciiTheme="minorEastAsia" w:hAnsiTheme="minorEastAsia" w:eastAsiaTheme="minorEastAsia" w:cstheme="minorEastAsia"/>
                <w:color w:val="000000" w:themeColor="text1"/>
                <w:spacing w:val="-2"/>
                <w:highlight w:val="none"/>
                <w:lang w:eastAsia="zh-CN"/>
                <w14:textFill>
                  <w14:solidFill>
                    <w14:schemeClr w14:val="tx1"/>
                  </w14:solidFill>
                </w14:textFill>
              </w:rPr>
              <w:t xml:space="preserve">增强</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服务人员保密意识和思想政治意识。新入职员工应当接受保密、思想政治教育培训，进行必要的人员经历审查，合格后签订保密协议</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方可上岗。</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1" w:line="21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（4）发现服务人员违法违规或重大过失，</w:t>
            </w:r>
            <w:r>
              <w:rPr>
                <w:rFonts w:hint="eastAsia" w:asciiTheme="minorEastAsia" w:hAnsiTheme="minorEastAsia" w:eastAsiaTheme="minorEastAsia" w:cstheme="minorEastAsia"/>
                <w:color w:val="000000" w:themeColor="text1"/>
                <w:spacing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66"/>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3294" w:type="dxa"/>
            <w:vAlign w:val="top"/>
            <w:vMerge w:val="restart"/>
            <w:textDirection w:val="lrTb"/>
            <w:noWrap w:val="false"/>
          </w:tcPr>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0"/>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档案管理</w:t>
            </w:r>
            <w:r/>
          </w:p>
        </w:tc>
        <w:tc>
          <w:tcPr>
            <w:tcW w:w="10020" w:type="dxa"/>
            <w:vAlign w:val="top"/>
            <w:textDirection w:val="lrTb"/>
            <w:noWrap w:val="false"/>
          </w:tcPr>
          <w:p>
            <w:pPr>
              <w:pStyle w:val="867"/>
              <w:ind w:left="334"/>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（1）建立物业信息，</w:t>
            </w:r>
            <w:r>
              <w:rPr>
                <w:rFonts w:hint="eastAsia" w:asciiTheme="minorEastAsia" w:hAnsiTheme="minorEastAsia" w:eastAsiaTheme="minorEastAsia" w:cstheme="minorEastAsia"/>
                <w:color w:val="000000" w:themeColor="text1"/>
                <w:spacing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准确、及时地对文件资料和服务记录进行归档保存，并确保其物理安全。</w:t>
            </w:r>
            <w:r/>
          </w:p>
        </w:tc>
      </w:tr>
      <w:tr>
        <w:trPr>
          <w:trHeight w:val="1096"/>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2" w:right="50" w:firstLine="221"/>
              <w:jc w:val="both"/>
              <w:spacing w:before="15" w:line="28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（2）档案和记录齐全，包括但不限于：①采购人建议与投诉等。教育培训和考核记录。保密、思想</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政治教育培训记录。</w:t>
            </w:r>
            <w:r>
              <w:rPr>
                <w:rFonts w:hint="eastAsia" w:asciiTheme="minorEastAsia" w:hAnsiTheme="minorEastAsia" w:eastAsiaTheme="minorEastAsia" w:cstheme="minorEastAsia"/>
                <w:color w:val="000000" w:themeColor="text1"/>
                <w:spacing w:val="-9"/>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②</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保洁服务：工作日志、清洁检查表、用品清单、客户反馈表等。</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③</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绿化服务：绿化总平面图、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清洁整改记录、消杀记录等。</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④</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其他：</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客户信息、合同协议、信报信息登记、大件物品进出登记等。</w:t>
            </w:r>
            <w:r/>
          </w:p>
        </w:tc>
      </w:tr>
      <w:tr>
        <w:trPr>
          <w:trHeight w:val="691"/>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34" w:right="104" w:firstLine="199"/>
              <w:spacing w:before="36"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（3）遵守采购人的信息、档案资料保密要求，未经许可，不得将建筑物平面图等资料转作其他用途或</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向其他单位、个人提供。</w:t>
            </w:r>
            <w:r/>
          </w:p>
        </w:tc>
      </w:tr>
      <w:tr>
        <w:trPr>
          <w:trHeight w:val="463"/>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（4）履约结束后，相关资料交还采购人，</w:t>
            </w:r>
            <w:r>
              <w:rPr>
                <w:rFonts w:hint="eastAsia" w:asciiTheme="minorEastAsia" w:hAnsiTheme="minorEastAsia" w:eastAsiaTheme="minorEastAsia" w:cstheme="minorEastAsia"/>
                <w:color w:val="000000" w:themeColor="text1"/>
                <w:spacing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采购人按政府采购相关规定存档。</w:t>
            </w:r>
            <w:r/>
          </w:p>
        </w:tc>
      </w:tr>
      <w:tr>
        <w:trPr>
          <w:trHeight w:val="458"/>
        </w:trPr>
        <w:tc>
          <w:tcPr>
            <w:tcW w:w="1236" w:type="dxa"/>
            <w:vAlign w:val="top"/>
            <w:vMerge w:val="restart"/>
            <w:textDirection w:val="lrTb"/>
            <w:noWrap w:val="false"/>
          </w:tcPr>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1"/>
              <w:spacing w:before="65"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W w:w="3294" w:type="dxa"/>
            <w:vAlign w:val="top"/>
            <w:vMerge w:val="restart"/>
            <w:textDirection w:val="lrTb"/>
            <w:noWrap w:val="false"/>
          </w:tcPr>
          <w:p>
            <w:pPr>
              <w:spacing w:line="29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1"/>
              <w:spacing w:before="6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分包供应商管理</w:t>
            </w:r>
            <w:r/>
          </w:p>
        </w:tc>
        <w:tc>
          <w:tcPr>
            <w:tcW w:w="10020" w:type="dxa"/>
            <w:vAlign w:val="top"/>
            <w:textDirection w:val="lrTb"/>
            <w:noWrap w:val="false"/>
          </w:tcPr>
          <w:p>
            <w:pPr>
              <w:pStyle w:val="867"/>
              <w:ind w:left="334"/>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（1）合理控制外包服务人员数量和流动率。</w:t>
            </w:r>
            <w:r/>
          </w:p>
        </w:tc>
      </w:tr>
      <w:tr>
        <w:trPr>
          <w:trHeight w:val="459"/>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（2）根据采购人要求明确对分包供应商的要求，确定工作流程。</w:t>
            </w:r>
            <w:r/>
          </w:p>
        </w:tc>
      </w:tr>
      <w:tr>
        <w:trPr>
          <w:trHeight w:val="460"/>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（3）明确安全管理责任和保密责任，</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签订安全</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管理责任书和保密责任书。</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0" w:line="21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（4）开展服务检查和监管， 评估服务效果，必要时进行服务流程调整。</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（5）根据工作反馈意见与建议，</w:t>
            </w:r>
            <w:r>
              <w:rPr>
                <w:rFonts w:hint="eastAsia" w:asciiTheme="minorEastAsia" w:hAnsiTheme="minorEastAsia" w:eastAsiaTheme="minorEastAsia" w:cstheme="minorEastAsia"/>
                <w:color w:val="000000" w:themeColor="text1"/>
                <w:spacing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持续提升服务品质。</w:t>
            </w:r>
            <w:r/>
          </w:p>
        </w:tc>
      </w:tr>
      <w:tr>
        <w:trPr>
          <w:trHeight w:val="686"/>
        </w:trPr>
        <w:tc>
          <w:tcPr>
            <w:tcW w:w="1236" w:type="dxa"/>
            <w:vAlign w:val="top"/>
            <w:vMerge w:val="restart"/>
            <w:textDirection w:val="lrTb"/>
            <w:noWrap w:val="false"/>
          </w:tcPr>
          <w:p>
            <w:pPr>
              <w:spacing w:line="27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2"/>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w:t>
            </w:r>
            <w:r/>
          </w:p>
        </w:tc>
        <w:tc>
          <w:tcPr>
            <w:tcW w:w="3294" w:type="dxa"/>
            <w:vAlign w:val="top"/>
            <w:vMerge w:val="restart"/>
            <w:textDirection w:val="lrTb"/>
            <w:noWrap w:val="false"/>
          </w:tcPr>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服务改进</w:t>
            </w:r>
            <w:r/>
          </w:p>
        </w:tc>
        <w:tc>
          <w:tcPr>
            <w:tcW w:w="10020" w:type="dxa"/>
            <w:vAlign w:val="top"/>
            <w:textDirection w:val="lrTb"/>
            <w:noWrap w:val="false"/>
          </w:tcPr>
          <w:p>
            <w:pPr>
              <w:pStyle w:val="867"/>
              <w:ind w:left="118" w:right="104" w:firstLine="215"/>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（1）明确负责人，定期对物业服务过程进行自查，</w:t>
            </w:r>
            <w:r>
              <w:rPr>
                <w:rFonts w:hint="eastAsia" w:asciiTheme="minorEastAsia" w:hAnsiTheme="minorEastAsia" w:eastAsiaTheme="minorEastAsia" w:cstheme="minorEastAsia"/>
                <w:color w:val="000000" w:themeColor="text1"/>
                <w:spacing w:val="-2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结合反馈意见与评价结果采</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取改进措施，</w:t>
            </w:r>
            <w:r>
              <w:rPr>
                <w:rFonts w:hint="eastAsia" w:asciiTheme="minorEastAsia" w:hAnsiTheme="minorEastAsia" w:eastAsiaTheme="minorEastAsia" w:cstheme="minorEastAsia"/>
                <w:color w:val="000000" w:themeColor="text1"/>
                <w:spacing w:val="-3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持续提升</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管理与服务水平。</w:t>
            </w:r>
            <w:r/>
          </w:p>
        </w:tc>
      </w:tr>
      <w:tr>
        <w:trPr>
          <w:trHeight w:val="686"/>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30" w:right="104" w:firstLine="203"/>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（2）对不合格服务进行控制，对不合格服务的原因进行识别和分析，及时采取纠正措施，消除不合格</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的原因，防止不合格再发生。</w:t>
            </w:r>
            <w:r/>
          </w:p>
        </w:tc>
      </w:tr>
      <w:tr>
        <w:trPr>
          <w:trHeight w:val="90"/>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（3）需整改问题及时整改完成。</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shd w:val="clear" w:color="auto" w:fill="auto"/>
            <w:tcW w:w="10020" w:type="dxa"/>
            <w:vAlign w:val="top"/>
            <w:textDirection w:val="lrTb"/>
            <w:noWrap w:val="false"/>
          </w:tcPr>
          <w:p>
            <w:pPr>
              <w:pStyle w:val="867"/>
              <w:ind w:left="334"/>
              <w:spacing w:before="89" w:line="221" w:lineRule="auto"/>
              <w:shd w:val="clear" w:color="auto"/>
              <w:rPr>
                <w:rFonts w:hint="eastAsia" w:asciiTheme="minorEastAsia" w:hAnsiTheme="minorEastAsia" w:eastAsiaTheme="minorEastAsia" w:cstheme="minorEastAsia"/>
                <w:color w:val="000000" w:themeColor="text1"/>
                <w:spacing w:val="-8"/>
                <w:sz w:val="22"/>
                <w:szCs w:val="22"/>
                <w:highlight w:val="none"/>
                <w:lang w:val="en-US" w:eastAsia="en-US" w:bidi="ar-SA"/>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）可采取走访、恳谈会、问卷调查、通讯等多种形式与业主或使用人进行沟通，每年的沟通面不低于小区住户的 30%。</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shd w:val="clear" w:color="auto" w:fill="auto"/>
            <w:tcW w:w="10020" w:type="dxa"/>
            <w:vAlign w:val="top"/>
            <w:textDirection w:val="lrTb"/>
            <w:noWrap w:val="false"/>
          </w:tcPr>
          <w:p>
            <w:pPr>
              <w:pStyle w:val="867"/>
              <w:ind w:left="334"/>
              <w:spacing w:before="89" w:line="221" w:lineRule="auto"/>
              <w:shd w:val="clear" w:color="auto"/>
              <w:rPr>
                <w:rFonts w:hint="eastAsia" w:asciiTheme="minorEastAsia" w:hAnsiTheme="minorEastAsia" w:eastAsiaTheme="minorEastAsia" w:cstheme="minorEastAsia"/>
                <w:color w:val="000000" w:themeColor="text1"/>
                <w:spacing w:val="-8"/>
                <w:sz w:val="22"/>
                <w:szCs w:val="22"/>
                <w:highlight w:val="none"/>
                <w:lang w:val="en-US" w:eastAsia="en-US" w:bidi="ar-SA"/>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）建立业主档案、收费管理、设备管理等记录。</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shd w:val="clear" w:color="auto" w:fill="auto"/>
            <w:tcW w:w="10020" w:type="dxa"/>
            <w:vAlign w:val="top"/>
            <w:textDirection w:val="lrTb"/>
            <w:noWrap w:val="false"/>
          </w:tcPr>
          <w:p>
            <w:pPr>
              <w:pStyle w:val="867"/>
              <w:ind w:left="334"/>
              <w:spacing w:before="89" w:line="221" w:lineRule="auto"/>
              <w:shd w:val="clear" w:color="auto"/>
              <w:rPr>
                <w:rFonts w:hint="eastAsia" w:asciiTheme="minorEastAsia" w:hAnsiTheme="minorEastAsia" w:eastAsiaTheme="minorEastAsia" w:cstheme="minorEastAsia"/>
                <w:color w:val="000000" w:themeColor="text1"/>
                <w:spacing w:val="-8"/>
                <w:sz w:val="22"/>
                <w:szCs w:val="22"/>
                <w:highlight w:val="none"/>
                <w:lang w:val="en-US" w:eastAsia="en-US" w:bidi="ar-SA"/>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）能提供</w:t>
            </w:r>
            <w:r>
              <w:rPr>
                <w:rFonts w:hint="eastAsia" w:asciiTheme="minorEastAsia" w:hAnsiTheme="minorEastAsia" w:eastAsiaTheme="minorEastAsia" w:cstheme="minorEastAsia"/>
                <w:color w:val="000000" w:themeColor="text1"/>
                <w:spacing w:val="-1"/>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种以上特约服务（有偿）和一种以上便民（无偿）服务；每年组织一次以上的社区活动。</w:t>
            </w:r>
            <w:r/>
          </w:p>
        </w:tc>
      </w:tr>
      <w:tr>
        <w:trPr>
          <w:trHeight w:val="686"/>
        </w:trPr>
        <w:tc>
          <w:tcPr>
            <w:tcW w:w="1236" w:type="dxa"/>
            <w:vAlign w:val="top"/>
            <w:vMerge w:val="restart"/>
            <w:textDirection w:val="lrTb"/>
            <w:noWrap w:val="false"/>
          </w:tcPr>
          <w:p>
            <w:pPr>
              <w:spacing w:line="28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1"/>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w:t>
            </w:r>
            <w:r/>
          </w:p>
        </w:tc>
        <w:tc>
          <w:tcPr>
            <w:tcW w:w="3294" w:type="dxa"/>
            <w:vAlign w:val="top"/>
            <w:vMerge w:val="restart"/>
            <w:textDirection w:val="lrTb"/>
            <w:noWrap w:val="false"/>
          </w:tcPr>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0"/>
              <w:spacing w:before="6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重大活动后勤保障</w:t>
            </w:r>
            <w:r/>
          </w:p>
        </w:tc>
        <w:tc>
          <w:tcPr>
            <w:tcW w:w="10020" w:type="dxa"/>
            <w:vAlign w:val="top"/>
            <w:textDirection w:val="lrTb"/>
            <w:noWrap w:val="false"/>
          </w:tcPr>
          <w:p>
            <w:pPr>
              <w:pStyle w:val="867"/>
              <w:ind w:left="113" w:right="104" w:firstLine="220"/>
              <w:spacing w:before="35"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（1）制订流程。配合采购人制订重大活动后勤保障工作</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流程，</w:t>
            </w:r>
            <w:r>
              <w:rPr>
                <w:rFonts w:hint="eastAsia" w:asciiTheme="minorEastAsia" w:hAnsiTheme="minorEastAsia" w:eastAsiaTheme="minorEastAsia" w:cstheme="minorEastAsia"/>
                <w:color w:val="000000" w:themeColor="text1"/>
                <w:spacing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需对任务进行详细了解，</w:t>
            </w:r>
            <w:r>
              <w:rPr>
                <w:rFonts w:hint="eastAsia" w:asciiTheme="minorEastAsia" w:hAnsiTheme="minorEastAsia" w:eastAsiaTheme="minorEastAsia" w:cstheme="minorEastAsia"/>
                <w:color w:val="000000" w:themeColor="text1"/>
                <w:spacing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并根据工作安</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排制定详细的后勤保障计划。</w:t>
            </w:r>
            <w:r/>
          </w:p>
        </w:tc>
      </w:tr>
      <w:tr>
        <w:trPr>
          <w:trHeight w:val="1027"/>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3" w:right="104" w:firstLine="220"/>
              <w:jc w:val="both"/>
              <w:spacing w:before="37" w:line="27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（2）实施保障。按计划在关键区域和重点部位进行部署，确保任务顺利进行，对活动区域进行全面安</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全检查，发现并排除安全隐患， 对车辆进行有序引导和管理，</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确保交通安全畅通，以</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礼貌、专业的态度对待</w:t>
            </w:r>
            <w:r>
              <w:rPr>
                <w:rFonts w:hint="eastAsia" w:asciiTheme="minorEastAsia" w:hAnsiTheme="minorEastAsia" w:eastAsiaTheme="minorEastAsia" w:cstheme="minorEastAsia"/>
                <w:color w:val="000000" w:themeColor="text1"/>
                <w:spacing w:val="-10"/>
                <w:highlight w:val="none"/>
                <w14:textFill>
                  <w14:solidFill>
                    <w14:schemeClr w14:val="tx1"/>
                  </w14:solidFill>
                </w14:textFill>
              </w:rPr>
              <w:t xml:space="preserve">来宾， 展现良好形象。</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（3）收尾工作。对现场进行检查，做好清理工作。</w:t>
            </w:r>
            <w:r/>
          </w:p>
        </w:tc>
      </w:tr>
      <w:tr>
        <w:trPr>
          <w:trHeight w:val="841"/>
        </w:trPr>
        <w:tc>
          <w:tcPr>
            <w:tcW w:w="1236" w:type="dxa"/>
            <w:vAlign w:val="top"/>
            <w:vMerge w:val="restart"/>
            <w:textDirection w:val="lrTb"/>
            <w:noWrap w:val="false"/>
          </w:tcPr>
          <w:p>
            <w:pPr>
              <w:ind w:left="569"/>
              <w:spacing w:before="136"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w:t>
            </w:r>
            <w:r/>
          </w:p>
        </w:tc>
        <w:tc>
          <w:tcPr>
            <w:tcW w:w="3294" w:type="dxa"/>
            <w:vAlign w:val="top"/>
            <w:vMerge w:val="restart"/>
            <w:textDirection w:val="lrTb"/>
            <w:noWrap w:val="false"/>
          </w:tcPr>
          <w:p>
            <w:pPr>
              <w:pStyle w:val="867"/>
              <w:ind w:left="109"/>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应急保障预案</w:t>
            </w:r>
            <w:r/>
          </w:p>
        </w:tc>
        <w:tc>
          <w:tcPr>
            <w:tcW w:w="10020" w:type="dxa"/>
            <w:vAlign w:val="top"/>
            <w:textDirection w:val="lrTb"/>
            <w:noWrap w:val="false"/>
          </w:tcPr>
          <w:p>
            <w:pPr>
              <w:pStyle w:val="867"/>
              <w:ind w:left="334"/>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（1）重点区域及安全隐患排查。结合项目的实际情况，对重点部位及危险隐患进行排查，并建立清单</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/台账；应当对危险隐患进行风险分析，制定相应措施进行控制或整改并定期监控；随着设施设备</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、服务内</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容的变化，及时更新清单/台账，使风险隐患始终处于受控状态。</w:t>
            </w:r>
            <w:r/>
          </w:p>
        </w:tc>
      </w:tr>
      <w:tr>
        <w:trPr>
          <w:trHeight w:val="992"/>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5" w:right="104" w:firstLine="219"/>
              <w:jc w:val="both"/>
              <w:spacing w:before="32" w:line="27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（2）应急预案的建立。根据办公楼隐患排查的结果和实际情况，制定专项预案，包括但不限于：火情</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火警紧急处理应急预案、紧急疏散应急预案、停水停电应急预案、有限空间救援应急预案、高空作业救援应</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急预案、恶劣天气应对应急预案等。</w:t>
            </w:r>
            <w:r/>
          </w:p>
        </w:tc>
      </w:tr>
      <w:tr>
        <w:trPr>
          <w:trHeight w:val="686"/>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5" w:right="104" w:firstLine="219"/>
              <w:spacing w:before="33" w:line="25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（3）应急预案的培训和演练。应急预案定期培训和演练，组织相关岗位每半年至少开展一次专项应急</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预案演练； 留存培训及演练记录和影像资料，并对预案进行评价，</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确保与实际情况相</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结合。</w:t>
            </w:r>
            <w:r/>
          </w:p>
        </w:tc>
      </w:tr>
      <w:tr>
        <w:trPr>
          <w:trHeight w:val="683"/>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5" w:right="104" w:firstLine="218"/>
              <w:spacing w:before="32"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（4）应急物资的管理。根据专项预案中的应对需要、必要的应急物资，建立清单或台账，并由专人定</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期对应急物资进行检查，</w:t>
            </w:r>
            <w:r>
              <w:rPr>
                <w:rFonts w:hint="eastAsia" w:asciiTheme="minorEastAsia" w:hAnsiTheme="minorEastAsia" w:eastAsiaTheme="minorEastAsia" w:cstheme="minorEastAsia"/>
                <w:color w:val="000000" w:themeColor="text1"/>
                <w:spacing w:val="-19"/>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如有应急物资不足，</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及时通知采购人购置齐全，确保能够随时正常使用。</w:t>
            </w:r>
            <w:r/>
          </w:p>
        </w:tc>
      </w:tr>
      <w:tr>
        <w:trPr>
          <w:trHeight w:val="686"/>
        </w:trPr>
        <w:tc>
          <w:tcPr>
            <w:tcW w:w="1236" w:type="dxa"/>
            <w:vAlign w:val="top"/>
            <w:vMerge w:val="restart"/>
            <w:textDirection w:val="lrTb"/>
            <w:noWrap w:val="false"/>
          </w:tcPr>
          <w:p>
            <w:pPr>
              <w:spacing w:line="24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69"/>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w:t>
            </w:r>
            <w:r/>
          </w:p>
        </w:tc>
        <w:tc>
          <w:tcPr>
            <w:tcW w:w="3294" w:type="dxa"/>
            <w:vAlign w:val="top"/>
            <w:vMerge w:val="restart"/>
            <w:textDirection w:val="lrTb"/>
            <w:noWrap w:val="false"/>
          </w:tcPr>
          <w:p>
            <w:pPr>
              <w:spacing w:line="31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1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1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服务方案及工作制度</w:t>
            </w:r>
            <w:r/>
          </w:p>
        </w:tc>
        <w:tc>
          <w:tcPr>
            <w:tcW w:w="10020" w:type="dxa"/>
            <w:vAlign w:val="top"/>
            <w:textDirection w:val="lrTb"/>
            <w:noWrap w:val="false"/>
          </w:tcPr>
          <w:p>
            <w:pPr>
              <w:pStyle w:val="867"/>
              <w:ind w:left="116" w:right="104" w:firstLine="217"/>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（1）制定工作制度，</w:t>
            </w:r>
            <w:r>
              <w:rPr>
                <w:rFonts w:hint="eastAsia" w:asciiTheme="minorEastAsia" w:hAnsiTheme="minorEastAsia" w:eastAsiaTheme="minorEastAsia" w:cstheme="minorEastAsia"/>
                <w:color w:val="000000" w:themeColor="text1"/>
                <w:spacing w:val="-2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主要包括：人员录用制度、档案管理制度、物</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业服务管理制度、公用设施设备相</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关管理制度等。</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（2）制定项目实施方案，主要包括：交接方案、人员培训方案、人</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员稳定性方案、保密方案等。</w:t>
            </w:r>
            <w:r/>
          </w:p>
        </w:tc>
      </w:tr>
      <w:tr>
        <w:trPr>
          <w:trHeight w:val="396"/>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114" w:right="30" w:firstLine="219"/>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（3）制定物业服务方案，主要包括：</w:t>
            </w:r>
            <w:r>
              <w:rPr>
                <w:rFonts w:hint="eastAsia" w:asciiTheme="minorEastAsia" w:hAnsiTheme="minorEastAsia" w:eastAsiaTheme="minorEastAsia" w:cstheme="minorEastAsia"/>
                <w:color w:val="000000" w:themeColor="text1"/>
                <w:spacing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绿化服务方案、</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保洁服务方案、保安服务方案等。</w:t>
            </w:r>
            <w:r/>
          </w:p>
        </w:tc>
      </w:tr>
      <w:tr>
        <w:trPr>
          <w:trHeight w:val="459"/>
        </w:trPr>
        <w:tc>
          <w:tcPr>
            <w:tcW w:w="1236" w:type="dxa"/>
            <w:vAlign w:val="top"/>
            <w:vMerge w:val="restart"/>
            <w:textDirection w:val="lrTb"/>
            <w:noWrap w:val="false"/>
          </w:tcPr>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24"/>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10</w:t>
            </w:r>
            <w:r/>
          </w:p>
        </w:tc>
        <w:tc>
          <w:tcPr>
            <w:tcW w:w="3294" w:type="dxa"/>
            <w:vAlign w:val="top"/>
            <w:vMerge w:val="restart"/>
            <w:textDirection w:val="lrTb"/>
            <w:noWrap w:val="false"/>
          </w:tcPr>
          <w:p>
            <w:pPr>
              <w:spacing w:line="3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信报服务</w:t>
            </w:r>
            <w:r/>
          </w:p>
        </w:tc>
        <w:tc>
          <w:tcPr>
            <w:tcW w:w="10020" w:type="dxa"/>
            <w:vAlign w:val="top"/>
            <w:textDirection w:val="lrTb"/>
            <w:noWrap w:val="false"/>
          </w:tcPr>
          <w:p>
            <w:pPr>
              <w:pStyle w:val="867"/>
              <w:ind w:left="334"/>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（1）对邮件、包裹和挂号信等进行正确</w:t>
            </w:r>
            <w:r>
              <w:rPr>
                <w:rFonts w:hint="eastAsia" w:asciiTheme="minorEastAsia" w:hAnsiTheme="minorEastAsia" w:eastAsiaTheme="minorEastAsia" w:cstheme="minorEastAsia"/>
                <w:color w:val="000000" w:themeColor="text1"/>
                <w:spacing w:val="-2"/>
                <w:highlight w:val="none"/>
                <w:lang w:eastAsia="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、安全检查</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和防疫卫生检查。</w:t>
            </w:r>
            <w:r/>
          </w:p>
        </w:tc>
      </w:tr>
      <w:tr>
        <w:trPr>
          <w:trHeight w:val="460"/>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（2）及时投送或通知收件人领取。</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3" w:line="21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（3）大件物品出入向采购人报告，待采购人确认无误后放行。</w:t>
            </w:r>
            <w:r/>
          </w:p>
        </w:tc>
      </w:tr>
      <w:tr>
        <w:trPr>
          <w:trHeight w:val="460"/>
        </w:trPr>
        <w:tc>
          <w:tcPr>
            <w:tcW w:w="1236" w:type="dxa"/>
            <w:vAlign w:val="top"/>
            <w:vMerge w:val="restart"/>
            <w:textDirection w:val="lrTb"/>
            <w:noWrap w:val="false"/>
          </w:tcPr>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24"/>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11</w:t>
            </w:r>
            <w:r/>
          </w:p>
        </w:tc>
        <w:tc>
          <w:tcPr>
            <w:tcW w:w="3294" w:type="dxa"/>
            <w:vAlign w:val="top"/>
            <w:vMerge w:val="restart"/>
            <w:textDirection w:val="lrTb"/>
            <w:noWrap w:val="false"/>
          </w:tcPr>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服务热线及紧急维修</w:t>
            </w:r>
            <w:r/>
          </w:p>
        </w:tc>
        <w:tc>
          <w:tcPr>
            <w:tcW w:w="10020" w:type="dxa"/>
            <w:vAlign w:val="top"/>
            <w:textDirection w:val="lrTb"/>
            <w:noWrap w:val="false"/>
          </w:tcPr>
          <w:p>
            <w:pPr>
              <w:pStyle w:val="867"/>
              <w:ind w:left="334"/>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（1）24 小时受理业主或使用人报修。急修</w:t>
            </w:r>
            <w:r>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小时内到现场处理，一般修理</w:t>
            </w:r>
            <w:r>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天内完成（预约除外）。</w:t>
            </w:r>
            <w:r/>
          </w:p>
        </w:tc>
      </w:tr>
      <w:tr>
        <w:trPr>
          <w:trHeight w:val="458"/>
        </w:trPr>
        <w:tc>
          <w:tcPr>
            <w:tcW w:w="123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29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0" w:type="dxa"/>
            <w:vAlign w:val="top"/>
            <w:textDirection w:val="lrTb"/>
            <w:noWrap w:val="false"/>
          </w:tcPr>
          <w:p>
            <w:pPr>
              <w:pStyle w:val="867"/>
              <w:ind w:left="334"/>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（2）对业主或使用人的投诉在</w:t>
            </w:r>
            <w:r>
              <w:rPr>
                <w:rFonts w:hint="eastAsia" w:asciiTheme="minorEastAsia" w:hAnsiTheme="minorEastAsia" w:eastAsiaTheme="minorEastAsia" w:cstheme="minorEastAsia"/>
                <w:color w:val="000000" w:themeColor="text1"/>
                <w:spacing w:val="-1"/>
                <w:highlight w:val="none"/>
                <w:lang w:val="en-US" w:eastAsia="zh-CN"/>
                <w14:textFill>
                  <w14:solidFill>
                    <w14:schemeClr w14:val="tx1"/>
                  </w14:solidFill>
                </w14:textFill>
              </w:rPr>
              <w:t xml:space="preserve">四</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天内答复处理。</w:t>
            </w:r>
            <w:r/>
          </w:p>
        </w:tc>
      </w:tr>
    </w:tbl>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41"/>
        <w:spacing w:before="90"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3.2房屋维护服务</w:t>
      </w:r>
      <w:r/>
    </w:p>
    <w:p>
      <w:pPr>
        <w:spacing w:line="30"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3319" w:type="dxa"/>
            <w:vAlign w:val="top"/>
            <w:textDirection w:val="lrTb"/>
            <w:noWrap w:val="false"/>
          </w:tcPr>
          <w:p>
            <w:pPr>
              <w:ind w:left="1237"/>
              <w:spacing w:before="91"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w:t>
            </w:r>
            <w:r/>
          </w:p>
        </w:tc>
        <w:tc>
          <w:tcPr>
            <w:tcW w:w="10003" w:type="dxa"/>
            <w:vAlign w:val="top"/>
            <w:textDirection w:val="lrTb"/>
            <w:noWrap w:val="false"/>
          </w:tcPr>
          <w:p>
            <w:pPr>
              <w:ind w:left="4579"/>
              <w:spacing w:before="91"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服务标准</w:t>
            </w:r>
            <w:r/>
          </w:p>
        </w:tc>
      </w:tr>
      <w:tr>
        <w:trPr>
          <w:trHeight w:val="90"/>
        </w:trPr>
        <w:tc>
          <w:tcPr>
            <w:tcW w:w="1245" w:type="dxa"/>
            <w:vAlign w:val="center"/>
            <w:vMerge w:val="restart"/>
            <w:textDirection w:val="lrTb"/>
            <w:noWrap w:val="false"/>
          </w:tcPr>
          <w:p>
            <w:pPr>
              <w:ind w:left="0" w:right="0" w:firstLine="0"/>
              <w:jc w:val="center"/>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3319" w:type="dxa"/>
            <w:vAlign w:val="center"/>
            <w:vMerge w:val="restart"/>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主体结构、围护结构、部品部件</w:t>
            </w:r>
            <w:r/>
          </w:p>
        </w:tc>
        <w:tc>
          <w:tcPr>
            <w:tcW w:w="10003" w:type="dxa"/>
            <w:vAlign w:val="top"/>
            <w:textDirection w:val="lrTb"/>
            <w:noWrap w:val="false"/>
          </w:tcPr>
          <w:p>
            <w:pPr>
              <w:pStyle w:val="867"/>
              <w:ind w:left="114" w:right="104" w:firstLine="219"/>
              <w:spacing w:before="32"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确保物业管理区域内房屋及设施的完好等级和正常使用。</w:t>
            </w:r>
            <w:r/>
          </w:p>
        </w:tc>
      </w:tr>
      <w:tr>
        <w:trPr>
          <w:trHeight w:val="458"/>
        </w:trPr>
        <w:tc>
          <w:tcPr>
            <w:tcW w:w="1245"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19"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03"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玻璃无破裂，五金配件完好，门窗开闭灵活、密封性好、无异常声响。否则应及时修复或更换，不能立即修复的涉及安全性的应采取措施消除安全隐患。</w:t>
            </w:r>
            <w:r/>
          </w:p>
        </w:tc>
      </w:tr>
      <w:tr>
        <w:trPr>
          <w:trHeight w:val="458"/>
        </w:trPr>
        <w:tc>
          <w:tcPr>
            <w:tcW w:w="1245"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19"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03"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粉刷无明显剥落开裂，墙面砖、地坪、地砖、地板平整不起壳、无遗缺，吊顶无污（水）渍、开缝和破损。否则应及时修复或更换。</w:t>
            </w:r>
            <w:r/>
          </w:p>
        </w:tc>
      </w:tr>
      <w:tr>
        <w:trPr>
          <w:trHeight w:val="458"/>
        </w:trPr>
        <w:tc>
          <w:tcPr>
            <w:tcW w:w="1245"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19"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03"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屋面排水沟、室内室外排水管保障畅通；雨前及时巡查，排除隐患。发现过滤网及管道破损及时修复或更换。</w:t>
            </w:r>
            <w:r/>
          </w:p>
        </w:tc>
      </w:tr>
      <w:tr>
        <w:trPr>
          <w:trHeight w:val="458"/>
        </w:trPr>
        <w:tc>
          <w:tcPr>
            <w:tcW w:w="1245"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19"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03"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发现屋面或其他防水层有气鼓、破裂，隔热板有断裂、缺损的，屋面、墙面有渗漏的，应在3个工作日内安排专项修理。</w:t>
            </w:r>
            <w:r/>
          </w:p>
        </w:tc>
      </w:tr>
      <w:tr>
        <w:trPr>
          <w:trHeight w:val="458"/>
        </w:trPr>
        <w:tc>
          <w:tcPr>
            <w:tcW w:w="1245"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19"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03"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及时完成家具、设备等各项零星维修任务，一般维修任务确保不超过24小时，确保家具、设备维修合格率达到100%。</w:t>
            </w:r>
            <w:r/>
          </w:p>
        </w:tc>
      </w:tr>
      <w:tr>
        <w:trPr>
          <w:trHeight w:val="458"/>
        </w:trPr>
        <w:tc>
          <w:tcPr>
            <w:tcW w:w="1245"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19"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03"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无违反规划私搭乱建，擅自改变房屋用途现象。</w:t>
            </w:r>
            <w:r/>
          </w:p>
        </w:tc>
      </w:tr>
      <w:tr>
        <w:trPr>
          <w:trHeight w:val="458"/>
        </w:trPr>
        <w:tc>
          <w:tcPr>
            <w:tcW w:w="1245"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19"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03"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）制定小区房屋装修申请、审批、巡视、验收等装修管理制度，建立业主或使用人房屋装修档案，对不符合规定的行为、现象及时劝阻、制止或报告。</w:t>
            </w:r>
            <w:r/>
          </w:p>
        </w:tc>
      </w:tr>
      <w:tr>
        <w:trPr>
          <w:trHeight w:val="458"/>
        </w:trPr>
        <w:tc>
          <w:tcPr>
            <w:tcW w:w="1245"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19" w:type="dxa"/>
            <w:vAlign w:val="center"/>
            <w:vMerge w:val="continue"/>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03"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160"/>
        </w:trPr>
        <w:tc>
          <w:tcPr>
            <w:tcW w:w="1245" w:type="dxa"/>
            <w:vAlign w:val="center"/>
            <w:vMerge w:val="restart"/>
            <w:textDirection w:val="lrTb"/>
            <w:noWrap w:val="false"/>
          </w:tcPr>
          <w:p>
            <w:pPr>
              <w:ind w:left="0" w:right="0" w:firstLine="0"/>
              <w:jc w:val="center"/>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3319" w:type="dxa"/>
            <w:vAlign w:val="center"/>
            <w:vMerge w:val="restart"/>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其他设施</w:t>
            </w:r>
            <w:r/>
          </w:p>
        </w:tc>
        <w:tc>
          <w:tcPr>
            <w:tcW w:w="10003"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（1）公共部位门窗</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：每月巡视楼内公共部位门窗，保持玻璃、门窗配件完好，门、窗开闭灵活并无</w:t>
            </w:r>
            <w:r/>
          </w:p>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异常声响。</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319" w:type="dxa"/>
            <w:vAlign w:val="center"/>
            <w:vMerge w:val="continue"/>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10003"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）围墙</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：每季一次巡查围墙，发现损坏立即修复，保持围墙完好</w:t>
            </w:r>
            <w:r/>
          </w:p>
        </w:tc>
      </w:tr>
      <w:tr>
        <w:trPr>
          <w:trHeight w:val="305"/>
        </w:trPr>
        <w:tc>
          <w:tcPr>
            <w:tcW w:w="1245" w:type="dxa"/>
            <w:vAlign w:val="center"/>
            <w:vMerge w:val="continue"/>
            <w:textDirection w:val="lrTb"/>
            <w:noWrap w:val="false"/>
          </w:tcPr>
          <w:p>
            <w:pPr>
              <w:ind w:left="0" w:right="0" w:firstLine="0"/>
              <w:jc w:val="center"/>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319" w:type="dxa"/>
            <w:vAlign w:val="center"/>
            <w:vMerge w:val="continue"/>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10003"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）道路、场地等</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：每季一次巡查道路、路面、侧石、井盖等，发现损坏及时修复，保持路面无破损。</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319" w:type="dxa"/>
            <w:vAlign w:val="center"/>
            <w:vMerge w:val="continue"/>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10003"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）排水设施</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：每季清扫 1 次排水明沟，每年对地下管井清理 1 次</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319" w:type="dxa"/>
            <w:vAlign w:val="center"/>
            <w:vMerge w:val="continue"/>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10003"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）给水设施</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：饮用水水池(箱)每年清洗消毒 1 次、水质化验达标</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319" w:type="dxa"/>
            <w:vAlign w:val="center"/>
            <w:vMerge w:val="continue"/>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10003"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）公共部位照明灯、景观灯等</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保持灯具完好。</w:t>
            </w:r>
            <w:r/>
          </w:p>
        </w:tc>
      </w:tr>
      <w:tr>
        <w:trPr>
          <w:trHeight w:val="90"/>
        </w:trPr>
        <w:tc>
          <w:tcPr>
            <w:tcW w:w="1245" w:type="dxa"/>
            <w:vAlign w:val="center"/>
            <w:vMerge w:val="continue"/>
            <w:textDirection w:val="lrTb"/>
            <w:noWrap w:val="false"/>
          </w:tcPr>
          <w:p>
            <w:pPr>
              <w:ind w:left="0" w:right="0" w:firstLine="0"/>
              <w:jc w:val="center"/>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319" w:type="dxa"/>
            <w:vAlign w:val="center"/>
            <w:vMerge w:val="continue"/>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10003"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）其他设施</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：每月巡查 1 次小区房屋单元门、楼道、管线井道、机房以及其它共用设施设备,并及时维修养护，保证正常运行；小区主要道路及停车场交通标志齐全</w:t>
            </w:r>
            <w:r/>
          </w:p>
        </w:tc>
      </w:tr>
      <w:tr>
        <w:trPr>
          <w:trHeight w:val="160"/>
        </w:trPr>
        <w:tc>
          <w:tcPr>
            <w:tcW w:w="1245" w:type="dxa"/>
            <w:vAlign w:val="center"/>
            <w:vMerge w:val="continue"/>
            <w:textDirection w:val="lrTb"/>
            <w:noWrap w:val="false"/>
          </w:tcPr>
          <w:p>
            <w:pPr>
              <w:ind w:left="0" w:right="0" w:firstLine="0"/>
              <w:jc w:val="center"/>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319" w:type="dxa"/>
            <w:vAlign w:val="center"/>
            <w:vMerge w:val="continue"/>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10003"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5"/>
        </w:trPr>
        <w:tc>
          <w:tcPr>
            <w:tcW w:w="1245" w:type="dxa"/>
            <w:vAlign w:val="center"/>
            <w:textDirection w:val="lrTb"/>
            <w:noWrap w:val="false"/>
          </w:tcPr>
          <w:p>
            <w:pPr>
              <w:ind w:left="0" w:right="0" w:firstLine="0"/>
              <w:jc w:val="center"/>
              <w:spacing w:before="136"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3319" w:type="dxa"/>
            <w:vAlign w:val="center"/>
            <w:textDirection w:val="lrTb"/>
            <w:noWrap w:val="false"/>
          </w:tcPr>
          <w:p>
            <w:pPr>
              <w:pStyle w:val="867"/>
              <w:ind w:left="0" w:right="0" w:firstLine="0"/>
              <w:jc w:val="center"/>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装饰装修监督管理</w:t>
            </w:r>
            <w:r/>
          </w:p>
        </w:tc>
        <w:tc>
          <w:tcPr>
            <w:tcW w:w="10003" w:type="dxa"/>
            <w:vAlign w:val="top"/>
            <w:textDirection w:val="lrTb"/>
            <w:noWrap w:val="false"/>
          </w:tcPr>
          <w:p>
            <w:pPr>
              <w:pStyle w:val="867"/>
              <w:ind w:left="333"/>
              <w:spacing w:before="94" w:line="219" w:lineRule="auto"/>
              <w:shd w:val="clear" w:color="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w:t>
            </w:r>
            <w:r/>
          </w:p>
        </w:tc>
      </w:tr>
      <w:tr>
        <w:trPr>
          <w:trHeight w:val="90"/>
        </w:trPr>
        <w:tc>
          <w:tcPr>
            <w:tcW w:w="1245" w:type="dxa"/>
            <w:vAlign w:val="center"/>
            <w:textDirection w:val="lrTb"/>
            <w:noWrap w:val="false"/>
          </w:tcPr>
          <w:p>
            <w:pPr>
              <w:ind w:left="0" w:right="0" w:firstLine="0"/>
              <w:jc w:val="center"/>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3319" w:type="dxa"/>
            <w:vAlign w:val="center"/>
            <w:textDirection w:val="lrTb"/>
            <w:noWrap w:val="false"/>
          </w:tcPr>
          <w:p>
            <w:pPr>
              <w:pStyle w:val="867"/>
              <w:ind w:left="0" w:right="0" w:firstLine="0"/>
              <w:jc w:val="center"/>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标识标牌</w:t>
            </w:r>
            <w:r/>
          </w:p>
        </w:tc>
        <w:tc>
          <w:tcPr>
            <w:tcW w:w="10003" w:type="dxa"/>
            <w:vAlign w:val="top"/>
            <w:textDirection w:val="lrTb"/>
            <w:noWrap w:val="false"/>
          </w:tcPr>
          <w:p>
            <w:pPr>
              <w:pStyle w:val="867"/>
              <w:ind w:left="117" w:right="102" w:firstLine="216"/>
              <w:jc w:val="both"/>
              <w:spacing w:before="33" w:line="274" w:lineRule="auto"/>
              <w:shd w:val="clear" w:color="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w:t>
            </w:r>
            <w:r/>
          </w:p>
        </w:tc>
      </w:tr>
    </w:tbl>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41"/>
        <w:spacing w:before="90"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3.3公用设施设备维护服务</w:t>
      </w:r>
      <w:r/>
    </w:p>
    <w:p>
      <w:pPr>
        <w:spacing w:line="29"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3347" w:type="dxa"/>
            <w:vAlign w:val="top"/>
            <w:textDirection w:val="lrTb"/>
            <w:noWrap w:val="false"/>
          </w:tcPr>
          <w:p>
            <w:pPr>
              <w:ind w:left="1249"/>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w:t>
            </w:r>
            <w:r/>
          </w:p>
        </w:tc>
        <w:tc>
          <w:tcPr>
            <w:tcW w:w="10022" w:type="dxa"/>
            <w:vAlign w:val="top"/>
            <w:textDirection w:val="lrTb"/>
            <w:noWrap w:val="false"/>
          </w:tcPr>
          <w:p>
            <w:pPr>
              <w:ind w:left="4587"/>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服务标准</w:t>
            </w:r>
            <w:r/>
          </w:p>
        </w:tc>
      </w:tr>
      <w:tr>
        <w:trPr>
          <w:trHeight w:val="460"/>
        </w:trPr>
        <w:tc>
          <w:tcPr>
            <w:tcW w:w="1248" w:type="dxa"/>
            <w:vAlign w:val="top"/>
            <w:vMerge w:val="restart"/>
            <w:textDirection w:val="lrTb"/>
            <w:noWrap w:val="false"/>
          </w:tcPr>
          <w:p>
            <w:pPr>
              <w:spacing w:line="32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2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86"/>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3347" w:type="dxa"/>
            <w:vAlign w:val="top"/>
            <w:vMerge w:val="restart"/>
            <w:textDirection w:val="lrTb"/>
            <w:noWrap w:val="false"/>
          </w:tcPr>
          <w:p>
            <w:pPr>
              <w:spacing w:line="29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基本要求</w:t>
            </w:r>
            <w:r/>
          </w:p>
        </w:tc>
        <w:tc>
          <w:tcPr>
            <w:tcW w:w="10022"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（1）重大节假日及恶劣天气前后，组织系统巡</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检</w:t>
            </w:r>
            <w:r>
              <w:rPr>
                <w:rFonts w:hint="eastAsia" w:asciiTheme="minorEastAsia" w:hAnsiTheme="minorEastAsia" w:eastAsiaTheme="minorEastAsia" w:cstheme="minorEastAsia"/>
                <w:color w:val="000000" w:themeColor="text1"/>
                <w:spacing w:val="-3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次。</w:t>
            </w:r>
            <w:r/>
          </w:p>
        </w:tc>
      </w:tr>
      <w:tr>
        <w:trPr>
          <w:trHeight w:val="684"/>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112" w:right="114" w:firstLine="219"/>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（2）具备设施设备安全、稳定运行的环境和场所（含有限空间），温湿度、照度、粉尘和烟雾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浓度等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符合相关安全规范。</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1"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1023"/>
        </w:trPr>
        <w:tc>
          <w:tcPr>
            <w:tcW w:w="1248" w:type="dxa"/>
            <w:vAlign w:val="top"/>
            <w:vMerge w:val="restart"/>
            <w:textDirection w:val="lrTb"/>
            <w:noWrap w:val="false"/>
          </w:tcPr>
          <w:p>
            <w:pPr>
              <w:spacing w:line="30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0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0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80"/>
              <w:spacing w:before="6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3347" w:type="dxa"/>
            <w:vAlign w:val="top"/>
            <w:vMerge w:val="restart"/>
            <w:textDirection w:val="lrTb"/>
            <w:noWrap w:val="false"/>
          </w:tcPr>
          <w:p>
            <w:pPr>
              <w:spacing w:line="29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2"/>
              <w:spacing w:before="6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设备机房</w:t>
            </w:r>
            <w:r/>
          </w:p>
        </w:tc>
        <w:tc>
          <w:tcPr>
            <w:tcW w:w="10022" w:type="dxa"/>
            <w:vAlign w:val="top"/>
            <w:textDirection w:val="lrTb"/>
            <w:noWrap w:val="false"/>
          </w:tcPr>
          <w:p>
            <w:pPr>
              <w:pStyle w:val="867"/>
              <w:ind w:left="109" w:right="104" w:firstLine="221"/>
              <w:jc w:val="both"/>
              <w:spacing w:before="35" w:line="27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（1）设备机房门口有机房类别及安全标志。</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落实各类机房责任人、督查人，</w:t>
            </w:r>
            <w:r>
              <w:rPr>
                <w:rFonts w:hint="eastAsia" w:asciiTheme="minorEastAsia" w:hAnsiTheme="minorEastAsia" w:eastAsiaTheme="minorEastAsia" w:cstheme="minorEastAsia"/>
                <w:color w:val="000000" w:themeColor="text1"/>
                <w:spacing w:val="-3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且设备系统图、应急预案</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流程图、管理制度、特种作业人员资格证书等上墙文件或</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证书符合各设备机房国家标准规范要求，机房巡视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及外来人员记录清晰完整，标识统一。</w:t>
            </w:r>
            <w:r/>
          </w:p>
        </w:tc>
      </w:tr>
      <w:tr>
        <w:trPr>
          <w:trHeight w:val="45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（2）设备机房门窗、锁具应当完好、有效。</w:t>
            </w:r>
            <w:r/>
          </w:p>
        </w:tc>
      </w:tr>
      <w:tr>
        <w:trPr>
          <w:trHeight w:val="691"/>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37"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（3）每半月至少开展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次清洁，整洁有序、</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无杂物、无积尘、无鼠、无虫害，温湿度符合设备运行要</w:t>
            </w:r>
            <w:r/>
          </w:p>
          <w:p>
            <w:pPr>
              <w:pStyle w:val="867"/>
              <w:ind w:left="112"/>
              <w:spacing w:before="89"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求。</w:t>
            </w:r>
            <w:r/>
          </w:p>
        </w:tc>
      </w:tr>
      <w:tr>
        <w:trPr>
          <w:trHeight w:val="492"/>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109" w:line="234"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（4）按各设备机房国家标准规范规定维护/保管消防、通风、应急照明，防止小动物进入。</w:t>
            </w:r>
            <w:r/>
          </w:p>
        </w:tc>
      </w:tr>
      <w:tr>
        <w:trPr>
          <w:trHeight w:val="496"/>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10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（5）安全防护用具配置齐全，检验合格。</w:t>
            </w:r>
            <w:r/>
          </w:p>
        </w:tc>
      </w:tr>
      <w:tr>
        <w:trPr>
          <w:trHeight w:val="487"/>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10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（6）应急设施设备用品应当齐全、完备， 可随时启用。</w:t>
            </w:r>
            <w:r/>
          </w:p>
        </w:tc>
      </w:tr>
      <w:tr>
        <w:trPr>
          <w:trHeight w:val="487"/>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102"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48" w:type="dxa"/>
            <w:vAlign w:val="top"/>
            <w:vMerge w:val="restart"/>
            <w:textDirection w:val="lrTb"/>
            <w:noWrap w:val="false"/>
          </w:tcPr>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9"/>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3347" w:type="dxa"/>
            <w:vAlign w:val="top"/>
            <w:vMerge w:val="restart"/>
            <w:textDirection w:val="lrTb"/>
            <w:noWrap w:val="false"/>
          </w:tcPr>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0"/>
              <w:spacing w:before="6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给排水系统</w:t>
            </w:r>
            <w:r/>
          </w:p>
        </w:tc>
        <w:tc>
          <w:tcPr>
            <w:tcW w:w="10022" w:type="dxa"/>
            <w:vAlign w:val="top"/>
            <w:textDirection w:val="lrTb"/>
            <w:noWrap w:val="false"/>
          </w:tcPr>
          <w:p>
            <w:pPr>
              <w:pStyle w:val="867"/>
              <w:ind w:left="331"/>
              <w:spacing w:before="87"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（1）生活饮用水卫生符合《生活饮用水卫生标准》（GB5749）的相关要求。</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（2）二次供水卫生符合《二次供水设施卫生规范》（GB17051）的相关要求。</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每半年对给排水系统进行维护、润滑。</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用户末端的水压及流量满足使用要求。</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每季对楼宇排水总管进行检查，每半年对水泵、管道进行防锈处理。</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确保水质无污染并符合规定的要求，生活饮用水水质符合GB5749一2006《生活饮用水卫生标准》的要求。生活饮用水设施的日常使用管理、清洗消毒、作业人员健康检查以及水质检测参照建设部、卫生部《城市供水水质管理规定》(建设部令第156号)执行。按规定对二次供水蓄水设施设备进行清洁、消毒。请有资质人员定期清洗水箱，每年不少于1次，并提供清洗后水质检测报告。</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每季度对水质处理、消毒装置、电开水炉及设备控制柜进行保养。</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每年至少清理污水化粪池一次，确保排水微量元素等达标。</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每月清扫一次排水明沟，每半年对地下管井彻底疏通一次，每年对地下管井清理一次。</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48" w:type="dxa"/>
            <w:vAlign w:val="top"/>
            <w:vMerge w:val="restart"/>
            <w:textDirection w:val="lrTb"/>
            <w:noWrap w:val="false"/>
          </w:tcPr>
          <w:p>
            <w:pPr>
              <w:spacing w:line="27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3"/>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3347" w:type="dxa"/>
            <w:vAlign w:val="top"/>
            <w:vMerge w:val="restart"/>
            <w:textDirection w:val="lrTb"/>
            <w:noWrap w:val="false"/>
          </w:tcPr>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33"/>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电梯系统</w:t>
            </w:r>
            <w:r/>
          </w:p>
        </w:tc>
        <w:tc>
          <w:tcPr>
            <w:tcW w:w="10022" w:type="dxa"/>
            <w:vAlign w:val="top"/>
            <w:textDirection w:val="lrTb"/>
            <w:noWrap w:val="false"/>
          </w:tcPr>
          <w:p>
            <w:pPr>
              <w:pStyle w:val="867"/>
              <w:ind w:left="33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（1）电梯运行平稳、无异响、平层、开关</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正常。每周至少开展</w:t>
            </w:r>
            <w:r>
              <w:rPr>
                <w:rFonts w:hint="eastAsia" w:asciiTheme="minorEastAsia" w:hAnsiTheme="minorEastAsia" w:eastAsiaTheme="minorEastAsia" w:cstheme="minorEastAsia"/>
                <w:color w:val="000000" w:themeColor="text1"/>
                <w:spacing w:val="-4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次电梯的安全状况检查。</w:t>
            </w:r>
            <w:r/>
          </w:p>
        </w:tc>
      </w:tr>
      <w:tr>
        <w:trPr>
          <w:trHeight w:val="687"/>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35"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（2）电梯准用证、年检合格证等证件齐全。相关证件、紧急救援电话和乘客注意事项置于轿厢醒目位</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置。</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1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（3）每年至少开展</w:t>
            </w:r>
            <w:r>
              <w:rPr>
                <w:rFonts w:hint="eastAsia" w:asciiTheme="minorEastAsia" w:hAnsiTheme="minorEastAsia" w:eastAsiaTheme="minorEastAsia" w:cstheme="minorEastAsia"/>
                <w:color w:val="000000" w:themeColor="text1"/>
                <w:spacing w:val="-3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次对电梯的全面检测，并出具检测报告，</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核发电梯使用标志。</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（4）电梯维保应当符合《电梯维护保养规则》</w:t>
            </w:r>
            <w:r>
              <w:rPr>
                <w:rFonts w:hint="eastAsia" w:asciiTheme="minorEastAsia" w:hAnsiTheme="minorEastAsia" w:eastAsiaTheme="minorEastAsia" w:cstheme="minorEastAsia"/>
                <w:color w:val="000000" w:themeColor="text1"/>
                <w:spacing w:val="-49"/>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TSG T5002）的有关要求。</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（5）电梯使用应当符合《特种设备使用管</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理规则》</w:t>
            </w:r>
            <w:r>
              <w:rPr>
                <w:rFonts w:hint="eastAsia" w:asciiTheme="minorEastAsia" w:hAnsiTheme="minorEastAsia" w:eastAsiaTheme="minorEastAsia" w:cstheme="minorEastAsia"/>
                <w:color w:val="000000" w:themeColor="text1"/>
                <w:spacing w:val="-4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（TSG 08）的有关要求。</w:t>
            </w:r>
            <w:r/>
          </w:p>
        </w:tc>
      </w:tr>
      <w:tr>
        <w:trPr>
          <w:trHeight w:val="686"/>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112" w:right="106" w:firstLine="219"/>
              <w:spacing w:before="36"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（6）运行出现险情后，应有排除险情的应急处理措施。临时故障紧急修理，</w:t>
            </w:r>
            <w:r>
              <w:rPr>
                <w:rFonts w:hint="eastAsia" w:asciiTheme="minorEastAsia" w:hAnsiTheme="minorEastAsia" w:eastAsiaTheme="minorEastAsia" w:cstheme="minorEastAsia"/>
                <w:color w:val="000000" w:themeColor="text1"/>
                <w:spacing w:val="-5"/>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通知后30分钟内到现场检修。</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到现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场进行救助和排除故障。电梯紧急电话保持畅通。</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（8）电梯维修、保养时在现场设置提示标识和防护围栏。</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保证电梯的24小时正常运转使用。</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9"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每月2次由技术人员上门维保，每次间隔时间不超过15天，按工艺和规范对电梯作机电上之安全检查及各机件之加油润滑、清理点检、性能调整等作业。</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9"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）全责保养维护。电梯系统管理维护费用包含保养费用和年检费用。</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9"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9"/>
        </w:trPr>
        <w:tc>
          <w:tcPr>
            <w:tcW w:w="1248" w:type="dxa"/>
            <w:vAlign w:val="top"/>
            <w:vMerge w:val="restart"/>
            <w:textDirection w:val="lrTb"/>
            <w:noWrap w:val="false"/>
          </w:tcPr>
          <w:p>
            <w:pPr>
              <w:spacing w:line="24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8"/>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W w:w="3347" w:type="dxa"/>
            <w:vAlign w:val="top"/>
            <w:vMerge w:val="restart"/>
            <w:textDirection w:val="lrTb"/>
            <w:noWrap w:val="false"/>
          </w:tcPr>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5"/>
              <w:spacing w:before="69"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空调系统</w:t>
            </w:r>
            <w:r/>
          </w:p>
        </w:tc>
        <w:tc>
          <w:tcPr>
            <w:tcW w:w="10022"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（1）空调通风系统运行管理符合《空调通风系统运行管理标准》（GB50365）的相关要求。</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34"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（2）办公楼内温湿度、空气质量等符合《室内空气质量标准》（GB/T18883）的相关要求。</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（3）定期维保并做好记录， 保证空调设施设备处于良好状态。</w:t>
            </w:r>
            <w:r/>
          </w:p>
        </w:tc>
      </w:tr>
      <w:tr>
        <w:trPr>
          <w:trHeight w:val="10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112" w:right="108" w:firstLine="219"/>
              <w:spacing w:before="33"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（4）定期检查保养，及时排除故障。</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每半年对内置滤网清洗一次。</w:t>
            </w:r>
            <w:r/>
          </w:p>
        </w:tc>
      </w:tr>
      <w:tr>
        <w:trPr>
          <w:trHeight w:val="461"/>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（6）通过有效的管理措施及技术措施，积极开展节能管理工作。</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0"/>
        </w:trPr>
        <w:tc>
          <w:tcPr>
            <w:tcW w:w="1248" w:type="dxa"/>
            <w:vAlign w:val="top"/>
            <w:vMerge w:val="restart"/>
            <w:textDirection w:val="lrTb"/>
            <w:noWrap w:val="false"/>
          </w:tcPr>
          <w:p>
            <w:pPr>
              <w:spacing w:line="25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9"/>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w:t>
            </w:r>
            <w:r/>
          </w:p>
        </w:tc>
        <w:tc>
          <w:tcPr>
            <w:tcW w:w="3347" w:type="dxa"/>
            <w:vAlign w:val="top"/>
            <w:vMerge w:val="restart"/>
            <w:textDirection w:val="lrTb"/>
            <w:noWrap w:val="false"/>
          </w:tcPr>
          <w:p>
            <w:pPr>
              <w:spacing w:line="3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3"/>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消防系统</w:t>
            </w:r>
            <w:r/>
          </w:p>
        </w:tc>
        <w:tc>
          <w:tcPr>
            <w:tcW w:w="10022" w:type="dxa"/>
            <w:vAlign w:val="top"/>
            <w:textDirection w:val="lrTb"/>
            <w:noWrap w:val="false"/>
          </w:tcPr>
          <w:p>
            <w:pPr>
              <w:pStyle w:val="867"/>
              <w:ind w:left="33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（1）消防设施的维护管理符合《建筑消防设施的维护管理》（GB25201）的相关要求。</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（2）消防设备检测符合《建筑消防设施检测技术规程》（GA503</w:t>
            </w:r>
            <w:r>
              <w:rPr>
                <w:rFonts w:hint="eastAsia" w:asciiTheme="minorEastAsia" w:hAnsiTheme="minorEastAsia" w:eastAsiaTheme="minorEastAsia" w:cstheme="minorEastAsia"/>
                <w:color w:val="000000" w:themeColor="text1"/>
                <w:spacing w:val="1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或</w:t>
            </w:r>
            <w:r>
              <w:rPr>
                <w:rFonts w:hint="eastAsia" w:asciiTheme="minorEastAsia" w:hAnsiTheme="minorEastAsia" w:eastAsiaTheme="minorEastAsia" w:cstheme="minorEastAsia"/>
                <w:color w:val="000000" w:themeColor="text1"/>
                <w:spacing w:val="-5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XF503）的相关要求。</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（3）消防设施平面图、火警疏散示意图、防火分区图等按幢设置在楼层醒目位置。</w:t>
            </w:r>
            <w:r/>
          </w:p>
        </w:tc>
      </w:tr>
      <w:tr>
        <w:trPr>
          <w:trHeight w:val="465"/>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（4）消防系统各设施设备使用说明清晰， 宜图文结合。</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spacing w:val="-6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自动喷水灭火系统启动正常。</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（6）消火栓箱、防火门、灭火器、消防水泵、红外线报警器、应急照明、安全疏散等系统运行正常。</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（7）消防监控系统运行良好，自动和手动报警设施启动正常。</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（8）正压送风、防排烟系统运行正常。</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日常养护包含不限于：消防供配电、火灾自动报警及联动控制系统、电气火灾监控系统、消火栓给水系统、湿式自动喷水灭火系统、机械排烟系统、防火分隔设施、应急照明及疏散指示系统、灭火器等；养护根据《建筑消防设施维护保养技术规程》进行日常的维护。消防对应的为五级服务标准执行。</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）消防设施、设备</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w:t>
            </w:r>
            <w:r/>
          </w:p>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消防设施设备可随时启用，消防通道畅通</w:t>
            </w:r>
            <w:r/>
          </w:p>
          <w:p>
            <w:pPr>
              <w:pStyle w:val="867"/>
              <w:ind w:left="113" w:right="107" w:firstLine="219"/>
              <w:jc w:val="both"/>
              <w:spacing w:before="36" w:line="27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、每半年检查一次消防水带、阀杆处加注润滑油并作一次放水检查。</w:t>
            </w:r>
            <w:r/>
          </w:p>
          <w:p>
            <w:pPr>
              <w:pStyle w:val="867"/>
              <w:ind w:left="331"/>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、每月检查一次灭火器，临近失效立即更新或充压。</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48" w:type="dxa"/>
            <w:vAlign w:val="top"/>
            <w:vMerge w:val="restart"/>
            <w:textDirection w:val="lrTb"/>
            <w:noWrap w:val="false"/>
          </w:tcPr>
          <w:p>
            <w:pPr>
              <w:spacing w:line="27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8"/>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w:t>
            </w:r>
            <w:r/>
          </w:p>
        </w:tc>
        <w:tc>
          <w:tcPr>
            <w:tcW w:w="3347" w:type="dxa"/>
            <w:vAlign w:val="top"/>
            <w:vMerge w:val="restart"/>
            <w:textDirection w:val="lrTb"/>
            <w:noWrap w:val="false"/>
          </w:tcPr>
          <w:p>
            <w:pPr>
              <w:spacing w:line="27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供配电系统</w:t>
            </w:r>
            <w:r/>
          </w:p>
        </w:tc>
        <w:tc>
          <w:tcPr>
            <w:tcW w:w="10022"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（1）建立</w:t>
            </w:r>
            <w:r>
              <w:rPr>
                <w:rFonts w:hint="eastAsia" w:asciiTheme="minorEastAsia" w:hAnsiTheme="minorEastAsia" w:eastAsiaTheme="minorEastAsia" w:cstheme="minorEastAsia"/>
                <w:color w:val="000000" w:themeColor="text1"/>
                <w:spacing w:val="-4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24</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小时运行值班监控制度。</w:t>
            </w:r>
            <w:r/>
          </w:p>
        </w:tc>
      </w:tr>
      <w:tr>
        <w:trPr>
          <w:trHeight w:val="686"/>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111" w:right="104" w:firstLine="219"/>
              <w:spacing w:before="33" w:line="26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（2）对供电范围内的电气设备定期巡视维护，</w:t>
            </w:r>
            <w:r>
              <w:rPr>
                <w:rFonts w:hint="eastAsia" w:asciiTheme="minorEastAsia" w:hAnsiTheme="minorEastAsia" w:eastAsiaTheme="minorEastAsia" w:cstheme="minorEastAsia"/>
                <w:color w:val="000000" w:themeColor="text1"/>
                <w:spacing w:val="-3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加强高低压配电柜、</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配电箱、控制柜及线路等重点部位</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监测。</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（3）公共使用的照明、指示灯具线路、开关、接地等保持完好，确保用电安全。</w:t>
            </w:r>
            <w:r/>
          </w:p>
        </w:tc>
      </w:tr>
      <w:tr>
        <w:trPr>
          <w:trHeight w:val="461"/>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（4）核心部位用电建立高可控用电保障和</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配备应急发电设备， 定期维护应急发电设备。</w:t>
            </w:r>
            <w:r/>
          </w:p>
        </w:tc>
      </w:tr>
      <w:tr>
        <w:trPr>
          <w:trHeight w:val="686"/>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117" w:right="104" w:firstLine="214"/>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（5）发生非计划性停电的，</w:t>
            </w:r>
            <w:r>
              <w:rPr>
                <w:rFonts w:hint="eastAsia" w:asciiTheme="minorEastAsia" w:hAnsiTheme="minorEastAsia" w:eastAsiaTheme="minorEastAsia" w:cstheme="minorEastAsia"/>
                <w:color w:val="000000" w:themeColor="text1"/>
                <w:spacing w:val="-3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应当在事件发生后及时通知采购人，快速恢复或启用应急电源</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并做好应</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急事件上报及处理工作。</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1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（6）复杂故障涉及供电部门维修处置的及时与供电部门联系， 并向采购人报告。</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对区域内的电气管线、电线电缆、电源开关、动力插座、电开水炉等低压用电设施进行日常管理和维护、维修，保持设施正常运行</w:t>
            </w:r>
            <w:r/>
          </w:p>
        </w:tc>
      </w:tr>
      <w:tr>
        <w:trPr>
          <w:trHeight w:val="461"/>
        </w:trPr>
        <w:tc>
          <w:tcPr>
            <w:tcW w:w="1248" w:type="dxa"/>
            <w:vAlign w:val="top"/>
            <w:vMerge w:val="restart"/>
            <w:textDirection w:val="lrTb"/>
            <w:noWrap w:val="false"/>
          </w:tcPr>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7"/>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w:t>
            </w:r>
            <w:r/>
          </w:p>
        </w:tc>
        <w:tc>
          <w:tcPr>
            <w:tcW w:w="3347" w:type="dxa"/>
            <w:vAlign w:val="top"/>
            <w:vMerge w:val="restart"/>
            <w:textDirection w:val="lrTb"/>
            <w:noWrap w:val="false"/>
          </w:tcPr>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2"/>
              <w:spacing w:before="68"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弱电系统</w:t>
            </w:r>
            <w:r/>
          </w:p>
        </w:tc>
        <w:tc>
          <w:tcPr>
            <w:tcW w:w="10022" w:type="dxa"/>
            <w:vAlign w:val="top"/>
            <w:textDirection w:val="lrTb"/>
            <w:noWrap w:val="false"/>
          </w:tcPr>
          <w:p>
            <w:pPr>
              <w:pStyle w:val="867"/>
              <w:ind w:left="331"/>
              <w:spacing w:before="93" w:line="234"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（1）安全防范系统维护保养符合《安全防范系统维护保养规范》（GA</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/T</w:t>
            </w:r>
            <w:r>
              <w:rPr>
                <w:rFonts w:hint="eastAsia" w:asciiTheme="minorEastAsia" w:hAnsiTheme="minorEastAsia" w:eastAsiaTheme="minorEastAsia" w:cstheme="minorEastAsia"/>
                <w:color w:val="000000" w:themeColor="text1"/>
                <w:spacing w:val="1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1081）的相关要求。</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（2）保持监控系统、门禁系统、安全防范系统等运行正常，有故障及时排除。</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0"/>
        </w:trPr>
        <w:tc>
          <w:tcPr>
            <w:tcW w:w="1248" w:type="dxa"/>
            <w:vAlign w:val="top"/>
            <w:vMerge w:val="restart"/>
            <w:textDirection w:val="lrTb"/>
            <w:noWrap w:val="false"/>
          </w:tcPr>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7"/>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w:t>
            </w:r>
            <w:r/>
          </w:p>
        </w:tc>
        <w:tc>
          <w:tcPr>
            <w:tcW w:w="3347" w:type="dxa"/>
            <w:vAlign w:val="top"/>
            <w:vMerge w:val="restart"/>
            <w:textDirection w:val="lrTb"/>
            <w:noWrap w:val="false"/>
          </w:tcPr>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5"/>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照明系统</w:t>
            </w:r>
            <w:r/>
          </w:p>
        </w:tc>
        <w:tc>
          <w:tcPr>
            <w:tcW w:w="10022"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（1）外观整洁无缺损、无松落。</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（2）更换的照明灯具应当选用节能环保产品，亮度与更换前保持一致。</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（3）每周至少开展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次公共区域照明设备巡视。</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负责各类照明灯具、泛光照明系统、供用电设备设施的日常管理和维护修理。</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保证整个大楼的供电安全。保证正常供电、限电、停电，有明确的审批权限并按规定时间通知用户。</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制定临时用电管理措施与停电应急处理措施并严格执行，应急供电系统运行正常。</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通过有效的管理措施及技术措施，积极开展节能管理工作。</w:t>
            </w:r>
            <w:r/>
          </w:p>
        </w:tc>
      </w:tr>
      <w:tr>
        <w:trPr>
          <w:trHeight w:val="463"/>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0"/>
        </w:trPr>
        <w:tc>
          <w:tcPr>
            <w:tcW w:w="1248" w:type="dxa"/>
            <w:vAlign w:val="top"/>
            <w:vMerge w:val="restart"/>
            <w:textDirection w:val="lrTb"/>
            <w:noWrap w:val="false"/>
          </w:tcPr>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31"/>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10</w:t>
            </w:r>
            <w:r/>
          </w:p>
        </w:tc>
        <w:tc>
          <w:tcPr>
            <w:tcW w:w="3347" w:type="dxa"/>
            <w:vAlign w:val="top"/>
            <w:vMerge w:val="restart"/>
            <w:textDirection w:val="lrTb"/>
            <w:noWrap w:val="false"/>
          </w:tcPr>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8" w:line="234"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锅炉设备/热力站</w:t>
            </w:r>
            <w:r/>
          </w:p>
        </w:tc>
        <w:tc>
          <w:tcPr>
            <w:tcW w:w="10022"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（1）建立</w:t>
            </w:r>
            <w:r>
              <w:rPr>
                <w:rFonts w:hint="eastAsia" w:asciiTheme="minorEastAsia" w:hAnsiTheme="minorEastAsia" w:eastAsiaTheme="minorEastAsia" w:cstheme="minorEastAsia"/>
                <w:color w:val="000000" w:themeColor="text1"/>
                <w:spacing w:val="-4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24</w:t>
            </w:r>
            <w:r>
              <w:rPr>
                <w:rFonts w:hint="eastAsia" w:asciiTheme="minorEastAsia" w:hAnsiTheme="minorEastAsia" w:eastAsiaTheme="minorEastAsia" w:cstheme="minorEastAsia"/>
                <w:color w:val="000000" w:themeColor="text1"/>
                <w:spacing w:val="1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小时值班监控制度。</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（2）每年至少开展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次锅炉设备的全面检查。</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（3）每年至少开展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次锅炉设备及其辅助设备检测， 确保各类设备、仪器仪表、水管线路运行正常。</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（4）每年至少开展</w:t>
            </w:r>
            <w:r>
              <w:rPr>
                <w:rFonts w:hint="eastAsia" w:asciiTheme="minorEastAsia" w:hAnsiTheme="minorEastAsia" w:eastAsiaTheme="minorEastAsia" w:cstheme="minorEastAsia"/>
                <w:color w:val="000000" w:themeColor="text1"/>
                <w:spacing w:val="-3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次锅炉水质检测，确保水质合</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格。</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（5）按锅炉厂家制定的检修规程对锅炉进行检修。</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1"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0"/>
        </w:trPr>
        <w:tc>
          <w:tcPr>
            <w:tcW w:w="1248" w:type="dxa"/>
            <w:vAlign w:val="top"/>
            <w:vMerge w:val="restart"/>
            <w:textDirection w:val="lrTb"/>
            <w:noWrap w:val="false"/>
          </w:tcPr>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31"/>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11</w:t>
            </w:r>
            <w:r/>
          </w:p>
        </w:tc>
        <w:tc>
          <w:tcPr>
            <w:tcW w:w="3347" w:type="dxa"/>
            <w:vAlign w:val="top"/>
            <w:vMerge w:val="restart"/>
            <w:textDirection w:val="lrTb"/>
            <w:noWrap w:val="false"/>
          </w:tcPr>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8"/>
              <w:spacing w:before="6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采暖系统</w:t>
            </w:r>
            <w:r/>
          </w:p>
        </w:tc>
        <w:tc>
          <w:tcPr>
            <w:tcW w:w="10022" w:type="dxa"/>
            <w:vAlign w:val="top"/>
            <w:textDirection w:val="lrTb"/>
            <w:noWrap w:val="false"/>
          </w:tcPr>
          <w:p>
            <w:pPr>
              <w:pStyle w:val="867"/>
              <w:ind w:left="331"/>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（1）定期检查供暖管道、阀门运行情况，</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确保正常无隐患。</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（3）做好供暖前检查等相关准备工作。</w:t>
            </w:r>
            <w:r/>
          </w:p>
        </w:tc>
      </w:tr>
      <w:tr>
        <w:trPr>
          <w:trHeight w:val="460"/>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（4）暖气片上水前，</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提前通知采购人。</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（5）供暖期间做好日常检查、维护、抢修、登记上报等工作。</w:t>
            </w:r>
            <w:r/>
          </w:p>
        </w:tc>
      </w:tr>
      <w:tr>
        <w:trPr>
          <w:trHeight w:val="458"/>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（6）根据天气情况适时调节供暖设备运行工况，节约能源。</w:t>
            </w:r>
            <w:r/>
          </w:p>
        </w:tc>
      </w:tr>
      <w:tr>
        <w:trPr>
          <w:trHeight w:val="465"/>
        </w:trPr>
        <w:tc>
          <w:tcPr>
            <w:tcW w:w="1248"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4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10022"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bl>
    <w:p>
      <w:pPr>
        <w:ind w:left="126" w:right="218" w:firstLine="5"/>
        <w:spacing w:before="33" w:line="25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注：电梯系统、锅炉设备等设施设备的安装改造维修应</w:t>
      </w: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 xml:space="preserve">当由具备相应资质的供应商完成，如供应商自身不具备， 可进行分包由具有相应资质的单位完成。服</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务标准涉及的国家标准有更新的，执行国家最新标准。</w:t>
      </w:r>
      <w:r/>
    </w:p>
    <w:p>
      <w:pPr>
        <w:spacing w:line="33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3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41"/>
        <w:spacing w:before="90"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3.4保洁服务</w:t>
      </w:r>
      <w:r/>
    </w:p>
    <w:p>
      <w:pPr>
        <w:spacing w:line="29"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3371" w:type="dxa"/>
            <w:vAlign w:val="top"/>
            <w:textDirection w:val="lrTb"/>
            <w:noWrap w:val="false"/>
          </w:tcPr>
          <w:p>
            <w:pPr>
              <w:ind w:left="1263"/>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w:t>
            </w:r>
            <w:r/>
          </w:p>
        </w:tc>
        <w:tc>
          <w:tcPr>
            <w:tcW w:w="9979" w:type="dxa"/>
            <w:vAlign w:val="top"/>
            <w:textDirection w:val="lrTb"/>
            <w:noWrap w:val="false"/>
          </w:tcPr>
          <w:p>
            <w:pPr>
              <w:ind w:left="4567"/>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服务标准</w:t>
            </w:r>
            <w:r/>
          </w:p>
        </w:tc>
      </w:tr>
      <w:tr>
        <w:trPr>
          <w:trHeight w:val="462"/>
        </w:trPr>
        <w:tc>
          <w:tcPr>
            <w:tcW w:w="1224" w:type="dxa"/>
            <w:vAlign w:val="top"/>
            <w:vMerge w:val="restart"/>
            <w:textDirection w:val="lrTb"/>
            <w:noWrap w:val="false"/>
          </w:tcPr>
          <w:p>
            <w:pPr>
              <w:ind w:left="574"/>
              <w:spacing w:before="133"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68"/>
              <w:spacing w:before="64"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3371" w:type="dxa"/>
            <w:vAlign w:val="top"/>
            <w:vMerge w:val="restart"/>
            <w:textDirection w:val="lrTb"/>
            <w:noWrap w:val="false"/>
          </w:tcPr>
          <w:p>
            <w:pPr>
              <w:pStyle w:val="867"/>
              <w:ind w:left="111"/>
              <w:spacing w:before="91" w:line="220"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基本要求</w:t>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5"/>
              <w:spacing w:before="6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办公用房区域保洁</w:t>
            </w:r>
            <w:r/>
          </w:p>
        </w:tc>
        <w:tc>
          <w:tcPr>
            <w:tcW w:w="9979"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（1）建立保洁服务的工作制度及工作计划，并按照执行。</w:t>
            </w:r>
            <w:r/>
          </w:p>
        </w:tc>
      </w:tr>
      <w:tr>
        <w:trPr>
          <w:trHeight w:val="463"/>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（2）做好保洁服务工作记录，记录填写规范、保存完好。</w:t>
            </w:r>
            <w:r/>
          </w:p>
        </w:tc>
      </w:tr>
      <w:tr>
        <w:trPr>
          <w:trHeight w:val="686"/>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111" w:right="107" w:firstLine="219"/>
              <w:spacing w:before="35"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（3）作业时采取安全防护措施，防止对作业人员或他人造成伤害。相关耗材的环保、安全性等应当符</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合国家相关规定要求。</w:t>
            </w:r>
            <w:r/>
          </w:p>
        </w:tc>
      </w:tr>
      <w:tr>
        <w:trPr>
          <w:trHeight w:val="46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89" w:line="220"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（4）进入保密区域时，有采购人相关人员全程在场。</w:t>
            </w:r>
            <w:r/>
          </w:p>
        </w:tc>
      </w:tr>
      <w:tr>
        <w:trPr>
          <w:trHeight w:val="46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89" w:line="220" w:lineRule="auto"/>
              <w:shd w:val="clear" w:color="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楼内的楼梯、大厅、走廊、屋顶天台、吊顶、平台、雨棚、卫生间、茶水间、花盆、会议室、接待室、办公区域、公共活动场所的台（地）面、明沟、墙面、门、窗、灯具、果壳箱等设施和器皿，楼宇外墙等所有公共部位</w:t>
            </w:r>
            <w:r>
              <w:rPr>
                <w:rFonts w:hint="eastAsia" w:asciiTheme="minorEastAsia" w:hAnsiTheme="minorEastAsia" w:eastAsiaTheme="minorEastAsia" w:cstheme="minorEastAsia"/>
                <w:color w:val="000000" w:themeColor="text1"/>
                <w:spacing w:val="-2"/>
                <w:highlight w:val="none"/>
                <w:lang w:eastAsia="zh-CN"/>
                <w14:textFill>
                  <w14:solidFill>
                    <w14:schemeClr w14:val="tx1"/>
                  </w14:solidFill>
                </w14:textFill>
              </w:rPr>
              <w:t xml:space="preserve">设施，红线规划内的道路、园林、停车场(库)、垃圾房等所有公共场地及设施和门前三包区域的日常保洁保养以及垃圾、废弃物清理和灭“四害”等物业管理区域内的所有环境卫生保洁。</w:t>
            </w:r>
            <w:r/>
          </w:p>
        </w:tc>
      </w:tr>
      <w:tr>
        <w:trPr>
          <w:trHeight w:val="46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89" w:line="220"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突发性事件造成的保洁工作。</w:t>
            </w:r>
            <w:r/>
          </w:p>
        </w:tc>
      </w:tr>
      <w:tr>
        <w:trPr>
          <w:trHeight w:val="46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89" w:line="220"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1511"/>
        </w:trPr>
        <w:tc>
          <w:tcPr>
            <w:tcW w:w="1224" w:type="dxa"/>
            <w:vAlign w:val="top"/>
            <w:vMerge w:val="continue"/>
            <w:textDirection w:val="lrTb"/>
            <w:noWrap w:val="false"/>
          </w:tcPr>
          <w:p>
            <w:pPr>
              <w:ind w:left="568"/>
              <w:spacing w:before="64"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3371" w:type="dxa"/>
            <w:vAlign w:val="top"/>
            <w:vMerge w:val="continue"/>
            <w:textDirection w:val="lrTb"/>
            <w:noWrap w:val="false"/>
          </w:tcPr>
          <w:p>
            <w:pPr>
              <w:pStyle w:val="867"/>
              <w:ind w:left="115"/>
              <w:spacing w:before="6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c>
          <w:tcPr>
            <w:tcW w:w="9979" w:type="dxa"/>
            <w:vAlign w:val="top"/>
            <w:textDirection w:val="lrTb"/>
            <w:noWrap w:val="false"/>
          </w:tcPr>
          <w:p>
            <w:pPr>
              <w:pStyle w:val="867"/>
              <w:ind w:left="331"/>
              <w:spacing w:before="10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（1）大厅、楼内公共通道：</w:t>
            </w:r>
            <w:r/>
          </w:p>
          <w:p>
            <w:pPr>
              <w:pStyle w:val="867"/>
              <w:ind w:left="426"/>
              <w:spacing w:before="89" w:line="341"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position w:val="9"/>
                <w:highlight w:val="none"/>
                <w14:textFill>
                  <w14:solidFill>
                    <w14:schemeClr w14:val="tx1"/>
                  </w14:solidFill>
                </w14:textFill>
              </w:rPr>
              <w:t xml:space="preserve">①公共通道保持干净，无异味、无杂物、无积水，每日至少开展</w:t>
            </w:r>
            <w:r>
              <w:rPr>
                <w:rFonts w:hint="eastAsia" w:asciiTheme="minorEastAsia" w:hAnsiTheme="minorEastAsia" w:eastAsiaTheme="minorEastAsia" w:cstheme="minorEastAsia"/>
                <w:color w:val="000000" w:themeColor="text1"/>
                <w:spacing w:val="-36"/>
                <w:position w:val="9"/>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position w:val="9"/>
                <w:highlight w:val="none"/>
                <w14:textFill>
                  <w14:solidFill>
                    <w14:schemeClr w14:val="tx1"/>
                  </w14:solidFill>
                </w14:textFill>
              </w:rPr>
              <w:t xml:space="preserve">1次清洁作业。</w:t>
            </w:r>
            <w:r/>
          </w:p>
          <w:p>
            <w:pPr>
              <w:pStyle w:val="867"/>
              <w:ind w:left="425"/>
              <w:spacing w:line="218"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②门窗玻璃干净无尘，透光性好，每周至少开展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1次清洁</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作业。</w:t>
            </w:r>
            <w:r/>
          </w:p>
          <w:p>
            <w:pPr>
              <w:pStyle w:val="867"/>
              <w:ind w:left="425"/>
              <w:spacing w:before="92" w:line="218"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③指示牌干净，无污渍，每日至少开展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1次</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清洁作业。</w:t>
            </w:r>
            <w:r/>
          </w:p>
        </w:tc>
      </w:tr>
      <w:tr>
        <w:trPr>
          <w:trHeight w:val="1367"/>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3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（2）电器、消防等设施设备：</w:t>
            </w:r>
            <w:r/>
          </w:p>
          <w:p>
            <w:pPr>
              <w:pStyle w:val="867"/>
              <w:ind w:left="111" w:right="104" w:firstLine="315"/>
              <w:spacing w:before="90"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①配电箱、设备机房、会议室音视频设备、消防栓及开关插座等保持表面干净，</w:t>
            </w:r>
            <w:r>
              <w:rPr>
                <w:rFonts w:hint="eastAsia" w:asciiTheme="minorEastAsia" w:hAnsiTheme="minorEastAsia" w:eastAsiaTheme="minorEastAsia" w:cstheme="minorEastAsia"/>
                <w:color w:val="000000" w:themeColor="text1"/>
                <w:spacing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无尘无污迹，每</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月至少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开展</w:t>
            </w:r>
            <w:r>
              <w:rPr>
                <w:rFonts w:hint="eastAsia" w:asciiTheme="minorEastAsia" w:hAnsiTheme="minorEastAsia" w:eastAsiaTheme="minorEastAsia" w:cstheme="minorEastAsia"/>
                <w:color w:val="000000" w:themeColor="text1"/>
                <w:spacing w:val="-3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次清洁作业。</w:t>
            </w:r>
            <w:r/>
          </w:p>
          <w:p>
            <w:pPr>
              <w:pStyle w:val="867"/>
              <w:ind w:left="425"/>
              <w:spacing w:before="90" w:line="218"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②监控摄像头、门禁系统等表面光亮，无尘、无斑点，每月至少开展</w:t>
            </w:r>
            <w:r>
              <w:rPr>
                <w:rFonts w:hint="eastAsia" w:asciiTheme="minorEastAsia" w:hAnsiTheme="minorEastAsia" w:eastAsiaTheme="minorEastAsia" w:cstheme="minorEastAsia"/>
                <w:color w:val="000000" w:themeColor="text1"/>
                <w:spacing w:val="-3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次清洁作业。</w:t>
            </w:r>
            <w:r/>
          </w:p>
        </w:tc>
      </w:tr>
      <w:tr>
        <w:trPr>
          <w:trHeight w:val="45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8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（3）楼梯及楼梯间保持干净、无异味、无杂物、无积水，每日至少开展</w:t>
            </w:r>
            <w:r>
              <w:rPr>
                <w:rFonts w:hint="eastAsia" w:asciiTheme="minorEastAsia" w:hAnsiTheme="minorEastAsia" w:eastAsiaTheme="minorEastAsia" w:cstheme="minorEastAsia"/>
                <w:color w:val="000000" w:themeColor="text1"/>
                <w:spacing w:val="-3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1次清洁作业。</w:t>
            </w:r>
            <w:r/>
          </w:p>
        </w:tc>
      </w:tr>
      <w:tr>
        <w:trPr>
          <w:trHeight w:val="45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（4）开水间保持干净、无异味、无杂物、无积水，每日至少开展</w:t>
            </w:r>
            <w:r>
              <w:rPr>
                <w:rFonts w:hint="eastAsia" w:asciiTheme="minorEastAsia" w:hAnsiTheme="minorEastAsia" w:eastAsiaTheme="minorEastAsia" w:cstheme="minorEastAsia"/>
                <w:color w:val="000000" w:themeColor="text1"/>
                <w:spacing w:val="-3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1次清洁作业。</w:t>
            </w:r>
            <w:r/>
          </w:p>
        </w:tc>
      </w:tr>
      <w:tr>
        <w:trPr>
          <w:trHeight w:val="1027"/>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35"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（5）作业工具间：</w:t>
            </w:r>
            <w:r/>
          </w:p>
          <w:p>
            <w:pPr>
              <w:pStyle w:val="867"/>
              <w:ind w:left="426"/>
              <w:spacing w:before="89" w:line="341"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position w:val="9"/>
                <w:highlight w:val="none"/>
                <w14:textFill>
                  <w14:solidFill>
                    <w14:schemeClr w14:val="tx1"/>
                  </w14:solidFill>
                </w14:textFill>
              </w:rPr>
              <w:t xml:space="preserve">①保持干净，无异味、无杂物、无积水，每日至少开展</w:t>
            </w:r>
            <w:r>
              <w:rPr>
                <w:rFonts w:hint="eastAsia" w:asciiTheme="minorEastAsia" w:hAnsiTheme="minorEastAsia" w:eastAsiaTheme="minorEastAsia" w:cstheme="minorEastAsia"/>
                <w:color w:val="000000" w:themeColor="text1"/>
                <w:spacing w:val="-37"/>
                <w:position w:val="9"/>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position w:val="9"/>
                <w:highlight w:val="none"/>
                <w14:textFill>
                  <w14:solidFill>
                    <w14:schemeClr w14:val="tx1"/>
                  </w14:solidFill>
                </w14:textFill>
              </w:rPr>
              <w:t xml:space="preserve">1次清洁作业。</w:t>
            </w:r>
            <w:r/>
          </w:p>
          <w:p>
            <w:pPr>
              <w:pStyle w:val="867"/>
              <w:ind w:left="425"/>
              <w:spacing w:line="218"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②作业工具摆放整齐有序，表面干净无渍，每日消毒。</w:t>
            </w:r>
            <w:r/>
          </w:p>
        </w:tc>
      </w:tr>
      <w:tr>
        <w:trPr>
          <w:trHeight w:val="109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7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（6）公共卫生间：</w:t>
            </w:r>
            <w:r/>
          </w:p>
          <w:p>
            <w:pPr>
              <w:pStyle w:val="867"/>
              <w:ind w:left="426"/>
              <w:spacing w:before="87" w:line="341"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position w:val="9"/>
                <w:highlight w:val="none"/>
                <w14:textFill>
                  <w14:solidFill>
                    <w14:schemeClr w14:val="tx1"/>
                  </w14:solidFill>
                </w14:textFill>
              </w:rPr>
              <w:t xml:space="preserve">①保持干净，无异味，垃圾无溢出，每日至少开展</w:t>
            </w:r>
            <w:r>
              <w:rPr>
                <w:rFonts w:hint="eastAsia" w:asciiTheme="minorEastAsia" w:hAnsiTheme="minorEastAsia" w:eastAsiaTheme="minorEastAsia" w:cstheme="minorEastAsia"/>
                <w:color w:val="000000" w:themeColor="text1"/>
                <w:spacing w:val="-37"/>
                <w:position w:val="9"/>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position w:val="9"/>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7"/>
                <w:position w:val="9"/>
                <w:highlight w:val="none"/>
                <w14:textFill>
                  <w14:solidFill>
                    <w14:schemeClr w14:val="tx1"/>
                  </w14:solidFill>
                </w14:textFill>
              </w:rPr>
              <w:t xml:space="preserve">次清洁</w:t>
            </w:r>
            <w:r>
              <w:rPr>
                <w:rFonts w:hint="eastAsia" w:asciiTheme="minorEastAsia" w:hAnsiTheme="minorEastAsia" w:eastAsiaTheme="minorEastAsia" w:cstheme="minorEastAsia"/>
                <w:color w:val="000000" w:themeColor="text1"/>
                <w:spacing w:val="-8"/>
                <w:position w:val="9"/>
                <w:highlight w:val="none"/>
                <w14:textFill>
                  <w14:solidFill>
                    <w14:schemeClr w14:val="tx1"/>
                  </w14:solidFill>
                </w14:textFill>
              </w:rPr>
              <w:t xml:space="preserve">作业。</w:t>
            </w:r>
            <w:r/>
          </w:p>
          <w:p>
            <w:pPr>
              <w:pStyle w:val="867"/>
              <w:ind w:left="425"/>
              <w:spacing w:line="218" w:lineRule="auto"/>
              <w:shd w:val="clear" w:color="auto"/>
              <w:rPr>
                <w:rFonts w:hint="eastAsia" w:asciiTheme="minorEastAsia" w:hAnsiTheme="minorEastAsia" w:eastAsiaTheme="minorEastAsia" w:cstheme="minorEastAsia"/>
                <w:color w:val="000000" w:themeColor="text1"/>
                <w:spacing w:val="-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②及时补充厕纸等必要用品。</w:t>
            </w:r>
            <w:r/>
          </w:p>
          <w:p>
            <w:pPr>
              <w:pStyle w:val="867"/>
              <w:ind w:left="425"/>
              <w:spacing w:line="218"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lang w:val="en-US" w:eastAsia="zh-CN"/>
                <w14:textFill>
                  <w14:solidFill>
                    <w14:schemeClr w14:val="tx1"/>
                  </w14:solidFill>
                </w14:textFill>
              </w:rPr>
              <w:t xml:space="preserve">③每周消杀 1 次</w:t>
            </w:r>
            <w:r/>
          </w:p>
        </w:tc>
      </w:tr>
      <w:tr>
        <w:trPr>
          <w:trHeight w:val="111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8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（7）电梯轿厢：</w:t>
            </w:r>
            <w:r/>
          </w:p>
          <w:p>
            <w:pPr>
              <w:pStyle w:val="867"/>
              <w:ind w:left="424"/>
              <w:spacing w:before="89" w:line="341"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position w:val="9"/>
                <w:highlight w:val="none"/>
                <w14:textFill>
                  <w14:solidFill>
                    <w14:schemeClr w14:val="tx1"/>
                  </w14:solidFill>
                </w14:textFill>
              </w:rPr>
              <w:t xml:space="preserve">①保持干净，无污渍、无粘贴物、无异味，每日至少开展</w:t>
            </w:r>
            <w:r>
              <w:rPr>
                <w:rFonts w:hint="eastAsia" w:asciiTheme="minorEastAsia" w:hAnsiTheme="minorEastAsia" w:eastAsiaTheme="minorEastAsia" w:cstheme="minorEastAsia"/>
                <w:color w:val="000000" w:themeColor="text1"/>
                <w:spacing w:val="-19"/>
                <w:position w:val="9"/>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position w:val="9"/>
                <w:highlight w:val="none"/>
                <w14:textFill>
                  <w14:solidFill>
                    <w14:schemeClr w14:val="tx1"/>
                  </w14:solidFill>
                </w14:textFill>
              </w:rPr>
              <w:t xml:space="preserve">1次清洁作业。</w:t>
            </w:r>
            <w:r/>
          </w:p>
          <w:p>
            <w:pPr>
              <w:pStyle w:val="867"/>
              <w:ind w:left="423"/>
              <w:spacing w:line="218" w:lineRule="auto"/>
              <w:shd w:val="clear" w:color="auto"/>
              <w:rPr>
                <w:rFonts w:hint="eastAsia" w:asciiTheme="minorEastAsia" w:hAnsiTheme="minorEastAsia" w:eastAsiaTheme="minorEastAsia" w:cstheme="minorEastAsia"/>
                <w:color w:val="000000" w:themeColor="text1"/>
                <w:spacing w:val="-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②灯具、操作指示板明亮。</w:t>
            </w:r>
            <w:r/>
          </w:p>
          <w:p>
            <w:pPr>
              <w:pStyle w:val="867"/>
              <w:ind w:left="423"/>
              <w:spacing w:line="218"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lang w:val="en-US" w:eastAsia="zh-CN"/>
                <w14:textFill>
                  <w14:solidFill>
                    <w14:schemeClr w14:val="tx1"/>
                  </w14:solidFill>
                </w14:textFill>
              </w:rPr>
              <w:t xml:space="preserve">③每日清扫 1 次电梯轿厢，每周擦拭 1 次电梯门壁,每月对轿厢顶部清洁 1 次</w:t>
            </w:r>
            <w:r/>
          </w:p>
        </w:tc>
      </w:tr>
      <w:tr>
        <w:trPr>
          <w:trHeight w:val="463"/>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（8）平台、屋顶、天沟保持干净，有杂物及时清扫，每季清理 1 次，保持清洁、无垃圾</w:t>
            </w:r>
            <w:r/>
          </w:p>
        </w:tc>
      </w:tr>
      <w:tr>
        <w:trPr>
          <w:trHeight w:val="686"/>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3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（9）石材地面、内墙做好养护工作，每季度开展</w:t>
            </w:r>
            <w:r>
              <w:rPr>
                <w:rFonts w:hint="eastAsia" w:asciiTheme="minorEastAsia" w:hAnsiTheme="minorEastAsia" w:eastAsiaTheme="minorEastAsia" w:cstheme="minorEastAsia"/>
                <w:color w:val="000000" w:themeColor="text1"/>
                <w:spacing w:val="-3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次</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清洁作业。（各类材质地面、内墙服务管理标准详见</w:t>
            </w:r>
            <w:r>
              <w:rPr>
                <w:rFonts w:hint="eastAsia" w:asciiTheme="minorEastAsia" w:hAnsiTheme="minorEastAsia" w:eastAsiaTheme="minorEastAsia" w:cstheme="minorEastAsia"/>
                <w:color w:val="000000" w:themeColor="text1"/>
                <w:spacing w:val="-4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3.4.1）</w:t>
            </w:r>
            <w:r/>
          </w:p>
        </w:tc>
      </w:tr>
      <w:tr>
        <w:trPr>
          <w:trHeight w:val="59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56"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（10）地毯干净、无油渍、无污渍、无褪色，每月至少开展</w:t>
            </w:r>
            <w:r>
              <w:rPr>
                <w:rFonts w:hint="eastAsia" w:asciiTheme="minorEastAsia" w:hAnsiTheme="minorEastAsia" w:eastAsiaTheme="minorEastAsia" w:cstheme="minorEastAsia"/>
                <w:color w:val="000000" w:themeColor="text1"/>
                <w:spacing w:val="-3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次清洁作业。</w:t>
            </w:r>
            <w:r/>
          </w:p>
        </w:tc>
      </w:tr>
      <w:tr>
        <w:trPr>
          <w:trHeight w:val="906"/>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29"/>
              <w:keepLines w:val="0"/>
              <w:keepNext w:val="0"/>
              <w:pageBreakBefore w:val="0"/>
              <w:spacing w:before="34" w:line="240" w:lineRule="auto"/>
              <w:shd w:val="clear" w:color="auto"/>
              <w:widowControl w:val="off"/>
              <w:rPr>
                <w:rFonts w:hint="eastAsia" w:asciiTheme="minorEastAsia" w:hAnsiTheme="minorEastAsia" w:eastAsiaTheme="minorEastAsia" w:cstheme="minorEastAsia"/>
                <w:color w:val="000000" w:themeColor="text1"/>
                <w:spacing w:val="0"/>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（11）门厅、办公区域等特定区域保洁服务内容：</w:t>
            </w:r>
            <w:r>
              <w:rPr>
                <w:rFonts w:hint="eastAsia" w:asciiTheme="minorEastAsia" w:hAnsiTheme="minorEastAsia" w:eastAsiaTheme="minorEastAsia" w:cstheme="minorEastAsia"/>
                <w:color w:val="000000" w:themeColor="text1"/>
                <w:spacing w:val="0"/>
                <w:highlight w:val="none"/>
                <w14:textFill>
                  <w14:solidFill>
                    <w14:schemeClr w14:val="tx1"/>
                  </w14:solidFill>
                </w14:textFill>
              </w:rPr>
              <w:t xml:space="preserve">地面、大厅石材墙面、天花板、大厅、门窗玻璃、门及门窗框、墙壁附体，灯具、音响、垃圾桶等公用设施表面及卫生间，办公室内储物柜和桌椅表面等严格按要求做好清洁、清运及日常消杀工作，无积灰、印迹、污渍。桌面简单整理，随时保持清洁。外墙每一年清洗一次，石材、灯具每季度进行一次清洁；暂时空置的房间每周进行一次卫生保洁，确保地面、桌面、玻璃面整洁干净。白色墙面及顶面如有污渍等应及时清除，墙面去污后及时补刷。</w:t>
            </w:r>
            <w:r/>
          </w:p>
        </w:tc>
      </w:tr>
      <w:tr>
        <w:trPr>
          <w:trHeight w:val="9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29"/>
              <w:keepLines w:val="0"/>
              <w:keepNext w:val="0"/>
              <w:pageBreakBefore w:val="0"/>
              <w:spacing w:before="34" w:line="240" w:lineRule="auto"/>
              <w:shd w:val="clear" w:color="auto"/>
              <w:widowControl w:val="off"/>
              <w:rPr>
                <w:rFonts w:hint="eastAsia" w:asciiTheme="minorEastAsia" w:hAnsiTheme="minorEastAsia" w:eastAsiaTheme="minorEastAsia" w:cstheme="minorEastAsia"/>
                <w:color w:val="000000" w:themeColor="text1"/>
                <w:spacing w:val="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）停车场、共用车库或车棚保洁</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：每半月清扫 1 次车库，每半年进行 1 次地下室消杀工作</w:t>
            </w:r>
            <w:r/>
          </w:p>
        </w:tc>
      </w:tr>
      <w:tr>
        <w:trPr>
          <w:trHeight w:val="9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29"/>
              <w:keepLines w:val="0"/>
              <w:keepNext w:val="0"/>
              <w:pageBreakBefore w:val="0"/>
              <w:spacing w:before="34" w:line="240" w:lineRule="auto"/>
              <w:shd w:val="clear" w:color="auto"/>
              <w:widowControl w:val="off"/>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）绿化带、道路保洁</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：每日清扫 1 次</w:t>
            </w:r>
            <w:r/>
          </w:p>
        </w:tc>
      </w:tr>
      <w:tr>
        <w:trPr>
          <w:trHeight w:val="9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29"/>
              <w:keepLines w:val="0"/>
              <w:keepNext w:val="0"/>
              <w:pageBreakBefore w:val="0"/>
              <w:spacing w:before="34" w:line="240" w:lineRule="auto"/>
              <w:shd w:val="clear" w:color="auto"/>
              <w:widowControl w:val="off"/>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）标识、宣传牌、信报箱保洁</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：标识、宣传牌每周擦拭 1 次，雕塑、信报箱每季度擦拭 1 次</w:t>
            </w:r>
            <w:r/>
          </w:p>
        </w:tc>
      </w:tr>
      <w:tr>
        <w:trPr>
          <w:trHeight w:val="9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29"/>
              <w:keepLines w:val="0"/>
              <w:keepNext w:val="0"/>
              <w:pageBreakBefore w:val="0"/>
              <w:spacing w:before="34" w:line="240" w:lineRule="auto"/>
              <w:shd w:val="clear" w:color="auto"/>
              <w:widowControl w:val="off"/>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）休闲、娱乐、健身设施</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：每周清洁 1 次</w:t>
            </w:r>
            <w:r/>
          </w:p>
        </w:tc>
      </w:tr>
      <w:tr>
        <w:trPr>
          <w:trHeight w:val="9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29"/>
              <w:keepLines w:val="0"/>
              <w:keepNext w:val="0"/>
              <w:pageBreakBefore w:val="0"/>
              <w:spacing w:before="34" w:line="240" w:lineRule="auto"/>
              <w:shd w:val="clear" w:color="auto"/>
              <w:widowControl w:val="off"/>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16</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）门卫、岗亭、监控探头保洁</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：门卫、岗亭每日清洁 2 次，监控探头每 2 个月擦拭 1 次</w:t>
            </w:r>
            <w:r/>
          </w:p>
        </w:tc>
      </w:tr>
      <w:tr>
        <w:trPr>
          <w:trHeight w:val="458"/>
        </w:trPr>
        <w:tc>
          <w:tcPr>
            <w:tcW w:w="1224" w:type="dxa"/>
            <w:vAlign w:val="top"/>
            <w:vMerge w:val="restart"/>
            <w:textDirection w:val="lrTb"/>
            <w:noWrap w:val="false"/>
          </w:tcPr>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67"/>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3371" w:type="dxa"/>
            <w:vAlign w:val="top"/>
            <w:vMerge w:val="restart"/>
            <w:textDirection w:val="lrTb"/>
            <w:noWrap w:val="false"/>
          </w:tcPr>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8"/>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公共场地区域保洁</w:t>
            </w:r>
            <w:r/>
          </w:p>
        </w:tc>
        <w:tc>
          <w:tcPr>
            <w:tcW w:w="9979" w:type="dxa"/>
            <w:vAlign w:val="top"/>
            <w:textDirection w:val="lrTb"/>
            <w:noWrap w:val="false"/>
          </w:tcPr>
          <w:p>
            <w:pPr>
              <w:pStyle w:val="867"/>
              <w:ind w:left="331"/>
              <w:spacing w:before="8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（1）每日清扫道路地面、停车场等公共区域</w:t>
            </w:r>
            <w:r>
              <w:rPr>
                <w:rFonts w:hint="eastAsia" w:asciiTheme="minorEastAsia" w:hAnsiTheme="minorEastAsia" w:eastAsiaTheme="minorEastAsia" w:cstheme="minorEastAsia"/>
                <w:color w:val="000000" w:themeColor="text1"/>
                <w:spacing w:val="-4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2次，保持干净、无杂物、无积水。</w:t>
            </w:r>
            <w:r/>
          </w:p>
        </w:tc>
      </w:tr>
      <w:tr>
        <w:trPr>
          <w:trHeight w:val="45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（2）雪、冰冻等恶劣天气时及时清扫积水、积雪，并采取安全防护措施。</w:t>
            </w:r>
            <w:r/>
          </w:p>
        </w:tc>
      </w:tr>
      <w:tr>
        <w:trPr>
          <w:trHeight w:val="46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（3）各种路标、宣传栏等保持干净，每月至少开展</w:t>
            </w:r>
            <w:r>
              <w:rPr>
                <w:rFonts w:hint="eastAsia" w:asciiTheme="minorEastAsia" w:hAnsiTheme="minorEastAsia" w:eastAsiaTheme="minorEastAsia" w:cstheme="minorEastAsia"/>
                <w:color w:val="000000" w:themeColor="text1"/>
                <w:spacing w:val="-3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1次清洁作业。</w:t>
            </w:r>
            <w:r/>
          </w:p>
        </w:tc>
      </w:tr>
      <w:tr>
        <w:trPr>
          <w:trHeight w:val="45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（4）清洁室外照明设备，每月至少开展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次清</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洁作业。</w:t>
            </w:r>
            <w:r/>
          </w:p>
        </w:tc>
      </w:tr>
      <w:tr>
        <w:trPr>
          <w:trHeight w:val="45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（5）绿地内无杂物、无改变用途和破坏、践踏、占用现象，每天至少开展</w:t>
            </w:r>
            <w:r>
              <w:rPr>
                <w:rFonts w:hint="eastAsia" w:asciiTheme="minorEastAsia" w:hAnsiTheme="minorEastAsia" w:eastAsiaTheme="minorEastAsia" w:cstheme="minorEastAsia"/>
                <w:color w:val="000000" w:themeColor="text1"/>
                <w:spacing w:val="-3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次巡查。</w:t>
            </w:r>
            <w:r/>
          </w:p>
        </w:tc>
      </w:tr>
      <w:tr>
        <w:trPr>
          <w:trHeight w:val="686"/>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36"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（6）办公区外立面定期清洗、2</w:t>
            </w:r>
            <w:r>
              <w:rPr>
                <w:rFonts w:hint="eastAsia" w:asciiTheme="minorEastAsia" w:hAnsiTheme="minorEastAsia" w:eastAsiaTheme="minorEastAsia" w:cstheme="minorEastAsia"/>
                <w:color w:val="000000" w:themeColor="text1"/>
                <w:spacing w:val="1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米以上外窗玻璃擦</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拭，每年至少开展</w:t>
            </w:r>
            <w:r>
              <w:rPr>
                <w:rFonts w:hint="eastAsia" w:asciiTheme="minorEastAsia" w:hAnsiTheme="minorEastAsia" w:eastAsiaTheme="minorEastAsia" w:cstheme="minorEastAsia"/>
                <w:color w:val="000000" w:themeColor="text1"/>
                <w:spacing w:val="-3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次清洗。</w:t>
            </w:r>
            <w:r>
              <w:rPr>
                <w:rFonts w:hint="eastAsia" w:asciiTheme="minorEastAsia" w:hAnsiTheme="minorEastAsia" w:eastAsiaTheme="minorEastAsia" w:cstheme="minorEastAsia"/>
                <w:color w:val="000000" w:themeColor="text1"/>
                <w:spacing w:val="-6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（各类材质外立面服</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务标准详见</w:t>
            </w:r>
            <w:r>
              <w:rPr>
                <w:rFonts w:hint="eastAsia" w:asciiTheme="minorEastAsia" w:hAnsiTheme="minorEastAsia" w:eastAsiaTheme="minorEastAsia" w:cstheme="minorEastAsia"/>
                <w:color w:val="000000" w:themeColor="text1"/>
                <w:spacing w:val="-4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3.4.1）</w:t>
            </w:r>
            <w:r/>
          </w:p>
        </w:tc>
      </w:tr>
      <w:tr>
        <w:trPr>
          <w:trHeight w:val="52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25"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水泥地面、石材地面、扶手、门窗玻璃、门及门窗框及有关附体，沙发、桌子、各类宣传牌、橱窗及有关附体，天花板、栏杆、消防楼梯区域等，及时清除各种垃圾等杂物，无积灰、印迹、污渍。</w:t>
            </w:r>
            <w:r/>
          </w:p>
        </w:tc>
      </w:tr>
      <w:tr>
        <w:trPr>
          <w:trHeight w:val="52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25"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顶棚</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等边缘区域服务内容：屋顶屋面、沟槽、地面、</w:t>
            </w:r>
            <w:r>
              <w:rPr>
                <w:rFonts w:hint="eastAsia" w:asciiTheme="minorEastAsia" w:hAnsiTheme="minorEastAsia" w:eastAsiaTheme="minorEastAsia" w:cstheme="minorEastAsia"/>
                <w:color w:val="000000" w:themeColor="text1"/>
                <w:spacing w:val="-8"/>
                <w:highlight w:val="none"/>
                <w:lang w:eastAsia="zh-CN"/>
                <w14:textFill>
                  <w14:solidFill>
                    <w14:schemeClr w14:val="tx1"/>
                  </w14:solidFill>
                </w14:textFill>
              </w:rPr>
              <w:t xml:space="preserve">雨棚</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及边角区域，各种附体的表面清洁，大厅遮阳卷帘清洁且保持运行正常。</w:t>
            </w:r>
            <w:r/>
          </w:p>
        </w:tc>
      </w:tr>
      <w:tr>
        <w:trPr>
          <w:trHeight w:val="52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25"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水电和设备等设施类服务内容：一般设备表面清洁（有特殊规定的设备除外），消防设施、空调的过滤网</w:t>
            </w:r>
            <w:r>
              <w:rPr>
                <w:rFonts w:hint="eastAsia" w:asciiTheme="minorEastAsia" w:hAnsiTheme="minorEastAsia" w:eastAsiaTheme="minorEastAsia" w:cstheme="minorEastAsia"/>
                <w:color w:val="000000" w:themeColor="text1"/>
                <w:spacing w:val="-8"/>
                <w:highlight w:val="none"/>
                <w:lang w:eastAsia="zh-CN"/>
                <w14:textFill>
                  <w14:solidFill>
                    <w14:schemeClr w14:val="tx1"/>
                  </w14:solidFill>
                </w14:textFill>
              </w:rPr>
              <w:t xml:space="preserve">及</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外壳洗尘与保洁。</w:t>
            </w:r>
            <w:r/>
          </w:p>
        </w:tc>
      </w:tr>
      <w:tr>
        <w:trPr>
          <w:trHeight w:val="52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25"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窗帘服务内容：保持窗帘表面清洁，普通窗帘根据窗帘清洁情况定时拆装清洗，布质窗帘一年清洗一次。</w:t>
            </w:r>
            <w:r/>
          </w:p>
        </w:tc>
      </w:tr>
      <w:tr>
        <w:trPr>
          <w:trHeight w:val="52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25"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玻璃门、地、屏上无污渍、无灰尘及手印，表面光亮色泽一致；地面无污渍、灰尘、水渍及鞋印，洁净光亮、无灰尘及手印，整洁光亮。</w:t>
            </w:r>
            <w:r/>
          </w:p>
        </w:tc>
      </w:tr>
      <w:tr>
        <w:trPr>
          <w:trHeight w:val="52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25"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围墙内的道路、停车场和门前“三包”及所有公共区域的地面，无有形垃圾和建筑垃圾、无堆积杂物、无积灰、无积水和淤泥、无阻塞等。做到每日清扫两次，巡回保洁。</w:t>
            </w:r>
            <w:r/>
          </w:p>
        </w:tc>
      </w:tr>
      <w:tr>
        <w:trPr>
          <w:trHeight w:val="52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25"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）每周打扫 1 次各楼层通道和楼梯台阶、清洁 1 次楼梯扶手；楼梯间墙面、顶面每季度除尘 1 次</w:t>
            </w:r>
            <w:r/>
          </w:p>
        </w:tc>
      </w:tr>
      <w:tr>
        <w:trPr>
          <w:trHeight w:val="52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25"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14</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686"/>
        </w:trPr>
        <w:tc>
          <w:tcPr>
            <w:tcW w:w="1224" w:type="dxa"/>
            <w:vAlign w:val="top"/>
            <w:vMerge w:val="restart"/>
            <w:textDirection w:val="lrTb"/>
            <w:noWrap w:val="false"/>
          </w:tcPr>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61"/>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3371" w:type="dxa"/>
            <w:vAlign w:val="top"/>
            <w:vMerge w:val="restart"/>
            <w:textDirection w:val="lrTb"/>
            <w:noWrap w:val="false"/>
          </w:tcPr>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3"/>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垃圾处理</w:t>
            </w:r>
            <w:r/>
          </w:p>
        </w:tc>
        <w:tc>
          <w:tcPr>
            <w:tcW w:w="9979" w:type="dxa"/>
            <w:vAlign w:val="top"/>
            <w:textDirection w:val="lrTb"/>
            <w:noWrap w:val="false"/>
          </w:tcPr>
          <w:p>
            <w:pPr>
              <w:pStyle w:val="867"/>
              <w:ind w:left="109" w:right="104" w:firstLine="221"/>
              <w:spacing w:before="35"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（1）在指定位置摆放分类垃圾桶，</w:t>
            </w:r>
            <w:r>
              <w:rPr>
                <w:rFonts w:hint="eastAsia" w:asciiTheme="minorEastAsia" w:hAnsiTheme="minorEastAsia" w:eastAsiaTheme="minorEastAsia" w:cstheme="minorEastAsia"/>
                <w:color w:val="000000" w:themeColor="text1"/>
                <w:spacing w:val="-4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并在显著处张贴垃圾分类标识。分类垃圾桶和垃圾分类标识根据所</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在城市的要求设置。</w:t>
            </w:r>
            <w:r/>
          </w:p>
        </w:tc>
      </w:tr>
      <w:tr>
        <w:trPr>
          <w:trHeight w:val="45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（2）桶身表面干净无污渍，每日开展至少</w:t>
            </w:r>
            <w:r>
              <w:rPr>
                <w:rFonts w:hint="eastAsia" w:asciiTheme="minorEastAsia" w:hAnsiTheme="minorEastAsia" w:eastAsiaTheme="minorEastAsia" w:cstheme="minorEastAsia"/>
                <w:color w:val="000000" w:themeColor="text1"/>
                <w:spacing w:val="-3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1次清洁作业。</w:t>
            </w:r>
            <w:r/>
          </w:p>
        </w:tc>
      </w:tr>
      <w:tr>
        <w:trPr>
          <w:trHeight w:val="46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（3）垃圾中转房保持整洁， 无明显异味，每日至少开展</w:t>
            </w:r>
            <w:r>
              <w:rPr>
                <w:rFonts w:hint="eastAsia" w:asciiTheme="minorEastAsia" w:hAnsiTheme="minorEastAsia" w:eastAsiaTheme="minorEastAsia" w:cstheme="minorEastAsia"/>
                <w:color w:val="000000" w:themeColor="text1"/>
                <w:spacing w:val="-3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1次清洁作业。</w:t>
            </w:r>
            <w:r/>
          </w:p>
        </w:tc>
      </w:tr>
      <w:tr>
        <w:trPr>
          <w:trHeight w:val="45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（4）化粪池清掏，无明显异味，每半年至少开展</w:t>
            </w:r>
            <w:r>
              <w:rPr>
                <w:rFonts w:hint="eastAsia" w:asciiTheme="minorEastAsia" w:hAnsiTheme="minorEastAsia" w:eastAsiaTheme="minorEastAsia" w:cstheme="minorEastAsia"/>
                <w:color w:val="000000" w:themeColor="text1"/>
                <w:spacing w:val="-3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1次清洁作业。</w:t>
            </w:r>
            <w:r/>
          </w:p>
        </w:tc>
      </w:tr>
      <w:tr>
        <w:trPr>
          <w:trHeight w:val="458"/>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（5）每个工作日内要对楼层产生的垃圾，</w:t>
            </w:r>
            <w:r>
              <w:rPr>
                <w:rFonts w:hint="eastAsia" w:asciiTheme="minorEastAsia" w:hAnsiTheme="minorEastAsia" w:eastAsiaTheme="minorEastAsia" w:cstheme="minorEastAsia"/>
                <w:color w:val="000000" w:themeColor="text1"/>
                <w:spacing w:val="-25"/>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进行清理分类，并运至垃圾集中堆放点。</w:t>
            </w:r>
            <w:r/>
          </w:p>
        </w:tc>
      </w:tr>
      <w:tr>
        <w:trPr>
          <w:trHeight w:val="465"/>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（6）垃圾装袋，日产日清。</w:t>
            </w:r>
            <w:r/>
          </w:p>
        </w:tc>
      </w:tr>
      <w:tr>
        <w:trPr>
          <w:trHeight w:val="462"/>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（7）建立垃圾清运台账，交由规范的渠道回收处理。</w:t>
            </w:r>
            <w:r/>
          </w:p>
        </w:tc>
      </w:tr>
      <w:tr>
        <w:trPr>
          <w:trHeight w:val="460"/>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（8）做好垃圾分类管理的宣传工作，督促并引导全员参与垃圾分类投放。</w:t>
            </w:r>
            <w:r/>
          </w:p>
        </w:tc>
      </w:tr>
      <w:tr>
        <w:trPr>
          <w:trHeight w:val="602"/>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6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（9）垃圾分类投放管理工作的执行标准，</w:t>
            </w:r>
            <w:r>
              <w:rPr>
                <w:rFonts w:hint="eastAsia" w:asciiTheme="minorEastAsia" w:hAnsiTheme="minorEastAsia" w:eastAsiaTheme="minorEastAsia" w:cstheme="minorEastAsia"/>
                <w:color w:val="000000" w:themeColor="text1"/>
                <w:spacing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按所在城市</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的要求执行。</w:t>
            </w:r>
            <w:r/>
          </w:p>
        </w:tc>
      </w:tr>
      <w:tr>
        <w:trPr>
          <w:trHeight w:val="602"/>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60" w:line="221"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垃圾清运服务内容：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再将垃圾运到垃圾转运站，其中公共区、卫生间无堆积垃圾。化粪池、污水池及时清理，确保排放指标正常。</w:t>
            </w:r>
            <w:r/>
          </w:p>
        </w:tc>
      </w:tr>
      <w:tr>
        <w:trPr>
          <w:trHeight w:val="602"/>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60" w:line="221" w:lineRule="auto"/>
              <w:shd w:val="clear" w:color="auto"/>
              <w:rPr>
                <w:rFonts w:hint="eastAsia" w:asciiTheme="minorEastAsia" w:hAnsiTheme="minorEastAsia" w:eastAsiaTheme="minorEastAsia" w:cstheme="minorEastAsia"/>
                <w:color w:val="000000" w:themeColor="text1"/>
                <w:spacing w:val="-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）垃圾桶、果皮箱</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：垃圾每日收集 1 次，垃圾桶、果皮箱每月擦拭 2 次</w:t>
            </w:r>
            <w:r/>
          </w:p>
        </w:tc>
      </w:tr>
      <w:tr>
        <w:trPr>
          <w:trHeight w:val="602"/>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60" w:line="221"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）垃圾收集与处理</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：小区内定点设置垃圾收集箱或点，每日定时清理 1 次；垃圾收集箱或点周围地面无散落垃圾、无异味，每月清洗 1 次。</w:t>
            </w:r>
            <w:r/>
          </w:p>
        </w:tc>
      </w:tr>
      <w:tr>
        <w:trPr>
          <w:trHeight w:val="602"/>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60" w:line="221"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w:t>
            </w:r>
            <w:r/>
          </w:p>
        </w:tc>
      </w:tr>
      <w:tr>
        <w:trPr>
          <w:trHeight w:val="685"/>
        </w:trPr>
        <w:tc>
          <w:tcPr>
            <w:tcW w:w="1224" w:type="dxa"/>
            <w:vAlign w:val="top"/>
            <w:vMerge w:val="restart"/>
            <w:textDirection w:val="lrTb"/>
            <w:noWrap w:val="false"/>
          </w:tcPr>
          <w:p>
            <w:pPr>
              <w:spacing w:line="31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1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1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66"/>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W w:w="3371" w:type="dxa"/>
            <w:vAlign w:val="top"/>
            <w:vMerge w:val="restart"/>
            <w:textDirection w:val="lrTb"/>
            <w:noWrap w:val="false"/>
          </w:tcPr>
          <w:p>
            <w:pPr>
              <w:spacing w:line="29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3"/>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卫生消毒</w:t>
            </w:r>
            <w:r/>
          </w:p>
        </w:tc>
        <w:tc>
          <w:tcPr>
            <w:tcW w:w="9979" w:type="dxa"/>
            <w:vAlign w:val="top"/>
            <w:textDirection w:val="lrTb"/>
            <w:noWrap w:val="false"/>
          </w:tcPr>
          <w:p>
            <w:pPr>
              <w:pStyle w:val="867"/>
              <w:ind w:left="116" w:right="278" w:firstLine="215"/>
              <w:spacing w:before="34"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（1）办公用房区域、公共场所区域和周围环境预防性卫生消毒，消</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毒后及时通风，每周至少开展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次作业。</w:t>
            </w:r>
            <w:r/>
          </w:p>
        </w:tc>
      </w:tr>
      <w:tr>
        <w:trPr>
          <w:trHeight w:val="422"/>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jc w:val="both"/>
              <w:spacing w:before="7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（2）采取综合措施消灭老鼠、蟑螂，控制室内外蚊虫</w:t>
            </w:r>
            <w:r>
              <w:rPr>
                <w:rFonts w:hint="eastAsia" w:asciiTheme="minorEastAsia" w:hAnsiTheme="minorEastAsia" w:eastAsiaTheme="minorEastAsia" w:cstheme="minorEastAsia"/>
                <w:color w:val="000000" w:themeColor="text1"/>
                <w:spacing w:val="-4"/>
                <w:highlight w:val="none"/>
                <w:lang w:eastAsia="zh-CN"/>
                <w14:textFill>
                  <w14:solidFill>
                    <w14:schemeClr w14:val="tx1"/>
                  </w14:solidFill>
                </w14:textFill>
              </w:rPr>
              <w:t xml:space="preserve">滋生</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，达到基本无蝇，灭鼠、灭蚊等</w:t>
            </w:r>
            <w:r>
              <w:rPr>
                <w:rFonts w:hint="eastAsia" w:asciiTheme="minorEastAsia" w:hAnsiTheme="minorEastAsia" w:eastAsiaTheme="minorEastAsia" w:cstheme="minorEastAsia"/>
                <w:color w:val="000000" w:themeColor="text1"/>
                <w:spacing w:val="-4"/>
                <w:highlight w:val="none"/>
                <w:lang w:val="en-US" w:eastAsia="zh-CN"/>
                <w14:textFill>
                  <w14:solidFill>
                    <w14:schemeClr w14:val="tx1"/>
                  </w14:solidFill>
                </w14:textFill>
              </w:rPr>
              <w:t xml:space="preserve">每2个月至少进行1次，夏季每月消杀一次。</w:t>
            </w:r>
            <w:r/>
          </w:p>
        </w:tc>
      </w:tr>
      <w:tr>
        <w:trPr>
          <w:trHeight w:val="539"/>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3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（3）发生公共卫生事件时， 邀请专业单位开展</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消毒、检测等工作。</w:t>
            </w:r>
            <w:r/>
          </w:p>
        </w:tc>
      </w:tr>
      <w:tr>
        <w:trPr>
          <w:trHeight w:val="539"/>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33" w:line="221"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建立“四害”消杀工作管理制度，根据实际情况定期开展消杀工作，有效控制鼠、蟑、蝇、蚊等害虫</w:t>
            </w:r>
            <w:r>
              <w:rPr>
                <w:rFonts w:hint="eastAsia" w:asciiTheme="minorEastAsia" w:hAnsiTheme="minorEastAsia" w:eastAsiaTheme="minorEastAsia" w:cstheme="minorEastAsia"/>
                <w:color w:val="000000" w:themeColor="text1"/>
                <w:spacing w:val="-8"/>
                <w:highlight w:val="none"/>
                <w:lang w:eastAsia="zh-CN"/>
                <w14:textFill>
                  <w14:solidFill>
                    <w14:schemeClr w14:val="tx1"/>
                  </w14:solidFill>
                </w14:textFill>
              </w:rPr>
              <w:t xml:space="preserve">滋生</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定期对各类病虫害进行预防控制，适时投放消杀药物和设施；“除四害”实施单位须具有无锡市相关部门颁发的专业资质证书，提供的服务不得低于无锡市爱卫会“除四害”相关规定及验收标准，并视特殊情况增加次数。</w:t>
            </w:r>
            <w:r/>
          </w:p>
        </w:tc>
      </w:tr>
      <w:tr>
        <w:trPr>
          <w:trHeight w:val="539"/>
        </w:trPr>
        <w:tc>
          <w:tcPr>
            <w:tcW w:w="1224"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71"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79" w:type="dxa"/>
            <w:vAlign w:val="top"/>
            <w:textDirection w:val="lrTb"/>
            <w:noWrap w:val="false"/>
          </w:tcPr>
          <w:p>
            <w:pPr>
              <w:pStyle w:val="867"/>
              <w:ind w:left="331"/>
              <w:spacing w:before="133" w:line="221" w:lineRule="auto"/>
              <w:shd w:val="clear" w:color="auto"/>
              <w:rPr>
                <w:rFonts w:hint="eastAsia" w:asciiTheme="minorEastAsia" w:hAnsiTheme="minorEastAsia" w:eastAsiaTheme="minorEastAsia" w:cstheme="minorEastAsia"/>
                <w:color w:val="000000" w:themeColor="text1"/>
                <w:spacing w:val="-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w:t>
            </w:r>
            <w:r/>
          </w:p>
        </w:tc>
      </w:tr>
    </w:tbl>
    <w:p>
      <w:pPr>
        <w:spacing w:line="26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41"/>
        <w:spacing w:before="90"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3.4.1具体清洁要求</w:t>
      </w:r>
      <w:r/>
    </w:p>
    <w:p>
      <w:pPr>
        <w:spacing w:line="27"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3367" w:type="dxa"/>
            <w:vAlign w:val="top"/>
            <w:textDirection w:val="lrTb"/>
            <w:noWrap w:val="false"/>
          </w:tcPr>
          <w:p>
            <w:pPr>
              <w:ind w:left="1469"/>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材质</w:t>
            </w:r>
            <w:r/>
          </w:p>
        </w:tc>
        <w:tc>
          <w:tcPr>
            <w:tcW w:w="9950" w:type="dxa"/>
            <w:vAlign w:val="top"/>
            <w:textDirection w:val="lrTb"/>
            <w:noWrap w:val="false"/>
          </w:tcPr>
          <w:p>
            <w:pPr>
              <w:ind w:left="4553"/>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清洁要求</w:t>
            </w:r>
            <w:r/>
          </w:p>
        </w:tc>
      </w:tr>
      <w:tr>
        <w:trPr>
          <w:trHeight w:val="457"/>
        </w:trPr>
        <w:tc>
          <w:tcPr>
            <w:tcW w:w="1233" w:type="dxa"/>
            <w:vAlign w:val="top"/>
            <w:vMerge w:val="restart"/>
            <w:textDirection w:val="lrTb"/>
            <w:noWrap w:val="false"/>
          </w:tcPr>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9"/>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3367" w:type="dxa"/>
            <w:vAlign w:val="top"/>
            <w:vMerge w:val="restart"/>
            <w:textDirection w:val="lrTb"/>
            <w:noWrap w:val="false"/>
          </w:tcPr>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环氧地坪地面</w:t>
            </w:r>
            <w:r/>
          </w:p>
        </w:tc>
        <w:tc>
          <w:tcPr>
            <w:tcW w:w="9950" w:type="dxa"/>
            <w:vAlign w:val="top"/>
            <w:textDirection w:val="lrTb"/>
            <w:noWrap w:val="false"/>
          </w:tcPr>
          <w:p>
            <w:pPr>
              <w:pStyle w:val="867"/>
              <w:ind w:left="333"/>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（1）清理垃圾：</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清理地面上的垃圾和杂物。</w:t>
            </w:r>
            <w:r/>
          </w:p>
        </w:tc>
      </w:tr>
      <w:tr>
        <w:trPr>
          <w:trHeight w:val="686"/>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113" w:right="27" w:firstLine="220"/>
              <w:spacing w:before="33"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（2）清洗地面：用专业的清洁剂或去污剂清洗地面。清洁剂和去污剂的选取要根据污垢的性质而定。</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环氧地坪一般使用弱酸性或弱碱性的清洁剂，</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避免使用酸性或碱性强的清洁剂。</w:t>
            </w:r>
            <w:r/>
          </w:p>
        </w:tc>
      </w:tr>
      <w:tr>
        <w:trPr>
          <w:trHeight w:val="458"/>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（3）滚刷或颗粒机进行深层清洗：对于顽固沉积物， 需要使用滚刷或颗粒机进行深层清洗。</w:t>
            </w:r>
            <w:r/>
          </w:p>
        </w:tc>
      </w:tr>
      <w:tr>
        <w:trPr>
          <w:trHeight w:val="460"/>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（4）浸泡：</w:t>
            </w:r>
            <w:r>
              <w:rPr>
                <w:rFonts w:hint="eastAsia" w:asciiTheme="minorEastAsia" w:hAnsiTheme="minorEastAsia" w:eastAsiaTheme="minorEastAsia" w:cstheme="minorEastAsia"/>
                <w:color w:val="000000" w:themeColor="text1"/>
                <w:spacing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将清洁剂或去污剂浸泡在环氧地坪上</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，加强去除污渍的效果。</w:t>
            </w:r>
            <w:r/>
          </w:p>
        </w:tc>
      </w:tr>
      <w:tr>
        <w:trPr>
          <w:trHeight w:val="457"/>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（5）冲洗：</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用清水将地面冲洗干净， 以去除残留的清洁剂或去污剂。</w:t>
            </w:r>
            <w:r/>
          </w:p>
        </w:tc>
      </w:tr>
      <w:tr>
        <w:trPr>
          <w:trHeight w:val="458"/>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3"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5"/>
        </w:trPr>
        <w:tc>
          <w:tcPr>
            <w:tcW w:w="1233" w:type="dxa"/>
            <w:vAlign w:val="top"/>
            <w:textDirection w:val="lrTb"/>
            <w:noWrap w:val="false"/>
          </w:tcPr>
          <w:p>
            <w:pPr>
              <w:ind w:left="573"/>
              <w:spacing w:before="135"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3367" w:type="dxa"/>
            <w:vAlign w:val="top"/>
            <w:textDirection w:val="lrTb"/>
            <w:noWrap w:val="false"/>
          </w:tcPr>
          <w:p>
            <w:pPr>
              <w:pStyle w:val="867"/>
              <w:ind w:left="112"/>
              <w:spacing w:before="94"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耐磨漆地面</w:t>
            </w:r>
            <w:r/>
          </w:p>
        </w:tc>
        <w:tc>
          <w:tcPr>
            <w:tcW w:w="9950" w:type="dxa"/>
            <w:vAlign w:val="top"/>
            <w:textDirection w:val="lrTb"/>
            <w:noWrap w:val="false"/>
          </w:tcPr>
          <w:p>
            <w:pPr>
              <w:pStyle w:val="867"/>
              <w:ind w:left="333"/>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5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日常清洁：使用软质拖把或地板清洁机，配合清水和中性清洁剂进行清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洁。避免使用酸性或碱</w:t>
            </w:r>
            <w:r/>
          </w:p>
        </w:tc>
      </w:tr>
      <w:tr>
        <w:trPr>
          <w:trHeight w:val="463"/>
        </w:trPr>
        <w:tc>
          <w:tcPr>
            <w:tcW w:w="1233" w:type="dxa"/>
            <w:vAlign w:val="top"/>
            <w:vMerge w:val="restart"/>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restart"/>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115"/>
              <w:spacing w:before="36"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116" w:right="112" w:firstLine="217"/>
              <w:spacing w:before="33"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（2）打蜡：为了增加耐磨地面的光亮度和耐磨性，可以进行打蜡处理。使用适合聚氨酯</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地面的蜡进</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行均匀涂抹，待蜡干燥后使用抛光机或拖把清理地面，使其变得光滑而有光泽。</w:t>
            </w:r>
            <w:r/>
          </w:p>
        </w:tc>
      </w:tr>
      <w:tr>
        <w:trPr>
          <w:trHeight w:val="460"/>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89"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33" w:type="dxa"/>
            <w:vAlign w:val="top"/>
            <w:vMerge w:val="restart"/>
            <w:textDirection w:val="lrTb"/>
            <w:noWrap w:val="false"/>
          </w:tcPr>
          <w:p>
            <w:pPr>
              <w:spacing w:line="26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1"/>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3367" w:type="dxa"/>
            <w:vAlign w:val="top"/>
            <w:vMerge w:val="restart"/>
            <w:textDirection w:val="lrTb"/>
            <w:noWrap w:val="false"/>
          </w:tcPr>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4"/>
              <w:spacing w:before="69"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瓷砖地面</w:t>
            </w:r>
            <w:r/>
          </w:p>
        </w:tc>
        <w:tc>
          <w:tcPr>
            <w:tcW w:w="9950" w:type="dxa"/>
            <w:vAlign w:val="top"/>
            <w:textDirection w:val="lrTb"/>
            <w:noWrap w:val="false"/>
          </w:tcPr>
          <w:p>
            <w:pPr>
              <w:pStyle w:val="867"/>
              <w:ind w:left="333"/>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6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日常清洁：</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推尘，保持地面干净无杂物。</w:t>
            </w:r>
            <w:r/>
          </w:p>
        </w:tc>
      </w:tr>
      <w:tr>
        <w:trPr>
          <w:trHeight w:val="458"/>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（2）深度清洁：</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使用洗洁精或肥皂水清理。</w:t>
            </w:r>
            <w:r/>
          </w:p>
        </w:tc>
      </w:tr>
      <w:tr>
        <w:trPr>
          <w:trHeight w:val="460"/>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1"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33" w:type="dxa"/>
            <w:vAlign w:val="top"/>
            <w:vMerge w:val="restart"/>
            <w:textDirection w:val="lrTb"/>
            <w:noWrap w:val="false"/>
          </w:tcPr>
          <w:p>
            <w:pPr>
              <w:spacing w:line="26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66"/>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3367" w:type="dxa"/>
            <w:vAlign w:val="top"/>
            <w:vMerge w:val="restart"/>
            <w:textDirection w:val="lrTb"/>
            <w:noWrap w:val="false"/>
          </w:tcPr>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0"/>
              <w:spacing w:before="6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石材地面</w:t>
            </w:r>
            <w:r/>
          </w:p>
        </w:tc>
        <w:tc>
          <w:tcPr>
            <w:tcW w:w="9950" w:type="dxa"/>
            <w:vAlign w:val="top"/>
            <w:textDirection w:val="lrTb"/>
            <w:noWrap w:val="false"/>
          </w:tcPr>
          <w:p>
            <w:pPr>
              <w:pStyle w:val="867"/>
              <w:ind w:left="333"/>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（1）根据各区域的人流量及大理石的实际磨损程度制定大理石的晶面保养计划。</w:t>
            </w:r>
            <w:r/>
          </w:p>
        </w:tc>
      </w:tr>
      <w:tr>
        <w:trPr>
          <w:trHeight w:val="458"/>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（2）启动晶面机，使用中性清洁剂清洁，</w:t>
            </w:r>
            <w:r>
              <w:rPr>
                <w:rFonts w:hint="eastAsia" w:asciiTheme="minorEastAsia" w:hAnsiTheme="minorEastAsia" w:eastAsiaTheme="minorEastAsia" w:cstheme="minorEastAsia"/>
                <w:color w:val="000000" w:themeColor="text1"/>
                <w:spacing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避免使用强酸或强碱</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清洁剂， 定期进行基础维护。</w:t>
            </w:r>
            <w:r/>
          </w:p>
        </w:tc>
      </w:tr>
      <w:tr>
        <w:trPr>
          <w:trHeight w:val="461"/>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33" w:type="dxa"/>
            <w:vAlign w:val="top"/>
            <w:vMerge w:val="restart"/>
            <w:textDirection w:val="lrTb"/>
            <w:noWrap w:val="false"/>
          </w:tcPr>
          <w:p>
            <w:pPr>
              <w:spacing w:line="26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1"/>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W w:w="3367" w:type="dxa"/>
            <w:vAlign w:val="top"/>
            <w:vMerge w:val="restart"/>
            <w:textDirection w:val="lrTb"/>
            <w:noWrap w:val="false"/>
          </w:tcPr>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2"/>
              <w:spacing w:before="6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水磨石地面</w:t>
            </w:r>
            <w:r/>
          </w:p>
        </w:tc>
        <w:tc>
          <w:tcPr>
            <w:tcW w:w="9950" w:type="dxa"/>
            <w:vAlign w:val="top"/>
            <w:textDirection w:val="lrTb"/>
            <w:noWrap w:val="false"/>
          </w:tcPr>
          <w:p>
            <w:pPr>
              <w:pStyle w:val="867"/>
              <w:ind w:left="333"/>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6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日常清洁：</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推尘，保持地面干净无杂物。</w:t>
            </w:r>
            <w:r/>
          </w:p>
        </w:tc>
      </w:tr>
      <w:tr>
        <w:trPr>
          <w:trHeight w:val="458"/>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（2）深度清洁：</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使用洗洁精或肥皂水清理。</w:t>
            </w:r>
            <w:r/>
          </w:p>
        </w:tc>
      </w:tr>
      <w:tr>
        <w:trPr>
          <w:trHeight w:val="460"/>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2"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33" w:type="dxa"/>
            <w:vAlign w:val="top"/>
            <w:vMerge w:val="restart"/>
            <w:textDirection w:val="lrTb"/>
            <w:noWrap w:val="false"/>
          </w:tcPr>
          <w:p>
            <w:pPr>
              <w:spacing w:line="26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2"/>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w:t>
            </w:r>
            <w:r/>
          </w:p>
        </w:tc>
        <w:tc>
          <w:tcPr>
            <w:tcW w:w="3367" w:type="dxa"/>
            <w:vAlign w:val="top"/>
            <w:vMerge w:val="restart"/>
            <w:textDirection w:val="lrTb"/>
            <w:noWrap w:val="false"/>
          </w:tcPr>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地胶板地面</w:t>
            </w:r>
            <w:r/>
          </w:p>
        </w:tc>
        <w:tc>
          <w:tcPr>
            <w:tcW w:w="9950" w:type="dxa"/>
            <w:vAlign w:val="top"/>
            <w:textDirection w:val="lrTb"/>
            <w:noWrap w:val="false"/>
          </w:tcPr>
          <w:p>
            <w:pPr>
              <w:pStyle w:val="867"/>
              <w:ind w:left="333"/>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（1）定期保养。使用中性清洁剂清洁，避免使用强酸或强碱清洁剂，定期进行基础维护。</w:t>
            </w:r>
            <w:r/>
          </w:p>
        </w:tc>
      </w:tr>
      <w:tr>
        <w:trPr>
          <w:trHeight w:val="458"/>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59"/>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日常维护。使用湿润的拖把清洁，污染严重时局部清洁，</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每月对地胶板</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地面进行打蜡处理。</w:t>
            </w:r>
            <w:r/>
          </w:p>
        </w:tc>
      </w:tr>
      <w:tr>
        <w:trPr>
          <w:trHeight w:val="460"/>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4"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33" w:type="dxa"/>
            <w:vAlign w:val="top"/>
            <w:vMerge w:val="restart"/>
            <w:textDirection w:val="lrTb"/>
            <w:noWrap w:val="false"/>
          </w:tcPr>
          <w:p>
            <w:pPr>
              <w:spacing w:line="26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1"/>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w:t>
            </w:r>
            <w:r/>
          </w:p>
        </w:tc>
        <w:tc>
          <w:tcPr>
            <w:tcW w:w="3367" w:type="dxa"/>
            <w:vAlign w:val="top"/>
            <w:vMerge w:val="restart"/>
            <w:textDirection w:val="lrTb"/>
            <w:noWrap w:val="false"/>
          </w:tcPr>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地板地面</w:t>
            </w:r>
            <w:r/>
          </w:p>
        </w:tc>
        <w:tc>
          <w:tcPr>
            <w:tcW w:w="9950" w:type="dxa"/>
            <w:vAlign w:val="top"/>
            <w:textDirection w:val="lrTb"/>
            <w:noWrap w:val="false"/>
          </w:tcPr>
          <w:p>
            <w:pPr>
              <w:pStyle w:val="867"/>
              <w:ind w:left="333"/>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（1）定期保养。使用中性清洁剂清洁，避免使用强酸或强碱清洁剂，定期进行基础维护。</w:t>
            </w:r>
            <w:r/>
          </w:p>
        </w:tc>
      </w:tr>
      <w:tr>
        <w:trPr>
          <w:trHeight w:val="458"/>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5"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6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日常维护。使用湿润的拖把清洁，污染严重时局部清洁，</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每月对地板进行打蜡处</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理。</w:t>
            </w:r>
            <w:r/>
          </w:p>
        </w:tc>
      </w:tr>
      <w:tr>
        <w:trPr>
          <w:trHeight w:val="461"/>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5"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3"/>
        </w:trPr>
        <w:tc>
          <w:tcPr>
            <w:tcW w:w="1233" w:type="dxa"/>
            <w:vAlign w:val="top"/>
            <w:textDirection w:val="lrTb"/>
            <w:noWrap w:val="false"/>
          </w:tcPr>
          <w:p>
            <w:pPr>
              <w:ind w:left="569"/>
              <w:spacing w:before="136"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w:t>
            </w:r>
            <w:r/>
          </w:p>
        </w:tc>
        <w:tc>
          <w:tcPr>
            <w:tcW w:w="3367" w:type="dxa"/>
            <w:vAlign w:val="top"/>
            <w:textDirection w:val="lrTb"/>
            <w:noWrap w:val="false"/>
          </w:tcPr>
          <w:p>
            <w:pPr>
              <w:pStyle w:val="867"/>
              <w:ind w:left="109"/>
              <w:spacing w:before="95"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地毯地面</w:t>
            </w:r>
            <w:r/>
          </w:p>
        </w:tc>
        <w:tc>
          <w:tcPr>
            <w:tcW w:w="9950" w:type="dxa"/>
            <w:vAlign w:val="top"/>
            <w:textDirection w:val="lrTb"/>
            <w:noWrap w:val="false"/>
          </w:tcPr>
          <w:p>
            <w:pPr>
              <w:pStyle w:val="867"/>
              <w:ind w:left="333"/>
              <w:spacing w:before="95"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pacing w:val="-6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日常用吸尘机除尘，局部脏污用湿布配中性清洁液重点清洁。</w:t>
            </w:r>
            <w:r/>
          </w:p>
        </w:tc>
      </w:tr>
      <w:tr>
        <w:trPr>
          <w:trHeight w:val="463"/>
        </w:trPr>
        <w:tc>
          <w:tcPr>
            <w:tcW w:w="1233" w:type="dxa"/>
            <w:vAlign w:val="top"/>
            <w:vMerge w:val="restart"/>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restart"/>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（2）用地毯清洗机进行整体清洗，除螨。</w:t>
            </w:r>
            <w:r/>
          </w:p>
        </w:tc>
      </w:tr>
      <w:tr>
        <w:trPr>
          <w:trHeight w:val="460"/>
        </w:trPr>
        <w:tc>
          <w:tcPr>
            <w:tcW w:w="1233"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50" w:type="dxa"/>
            <w:vAlign w:val="top"/>
            <w:textDirection w:val="lrTb"/>
            <w:noWrap w:val="false"/>
          </w:tcPr>
          <w:p>
            <w:pPr>
              <w:pStyle w:val="867"/>
              <w:ind w:left="333"/>
              <w:spacing w:before="89"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33" w:type="dxa"/>
            <w:vAlign w:val="top"/>
            <w:textDirection w:val="lrTb"/>
            <w:noWrap w:val="false"/>
          </w:tcPr>
          <w:p>
            <w:pPr>
              <w:ind w:left="569"/>
              <w:spacing w:before="131"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w:t>
            </w:r>
            <w:r/>
          </w:p>
        </w:tc>
        <w:tc>
          <w:tcPr>
            <w:tcW w:w="3367" w:type="dxa"/>
            <w:vAlign w:val="top"/>
            <w:textDirection w:val="lrTb"/>
            <w:noWrap w:val="false"/>
          </w:tcPr>
          <w:p>
            <w:pPr>
              <w:pStyle w:val="867"/>
              <w:ind w:left="11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乳胶漆内墙</w:t>
            </w:r>
            <w:r/>
          </w:p>
        </w:tc>
        <w:tc>
          <w:tcPr>
            <w:tcW w:w="9950" w:type="dxa"/>
            <w:vAlign w:val="top"/>
            <w:textDirection w:val="lrTb"/>
            <w:noWrap w:val="false"/>
          </w:tcPr>
          <w:p>
            <w:pPr>
              <w:pStyle w:val="867"/>
              <w:ind w:left="333"/>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有污渍时用半干布擦拭。</w:t>
            </w:r>
            <w:r/>
          </w:p>
        </w:tc>
      </w:tr>
      <w:tr>
        <w:trPr>
          <w:trHeight w:val="458"/>
        </w:trPr>
        <w:tc>
          <w:tcPr>
            <w:tcW w:w="1233" w:type="dxa"/>
            <w:vAlign w:val="top"/>
            <w:textDirection w:val="lrTb"/>
            <w:noWrap w:val="false"/>
          </w:tcPr>
          <w:p>
            <w:pPr>
              <w:ind w:left="524"/>
              <w:spacing w:before="131"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10</w:t>
            </w:r>
            <w:r/>
          </w:p>
        </w:tc>
        <w:tc>
          <w:tcPr>
            <w:tcW w:w="3367" w:type="dxa"/>
            <w:vAlign w:val="top"/>
            <w:textDirection w:val="lrTb"/>
            <w:noWrap w:val="false"/>
          </w:tcPr>
          <w:p>
            <w:pPr>
              <w:pStyle w:val="867"/>
              <w:ind w:left="109"/>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墙纸内墙</w:t>
            </w:r>
            <w:r/>
          </w:p>
        </w:tc>
        <w:tc>
          <w:tcPr>
            <w:tcW w:w="9950" w:type="dxa"/>
            <w:vAlign w:val="top"/>
            <w:textDirection w:val="lrTb"/>
            <w:noWrap w:val="false"/>
          </w:tcPr>
          <w:p>
            <w:pPr>
              <w:pStyle w:val="867"/>
              <w:ind w:left="333"/>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有污渍时用半干布擦拭。</w:t>
            </w:r>
            <w:r/>
          </w:p>
        </w:tc>
      </w:tr>
      <w:tr>
        <w:trPr>
          <w:trHeight w:val="460"/>
        </w:trPr>
        <w:tc>
          <w:tcPr>
            <w:tcW w:w="1233" w:type="dxa"/>
            <w:vAlign w:val="top"/>
            <w:textDirection w:val="lrTb"/>
            <w:noWrap w:val="false"/>
          </w:tcPr>
          <w:p>
            <w:pPr>
              <w:ind w:left="524"/>
              <w:spacing w:before="133"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11</w:t>
            </w:r>
            <w:r/>
          </w:p>
        </w:tc>
        <w:tc>
          <w:tcPr>
            <w:tcW w:w="3367" w:type="dxa"/>
            <w:vAlign w:val="top"/>
            <w:textDirection w:val="lrTb"/>
            <w:noWrap w:val="false"/>
          </w:tcPr>
          <w:p>
            <w:pPr>
              <w:pStyle w:val="867"/>
              <w:ind w:left="110"/>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木饰面内墙</w:t>
            </w:r>
            <w:r/>
          </w:p>
        </w:tc>
        <w:tc>
          <w:tcPr>
            <w:tcW w:w="9950" w:type="dxa"/>
            <w:vAlign w:val="top"/>
            <w:textDirection w:val="lrTb"/>
            <w:noWrap w:val="false"/>
          </w:tcPr>
          <w:p>
            <w:pPr>
              <w:pStyle w:val="867"/>
              <w:ind w:left="333"/>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12</w:t>
            </w:r>
            <w:r/>
          </w:p>
        </w:tc>
        <w:tc>
          <w:tcPr>
            <w:tcW w:w="3367" w:type="dxa"/>
            <w:vAlign w:val="top"/>
            <w:textDirection w:val="lrTb"/>
            <w:noWrap w:val="false"/>
          </w:tcPr>
          <w:p>
            <w:pPr>
              <w:pStyle w:val="867"/>
              <w:ind w:left="110"/>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石材内墙</w:t>
            </w:r>
            <w:r/>
          </w:p>
        </w:tc>
        <w:tc>
          <w:tcPr>
            <w:tcW w:w="9950" w:type="dxa"/>
            <w:vAlign w:val="top"/>
            <w:textDirection w:val="lrTb"/>
            <w:noWrap w:val="false"/>
          </w:tcPr>
          <w:p>
            <w:pPr>
              <w:pStyle w:val="867"/>
              <w:ind w:left="333"/>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有污渍时用半干布擦拭。</w:t>
            </w:r>
            <w:r/>
          </w:p>
        </w:tc>
      </w:tr>
      <w:tr>
        <w:trPr>
          <w:trHeight w:val="458"/>
        </w:trPr>
        <w:tc>
          <w:tcPr>
            <w:tcW w:w="1233" w:type="dxa"/>
            <w:vAlign w:val="top"/>
            <w:textDirection w:val="lrTb"/>
            <w:noWrap w:val="false"/>
          </w:tcPr>
          <w:p>
            <w:pPr>
              <w:ind w:left="524"/>
              <w:spacing w:before="133"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13</w:t>
            </w:r>
            <w:r/>
          </w:p>
        </w:tc>
        <w:tc>
          <w:tcPr>
            <w:tcW w:w="3367" w:type="dxa"/>
            <w:vAlign w:val="top"/>
            <w:textDirection w:val="lrTb"/>
            <w:noWrap w:val="false"/>
          </w:tcPr>
          <w:p>
            <w:pPr>
              <w:pStyle w:val="867"/>
              <w:ind w:left="111"/>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金属板内墙</w:t>
            </w:r>
            <w:r/>
          </w:p>
        </w:tc>
        <w:tc>
          <w:tcPr>
            <w:tcW w:w="9950" w:type="dxa"/>
            <w:vAlign w:val="top"/>
            <w:textDirection w:val="lrTb"/>
            <w:noWrap w:val="false"/>
          </w:tcPr>
          <w:p>
            <w:pPr>
              <w:pStyle w:val="867"/>
              <w:ind w:left="333"/>
              <w:spacing w:before="91"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有污渍时用半干布擦拭。</w:t>
            </w:r>
            <w:r/>
          </w:p>
        </w:tc>
      </w:tr>
      <w:tr>
        <w:trPr>
          <w:trHeight w:val="460"/>
        </w:trPr>
        <w:tc>
          <w:tcPr>
            <w:tcW w:w="1233" w:type="dxa"/>
            <w:vAlign w:val="top"/>
            <w:textDirection w:val="lrTb"/>
            <w:noWrap w:val="false"/>
          </w:tcPr>
          <w:p>
            <w:pPr>
              <w:ind w:left="524"/>
              <w:spacing w:before="13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14</w:t>
            </w:r>
            <w:r/>
          </w:p>
        </w:tc>
        <w:tc>
          <w:tcPr>
            <w:tcW w:w="3367" w:type="dxa"/>
            <w:vAlign w:val="top"/>
            <w:textDirection w:val="lrTb"/>
            <w:noWrap w:val="false"/>
          </w:tcPr>
          <w:p>
            <w:pPr>
              <w:pStyle w:val="867"/>
              <w:ind w:left="112"/>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涂料外墙</w:t>
            </w:r>
            <w:r/>
          </w:p>
        </w:tc>
        <w:tc>
          <w:tcPr>
            <w:tcW w:w="9950" w:type="dxa"/>
            <w:vAlign w:val="top"/>
            <w:textDirection w:val="lrTb"/>
            <w:noWrap w:val="false"/>
          </w:tcPr>
          <w:p>
            <w:pPr>
              <w:pStyle w:val="867"/>
              <w:ind w:left="333"/>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定期专业清洗。</w:t>
            </w:r>
            <w:r/>
          </w:p>
        </w:tc>
      </w:tr>
      <w:tr>
        <w:trPr>
          <w:trHeight w:val="458"/>
        </w:trPr>
        <w:tc>
          <w:tcPr>
            <w:tcW w:w="1233" w:type="dxa"/>
            <w:vAlign w:val="top"/>
            <w:textDirection w:val="lrTb"/>
            <w:noWrap w:val="false"/>
          </w:tcPr>
          <w:p>
            <w:pPr>
              <w:ind w:left="524"/>
              <w:spacing w:before="135"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15</w:t>
            </w:r>
            <w:r/>
          </w:p>
        </w:tc>
        <w:tc>
          <w:tcPr>
            <w:tcW w:w="3367" w:type="dxa"/>
            <w:vAlign w:val="top"/>
            <w:textDirection w:val="lrTb"/>
            <w:noWrap w:val="false"/>
          </w:tcPr>
          <w:p>
            <w:pPr>
              <w:pStyle w:val="867"/>
              <w:ind w:left="112"/>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真石漆外墙</w:t>
            </w:r>
            <w:r/>
          </w:p>
        </w:tc>
        <w:tc>
          <w:tcPr>
            <w:tcW w:w="9950" w:type="dxa"/>
            <w:vAlign w:val="top"/>
            <w:textDirection w:val="lrTb"/>
            <w:noWrap w:val="false"/>
          </w:tcPr>
          <w:p>
            <w:pPr>
              <w:pStyle w:val="867"/>
              <w:ind w:left="333"/>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定期专业清洗。</w:t>
            </w:r>
            <w:r/>
          </w:p>
        </w:tc>
      </w:tr>
      <w:tr>
        <w:trPr>
          <w:trHeight w:val="458"/>
        </w:trPr>
        <w:tc>
          <w:tcPr>
            <w:tcW w:w="1233" w:type="dxa"/>
            <w:vAlign w:val="top"/>
            <w:textDirection w:val="lrTb"/>
            <w:noWrap w:val="false"/>
          </w:tcPr>
          <w:p>
            <w:pPr>
              <w:ind w:left="524"/>
              <w:spacing w:before="13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16</w:t>
            </w:r>
            <w:r/>
          </w:p>
        </w:tc>
        <w:tc>
          <w:tcPr>
            <w:tcW w:w="3367" w:type="dxa"/>
            <w:vAlign w:val="top"/>
            <w:textDirection w:val="lrTb"/>
            <w:noWrap w:val="false"/>
          </w:tcPr>
          <w:p>
            <w:pPr>
              <w:pStyle w:val="867"/>
              <w:ind w:left="114"/>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瓷砖外墙</w:t>
            </w:r>
            <w:r/>
          </w:p>
        </w:tc>
        <w:tc>
          <w:tcPr>
            <w:tcW w:w="9950" w:type="dxa"/>
            <w:vAlign w:val="top"/>
            <w:textDirection w:val="lrTb"/>
            <w:noWrap w:val="false"/>
          </w:tcPr>
          <w:p>
            <w:pPr>
              <w:pStyle w:val="867"/>
              <w:ind w:left="333"/>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定期专业清洗。</w:t>
            </w:r>
            <w:r/>
          </w:p>
        </w:tc>
      </w:tr>
      <w:tr>
        <w:trPr>
          <w:trHeight w:val="460"/>
        </w:trPr>
        <w:tc>
          <w:tcPr>
            <w:tcW w:w="1233" w:type="dxa"/>
            <w:vAlign w:val="top"/>
            <w:textDirection w:val="lrTb"/>
            <w:noWrap w:val="false"/>
          </w:tcPr>
          <w:p>
            <w:pPr>
              <w:ind w:left="526"/>
              <w:spacing w:before="136"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5"/>
                <w:sz w:val="21"/>
                <w:szCs w:val="21"/>
                <w:highlight w:val="none"/>
                <w14:textFill>
                  <w14:solidFill>
                    <w14:schemeClr w14:val="tx1"/>
                  </w14:solidFill>
                </w14:textFill>
              </w:rPr>
              <w:t xml:space="preserve">17</w:t>
            </w:r>
            <w:r/>
          </w:p>
        </w:tc>
        <w:tc>
          <w:tcPr>
            <w:tcW w:w="3367" w:type="dxa"/>
            <w:vAlign w:val="top"/>
            <w:textDirection w:val="lrTb"/>
            <w:noWrap w:val="false"/>
          </w:tcPr>
          <w:p>
            <w:pPr>
              <w:pStyle w:val="867"/>
              <w:ind w:left="110"/>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保温一体板外墙</w:t>
            </w:r>
            <w:r/>
          </w:p>
        </w:tc>
        <w:tc>
          <w:tcPr>
            <w:tcW w:w="9950" w:type="dxa"/>
            <w:vAlign w:val="top"/>
            <w:textDirection w:val="lrTb"/>
            <w:noWrap w:val="false"/>
          </w:tcPr>
          <w:p>
            <w:pPr>
              <w:pStyle w:val="867"/>
              <w:ind w:left="333"/>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定期专业清洗。</w:t>
            </w:r>
            <w:r/>
          </w:p>
        </w:tc>
      </w:tr>
      <w:tr>
        <w:trPr>
          <w:trHeight w:val="458"/>
        </w:trPr>
        <w:tc>
          <w:tcPr>
            <w:tcW w:w="1233" w:type="dxa"/>
            <w:vAlign w:val="top"/>
            <w:textDirection w:val="lrTb"/>
            <w:noWrap w:val="false"/>
          </w:tcPr>
          <w:p>
            <w:pPr>
              <w:ind w:left="524"/>
              <w:spacing w:before="135"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18</w:t>
            </w:r>
            <w:r/>
          </w:p>
        </w:tc>
        <w:tc>
          <w:tcPr>
            <w:tcW w:w="3367" w:type="dxa"/>
            <w:vAlign w:val="top"/>
            <w:textDirection w:val="lrTb"/>
            <w:noWrap w:val="false"/>
          </w:tcPr>
          <w:p>
            <w:pPr>
              <w:pStyle w:val="867"/>
              <w:ind w:left="110"/>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铝板外墙</w:t>
            </w:r>
            <w:r/>
          </w:p>
        </w:tc>
        <w:tc>
          <w:tcPr>
            <w:tcW w:w="9950" w:type="dxa"/>
            <w:vAlign w:val="top"/>
            <w:textDirection w:val="lrTb"/>
            <w:noWrap w:val="false"/>
          </w:tcPr>
          <w:p>
            <w:pPr>
              <w:pStyle w:val="867"/>
              <w:ind w:left="333"/>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定期专业清洗。</w:t>
            </w:r>
            <w:r/>
          </w:p>
        </w:tc>
      </w:tr>
      <w:tr>
        <w:trPr>
          <w:trHeight w:val="458"/>
        </w:trPr>
        <w:tc>
          <w:tcPr>
            <w:tcW w:w="1233" w:type="dxa"/>
            <w:vAlign w:val="top"/>
            <w:textDirection w:val="lrTb"/>
            <w:noWrap w:val="false"/>
          </w:tcPr>
          <w:p>
            <w:pPr>
              <w:ind w:left="524"/>
              <w:spacing w:before="135"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19</w:t>
            </w:r>
            <w:r/>
          </w:p>
        </w:tc>
        <w:tc>
          <w:tcPr>
            <w:tcW w:w="3367" w:type="dxa"/>
            <w:vAlign w:val="top"/>
            <w:textDirection w:val="lrTb"/>
            <w:noWrap w:val="false"/>
          </w:tcPr>
          <w:p>
            <w:pPr>
              <w:pStyle w:val="867"/>
              <w:ind w:left="108"/>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干挂石材外墙</w:t>
            </w:r>
            <w:r/>
          </w:p>
        </w:tc>
        <w:tc>
          <w:tcPr>
            <w:tcW w:w="9950" w:type="dxa"/>
            <w:vAlign w:val="top"/>
            <w:textDirection w:val="lrTb"/>
            <w:noWrap w:val="false"/>
          </w:tcPr>
          <w:p>
            <w:pPr>
              <w:pStyle w:val="867"/>
              <w:ind w:left="333"/>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定期专业清洗。</w:t>
            </w:r>
            <w:r/>
          </w:p>
        </w:tc>
      </w:tr>
      <w:tr>
        <w:trPr>
          <w:trHeight w:val="465"/>
        </w:trPr>
        <w:tc>
          <w:tcPr>
            <w:tcW w:w="1233" w:type="dxa"/>
            <w:vAlign w:val="top"/>
            <w:textDirection w:val="lrTb"/>
            <w:noWrap w:val="false"/>
          </w:tcPr>
          <w:p>
            <w:pPr>
              <w:ind w:left="520"/>
              <w:spacing w:before="136"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 xml:space="preserve">20</w:t>
            </w:r>
            <w:r/>
          </w:p>
        </w:tc>
        <w:tc>
          <w:tcPr>
            <w:tcW w:w="3367" w:type="dxa"/>
            <w:vAlign w:val="top"/>
            <w:textDirection w:val="lrTb"/>
            <w:noWrap w:val="false"/>
          </w:tcPr>
          <w:p>
            <w:pPr>
              <w:pStyle w:val="867"/>
              <w:ind w:left="113"/>
              <w:spacing w:before="95"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玻璃幕墙外墙</w:t>
            </w:r>
            <w:r/>
          </w:p>
        </w:tc>
        <w:tc>
          <w:tcPr>
            <w:tcW w:w="9950" w:type="dxa"/>
            <w:vAlign w:val="top"/>
            <w:textDirection w:val="lrTb"/>
            <w:noWrap w:val="false"/>
          </w:tcPr>
          <w:p>
            <w:pPr>
              <w:pStyle w:val="867"/>
              <w:ind w:left="333"/>
              <w:spacing w:before="95"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定期专业清洗。</w:t>
            </w:r>
            <w:r/>
          </w:p>
        </w:tc>
      </w:tr>
    </w:tbl>
    <w:p>
      <w:pPr>
        <w:ind w:left="551"/>
        <w:spacing w:before="32" w:line="21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1"/>
          <w:szCs w:val="21"/>
          <w:highlight w:val="none"/>
          <w14:textFill>
            <w14:solidFill>
              <w14:schemeClr w14:val="tx1"/>
            </w14:solidFill>
          </w14:textFill>
        </w:rPr>
        <w:t xml:space="preserve">注：根据物业用材情况选择清洁要求</w:t>
      </w:r>
      <w:r/>
    </w:p>
    <w:p>
      <w:pPr>
        <w:spacing w:line="32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41"/>
        <w:spacing w:before="90"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3.5绿化服务</w:t>
      </w:r>
      <w:r/>
    </w:p>
    <w:p>
      <w:pPr>
        <w:spacing w:line="29"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3367" w:type="dxa"/>
            <w:vAlign w:val="top"/>
            <w:textDirection w:val="lrTb"/>
            <w:noWrap w:val="false"/>
          </w:tcPr>
          <w:p>
            <w:pPr>
              <w:ind w:left="1261"/>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w:t>
            </w:r>
            <w:r/>
          </w:p>
        </w:tc>
        <w:tc>
          <w:tcPr>
            <w:tcW w:w="9938" w:type="dxa"/>
            <w:vAlign w:val="top"/>
            <w:textDirection w:val="lrTb"/>
            <w:noWrap w:val="false"/>
          </w:tcPr>
          <w:p>
            <w:pPr>
              <w:ind w:left="4546"/>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服务标准</w:t>
            </w:r>
            <w:r/>
          </w:p>
        </w:tc>
      </w:tr>
      <w:tr>
        <w:trPr>
          <w:trHeight w:val="457"/>
        </w:trPr>
        <w:tc>
          <w:tcPr>
            <w:tcW w:w="1245" w:type="dxa"/>
            <w:vAlign w:val="top"/>
            <w:vMerge w:val="restart"/>
            <w:textDirection w:val="lrTb"/>
            <w:noWrap w:val="false"/>
          </w:tcPr>
          <w:p>
            <w:pPr>
              <w:spacing w:line="29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84"/>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3367" w:type="dxa"/>
            <w:vAlign w:val="top"/>
            <w:vMerge w:val="restart"/>
            <w:textDirection w:val="lrTb"/>
            <w:noWrap w:val="false"/>
          </w:tcPr>
          <w:p>
            <w:pPr>
              <w:spacing w:line="25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09"/>
              <w:spacing w:before="6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基本要求</w:t>
            </w:r>
            <w:r/>
          </w:p>
        </w:tc>
        <w:tc>
          <w:tcPr>
            <w:tcW w:w="9938" w:type="dxa"/>
            <w:vAlign w:val="top"/>
            <w:textDirection w:val="lrTb"/>
            <w:noWrap w:val="false"/>
          </w:tcPr>
          <w:p>
            <w:pPr>
              <w:pStyle w:val="867"/>
              <w:ind w:left="333"/>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（1）制定绿化服务的工作制度及工作计划，并按照执行。</w:t>
            </w:r>
            <w:r/>
          </w:p>
        </w:tc>
      </w:tr>
      <w:tr>
        <w:trPr>
          <w:trHeight w:val="461"/>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（2）做好绿化服务工作记录，填写规范。</w:t>
            </w:r>
            <w:r/>
          </w:p>
        </w:tc>
      </w:tr>
      <w:tr>
        <w:trPr>
          <w:trHeight w:val="462"/>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（3）作业时采取安全防护措施， 防止对作业人员或他人造成伤害。</w:t>
            </w:r>
            <w:r/>
          </w:p>
        </w:tc>
      </w:tr>
      <w:tr>
        <w:trPr>
          <w:trHeight w:val="460"/>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（4）相关耗材的环保、安全性应当符合规定要求。</w:t>
            </w:r>
            <w:r/>
          </w:p>
        </w:tc>
      </w:tr>
      <w:tr>
        <w:trPr>
          <w:trHeight w:val="458"/>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（5）大楼使用范围内的绿化带的树木、花草等的日常养护和管理。根据大楼实际及现摆放情况提出更好的设计方案，做好室内绿化摆放等工作。</w:t>
            </w:r>
            <w:r/>
          </w:p>
        </w:tc>
      </w:tr>
      <w:tr>
        <w:trPr>
          <w:trHeight w:val="458"/>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）建立定期除草、修剪制度，确保绿化无杂草、造型规整；及时喷洒农药、浇水施肥，确保绿化养护期内100%存活。</w:t>
            </w:r>
            <w:r/>
          </w:p>
        </w:tc>
      </w:tr>
      <w:tr>
        <w:trPr>
          <w:trHeight w:val="2788"/>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）室内</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绿化养护</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pStyle w:val="867"/>
              <w:ind w:left="333"/>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摆放布置要根据各区域不同的使用功能划块区分；</w:t>
            </w:r>
            <w:r/>
          </w:p>
          <w:p>
            <w:pPr>
              <w:pStyle w:val="867"/>
              <w:ind w:left="333"/>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绿化摆放的点位、品种、数量的确定，要科学合理；</w:t>
            </w:r>
            <w:r/>
          </w:p>
          <w:p>
            <w:pPr>
              <w:pStyle w:val="867"/>
              <w:ind w:left="333"/>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③</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对不同区域的绿化制定各自的调整周期；</w:t>
            </w:r>
            <w:r/>
          </w:p>
          <w:p>
            <w:pPr>
              <w:pStyle w:val="867"/>
              <w:ind w:left="333"/>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④</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保证室内绿化整洁鲜艳；</w:t>
            </w:r>
            <w:r/>
          </w:p>
          <w:p>
            <w:pPr>
              <w:pStyle w:val="867"/>
              <w:ind w:left="333"/>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⑤</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确定年养护管理计划表；</w:t>
            </w:r>
            <w:r/>
          </w:p>
          <w:p>
            <w:pPr>
              <w:pStyle w:val="867"/>
              <w:ind w:left="333"/>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及时进行浇水、养护，浇水的同时，应冲洗叶面，保持叶面清洁，提高观赏效果。</w:t>
            </w:r>
            <w:r/>
          </w:p>
        </w:tc>
      </w:tr>
      <w:tr>
        <w:trPr>
          <w:trHeight w:val="458"/>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45" w:type="dxa"/>
            <w:vAlign w:val="top"/>
            <w:vMerge w:val="restart"/>
            <w:textDirection w:val="lrTb"/>
            <w:noWrap w:val="false"/>
          </w:tcPr>
          <w:p>
            <w:pPr>
              <w:spacing w:line="26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8"/>
              <w:spacing w:before="64"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3367" w:type="dxa"/>
            <w:vAlign w:val="top"/>
            <w:vMerge w:val="restart"/>
            <w:textDirection w:val="lrTb"/>
            <w:noWrap w:val="false"/>
          </w:tcPr>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3"/>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室外绿化养护</w:t>
            </w:r>
            <w:r/>
          </w:p>
        </w:tc>
        <w:tc>
          <w:tcPr>
            <w:tcW w:w="9938" w:type="dxa"/>
            <w:vAlign w:val="top"/>
            <w:textDirection w:val="lrTb"/>
            <w:noWrap w:val="false"/>
          </w:tcPr>
          <w:p>
            <w:pPr>
              <w:pStyle w:val="867"/>
              <w:ind w:left="333"/>
              <w:spacing w:before="91" w:line="220" w:lineRule="auto"/>
              <w:shd w:val="clear" w:color="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（1）对树木进行及时修剪，以免有碍景观。</w:t>
            </w:r>
            <w:r/>
          </w:p>
        </w:tc>
      </w:tr>
      <w:tr>
        <w:trPr>
          <w:trHeight w:val="460"/>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（2）草坪要保持修剪平整，</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及时</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拔除杂草，以免影响景观。</w:t>
            </w:r>
            <w:r/>
          </w:p>
        </w:tc>
      </w:tr>
      <w:tr>
        <w:trPr>
          <w:trHeight w:val="686"/>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113" w:right="181" w:firstLine="220"/>
              <w:spacing w:before="35"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（3）及时对树木草坪进行浇水灌溉。水压要适中防止损坏花木及草坪。</w:t>
            </w:r>
            <w:r/>
          </w:p>
        </w:tc>
      </w:tr>
      <w:tr>
        <w:trPr>
          <w:trHeight w:val="458"/>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（4）做好树木及草坪病虫害的预防工作，预防为主、防治结合。使用药品时，要加强对药品的管理，注意安全，科学用药。避免产生对其他环境的影响</w:t>
            </w:r>
            <w:r/>
          </w:p>
        </w:tc>
      </w:tr>
      <w:tr>
        <w:trPr>
          <w:trHeight w:val="465"/>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4"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）乔、灌、地被、草配植科学，层次丰富、季相分明。乔灌木生长健壮，树冠完整，形态优美；花灌木按时开花结果；球、篱、地被生长茂盛，无缺枝、</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空档</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tc>
      </w:tr>
      <w:tr>
        <w:trPr>
          <w:trHeight w:val="465"/>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）草坪、灌木类、花坛 成活率 </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0%以上，每年修剪 3 次，除虫施肥每年 1 次</w:t>
            </w:r>
            <w:r/>
          </w:p>
        </w:tc>
      </w:tr>
      <w:tr>
        <w:trPr>
          <w:trHeight w:val="465"/>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）乔木类 成活率</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0%以上，每年修剪 </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次，除虫施肥每年 1 次</w:t>
            </w:r>
            <w:r/>
          </w:p>
        </w:tc>
      </w:tr>
      <w:tr>
        <w:trPr>
          <w:trHeight w:val="465"/>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）人工湖、喷水池</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：每季水面清捞 1 次</w:t>
            </w:r>
            <w:r/>
          </w:p>
        </w:tc>
      </w:tr>
      <w:tr>
        <w:trPr>
          <w:trHeight w:val="465"/>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）景观小品每半年清洁、整修 1 次</w:t>
            </w:r>
            <w:r/>
          </w:p>
        </w:tc>
      </w:tr>
      <w:tr>
        <w:trPr>
          <w:trHeight w:val="465"/>
        </w:trPr>
        <w:tc>
          <w:tcPr>
            <w:tcW w:w="1245"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7"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938" w:type="dxa"/>
            <w:vAlign w:val="top"/>
            <w:textDirection w:val="lrTb"/>
            <w:noWrap w:val="false"/>
          </w:tcPr>
          <w:p>
            <w:pPr>
              <w:pStyle w:val="867"/>
              <w:ind w:left="333"/>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bl>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41"/>
        <w:spacing w:before="90"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3.6保安服务</w:t>
      </w:r>
      <w:r/>
    </w:p>
    <w:p>
      <w:pPr>
        <w:spacing w:line="29"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3366" w:type="dxa"/>
            <w:vAlign w:val="top"/>
            <w:textDirection w:val="lrTb"/>
            <w:noWrap w:val="false"/>
          </w:tcPr>
          <w:p>
            <w:pPr>
              <w:ind w:left="1261"/>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w:t>
            </w:r>
            <w:r/>
          </w:p>
        </w:tc>
        <w:tc>
          <w:tcPr>
            <w:tcW w:w="9888" w:type="dxa"/>
            <w:vAlign w:val="top"/>
            <w:textDirection w:val="lrTb"/>
            <w:noWrap w:val="false"/>
          </w:tcPr>
          <w:p>
            <w:pPr>
              <w:ind w:left="4520"/>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服务标准</w:t>
            </w:r>
            <w:r/>
          </w:p>
        </w:tc>
      </w:tr>
      <w:tr>
        <w:trPr>
          <w:trHeight w:val="459"/>
        </w:trPr>
        <w:tc>
          <w:tcPr>
            <w:tcW w:w="1260" w:type="dxa"/>
            <w:vAlign w:val="top"/>
            <w:vMerge w:val="restart"/>
            <w:textDirection w:val="lrTb"/>
            <w:noWrap w:val="false"/>
          </w:tcPr>
          <w:p>
            <w:pPr>
              <w:spacing w:line="26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91"/>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3366" w:type="dxa"/>
            <w:vAlign w:val="top"/>
            <w:vMerge w:val="restart"/>
            <w:textDirection w:val="lrTb"/>
            <w:noWrap w:val="false"/>
          </w:tcPr>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1"/>
              <w:spacing w:before="6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基本要求</w:t>
            </w:r>
            <w:r/>
          </w:p>
        </w:tc>
        <w:tc>
          <w:tcPr>
            <w:tcW w:w="9888"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（1）建立保安服务相关制度，并按照执行。</w:t>
            </w:r>
            <w:r/>
          </w:p>
        </w:tc>
      </w:tr>
      <w:tr>
        <w:trPr>
          <w:trHeight w:val="457"/>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（2）对巡查、值守及异常情况等做好相关记录，填写规范，保存完好。</w:t>
            </w:r>
            <w:r/>
          </w:p>
        </w:tc>
      </w:tr>
      <w:tr>
        <w:trPr>
          <w:trHeight w:val="464"/>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（3）配备对讲</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装置</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和其他必备的安全护卫器械。</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熟悉周边的环境，能处理和应对公共秩序维护工作，能正确使用各类消防、物防、技防器械和设备，能够熟悉、掌握各类刑事、治安案件和各类灾害事故的应急预案</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来人来访的通报、证件检验、登记、报刊信件收发等，快递及包裹原则上由收件人亲自签收，得到收件人授权后方能代为签收，并按规范记录接收信息</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门卫、守护和巡逻，维护公共秩序</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处理治安及其他突发事件</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负责道路交通管理、机动车和非机动车停放管理</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负责防盗、防火管理</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积极主动的配合、服从对口管理部门的临时应急调度</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）专职保安人员，身体健康，工作认真负责并定期接受培训。</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）上岗时</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佩戴统一标志</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，穿戴统一制服，仪容仪表规范整齐。</w:t>
            </w:r>
            <w:r/>
          </w:p>
        </w:tc>
      </w:tr>
      <w:tr>
        <w:trPr>
          <w:trHeight w:val="463"/>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0"/>
        </w:trPr>
        <w:tc>
          <w:tcPr>
            <w:tcW w:w="1260" w:type="dxa"/>
            <w:vAlign w:val="top"/>
            <w:vMerge w:val="restart"/>
            <w:textDirection w:val="lrTb"/>
            <w:noWrap w:val="false"/>
          </w:tcPr>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2"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85"/>
              <w:spacing w:before="64"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3366" w:type="dxa"/>
            <w:vAlign w:val="top"/>
            <w:vMerge w:val="restart"/>
            <w:textDirection w:val="lrTb"/>
            <w:noWrap w:val="false"/>
          </w:tcPr>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29"/>
              <w:spacing w:before="6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出入管理</w:t>
            </w:r>
            <w:r/>
          </w:p>
        </w:tc>
        <w:tc>
          <w:tcPr>
            <w:tcW w:w="9888"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（1）主出入口 24 小时值班看守，并有详细交接班记录和外来车辆的登记记录。建立传达、车辆、道路及公共秩序管理等制度。</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（2）设置门岗。</w:t>
            </w:r>
            <w:r/>
          </w:p>
        </w:tc>
      </w:tr>
      <w:tr>
        <w:trPr>
          <w:trHeight w:val="686"/>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131" w:right="180" w:firstLine="200"/>
              <w:spacing w:before="32" w:line="26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（3）在出入口对外来人员及其携带大件物品、外来车辆进行询问和记录，并与相关部门取得联系，</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同意后方可进入。</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（4）大件物品搬出有相关部门开具的证明和清单，经核实后放行。</w:t>
            </w:r>
            <w:r/>
          </w:p>
        </w:tc>
      </w:tr>
      <w:tr>
        <w:trPr>
          <w:trHeight w:val="741"/>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111" w:right="133" w:firstLine="220"/>
              <w:spacing w:before="61"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（5）排查可疑人员，</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对于不出示证件、不按规定登记、不听劝阻而强行闯入者，及时劝离，必要时</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通知公安机关进行处理。</w:t>
            </w:r>
            <w:r/>
          </w:p>
        </w:tc>
      </w:tr>
      <w:tr>
        <w:trPr>
          <w:trHeight w:val="42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3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（6）配合相关部门积极疏导上访人员，有效疏导如出入口人群集聚、车辆拥堵、货物堵塞道路等情</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况。</w:t>
            </w:r>
            <w:r/>
          </w:p>
        </w:tc>
      </w:tr>
      <w:tr>
        <w:trPr>
          <w:trHeight w:val="1027"/>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111" w:right="107" w:firstLine="220"/>
              <w:jc w:val="both"/>
              <w:spacing w:before="34" w:line="27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（7）根据物业服务合同约定，对物品进出实行安检、登记、电话确认等分类管理措施。大宗物品进</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出会同接收单位收件人审检，</w:t>
            </w:r>
            <w:r>
              <w:rPr>
                <w:rFonts w:hint="eastAsia" w:asciiTheme="minorEastAsia" w:hAnsiTheme="minorEastAsia" w:eastAsiaTheme="minorEastAsia" w:cstheme="minorEastAsia"/>
                <w:color w:val="000000" w:themeColor="text1"/>
                <w:spacing w:val="-3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严防违禁品（包括毒品、军火弹药、管制刀具、易燃易爆品等）、限带品（包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括动物、任何未经授权的专业摄影设备、无人机等）</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进入。</w:t>
            </w:r>
            <w:r/>
          </w:p>
        </w:tc>
      </w:tr>
      <w:tr>
        <w:trPr>
          <w:trHeight w:val="9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114" w:right="109" w:firstLine="218"/>
              <w:spacing w:before="82" w:line="268" w:lineRule="auto"/>
              <w:shd w:val="clear" w:color="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（8）对进出小区的车辆进行管理和疏导，保持出入口环境整洁、有序、道路畅通。</w:t>
            </w:r>
            <w:r/>
          </w:p>
        </w:tc>
      </w:tr>
      <w:tr>
        <w:trPr>
          <w:trHeight w:val="463"/>
        </w:trPr>
        <w:tc>
          <w:tcPr>
            <w:tcW w:w="1260" w:type="dxa"/>
            <w:vAlign w:val="top"/>
            <w:vMerge w:val="restart"/>
            <w:textDirection w:val="lrTb"/>
            <w:noWrap w:val="false"/>
          </w:tcPr>
          <w:p>
            <w:pPr>
              <w:ind w:left="583"/>
              <w:spacing w:before="136"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3366" w:type="dxa"/>
            <w:vAlign w:val="top"/>
            <w:vMerge w:val="restart"/>
            <w:textDirection w:val="lrTb"/>
            <w:noWrap w:val="false"/>
          </w:tcPr>
          <w:p>
            <w:pPr>
              <w:pStyle w:val="867"/>
              <w:ind w:left="111"/>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值班巡查</w:t>
            </w:r>
            <w:r/>
          </w:p>
        </w:tc>
        <w:tc>
          <w:tcPr>
            <w:tcW w:w="9888" w:type="dxa"/>
            <w:vAlign w:val="top"/>
            <w:textDirection w:val="lrTb"/>
            <w:noWrap w:val="false"/>
          </w:tcPr>
          <w:p>
            <w:pPr>
              <w:pStyle w:val="867"/>
              <w:ind w:left="331"/>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（1）物业管</w:t>
            </w:r>
            <w:r>
              <w:rPr>
                <w:rFonts w:hint="eastAsia" w:asciiTheme="minorEastAsia" w:hAnsiTheme="minorEastAsia" w:eastAsiaTheme="minorEastAsia" w:cstheme="minorEastAsia"/>
                <w:color w:val="000000" w:themeColor="text1"/>
                <w:spacing w:val="-2"/>
                <w:highlight w:val="none"/>
                <w:shd w:val="clear" w:color="auto"/>
                <w14:textFill>
                  <w14:solidFill>
                    <w14:schemeClr w14:val="tx1"/>
                  </w14:solidFill>
                </w14:textFill>
              </w:rPr>
              <w:t xml:space="preserve">理区域内安排24小时巡查。白天巡逻次数不少于四次，夜间重点部位巡逻二次，并有巡逻记录。</w:t>
            </w:r>
            <w:r/>
          </w:p>
        </w:tc>
      </w:tr>
      <w:tr>
        <w:trPr>
          <w:trHeight w:val="9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（2）明确巡查工作职责，规范巡视工作流程，制定相对固定的巡视路线，对重要区域、部位、设备机房等进行重点巡视并记录巡视情况，及时发现和处理各种安全和事故隐患。</w:t>
            </w:r>
            <w:r/>
          </w:p>
        </w:tc>
      </w:tr>
      <w:tr>
        <w:trPr>
          <w:trHeight w:val="46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89"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监控室应保持巡更记录。在接到监控室发出的指令后，巡视人员应及时到达事发现场，采取相应措施妥善处理；在遇到突发事件时，采取必要措施并及时报告管理处和相关部门</w:t>
            </w:r>
            <w:r>
              <w:rPr>
                <w:rFonts w:hint="eastAsia" w:asciiTheme="minorEastAsia" w:hAnsiTheme="minorEastAsia" w:eastAsiaTheme="minorEastAsia" w:cstheme="minorEastAsia"/>
                <w:color w:val="000000" w:themeColor="text1"/>
                <w:spacing w:val="-8"/>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随时准备启动并执行相应的应急预案。</w:t>
            </w:r>
            <w:r/>
          </w:p>
        </w:tc>
      </w:tr>
      <w:tr>
        <w:trPr>
          <w:trHeight w:val="45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上岗时佩戴统一标志，按需求穿戴统一制服，装备佩戴规范，仪容仪表规范整齐，当值时坐姿挺直，站岗时不倚不靠。</w:t>
            </w:r>
            <w:r/>
          </w:p>
        </w:tc>
      </w:tr>
      <w:tr>
        <w:trPr>
          <w:trHeight w:val="45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文明执勤，训练有素，言语规范，认真负责。</w:t>
            </w:r>
            <w:r/>
          </w:p>
        </w:tc>
      </w:tr>
      <w:tr>
        <w:trPr>
          <w:trHeight w:val="45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配备对讲装置和其他必备的安全护卫器械。</w:t>
            </w:r>
            <w:r/>
          </w:p>
        </w:tc>
      </w:tr>
      <w:tr>
        <w:trPr>
          <w:trHeight w:val="45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严格验证、登记制度，杜绝闲杂人员进入行政区域内，维护行政区域安全、正常的工作环境。</w:t>
            </w:r>
            <w:r/>
          </w:p>
        </w:tc>
      </w:tr>
      <w:tr>
        <w:trPr>
          <w:trHeight w:val="45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对物品进出实施分类管理，实行物品进出审验制度，杜绝危险物品进入行政区域内。</w:t>
            </w:r>
            <w:r/>
          </w:p>
        </w:tc>
      </w:tr>
      <w:tr>
        <w:trPr>
          <w:trHeight w:val="45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0"/>
        </w:trPr>
        <w:tc>
          <w:tcPr>
            <w:tcW w:w="1260" w:type="dxa"/>
            <w:vAlign w:val="top"/>
            <w:vMerge w:val="restart"/>
            <w:textDirection w:val="lrTb"/>
            <w:noWrap w:val="false"/>
          </w:tcPr>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78"/>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3366" w:type="dxa"/>
            <w:vAlign w:val="top"/>
            <w:vMerge w:val="restart"/>
            <w:textDirection w:val="lrTb"/>
            <w:noWrap w:val="false"/>
          </w:tcPr>
          <w:p>
            <w:pPr>
              <w:spacing w:line="25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2"/>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监控值守</w:t>
            </w:r>
            <w:r/>
          </w:p>
        </w:tc>
        <w:tc>
          <w:tcPr>
            <w:tcW w:w="9888"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（1）监控室环境符合系统设备运行要求， 定期进行检查和检测，确保系统功能正常。</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（2）监控设备</w:t>
            </w:r>
            <w:r>
              <w:rPr>
                <w:rFonts w:hint="eastAsia" w:asciiTheme="minorEastAsia" w:hAnsiTheme="minorEastAsia" w:eastAsiaTheme="minorEastAsia" w:cstheme="minorEastAsia"/>
                <w:color w:val="000000" w:themeColor="text1"/>
                <w:spacing w:val="-4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24</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小时正常运行，</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监控室实行专人</w:t>
            </w:r>
            <w:r>
              <w:rPr>
                <w:rFonts w:hint="eastAsia" w:asciiTheme="minorEastAsia" w:hAnsiTheme="minorEastAsia" w:eastAsiaTheme="minorEastAsia" w:cstheme="minorEastAsia"/>
                <w:color w:val="000000" w:themeColor="text1"/>
                <w:spacing w:val="-4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24</w:t>
            </w:r>
            <w:r>
              <w:rPr>
                <w:rFonts w:hint="eastAsia" w:asciiTheme="minorEastAsia" w:hAnsiTheme="minorEastAsia" w:eastAsiaTheme="minorEastAsia" w:cstheme="minorEastAsia"/>
                <w:color w:val="000000" w:themeColor="text1"/>
                <w:spacing w:val="18"/>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小时值班制度。小区主出入口、主干道应具备录像监控。</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（3）监控记录画面清晰，视频监控无死角、无盲区。</w:t>
            </w:r>
            <w:r/>
          </w:p>
        </w:tc>
      </w:tr>
      <w:tr>
        <w:trPr>
          <w:trHeight w:val="46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（4）值班期间遵守操作规程和保密制度，</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做好监控记录的保存工作。</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（5）监控记录保持完整，保存时间不应少于</w:t>
            </w:r>
            <w:r>
              <w:rPr>
                <w:rFonts w:hint="eastAsia" w:asciiTheme="minorEastAsia" w:hAnsiTheme="minorEastAsia" w:eastAsiaTheme="minorEastAsia" w:cstheme="minorEastAsia"/>
                <w:color w:val="000000" w:themeColor="text1"/>
                <w:spacing w:val="-4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90</w:t>
            </w:r>
            <w:r>
              <w:rPr>
                <w:rFonts w:hint="eastAsia" w:asciiTheme="minorEastAsia" w:hAnsiTheme="minorEastAsia" w:eastAsiaTheme="minorEastAsia" w:cstheme="minorEastAsia"/>
                <w:color w:val="000000" w:themeColor="text1"/>
                <w:spacing w:val="16"/>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天。</w:t>
            </w:r>
            <w:r/>
          </w:p>
        </w:tc>
      </w:tr>
      <w:tr>
        <w:trPr>
          <w:trHeight w:val="511"/>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11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（6）无关人员进入监控室或查阅监控记录，经授权人批准并做好相关记录。</w:t>
            </w:r>
            <w:r/>
          </w:p>
        </w:tc>
      </w:tr>
      <w:tr>
        <w:trPr>
          <w:trHeight w:val="686"/>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114" w:right="133" w:firstLine="217"/>
              <w:spacing w:before="35"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（7）监控室收到火情等报警信号、其他异常情况信号后，</w:t>
            </w:r>
            <w:r>
              <w:rPr>
                <w:rFonts w:hint="eastAsia" w:asciiTheme="minorEastAsia" w:hAnsiTheme="minorEastAsia" w:eastAsiaTheme="minorEastAsia" w:cstheme="minorEastAsia"/>
                <w:color w:val="000000" w:themeColor="text1"/>
                <w:spacing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及时报警并安排其他安保人员前往现场进</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行处理</w:t>
            </w:r>
            <w:r>
              <w:rPr>
                <w:rFonts w:hint="eastAsia" w:asciiTheme="minorEastAsia" w:hAnsiTheme="minorEastAsia" w:eastAsiaTheme="minorEastAsia" w:cstheme="minorEastAsia"/>
                <w:color w:val="000000" w:themeColor="text1"/>
                <w:spacing w:val="-3"/>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保安人员应立即赶到现场进行处理。</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89"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（8）小区应有火警、水警、警情应急预案，并在监控中心控制室内悬挂</w:t>
            </w:r>
            <w:r/>
          </w:p>
        </w:tc>
      </w:tr>
      <w:tr>
        <w:trPr>
          <w:trHeight w:val="458"/>
        </w:trPr>
        <w:tc>
          <w:tcPr>
            <w:tcW w:w="1260" w:type="dxa"/>
            <w:vAlign w:val="top"/>
            <w:vMerge w:val="restart"/>
            <w:textDirection w:val="lrTb"/>
            <w:noWrap w:val="false"/>
          </w:tcPr>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6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83"/>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W w:w="3366" w:type="dxa"/>
            <w:vAlign w:val="top"/>
            <w:vMerge w:val="restart"/>
            <w:textDirection w:val="lrTb"/>
            <w:noWrap w:val="false"/>
          </w:tcPr>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3"/>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车辆停放</w:t>
            </w:r>
            <w:r/>
          </w:p>
        </w:tc>
        <w:tc>
          <w:tcPr>
            <w:tcW w:w="9888" w:type="dxa"/>
            <w:vAlign w:val="top"/>
            <w:textDirection w:val="lrTb"/>
            <w:noWrap w:val="false"/>
          </w:tcPr>
          <w:p>
            <w:pPr>
              <w:pStyle w:val="867"/>
              <w:ind w:left="33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（1）车辆行驶路线设置合理、规范， 导向标志完整、清晰。</w:t>
            </w:r>
            <w:r/>
          </w:p>
        </w:tc>
      </w:tr>
      <w:tr>
        <w:trPr>
          <w:trHeight w:val="46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（2）合理规划车辆停放区域，张贴车辆引导标识，对车辆及停放区域实行规范管理。</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（3）严禁在办公楼的公用走道、楼梯间、安全出口处等公共区域停放车辆或充电。</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（4）非机动车定点有序停放。</w:t>
            </w:r>
            <w:r/>
          </w:p>
        </w:tc>
      </w:tr>
      <w:tr>
        <w:trPr>
          <w:trHeight w:val="686"/>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111" w:right="133" w:firstLine="220"/>
              <w:spacing w:before="38"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（5）有专职人员 24 小时巡视和协助停车事宜。发现车辆异常情况及时通知车主，并做好登记；发生交通事故、自然灾害等意外事故时及时赶</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赴现场疏导和协助处理， 响应时间不超过</w:t>
            </w:r>
            <w:r>
              <w:rPr>
                <w:rFonts w:hint="eastAsia" w:asciiTheme="minorEastAsia" w:hAnsiTheme="minorEastAsia" w:eastAsiaTheme="minorEastAsia" w:cstheme="minorEastAsia"/>
                <w:color w:val="000000" w:themeColor="text1"/>
                <w:spacing w:val="-3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3分钟。</w:t>
            </w:r>
            <w:r/>
          </w:p>
        </w:tc>
      </w:tr>
      <w:tr>
        <w:trPr>
          <w:trHeight w:val="465"/>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管辖区域设置行车指示标志，规定车辆行驶路线，指定车辆停放区域，非机动车应实行定点停放。对进出管辖区域的各类车辆进行管理，维护交通秩序，保证车辆有序通行、有序停放。</w:t>
            </w:r>
            <w:r/>
          </w:p>
        </w:tc>
      </w:tr>
      <w:tr>
        <w:trPr>
          <w:trHeight w:val="465"/>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）收费管理的车库内地面、墙面按车辆道路行驶要求设立指示牌和地标，照明、消防器械</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配置</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齐全。</w:t>
            </w:r>
            <w:r/>
          </w:p>
        </w:tc>
      </w:tr>
      <w:tr>
        <w:trPr>
          <w:trHeight w:val="463"/>
        </w:trPr>
        <w:tc>
          <w:tcPr>
            <w:tcW w:w="1260" w:type="dxa"/>
            <w:vAlign w:val="top"/>
            <w:vMerge w:val="restart"/>
            <w:textDirection w:val="lrTb"/>
            <w:noWrap w:val="false"/>
          </w:tcPr>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84"/>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w:t>
            </w:r>
            <w:r/>
          </w:p>
        </w:tc>
        <w:tc>
          <w:tcPr>
            <w:tcW w:w="3366" w:type="dxa"/>
            <w:vAlign w:val="top"/>
            <w:vMerge w:val="restart"/>
            <w:textDirection w:val="lrTb"/>
            <w:noWrap w:val="false"/>
          </w:tcPr>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9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5"/>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消防安全管理</w:t>
            </w:r>
            <w:r/>
          </w:p>
        </w:tc>
        <w:tc>
          <w:tcPr>
            <w:tcW w:w="9888"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（1）建立消防安全责任制， 确定各级消</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防安全责任人及其职责。</w:t>
            </w:r>
            <w:r/>
          </w:p>
        </w:tc>
      </w:tr>
      <w:tr>
        <w:trPr>
          <w:trHeight w:val="46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（2）消防控制室实行</w:t>
            </w:r>
            <w:r>
              <w:rPr>
                <w:rFonts w:hint="eastAsia" w:asciiTheme="minorEastAsia" w:hAnsiTheme="minorEastAsia" w:eastAsiaTheme="minorEastAsia" w:cstheme="minorEastAsia"/>
                <w:color w:val="000000" w:themeColor="text1"/>
                <w:spacing w:val="-4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24</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小时值班制度。</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（3）消火栓、应急照明、应急物资、消防及人员逃生通道、消防车通道可随时正常使用。</w:t>
            </w:r>
            <w:r/>
          </w:p>
        </w:tc>
      </w:tr>
      <w:tr>
        <w:trPr>
          <w:trHeight w:val="45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1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（4）易燃易爆品设专区专人管理，做好相关记录。</w:t>
            </w:r>
            <w:r/>
          </w:p>
        </w:tc>
      </w:tr>
      <w:tr>
        <w:trPr>
          <w:trHeight w:val="46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ascii="Wingdings" w:hAnsi="Wingdings" w:eastAsia="Wingdings" w:cs="Wingdings"/>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（5）相关安全生产工作按锡山区安委会印发《关于推进锡山区安全生产"六化"建设的工作方案(试行)》的通知执行，每年至少组织2次消防疏散逃生演练。</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58"/>
        </w:trPr>
        <w:tc>
          <w:tcPr>
            <w:tcW w:w="1260" w:type="dxa"/>
            <w:vAlign w:val="top"/>
            <w:vMerge w:val="restart"/>
            <w:textDirection w:val="lrTb"/>
            <w:noWrap w:val="false"/>
          </w:tcPr>
          <w:p>
            <w:pPr>
              <w:spacing w:line="25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6"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83"/>
              <w:spacing w:before="64"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w:t>
            </w:r>
            <w:r/>
          </w:p>
        </w:tc>
        <w:tc>
          <w:tcPr>
            <w:tcW w:w="3366" w:type="dxa"/>
            <w:vAlign w:val="top"/>
            <w:vMerge w:val="restart"/>
            <w:textDirection w:val="lrTb"/>
            <w:noWrap w:val="false"/>
          </w:tcPr>
          <w:p>
            <w:pPr>
              <w:spacing w:line="24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9"/>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突发事件处理</w:t>
            </w:r>
            <w:r/>
          </w:p>
        </w:tc>
        <w:tc>
          <w:tcPr>
            <w:tcW w:w="9888" w:type="dxa"/>
            <w:vAlign w:val="top"/>
            <w:textDirection w:val="lrTb"/>
            <w:noWrap w:val="false"/>
          </w:tcPr>
          <w:p>
            <w:pPr>
              <w:pStyle w:val="867"/>
              <w:ind w:left="331"/>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（1）制定突发事件安全责任书， 明确突发事件责任人及应承担的安全责任。</w:t>
            </w:r>
            <w:r/>
          </w:p>
        </w:tc>
      </w:tr>
      <w:tr>
        <w:trPr>
          <w:trHeight w:val="46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（2）建立应急突发事件处置队伍，明确各自的职责。</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（3）识别、分析各种潜在风险，</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针对不同风险类型</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制定相应解决方案， 并配备应急物资。</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在各楼层固定位置悬挂疏散示意图及引路标志，</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每年至少开展</w:t>
            </w:r>
            <w:r>
              <w:rPr>
                <w:rFonts w:hint="eastAsia" w:asciiTheme="minorEastAsia" w:hAnsiTheme="minorEastAsia" w:eastAsiaTheme="minorEastAsia" w:cstheme="minorEastAsia"/>
                <w:color w:val="000000" w:themeColor="text1"/>
                <w:spacing w:val="-37"/>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1次突发事件应急演练，并有相应记</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录。</w:t>
            </w:r>
            <w:r/>
          </w:p>
        </w:tc>
      </w:tr>
      <w:tr>
        <w:trPr>
          <w:trHeight w:val="460"/>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（5）发生意外事件时，及时采取应急措施，维护办公区域物业服务正常进行，</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保护人身财产安全。</w:t>
            </w:r>
            <w:r/>
          </w:p>
        </w:tc>
      </w:tr>
      <w:tr>
        <w:trPr>
          <w:trHeight w:val="686"/>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128" w:right="133" w:firstLine="203"/>
              <w:spacing w:before="35"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（6）办公区域物业服务应急预案终止实施后，</w:t>
            </w:r>
            <w:r>
              <w:rPr>
                <w:rFonts w:hint="eastAsia" w:asciiTheme="minorEastAsia" w:hAnsiTheme="minorEastAsia" w:eastAsiaTheme="minorEastAsia" w:cstheme="minorEastAsia"/>
                <w:color w:val="000000" w:themeColor="text1"/>
                <w:spacing w:val="-2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积极采取措施，</w:t>
            </w:r>
            <w:r>
              <w:rPr>
                <w:rFonts w:hint="eastAsia" w:asciiTheme="minorEastAsia" w:hAnsiTheme="minorEastAsia" w:eastAsiaTheme="minorEastAsia" w:cstheme="minorEastAsia"/>
                <w:color w:val="000000" w:themeColor="text1"/>
                <w:spacing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在尽可能短的时间内，消除事故带来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的不良影响，妥善安置和慰问受害及受影响的人员和部门。</w:t>
            </w:r>
            <w:r/>
          </w:p>
        </w:tc>
      </w:tr>
      <w:tr>
        <w:trPr>
          <w:trHeight w:val="459"/>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3" w:line="21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（7）事故处理后，及时形成事故应急总结报告，完善应急救援工作方案。</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按照要求制订各类突发事件应急预案，并将预案内容在相关场所张榜悬挂。</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）当发生台风、暴雨等灾害性天气及其他危害公共突发事件时，应采取以下应急措施:对设备机房、停车场、广告牌、电线杆等露天设施进行检查和加固。</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各岗位人员必须按规定实行岗位警戒，根据不同突发事件的现场情况进行应变处理，在有关部门到达现场前，确保人身安全，减少财产损失，并全力协助处理相关事宜。</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对待上访人员做到耐心说服，及时报告有关部门予以妥善处置。</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2" w:line="233"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r>
        <w:trPr>
          <w:trHeight w:val="460"/>
        </w:trPr>
        <w:tc>
          <w:tcPr>
            <w:tcW w:w="1260" w:type="dxa"/>
            <w:vAlign w:val="top"/>
            <w:vMerge w:val="restart"/>
            <w:textDirection w:val="lrTb"/>
            <w:noWrap w:val="false"/>
          </w:tcPr>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54"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81"/>
              <w:spacing w:before="6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w:t>
            </w:r>
            <w:r/>
          </w:p>
        </w:tc>
        <w:tc>
          <w:tcPr>
            <w:tcW w:w="3366" w:type="dxa"/>
            <w:vAlign w:val="top"/>
            <w:vMerge w:val="restart"/>
            <w:textDirection w:val="lrTb"/>
            <w:noWrap w:val="false"/>
          </w:tcPr>
          <w:p>
            <w:pPr>
              <w:spacing w:line="35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3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4"/>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大型活动秩序</w:t>
            </w:r>
            <w:r/>
          </w:p>
        </w:tc>
        <w:tc>
          <w:tcPr>
            <w:tcW w:w="9888" w:type="dxa"/>
            <w:vAlign w:val="top"/>
            <w:textDirection w:val="lrTb"/>
            <w:noWrap w:val="false"/>
          </w:tcPr>
          <w:p>
            <w:pPr>
              <w:pStyle w:val="867"/>
              <w:ind w:left="33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每年组织不少于1次的公益活动。</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2" w:line="221" w:lineRule="auto"/>
              <w:shd w:val="clear" w:color="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5"/>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）制定相应的活动秩序维护方案，</w:t>
            </w:r>
            <w:r>
              <w:rPr>
                <w:rFonts w:hint="eastAsia" w:asciiTheme="minorEastAsia" w:hAnsiTheme="minorEastAsia" w:eastAsiaTheme="minorEastAsia" w:cstheme="minorEastAsia"/>
                <w:color w:val="000000" w:themeColor="text1"/>
                <w:spacing w:val="-22"/>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合理安排人员， 并对场所的安全隐患进行排查。</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）应当保障通道、出入口、停车场等区域畅通。</w:t>
            </w:r>
            <w:r/>
          </w:p>
        </w:tc>
      </w:tr>
      <w:tr>
        <w:trPr>
          <w:trHeight w:val="458"/>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）活动举办过程中，做好现场秩序的维护和突发事故的处置工作，确保活动正常进行。</w:t>
            </w:r>
            <w:r/>
          </w:p>
        </w:tc>
      </w:tr>
      <w:tr>
        <w:trPr>
          <w:trHeight w:val="465"/>
        </w:trPr>
        <w:tc>
          <w:tcPr>
            <w:tcW w:w="1260"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336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9888" w:type="dxa"/>
            <w:vAlign w:val="top"/>
            <w:textDirection w:val="lrTb"/>
            <w:noWrap w:val="false"/>
          </w:tcPr>
          <w:p>
            <w:pPr>
              <w:pStyle w:val="867"/>
              <w:ind w:left="331"/>
              <w:spacing w:before="94" w:line="23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w:t>
            </w:r>
            <w:r/>
          </w:p>
        </w:tc>
      </w:tr>
    </w:tbl>
    <w:p>
      <w:pPr>
        <w:spacing w:line="260"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before="220"/>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3.7会议服务</w:t>
      </w:r>
      <w:r/>
    </w:p>
    <w:tbl>
      <w:tblPr>
        <w:tblStyle w:val="866"/>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3347" w:type="dxa"/>
            <w:vAlign w:val="top"/>
            <w:textDirection w:val="lrTb"/>
            <w:noWrap w:val="false"/>
          </w:tcPr>
          <w:p>
            <w:pPr>
              <w:ind w:left="1249"/>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服务内容</w:t>
            </w:r>
            <w:r/>
          </w:p>
        </w:tc>
        <w:tc>
          <w:tcPr>
            <w:tcW w:w="9869" w:type="dxa"/>
            <w:vAlign w:val="top"/>
            <w:textDirection w:val="lrTb"/>
            <w:noWrap w:val="false"/>
          </w:tcPr>
          <w:p>
            <w:pPr>
              <w:ind w:left="4510"/>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服务标准</w:t>
            </w:r>
            <w:r/>
          </w:p>
        </w:tc>
      </w:tr>
      <w:tr>
        <w:trPr>
          <w:trHeight w:val="460"/>
        </w:trPr>
        <w:tc>
          <w:tcPr>
            <w:tcW w:w="1286" w:type="dxa"/>
            <w:vAlign w:val="top"/>
            <w:textDirection w:val="lrTb"/>
            <w:noWrap w:val="false"/>
          </w:tcPr>
          <w:p>
            <w:pPr>
              <w:ind w:left="605"/>
              <w:spacing w:before="132"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3347" w:type="dxa"/>
            <w:vAlign w:val="top"/>
            <w:textDirection w:val="lrTb"/>
            <w:noWrap w:val="false"/>
          </w:tcPr>
          <w:p>
            <w:pPr>
              <w:pStyle w:val="867"/>
              <w:ind w:left="108"/>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会议受理</w:t>
            </w:r>
            <w:r/>
          </w:p>
        </w:tc>
        <w:tc>
          <w:tcPr>
            <w:tcW w:w="9869" w:type="dxa"/>
            <w:vAlign w:val="top"/>
            <w:textDirection w:val="lrTb"/>
            <w:noWrap w:val="false"/>
          </w:tcPr>
          <w:p>
            <w:pPr>
              <w:pStyle w:val="867"/>
              <w:ind w:left="120"/>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685"/>
        </w:trPr>
        <w:tc>
          <w:tcPr>
            <w:tcW w:w="1286" w:type="dxa"/>
            <w:vAlign w:val="top"/>
            <w:textDirection w:val="lrTb"/>
            <w:noWrap w:val="false"/>
          </w:tcPr>
          <w:p>
            <w:pPr>
              <w:ind w:left="599"/>
              <w:spacing w:before="244"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3347" w:type="dxa"/>
            <w:vAlign w:val="top"/>
            <w:textDirection w:val="lrTb"/>
            <w:noWrap w:val="false"/>
          </w:tcPr>
          <w:p>
            <w:pPr>
              <w:pStyle w:val="867"/>
              <w:ind w:left="108"/>
              <w:spacing w:before="20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会前准备</w:t>
            </w:r>
            <w:r/>
          </w:p>
        </w:tc>
        <w:tc>
          <w:tcPr>
            <w:tcW w:w="9869" w:type="dxa"/>
            <w:vAlign w:val="top"/>
            <w:textDirection w:val="lrTb"/>
            <w:noWrap w:val="false"/>
          </w:tcPr>
          <w:p>
            <w:pPr>
              <w:pStyle w:val="867"/>
              <w:ind w:left="110" w:right="118" w:firstLine="10"/>
              <w:spacing w:before="32" w:line="26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þ</w:t>
            </w:r>
            <w:r>
              <w:rPr>
                <w:rFonts w:hint="eastAsia" w:asciiTheme="minorEastAsia" w:hAnsiTheme="minorEastAsia" w:eastAsiaTheme="minorEastAsia" w:cstheme="minorEastAsia"/>
                <w:color w:val="000000" w:themeColor="text1"/>
                <w:spacing w:val="-8"/>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根据采购单位需要提供综合会议、餐饮服务等其他服务，制定完备的工作流程、细则及服务工作计划并严格执行以及配合采购单位完成相关工作，并做好记录和处理等。</w:t>
            </w:r>
            <w:r/>
          </w:p>
        </w:tc>
      </w:tr>
      <w:tr>
        <w:trPr>
          <w:trHeight w:val="458"/>
        </w:trPr>
        <w:tc>
          <w:tcPr>
            <w:tcW w:w="1286" w:type="dxa"/>
            <w:vAlign w:val="top"/>
            <w:textDirection w:val="lrTb"/>
            <w:noWrap w:val="false"/>
          </w:tcPr>
          <w:p>
            <w:pPr>
              <w:ind w:left="598"/>
              <w:spacing w:before="134"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3347" w:type="dxa"/>
            <w:vAlign w:val="top"/>
            <w:textDirection w:val="lrTb"/>
            <w:noWrap w:val="false"/>
          </w:tcPr>
          <w:p>
            <w:pPr>
              <w:pStyle w:val="867"/>
              <w:ind w:left="125"/>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highlight w:val="none"/>
                <w14:textFill>
                  <w14:solidFill>
                    <w14:schemeClr w14:val="tx1"/>
                  </w14:solidFill>
                </w14:textFill>
              </w:rPr>
              <w:t xml:space="preserve">引导服务</w:t>
            </w:r>
            <w:r/>
          </w:p>
        </w:tc>
        <w:tc>
          <w:tcPr>
            <w:tcW w:w="9869" w:type="dxa"/>
            <w:vAlign w:val="top"/>
            <w:textDirection w:val="lrTb"/>
            <w:noWrap w:val="false"/>
          </w:tcPr>
          <w:p>
            <w:pPr>
              <w:pStyle w:val="867"/>
              <w:ind w:left="120"/>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57"/>
        </w:trPr>
        <w:tc>
          <w:tcPr>
            <w:tcW w:w="1286" w:type="dxa"/>
            <w:vAlign w:val="top"/>
            <w:textDirection w:val="lrTb"/>
            <w:noWrap w:val="false"/>
          </w:tcPr>
          <w:p>
            <w:pPr>
              <w:ind w:left="592"/>
              <w:spacing w:before="135"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3347" w:type="dxa"/>
            <w:vAlign w:val="top"/>
            <w:textDirection w:val="lrTb"/>
            <w:noWrap w:val="false"/>
          </w:tcPr>
          <w:p>
            <w:pPr>
              <w:pStyle w:val="867"/>
              <w:ind w:left="108"/>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会中服务</w:t>
            </w:r>
            <w:r/>
          </w:p>
        </w:tc>
        <w:tc>
          <w:tcPr>
            <w:tcW w:w="9869" w:type="dxa"/>
            <w:vAlign w:val="top"/>
            <w:textDirection w:val="lrTb"/>
            <w:noWrap w:val="false"/>
          </w:tcPr>
          <w:p>
            <w:pPr>
              <w:pStyle w:val="867"/>
              <w:ind w:left="120"/>
              <w:spacing w:before="93"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65"/>
        </w:trPr>
        <w:tc>
          <w:tcPr>
            <w:tcW w:w="1286" w:type="dxa"/>
            <w:vAlign w:val="top"/>
            <w:textDirection w:val="lrTb"/>
            <w:noWrap w:val="false"/>
          </w:tcPr>
          <w:p>
            <w:pPr>
              <w:ind w:left="598"/>
              <w:spacing w:before="137"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W w:w="3347" w:type="dxa"/>
            <w:vAlign w:val="top"/>
            <w:textDirection w:val="lrTb"/>
            <w:noWrap w:val="false"/>
          </w:tcPr>
          <w:p>
            <w:pPr>
              <w:pStyle w:val="867"/>
              <w:ind w:left="108"/>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会后整理</w:t>
            </w:r>
            <w:r/>
          </w:p>
        </w:tc>
        <w:tc>
          <w:tcPr>
            <w:tcW w:w="9869" w:type="dxa"/>
            <w:vAlign w:val="top"/>
            <w:textDirection w:val="lrTb"/>
            <w:noWrap w:val="false"/>
          </w:tcPr>
          <w:p>
            <w:pPr>
              <w:pStyle w:val="867"/>
              <w:ind w:left="120"/>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bl>
    <w:p>
      <w:pPr>
        <w:spacing w:line="259"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ind w:left="536"/>
        <w:spacing w:before="90" w:line="185"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4.供应商履行合同所需的设备</w:t>
      </w:r>
      <w:r/>
    </w:p>
    <w:p>
      <w:pPr>
        <w:pStyle w:val="851"/>
        <w:ind w:left="540"/>
        <w:spacing w:before="62" w:line="22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 xml:space="preserve">采购人根据项目实际需求，需要供应商提供作业设备（自有或租赁）用于物业管理服务的，</w:t>
      </w:r>
      <w:r>
        <w:rPr>
          <w:rFonts w:hint="eastAsia" w:asciiTheme="minorEastAsia" w:hAnsiTheme="minorEastAsia" w:eastAsiaTheme="minorEastAsia" w:cstheme="minorEastAsia"/>
          <w:color w:val="000000" w:themeColor="text1"/>
          <w:spacing w:val="-22"/>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 xml:space="preserve">可在下表中列出，举例如下：</w:t>
      </w:r>
      <w:r/>
    </w:p>
    <w:p>
      <w:pPr>
        <w:spacing w:line="59"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序号</w:t>
            </w:r>
            <w:r/>
          </w:p>
        </w:tc>
        <w:tc>
          <w:tcPr>
            <w:tcW w:w="4648" w:type="dxa"/>
            <w:vAlign w:val="top"/>
            <w:textDirection w:val="lrTb"/>
            <w:noWrap w:val="false"/>
          </w:tcPr>
          <w:p>
            <w:pPr>
              <w:ind w:left="2113"/>
              <w:spacing w:before="94" w:line="185"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用途</w:t>
            </w:r>
            <w:r/>
          </w:p>
        </w:tc>
        <w:tc>
          <w:tcPr>
            <w:tcW w:w="5828" w:type="dxa"/>
            <w:vAlign w:val="top"/>
            <w:textDirection w:val="lrTb"/>
            <w:noWrap w:val="false"/>
          </w:tcPr>
          <w:p>
            <w:pPr>
              <w:ind w:left="2285"/>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作业设备名称</w:t>
            </w:r>
            <w:r/>
          </w:p>
        </w:tc>
        <w:tc>
          <w:tcPr>
            <w:tcW w:w="1493" w:type="dxa"/>
            <w:vAlign w:val="top"/>
            <w:textDirection w:val="lrTb"/>
            <w:noWrap w:val="false"/>
          </w:tcPr>
          <w:p>
            <w:pPr>
              <w:ind w:left="533"/>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数量</w:t>
            </w:r>
            <w:r/>
          </w:p>
        </w:tc>
        <w:tc>
          <w:tcPr>
            <w:tcW w:w="1458" w:type="dxa"/>
            <w:vAlign w:val="top"/>
            <w:textDirection w:val="lrTb"/>
            <w:noWrap w:val="false"/>
          </w:tcPr>
          <w:p>
            <w:pPr>
              <w:ind w:left="519"/>
              <w:spacing w:before="94"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单位</w:t>
            </w:r>
            <w:r/>
          </w:p>
        </w:tc>
      </w:tr>
      <w:tr>
        <w:trPr>
          <w:trHeight w:val="460"/>
        </w:trPr>
        <w:tc>
          <w:tcPr>
            <w:tcW w:w="1140" w:type="dxa"/>
            <w:vAlign w:val="top"/>
            <w:textDirection w:val="lrTb"/>
            <w:noWrap w:val="false"/>
          </w:tcPr>
          <w:p>
            <w:pPr>
              <w:ind w:left="531"/>
              <w:spacing w:before="132"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4648" w:type="dxa"/>
            <w:vAlign w:val="top"/>
            <w:textDirection w:val="lrTb"/>
            <w:noWrap w:val="false"/>
          </w:tcPr>
          <w:p>
            <w:pPr>
              <w:pStyle w:val="867"/>
              <w:ind w:left="1904"/>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基本服务</w:t>
            </w:r>
            <w:r/>
          </w:p>
        </w:tc>
        <w:tc>
          <w:tcPr>
            <w:tcW w:w="5828" w:type="dxa"/>
            <w:vAlign w:val="top"/>
            <w:textDirection w:val="lrTb"/>
            <w:noWrap w:val="false"/>
          </w:tcPr>
          <w:p>
            <w:pPr>
              <w:pStyle w:val="867"/>
              <w:ind w:left="0" w:firstLine="0"/>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tc>
        <w:tc>
          <w:tcPr>
            <w:tcW w:w="1493" w:type="dxa"/>
            <w:vAlign w:val="top"/>
            <w:textDirection w:val="lrTb"/>
            <w:noWrap w:val="false"/>
          </w:tcPr>
          <w:p>
            <w:pPr>
              <w:ind w:left="708"/>
              <w:spacing w:before="132" w:line="179" w:lineRule="auto"/>
              <w:shd w:val="clear" w:color="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c>
          <w:tcPr>
            <w:tcW w:w="1458" w:type="dxa"/>
            <w:vAlign w:val="top"/>
            <w:textDirection w:val="lrTb"/>
            <w:noWrap w:val="false"/>
          </w:tcPr>
          <w:p>
            <w:pPr>
              <w:pStyle w:val="867"/>
              <w:ind w:left="626"/>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57"/>
        </w:trPr>
        <w:tc>
          <w:tcPr>
            <w:tcW w:w="1140" w:type="dxa"/>
            <w:vAlign w:val="top"/>
            <w:textDirection w:val="lrTb"/>
            <w:noWrap w:val="false"/>
          </w:tcPr>
          <w:p>
            <w:pPr>
              <w:ind w:left="525"/>
              <w:spacing w:before="131"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4648" w:type="dxa"/>
            <w:vAlign w:val="top"/>
            <w:textDirection w:val="lrTb"/>
            <w:noWrap w:val="false"/>
          </w:tcPr>
          <w:p>
            <w:pPr>
              <w:pStyle w:val="867"/>
              <w:ind w:left="1696"/>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房屋维修服务</w:t>
            </w:r>
            <w:r/>
          </w:p>
        </w:tc>
        <w:tc>
          <w:tcPr>
            <w:tcW w:w="5828" w:type="dxa"/>
            <w:vAlign w:val="top"/>
            <w:textDirection w:val="lrTb"/>
            <w:noWrap w:val="false"/>
          </w:tcPr>
          <w:p>
            <w:pPr>
              <w:pStyle w:val="867"/>
              <w:ind w:left="0" w:firstLine="0"/>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tc>
        <w:tc>
          <w:tcPr>
            <w:tcW w:w="1493" w:type="dxa"/>
            <w:vAlign w:val="top"/>
            <w:textDirection w:val="lrTb"/>
            <w:noWrap w:val="false"/>
          </w:tcPr>
          <w:p>
            <w:pPr>
              <w:ind w:left="708"/>
              <w:spacing w:before="133" w:line="179" w:lineRule="auto"/>
              <w:shd w:val="clear" w:color="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c>
          <w:tcPr>
            <w:tcW w:w="1458" w:type="dxa"/>
            <w:vAlign w:val="top"/>
            <w:textDirection w:val="lrTb"/>
            <w:noWrap w:val="false"/>
          </w:tcPr>
          <w:p>
            <w:pPr>
              <w:pStyle w:val="867"/>
              <w:ind w:left="643"/>
              <w:spacing w:before="90" w:line="22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58"/>
        </w:trPr>
        <w:tc>
          <w:tcPr>
            <w:tcW w:w="1140" w:type="dxa"/>
            <w:vAlign w:val="top"/>
            <w:textDirection w:val="lrTb"/>
            <w:noWrap w:val="false"/>
          </w:tcPr>
          <w:p>
            <w:pPr>
              <w:ind w:left="523"/>
              <w:spacing w:before="133"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4648" w:type="dxa"/>
            <w:vAlign w:val="top"/>
            <w:textDirection w:val="lrTb"/>
            <w:noWrap w:val="false"/>
          </w:tcPr>
          <w:p>
            <w:pPr>
              <w:pStyle w:val="867"/>
              <w:ind w:left="1282"/>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公用设施设备维护服务</w:t>
            </w:r>
            <w:r/>
          </w:p>
        </w:tc>
        <w:tc>
          <w:tcPr>
            <w:tcW w:w="5828" w:type="dxa"/>
            <w:vAlign w:val="top"/>
            <w:textDirection w:val="lrTb"/>
            <w:noWrap w:val="false"/>
          </w:tcPr>
          <w:p>
            <w:pPr>
              <w:pStyle w:val="867"/>
              <w:ind w:left="0" w:firstLine="0"/>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tc>
        <w:tc>
          <w:tcPr>
            <w:tcW w:w="1493" w:type="dxa"/>
            <w:vAlign w:val="top"/>
            <w:textDirection w:val="lrTb"/>
            <w:noWrap w:val="false"/>
          </w:tcPr>
          <w:p>
            <w:pPr>
              <w:ind w:left="708"/>
              <w:spacing w:before="134" w:line="179" w:lineRule="auto"/>
              <w:shd w:val="clear" w:color="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c>
          <w:tcPr>
            <w:tcW w:w="1458" w:type="dxa"/>
            <w:vAlign w:val="top"/>
            <w:textDirection w:val="lrTb"/>
            <w:noWrap w:val="false"/>
          </w:tcPr>
          <w:p>
            <w:pPr>
              <w:pStyle w:val="867"/>
              <w:ind w:left="643"/>
              <w:spacing w:before="92" w:line="22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39"/>
        </w:trPr>
        <w:tc>
          <w:tcPr>
            <w:tcW w:w="1140" w:type="dxa"/>
            <w:vAlign w:val="top"/>
            <w:vMerge w:val="restart"/>
            <w:textDirection w:val="lrTb"/>
            <w:noWrap w:val="false"/>
          </w:tcPr>
          <w:p>
            <w:pPr>
              <w:ind w:left="518"/>
              <w:spacing w:before="125"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4648" w:type="dxa"/>
            <w:vAlign w:val="center"/>
            <w:vMerge w:val="restart"/>
            <w:textDirection w:val="lrTb"/>
            <w:noWrap w:val="false"/>
          </w:tcPr>
          <w:p>
            <w:pPr>
              <w:pStyle w:val="867"/>
              <w:ind w:left="1905"/>
              <w:spacing w:before="8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保洁服务</w:t>
            </w:r>
            <w:r/>
          </w:p>
        </w:tc>
        <w:tc>
          <w:tcPr>
            <w:tcW w:w="5828" w:type="dxa"/>
            <w:vAlign w:val="center"/>
            <w:textDirection w:val="lrTb"/>
            <w:noWrap w:val="false"/>
          </w:tcPr>
          <w:p>
            <w:pPr>
              <w:pStyle w:val="867"/>
              <w:ind w:left="0" w:firstLine="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保洁车</w:t>
            </w:r>
            <w:r/>
          </w:p>
        </w:tc>
        <w:tc>
          <w:tcPr>
            <w:tcW w:w="1493" w:type="dxa"/>
            <w:vAlign w:val="top"/>
            <w:textDirection w:val="lrTb"/>
            <w:noWrap w:val="false"/>
          </w:tcPr>
          <w:p>
            <w:pPr>
              <w:ind w:left="708"/>
              <w:spacing w:before="124" w:line="179"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p>
        </w:tc>
        <w:tc>
          <w:tcPr>
            <w:tcW w:w="1458" w:type="dxa"/>
            <w:vAlign w:val="top"/>
            <w:textDirection w:val="lrTb"/>
            <w:noWrap w:val="false"/>
          </w:tcPr>
          <w:p>
            <w:pPr>
              <w:pStyle w:val="867"/>
              <w:ind w:left="643"/>
              <w:spacing w:before="82" w:line="223" w:lineRule="auto"/>
              <w:shd w:val="clear" w:color="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辆</w:t>
            </w:r>
            <w:r/>
          </w:p>
        </w:tc>
      </w:tr>
      <w:tr>
        <w:trPr>
          <w:trHeight w:val="439"/>
        </w:trPr>
        <w:tc>
          <w:tcPr>
            <w:tcW w:w="1140" w:type="dxa"/>
            <w:vAlign w:val="top"/>
            <w:vMerge w:val="continue"/>
            <w:textDirection w:val="lrTb"/>
            <w:noWrap w:val="false"/>
          </w:tcPr>
          <w:p>
            <w:pPr>
              <w:ind w:left="518"/>
              <w:spacing w:before="125"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4648" w:type="dxa"/>
            <w:vAlign w:val="top"/>
            <w:vMerge w:val="continue"/>
            <w:textDirection w:val="lrTb"/>
            <w:noWrap w:val="false"/>
          </w:tcPr>
          <w:p>
            <w:pPr>
              <w:pStyle w:val="867"/>
              <w:ind w:left="1905"/>
              <w:spacing w:before="82"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5828" w:type="dxa"/>
            <w:vAlign w:val="center"/>
            <w:textDirection w:val="lrTb"/>
            <w:noWrap w:val="false"/>
          </w:tcPr>
          <w:p>
            <w:pPr>
              <w:pStyle w:val="867"/>
              <w:ind w:left="0" w:firstLine="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清扫车</w:t>
            </w:r>
            <w:r/>
          </w:p>
        </w:tc>
        <w:tc>
          <w:tcPr>
            <w:tcW w:w="1493" w:type="dxa"/>
            <w:vAlign w:val="top"/>
            <w:textDirection w:val="lrTb"/>
            <w:noWrap w:val="false"/>
          </w:tcPr>
          <w:p>
            <w:pPr>
              <w:ind w:left="708"/>
              <w:spacing w:before="124" w:line="179"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p>
        </w:tc>
        <w:tc>
          <w:tcPr>
            <w:tcW w:w="1458" w:type="dxa"/>
            <w:vAlign w:val="top"/>
            <w:textDirection w:val="lrTb"/>
            <w:noWrap w:val="false"/>
          </w:tcPr>
          <w:p>
            <w:pPr>
              <w:pStyle w:val="867"/>
              <w:ind w:left="643"/>
              <w:spacing w:before="82" w:line="223" w:lineRule="auto"/>
              <w:shd w:val="clear" w:color="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辆</w:t>
            </w:r>
            <w:r/>
          </w:p>
        </w:tc>
      </w:tr>
      <w:tr>
        <w:trPr>
          <w:trHeight w:val="439"/>
        </w:trPr>
        <w:tc>
          <w:tcPr>
            <w:tcW w:w="1140" w:type="dxa"/>
            <w:vAlign w:val="top"/>
            <w:vMerge w:val="continue"/>
            <w:textDirection w:val="lrTb"/>
            <w:noWrap w:val="false"/>
          </w:tcPr>
          <w:p>
            <w:pPr>
              <w:ind w:left="518"/>
              <w:spacing w:before="125"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4648" w:type="dxa"/>
            <w:vAlign w:val="top"/>
            <w:vMerge w:val="continue"/>
            <w:textDirection w:val="lrTb"/>
            <w:noWrap w:val="false"/>
          </w:tcPr>
          <w:p>
            <w:pPr>
              <w:pStyle w:val="867"/>
              <w:ind w:left="1905"/>
              <w:spacing w:before="8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c>
          <w:tcPr>
            <w:tcW w:w="5828" w:type="dxa"/>
            <w:vAlign w:val="center"/>
            <w:textDirection w:val="lrTb"/>
            <w:noWrap w:val="false"/>
          </w:tcPr>
          <w:p>
            <w:pPr>
              <w:pStyle w:val="867"/>
              <w:ind w:left="0" w:firstLine="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鼓风机</w:t>
            </w:r>
            <w:r/>
          </w:p>
        </w:tc>
        <w:tc>
          <w:tcPr>
            <w:tcW w:w="1493" w:type="dxa"/>
            <w:vAlign w:val="top"/>
            <w:textDirection w:val="lrTb"/>
            <w:noWrap w:val="false"/>
          </w:tcPr>
          <w:p>
            <w:pPr>
              <w:ind w:left="708"/>
              <w:spacing w:before="124" w:line="179"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p>
        </w:tc>
        <w:tc>
          <w:tcPr>
            <w:tcW w:w="1458" w:type="dxa"/>
            <w:vAlign w:val="top"/>
            <w:textDirection w:val="lrTb"/>
            <w:noWrap w:val="false"/>
          </w:tcPr>
          <w:p>
            <w:pPr>
              <w:pStyle w:val="867"/>
              <w:ind w:left="643"/>
              <w:spacing w:before="82" w:line="223" w:lineRule="auto"/>
              <w:shd w:val="clear" w:color="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台</w:t>
            </w:r>
            <w:r/>
          </w:p>
        </w:tc>
      </w:tr>
      <w:tr>
        <w:trPr>
          <w:trHeight w:val="460"/>
        </w:trPr>
        <w:tc>
          <w:tcPr>
            <w:tcW w:w="1140" w:type="dxa"/>
            <w:vAlign w:val="top"/>
            <w:textDirection w:val="lrTb"/>
            <w:noWrap w:val="false"/>
          </w:tcPr>
          <w:p>
            <w:pPr>
              <w:ind w:left="523"/>
              <w:spacing w:before="135"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W w:w="4648" w:type="dxa"/>
            <w:vAlign w:val="top"/>
            <w:textDirection w:val="lrTb"/>
            <w:noWrap w:val="false"/>
          </w:tcPr>
          <w:p>
            <w:pPr>
              <w:pStyle w:val="867"/>
              <w:ind w:left="1906"/>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绿化服务</w:t>
            </w:r>
            <w:r/>
          </w:p>
        </w:tc>
        <w:tc>
          <w:tcPr>
            <w:tcW w:w="5828" w:type="dxa"/>
            <w:vAlign w:val="top"/>
            <w:textDirection w:val="lrTb"/>
            <w:noWrap w:val="false"/>
          </w:tcPr>
          <w:p>
            <w:pPr>
              <w:pStyle w:val="867"/>
              <w:ind w:left="0" w:firstLine="0"/>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tc>
        <w:tc>
          <w:tcPr>
            <w:tcW w:w="1493" w:type="dxa"/>
            <w:vAlign w:val="top"/>
            <w:textDirection w:val="lrTb"/>
            <w:noWrap w:val="false"/>
          </w:tcPr>
          <w:p>
            <w:pPr>
              <w:ind w:left="708"/>
              <w:spacing w:before="135" w:line="179" w:lineRule="auto"/>
              <w:shd w:val="clear" w:color="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c>
          <w:tcPr>
            <w:tcW w:w="1458" w:type="dxa"/>
            <w:vAlign w:val="top"/>
            <w:textDirection w:val="lrTb"/>
            <w:noWrap w:val="false"/>
          </w:tcPr>
          <w:p>
            <w:pPr>
              <w:pStyle w:val="867"/>
              <w:ind w:left="643"/>
              <w:spacing w:before="92" w:line="22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57"/>
        </w:trPr>
        <w:tc>
          <w:tcPr>
            <w:tcW w:w="1140" w:type="dxa"/>
            <w:vAlign w:val="top"/>
            <w:vMerge w:val="restart"/>
            <w:textDirection w:val="lrTb"/>
            <w:noWrap w:val="false"/>
          </w:tcPr>
          <w:p>
            <w:pPr>
              <w:ind w:left="524"/>
              <w:spacing w:before="135"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w:t>
            </w:r>
            <w:r/>
          </w:p>
        </w:tc>
        <w:tc>
          <w:tcPr>
            <w:tcW w:w="4648" w:type="dxa"/>
            <w:vAlign w:val="top"/>
            <w:vMerge w:val="restart"/>
            <w:textDirection w:val="lrTb"/>
            <w:noWrap w:val="false"/>
          </w:tcPr>
          <w:p>
            <w:pPr>
              <w:pStyle w:val="867"/>
              <w:ind w:left="1905"/>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保安服务</w:t>
            </w:r>
            <w:r/>
          </w:p>
        </w:tc>
        <w:tc>
          <w:tcPr>
            <w:tcW w:w="5828" w:type="dxa"/>
            <w:vAlign w:val="center"/>
            <w:textDirection w:val="lrTb"/>
            <w:noWrap w:val="false"/>
          </w:tcPr>
          <w:p>
            <w:pPr>
              <w:pStyle w:val="867"/>
              <w:ind w:left="0" w:firstLine="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对讲装置</w:t>
            </w:r>
            <w:r/>
          </w:p>
        </w:tc>
        <w:tc>
          <w:tcPr>
            <w:tcW w:w="1493" w:type="dxa"/>
            <w:vAlign w:val="top"/>
            <w:textDirection w:val="lrTb"/>
            <w:noWrap w:val="false"/>
          </w:tcPr>
          <w:p>
            <w:pPr>
              <w:ind w:left="653"/>
              <w:spacing w:before="135" w:line="179"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8</w:t>
            </w:r>
            <w:r/>
          </w:p>
        </w:tc>
        <w:tc>
          <w:tcPr>
            <w:tcW w:w="1458" w:type="dxa"/>
            <w:vAlign w:val="top"/>
            <w:textDirection w:val="lrTb"/>
            <w:noWrap w:val="false"/>
          </w:tcPr>
          <w:p>
            <w:pPr>
              <w:pStyle w:val="867"/>
              <w:ind w:left="627"/>
              <w:spacing w:before="94" w:line="221" w:lineRule="auto"/>
              <w:shd w:val="clear" w:color="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套</w:t>
            </w:r>
            <w:r/>
          </w:p>
        </w:tc>
      </w:tr>
      <w:tr>
        <w:trPr>
          <w:trHeight w:val="457"/>
        </w:trPr>
        <w:tc>
          <w:tcPr>
            <w:tcW w:w="1140" w:type="dxa"/>
            <w:vAlign w:val="top"/>
            <w:vMerge w:val="continue"/>
            <w:textDirection w:val="lrTb"/>
            <w:noWrap w:val="false"/>
          </w:tcPr>
          <w:p>
            <w:pPr>
              <w:ind w:left="524"/>
              <w:spacing w:before="135" w:line="179"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c>
          <w:tcPr>
            <w:tcW w:w="4648" w:type="dxa"/>
            <w:vAlign w:val="top"/>
            <w:vMerge w:val="continue"/>
            <w:textDirection w:val="lrTb"/>
            <w:noWrap w:val="false"/>
          </w:tcPr>
          <w:p>
            <w:pPr>
              <w:pStyle w:val="867"/>
              <w:ind w:left="1905"/>
              <w:spacing w:before="93"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r>
            <w:r/>
          </w:p>
        </w:tc>
        <w:tc>
          <w:tcPr>
            <w:tcW w:w="5828" w:type="dxa"/>
            <w:vAlign w:val="center"/>
            <w:textDirection w:val="lrTb"/>
            <w:noWrap w:val="false"/>
          </w:tcPr>
          <w:p>
            <w:pPr>
              <w:pStyle w:val="867"/>
              <w:ind w:left="0" w:firstLine="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巡逻电瓶车</w:t>
            </w:r>
            <w:r/>
          </w:p>
        </w:tc>
        <w:tc>
          <w:tcPr>
            <w:tcW w:w="1493" w:type="dxa"/>
            <w:vAlign w:val="top"/>
            <w:textDirection w:val="lrTb"/>
            <w:noWrap w:val="false"/>
          </w:tcPr>
          <w:p>
            <w:pPr>
              <w:ind w:left="653"/>
              <w:spacing w:before="135" w:line="179"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p>
        </w:tc>
        <w:tc>
          <w:tcPr>
            <w:tcW w:w="1458" w:type="dxa"/>
            <w:vAlign w:val="top"/>
            <w:textDirection w:val="lrTb"/>
            <w:noWrap w:val="false"/>
          </w:tcPr>
          <w:p>
            <w:pPr>
              <w:pStyle w:val="867"/>
              <w:ind w:left="627"/>
              <w:spacing w:before="94" w:line="221" w:lineRule="auto"/>
              <w:shd w:val="clear" w:color="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辆</w:t>
            </w:r>
            <w:r/>
          </w:p>
        </w:tc>
      </w:tr>
      <w:tr>
        <w:trPr>
          <w:trHeight w:val="465"/>
        </w:trPr>
        <w:tc>
          <w:tcPr>
            <w:tcW w:w="1140" w:type="dxa"/>
            <w:vAlign w:val="top"/>
            <w:textDirection w:val="lrTb"/>
            <w:noWrap w:val="false"/>
          </w:tcPr>
          <w:p>
            <w:pPr>
              <w:ind w:left="523"/>
              <w:spacing w:before="137" w:line="178"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w:t>
            </w:r>
            <w:r/>
          </w:p>
        </w:tc>
        <w:tc>
          <w:tcPr>
            <w:tcW w:w="4648" w:type="dxa"/>
            <w:vAlign w:val="top"/>
            <w:textDirection w:val="lrTb"/>
            <w:noWrap w:val="false"/>
          </w:tcPr>
          <w:p>
            <w:pPr>
              <w:pStyle w:val="867"/>
              <w:ind w:left="1903"/>
              <w:spacing w:before="94"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会议服务</w:t>
            </w:r>
            <w:r/>
          </w:p>
        </w:tc>
        <w:tc>
          <w:tcPr>
            <w:tcW w:w="5828" w:type="dxa"/>
            <w:vAlign w:val="top"/>
            <w:textDirection w:val="lrTb"/>
            <w:noWrap w:val="false"/>
          </w:tcPr>
          <w:p>
            <w:pPr>
              <w:pStyle w:val="867"/>
              <w:ind w:left="0" w:firstLine="0"/>
              <w:jc w:val="left"/>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tc>
        <w:tc>
          <w:tcPr>
            <w:tcW w:w="1493" w:type="dxa"/>
            <w:vAlign w:val="top"/>
            <w:textDirection w:val="lrTb"/>
            <w:noWrap w:val="false"/>
          </w:tcPr>
          <w:p>
            <w:pPr>
              <w:ind w:left="708"/>
              <w:spacing w:before="136" w:line="179" w:lineRule="auto"/>
              <w:shd w:val="clear" w:color="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c>
          <w:tcPr>
            <w:tcW w:w="1458" w:type="dxa"/>
            <w:vAlign w:val="top"/>
            <w:textDirection w:val="lrTb"/>
            <w:noWrap w:val="false"/>
          </w:tcPr>
          <w:p>
            <w:pPr>
              <w:pStyle w:val="867"/>
              <w:ind w:left="643"/>
              <w:spacing w:before="94" w:line="223"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bl>
    <w:p>
      <w:pPr>
        <w:spacing w:line="40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sz w:val="21"/>
          <w:szCs w:val="21"/>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pacing w:val="-25"/>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8"/>
          <w:sz w:val="21"/>
          <w:szCs w:val="21"/>
          <w:highlight w:val="none"/>
          <w14:textFill>
            <w14:solidFill>
              <w14:schemeClr w14:val="tx1"/>
            </w14:solidFill>
          </w14:textFill>
        </w:rPr>
        <w:t xml:space="preserve">采购人已无偿提供的作业设备，</w:t>
      </w:r>
      <w:r>
        <w:rPr>
          <w:rFonts w:hint="eastAsia" w:asciiTheme="minorEastAsia" w:hAnsiTheme="minorEastAsia" w:eastAsiaTheme="minorEastAsia" w:cstheme="minorEastAsia"/>
          <w:color w:val="000000" w:themeColor="text1"/>
          <w:spacing w:val="-22"/>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2"/>
          <w:sz w:val="21"/>
          <w:szCs w:val="21"/>
          <w:highlight w:val="none"/>
          <w:lang w:eastAsia="zh-CN"/>
          <w14:textFill>
            <w14:solidFill>
              <w14:schemeClr w14:val="tx1"/>
            </w14:solidFill>
          </w14:textFill>
        </w:rPr>
        <w:t xml:space="preserve">不在</w:t>
      </w:r>
      <w:r>
        <w:rPr>
          <w:rFonts w:hint="eastAsia" w:asciiTheme="minorEastAsia" w:hAnsiTheme="minorEastAsia" w:eastAsiaTheme="minorEastAsia" w:cstheme="minorEastAsia"/>
          <w:color w:val="000000" w:themeColor="text1"/>
          <w:spacing w:val="-8"/>
          <w:sz w:val="21"/>
          <w:szCs w:val="21"/>
          <w:highlight w:val="none"/>
          <w14:textFill>
            <w14:solidFill>
              <w14:schemeClr w14:val="tx1"/>
            </w14:solidFill>
          </w14:textFill>
        </w:rPr>
        <w:t xml:space="preserve">此重复要求。</w:t>
      </w:r>
      <w:r/>
    </w:p>
    <w:p>
      <w:pPr>
        <w:ind w:left="542"/>
        <w:spacing w:before="90"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5.物业管理服务人员需求</w:t>
      </w:r>
      <w:r/>
    </w:p>
    <w:p>
      <w:pPr>
        <w:spacing w:line="29" w:lineRule="exact"/>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bl>
      <w:tblPr>
        <w:tblStyle w:val="866"/>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top"/>
            <w:textDirection w:val="lrTb"/>
            <w:noWrap w:val="false"/>
          </w:tcPr>
          <w:p>
            <w:pPr>
              <w:ind w:left="354"/>
              <w:spacing w:before="207"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部门职能</w:t>
            </w:r>
            <w:r/>
          </w:p>
        </w:tc>
        <w:tc>
          <w:tcPr>
            <w:tcW w:w="2145" w:type="dxa"/>
            <w:vAlign w:val="top"/>
            <w:textDirection w:val="lrTb"/>
            <w:noWrap w:val="false"/>
          </w:tcPr>
          <w:p>
            <w:pPr>
              <w:ind w:left="869"/>
              <w:spacing w:before="207"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14:textFill>
                  <w14:solidFill>
                    <w14:schemeClr w14:val="tx1"/>
                  </w14:solidFill>
                </w14:textFill>
              </w:rPr>
              <w:t xml:space="preserve">岗位</w:t>
            </w:r>
            <w:r/>
          </w:p>
        </w:tc>
        <w:tc>
          <w:tcPr>
            <w:tcW w:w="2313" w:type="dxa"/>
            <w:vAlign w:val="top"/>
            <w:textDirection w:val="lrTb"/>
            <w:noWrap w:val="false"/>
          </w:tcPr>
          <w:p>
            <w:pPr>
              <w:ind w:left="531"/>
              <w:spacing w:before="207"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2"/>
                <w:sz w:val="21"/>
                <w:szCs w:val="21"/>
                <w:highlight w:val="none"/>
                <w14:textFill>
                  <w14:solidFill>
                    <w14:schemeClr w14:val="tx1"/>
                  </w14:solidFill>
                </w14:textFill>
              </w:rPr>
              <w:t xml:space="preserve">同时在岗人数</w:t>
            </w:r>
            <w:r/>
          </w:p>
        </w:tc>
        <w:tc>
          <w:tcPr>
            <w:tcW w:w="3263" w:type="dxa"/>
            <w:vAlign w:val="top"/>
            <w:textDirection w:val="lrTb"/>
            <w:noWrap w:val="false"/>
          </w:tcPr>
          <w:p>
            <w:pPr>
              <w:ind w:left="907"/>
              <w:spacing w:before="207"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2"/>
                <w:sz w:val="21"/>
                <w:szCs w:val="21"/>
                <w:highlight w:val="none"/>
                <w14:textFill>
                  <w14:solidFill>
                    <w14:schemeClr w14:val="tx1"/>
                  </w14:solidFill>
                </w14:textFill>
              </w:rPr>
              <w:t xml:space="preserve">岗位所需总人数</w:t>
            </w:r>
            <w:r/>
          </w:p>
        </w:tc>
        <w:tc>
          <w:tcPr>
            <w:tcW w:w="5300" w:type="dxa"/>
            <w:vAlign w:val="center"/>
            <w:textDirection w:val="lrTb"/>
            <w:noWrap w:val="false"/>
          </w:tcPr>
          <w:p>
            <w:pPr>
              <w:jc w:val="both"/>
              <w:spacing w:before="38" w:line="180"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3"/>
                <w:sz w:val="21"/>
                <w:szCs w:val="21"/>
                <w:highlight w:val="none"/>
                <w14:textFill>
                  <w14:solidFill>
                    <w14:schemeClr w14:val="tx1"/>
                  </w14:solidFill>
                </w14:textFill>
              </w:rPr>
              <w:t xml:space="preserve">备注（岗位所需服务时长或时段、需具备的上岗资格证、</w:t>
            </w:r>
            <w:r/>
          </w:p>
          <w:p>
            <w:pPr>
              <w:ind w:left="1283"/>
              <w:jc w:val="both"/>
              <w:spacing w:before="69" w:line="181"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人员学历、工作经验等要求）</w:t>
            </w:r>
            <w:r/>
          </w:p>
        </w:tc>
      </w:tr>
      <w:tr>
        <w:trPr>
          <w:trHeight w:val="90"/>
        </w:trPr>
        <w:tc>
          <w:tcPr>
            <w:tcW w:w="1546" w:type="dxa"/>
            <w:vAlign w:val="top"/>
            <w:textDirection w:val="lrTb"/>
            <w:noWrap w:val="false"/>
          </w:tcPr>
          <w:p>
            <w:pPr>
              <w:pStyle w:val="867"/>
              <w:ind w:left="116"/>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服务中心</w:t>
            </w:r>
            <w:r/>
          </w:p>
        </w:tc>
        <w:tc>
          <w:tcPr>
            <w:tcW w:w="2145" w:type="dxa"/>
            <w:vAlign w:val="top"/>
            <w:textDirection w:val="lrTb"/>
            <w:noWrap w:val="false"/>
          </w:tcPr>
          <w:p>
            <w:pPr>
              <w:pStyle w:val="867"/>
              <w:ind w:left="112"/>
              <w:spacing w:before="89" w:line="221" w:lineRule="auto"/>
              <w:shd w:val="clear" w:color="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项目负责人</w:t>
            </w:r>
            <w:r/>
          </w:p>
        </w:tc>
        <w:tc>
          <w:tcPr>
            <w:tcW w:w="2313" w:type="dxa"/>
            <w:vAlign w:val="center"/>
            <w:textDirection w:val="lrTb"/>
            <w:noWrap w:val="false"/>
          </w:tcPr>
          <w:p>
            <w:pPr>
              <w:ind w:left="0" w:right="0" w:firstLine="0"/>
              <w:jc w:val="center"/>
              <w:spacing w:before="131" w:line="179"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p>
        </w:tc>
        <w:tc>
          <w:tcPr>
            <w:tcW w:w="3263" w:type="dxa"/>
            <w:vAlign w:val="center"/>
            <w:textDirection w:val="lrTb"/>
            <w:noWrap w:val="false"/>
          </w:tcPr>
          <w:p>
            <w:pPr>
              <w:ind w:left="0" w:right="0" w:firstLine="0"/>
              <w:jc w:val="center"/>
              <w:spacing w:before="131" w:line="179" w:lineRule="auto"/>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p>
        </w:tc>
        <w:tc>
          <w:tcPr>
            <w:tcW w:w="5300" w:type="dxa"/>
            <w:vAlign w:val="center"/>
            <w:textDirection w:val="lrTb"/>
            <w:noWrap w:val="false"/>
          </w:tcPr>
          <w:p>
            <w:pPr>
              <w:pStyle w:val="867"/>
              <w:ind w:left="117"/>
              <w:jc w:val="both"/>
              <w:spacing w:before="89" w:line="221" w:lineRule="auto"/>
              <w:shd w:val="clear" w:color="auto"/>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全面主持项目的日常管理工作</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对客服、设备维护、安保、保洁、绿化等各部门工作进行统筹和监督。</w:t>
            </w:r>
            <w:r>
              <w:rPr>
                <w:rFonts w:hint="eastAsia" w:ascii="宋体" w:hAnsi="宋体" w:eastAsia="宋体" w:cs="宋体"/>
                <w:color w:val="000000" w:themeColor="text1"/>
                <w:highlight w:val="none"/>
                <w:lang w:val="en-US" w:eastAsia="zh-CN"/>
                <w14:textFill>
                  <w14:solidFill>
                    <w14:schemeClr w14:val="tx1"/>
                  </w14:solidFill>
                </w14:textFill>
              </w:rPr>
              <w:t xml:space="preserve">具有物业管理员（初级工）资格证书及以上。</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有一年以上物业管理工作经验，身体健康。</w:t>
            </w:r>
            <w:r>
              <w:rPr>
                <w:rFonts w:hint="eastAsia" w:ascii="宋体" w:hAnsi="宋体" w:eastAsia="宋体" w:cs="宋体"/>
                <w:b/>
                <w:bCs/>
                <w:color w:val="000000" w:themeColor="text1"/>
                <w:highlight w:val="none"/>
                <w:lang w:eastAsia="zh-CN"/>
                <w14:textFill>
                  <w14:solidFill>
                    <w14:schemeClr w14:val="tx1"/>
                  </w14:solidFill>
                </w14:textFill>
              </w:rPr>
              <w:t xml:space="preserve">投标供应商中标后需向采购人提供</w:t>
            </w:r>
            <w:r>
              <w:rPr>
                <w:rFonts w:hint="eastAsia" w:cs="宋体"/>
                <w:b/>
                <w:bCs/>
                <w:color w:val="000000" w:themeColor="text1"/>
                <w:highlight w:val="none"/>
                <w:lang w:val="en-US" w:eastAsia="zh-CN"/>
                <w14:textFill>
                  <w14:solidFill>
                    <w14:schemeClr w14:val="tx1"/>
                  </w14:solidFill>
                </w14:textFill>
              </w:rPr>
              <w:t xml:space="preserve">相关证书。</w:t>
            </w:r>
            <w:r/>
          </w:p>
        </w:tc>
      </w:tr>
      <w:tr>
        <w:trPr>
          <w:trHeight w:val="461"/>
        </w:trPr>
        <w:tc>
          <w:tcPr>
            <w:tcW w:w="1546" w:type="dxa"/>
            <w:vAlign w:val="top"/>
            <w:vMerge w:val="restart"/>
            <w:textDirection w:val="lrTb"/>
            <w:noWrap w:val="false"/>
          </w:tcPr>
          <w:p>
            <w:pPr>
              <w:spacing w:line="27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75"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6"/>
              <w:spacing w:before="68"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基本服务</w:t>
            </w:r>
            <w:r/>
          </w:p>
        </w:tc>
        <w:tc>
          <w:tcPr>
            <w:tcW w:w="2145" w:type="dxa"/>
            <w:vAlign w:val="top"/>
            <w:textDirection w:val="lrTb"/>
            <w:noWrap w:val="false"/>
          </w:tcPr>
          <w:p>
            <w:pPr>
              <w:pStyle w:val="867"/>
              <w:ind w:left="110"/>
              <w:spacing w:before="8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t xml:space="preserve">综合</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主管</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5300" w:type="dxa"/>
            <w:vAlign w:val="center"/>
            <w:textDirection w:val="lrTb"/>
            <w:noWrap w:val="false"/>
          </w:tcPr>
          <w:p>
            <w:pPr>
              <w:ind w:left="0" w:right="0" w:firstLine="0"/>
              <w:jc w:val="both"/>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全面负责项目现场安全品质管理问题，持有特种设备安全管理和作业人员证书，</w:t>
            </w: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投标供应商中标后需向采购人提供相关证书。</w:t>
            </w:r>
            <w:r/>
          </w:p>
        </w:tc>
      </w:tr>
      <w:tr>
        <w:trPr>
          <w:trHeight w:val="458"/>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2"/>
              <w:spacing w:before="87"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前台（或传达室）</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458"/>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34"/>
              <w:spacing w:before="90"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内勤</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686"/>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0" w:right="107"/>
              <w:spacing w:before="33" w:line="26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客服（24</w:t>
            </w:r>
            <w:r>
              <w:rPr>
                <w:rFonts w:hint="eastAsia" w:asciiTheme="minorEastAsia" w:hAnsiTheme="minorEastAsia" w:eastAsiaTheme="minorEastAsia" w:cstheme="minorEastAsia"/>
                <w:color w:val="000000" w:themeColor="text1"/>
                <w:spacing w:val="20"/>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highlight w:val="none"/>
                <w14:textFill>
                  <w14:solidFill>
                    <w14:schemeClr w14:val="tx1"/>
                  </w14:solidFill>
                </w14:textFill>
              </w:rPr>
              <w:t xml:space="preserve">小时服务热</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5"/>
                <w:highlight w:val="none"/>
                <w14:textFill>
                  <w14:solidFill>
                    <w14:schemeClr w14:val="tx1"/>
                  </w14:solidFill>
                </w14:textFill>
              </w:rPr>
              <w:t xml:space="preserve">线）</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458"/>
        </w:trPr>
        <w:tc>
          <w:tcPr>
            <w:tcW w:w="1546" w:type="dxa"/>
            <w:vAlign w:val="top"/>
            <w:vMerge w:val="restart"/>
            <w:textDirection w:val="lrTb"/>
            <w:noWrap w:val="false"/>
          </w:tcPr>
          <w:p>
            <w:pPr>
              <w:spacing w:line="25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6"/>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房屋维护服务</w:t>
            </w:r>
            <w:r/>
          </w:p>
        </w:tc>
        <w:tc>
          <w:tcPr>
            <w:tcW w:w="2145" w:type="dxa"/>
            <w:vAlign w:val="top"/>
            <w:textDirection w:val="lrTb"/>
            <w:noWrap w:val="false"/>
          </w:tcPr>
          <w:p>
            <w:pPr>
              <w:pStyle w:val="867"/>
              <w:ind w:left="110"/>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主管</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460"/>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1"/>
              <w:spacing w:before="90"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t xml:space="preserve">工程</w:t>
            </w: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维修</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具备有效的维修电工证书，</w:t>
            </w:r>
            <w:r>
              <w:rPr>
                <w:rFonts w:hint="eastAsia" w:asciiTheme="minorEastAsia" w:hAnsiTheme="minorEastAsia" w:eastAsiaTheme="minorEastAsia" w:cstheme="minorEastAsia"/>
                <w:b w:val="0"/>
                <w:bCs w:val="0"/>
                <w:color w:val="000000" w:themeColor="text1"/>
                <w:sz w:val="21"/>
                <w:highlight w:val="none"/>
                <w:lang w:val="en-US" w:eastAsia="zh-CN"/>
                <w14:textFill>
                  <w14:solidFill>
                    <w14:schemeClr w14:val="tx1"/>
                  </w14:solidFill>
                </w14:textFill>
              </w:rPr>
              <w:t xml:space="preserve">身体健康，无残疾。</w:t>
            </w: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投标供应商中标后需向采购人提供相关证书。</w:t>
            </w:r>
            <w:r/>
          </w:p>
        </w:tc>
      </w:tr>
      <w:tr>
        <w:trPr>
          <w:trHeight w:val="458"/>
        </w:trPr>
        <w:tc>
          <w:tcPr>
            <w:tcW w:w="1546" w:type="dxa"/>
            <w:vAlign w:val="top"/>
            <w:vMerge w:val="restart"/>
            <w:textDirection w:val="lrTb"/>
            <w:noWrap w:val="false"/>
          </w:tcPr>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7"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8"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9" w:right="105" w:firstLine="3"/>
              <w:spacing w:before="68" w:line="259"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公用设施设备</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维护服务</w:t>
            </w:r>
            <w:r/>
          </w:p>
        </w:tc>
        <w:tc>
          <w:tcPr>
            <w:tcW w:w="2145" w:type="dxa"/>
            <w:vAlign w:val="top"/>
            <w:textDirection w:val="lrTb"/>
            <w:noWrap w:val="false"/>
          </w:tcPr>
          <w:p>
            <w:pPr>
              <w:pStyle w:val="867"/>
              <w:ind w:left="110"/>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主管</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458"/>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2"/>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弱电维修</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highlight w:val="none"/>
                <w:lang w:val="en-US" w:eastAsia="zh-CN"/>
                <w14:textFill>
                  <w14:solidFill>
                    <w14:schemeClr w14:val="tx1"/>
                  </w14:solidFill>
                </w14:textFill>
              </w:rPr>
              <w:t xml:space="preserve">具备有效的高压或低压电工证，身体健康，无残疾。</w:t>
            </w: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投标供应商中标后需向采购人提供相关证书。</w:t>
            </w:r>
            <w:r/>
          </w:p>
        </w:tc>
      </w:tr>
      <w:tr>
        <w:trPr>
          <w:trHeight w:val="460"/>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4"/>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高配工</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pStyle w:val="867"/>
              <w:ind w:left="117"/>
              <w:jc w:val="both"/>
              <w:spacing w:before="91" w:line="221" w:lineRule="auto"/>
              <w:shd w:val="clear" w:color="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tc>
      </w:tr>
      <w:tr>
        <w:trPr>
          <w:trHeight w:val="458"/>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1"/>
              <w:spacing w:before="92"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水电工</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pStyle w:val="867"/>
              <w:ind w:left="117"/>
              <w:jc w:val="both"/>
              <w:spacing w:before="92" w:line="221" w:lineRule="auto"/>
              <w:shd w:val="clear" w:color="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tc>
      </w:tr>
      <w:tr>
        <w:trPr>
          <w:trHeight w:val="458"/>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7"/>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highlight w:val="none"/>
                <w14:textFill>
                  <w14:solidFill>
                    <w14:schemeClr w14:val="tx1"/>
                  </w14:solidFill>
                </w14:textFill>
              </w:rPr>
              <w:t xml:space="preserve">暖通工</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376"/>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08"/>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锅炉工</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pStyle w:val="867"/>
              <w:ind w:left="117"/>
              <w:jc w:val="both"/>
              <w:spacing w:before="93" w:line="221" w:lineRule="auto"/>
              <w:shd w:val="clear" w:color="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r>
            <w:r/>
          </w:p>
        </w:tc>
      </w:tr>
      <w:tr>
        <w:trPr>
          <w:trHeight w:val="458"/>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33"/>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highlight w:val="none"/>
                <w14:textFill>
                  <w14:solidFill>
                    <w14:schemeClr w14:val="tx1"/>
                  </w14:solidFill>
                </w14:textFill>
              </w:rPr>
              <w:t xml:space="preserve">电梯工</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458"/>
        </w:trPr>
        <w:tc>
          <w:tcPr>
            <w:tcW w:w="1546" w:type="dxa"/>
            <w:vAlign w:val="top"/>
            <w:vMerge w:val="restart"/>
            <w:textDirection w:val="lrTb"/>
            <w:noWrap w:val="false"/>
          </w:tcPr>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43"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6"/>
              <w:spacing w:before="68"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保洁服务</w:t>
            </w:r>
            <w:r/>
          </w:p>
        </w:tc>
        <w:tc>
          <w:tcPr>
            <w:tcW w:w="2145" w:type="dxa"/>
            <w:vAlign w:val="top"/>
            <w:textDirection w:val="lrTb"/>
            <w:noWrap w:val="false"/>
          </w:tcPr>
          <w:p>
            <w:pPr>
              <w:pStyle w:val="867"/>
              <w:ind w:left="110"/>
              <w:spacing w:before="94"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t xml:space="preserve">保洁领班</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5300" w:type="dxa"/>
            <w:vAlign w:val="center"/>
            <w:vMerge w:val="restart"/>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保洁合计11人，需身体健康，无残疾，品德优秀</w:t>
            </w:r>
            <w:r/>
          </w:p>
        </w:tc>
      </w:tr>
      <w:tr>
        <w:trPr>
          <w:trHeight w:val="461"/>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09"/>
              <w:spacing w:before="95"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保洁员</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11</w:t>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11</w:t>
            </w:r>
            <w:r/>
          </w:p>
        </w:tc>
        <w:tc>
          <w:tcPr>
            <w:tcW w:w="5300" w:type="dxa"/>
            <w:vAlign w:val="center"/>
            <w:vMerge w:val="continue"/>
            <w:textDirection w:val="lrTb"/>
            <w:noWrap w:val="false"/>
          </w:tcPr>
          <w:p>
            <w:pPr>
              <w:jc w:val="both"/>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90"/>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0"/>
              <w:spacing w:before="95" w:line="221" w:lineRule="auto"/>
              <w:shd w:val="clear" w:color="auto"/>
              <w:rPr>
                <w:rFonts w:hint="eastAsia" w:asciiTheme="minorEastAsia" w:hAnsiTheme="minorEastAsia" w:eastAsiaTheme="minorEastAsia" w:cstheme="minorEastAsia"/>
                <w:color w:val="000000" w:themeColor="text1"/>
                <w:spacing w:val="-2"/>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垃圾清运工</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vMerge w:val="continue"/>
            <w:textDirection w:val="lrTb"/>
            <w:noWrap w:val="false"/>
          </w:tcPr>
          <w:p>
            <w:pPr>
              <w:jc w:val="both"/>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463"/>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0"/>
              <w:spacing w:before="95"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垃圾</w:t>
            </w:r>
            <w:r>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t xml:space="preserve">分类人员</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vMerge w:val="continue"/>
            <w:textDirection w:val="lrTb"/>
            <w:noWrap w:val="false"/>
          </w:tcPr>
          <w:p>
            <w:pPr>
              <w:jc w:val="both"/>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r>
            <w:r/>
          </w:p>
        </w:tc>
      </w:tr>
      <w:tr>
        <w:trPr>
          <w:trHeight w:val="462"/>
        </w:trPr>
        <w:tc>
          <w:tcPr>
            <w:tcW w:w="1546" w:type="dxa"/>
            <w:vAlign w:val="top"/>
            <w:vMerge w:val="restart"/>
            <w:textDirection w:val="lrTb"/>
            <w:noWrap w:val="false"/>
          </w:tcPr>
          <w:p>
            <w:pPr>
              <w:pStyle w:val="867"/>
              <w:ind w:left="117"/>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绿化服务</w:t>
            </w:r>
            <w:r/>
          </w:p>
        </w:tc>
        <w:tc>
          <w:tcPr>
            <w:tcW w:w="2145" w:type="dxa"/>
            <w:vAlign w:val="top"/>
            <w:textDirection w:val="lrTb"/>
            <w:noWrap w:val="false"/>
          </w:tcPr>
          <w:p>
            <w:pPr>
              <w:pStyle w:val="867"/>
              <w:ind w:left="110"/>
              <w:spacing w:before="94" w:line="222" w:lineRule="auto"/>
              <w:shd w:val="clear" w:color="auto"/>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t xml:space="preserve">环境主管</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5300" w:type="dxa"/>
            <w:vAlign w:val="center"/>
            <w:vMerge w:val="restart"/>
            <w:textDirection w:val="lrTb"/>
            <w:noWrap w:val="false"/>
          </w:tcPr>
          <w:p>
            <w:pPr>
              <w:jc w:val="both"/>
              <w:shd w:val="clear" w:color="auto"/>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非驻</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园</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持有园林绿化工职业技能等级证书，</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由供应商自行配备具</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 xml:space="preserve">有绿化养护经验的人员；</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养护标准：</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三</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级</w:t>
            </w:r>
            <w:r/>
          </w:p>
        </w:tc>
      </w:tr>
      <w:tr>
        <w:trPr>
          <w:trHeight w:val="462"/>
        </w:trPr>
        <w:tc>
          <w:tcPr>
            <w:tcW w:w="1546" w:type="dxa"/>
            <w:vAlign w:val="top"/>
            <w:vMerge w:val="continue"/>
            <w:textDirection w:val="lrTb"/>
            <w:noWrap w:val="false"/>
          </w:tcPr>
          <w:p>
            <w:pPr>
              <w:pStyle w:val="867"/>
              <w:ind w:left="117"/>
              <w:spacing w:before="93"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c>
          <w:tcPr>
            <w:tcW w:w="2145" w:type="dxa"/>
            <w:vAlign w:val="top"/>
            <w:textDirection w:val="lrTb"/>
            <w:noWrap w:val="false"/>
          </w:tcPr>
          <w:p>
            <w:pPr>
              <w:pStyle w:val="867"/>
              <w:ind w:left="110"/>
              <w:spacing w:before="94" w:line="222"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绿化工</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vMerge w:val="continue"/>
            <w:textDirection w:val="lrTb"/>
            <w:noWrap w:val="false"/>
          </w:tcPr>
          <w:p>
            <w:pPr>
              <w:jc w:val="both"/>
              <w:shd w:val="clear" w:color="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trHeight w:val="460"/>
        </w:trPr>
        <w:tc>
          <w:tcPr>
            <w:tcW w:w="1546" w:type="dxa"/>
            <w:vAlign w:val="top"/>
            <w:vMerge w:val="restart"/>
            <w:textDirection w:val="lrTb"/>
            <w:noWrap w:val="false"/>
          </w:tcPr>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spacing w:line="281" w:lineRule="auto"/>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p>
            <w:pPr>
              <w:pStyle w:val="867"/>
              <w:ind w:left="116"/>
              <w:spacing w:before="69"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保安服务</w:t>
            </w:r>
            <w:r/>
          </w:p>
        </w:tc>
        <w:tc>
          <w:tcPr>
            <w:tcW w:w="2145" w:type="dxa"/>
            <w:vAlign w:val="top"/>
            <w:textDirection w:val="lrTb"/>
            <w:noWrap w:val="false"/>
          </w:tcPr>
          <w:p>
            <w:pPr>
              <w:pStyle w:val="867"/>
              <w:ind w:left="110"/>
              <w:spacing w:before="90" w:line="221" w:lineRule="auto"/>
              <w:shd w:val="clear" w:color="auto" w:fill="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lang w:val="en-US" w:eastAsia="zh-CN"/>
                <w14:textFill>
                  <w14:solidFill>
                    <w14:schemeClr w14:val="tx1"/>
                  </w14:solidFill>
                </w14:textFill>
              </w:rPr>
              <w:t xml:space="preserve">保安队长</w:t>
            </w:r>
            <w:r/>
          </w:p>
        </w:tc>
        <w:tc>
          <w:tcPr>
            <w:tcW w:w="2313" w:type="dxa"/>
            <w:vAlign w:val="center"/>
            <w:textDirection w:val="lrTb"/>
            <w:noWrap w:val="false"/>
          </w:tcPr>
          <w:p>
            <w:pPr>
              <w:ind w:left="0" w:right="0" w:firstLine="0"/>
              <w:jc w:val="center"/>
              <w:shd w:val="clear" w:color="auto" w:fill="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3263" w:type="dxa"/>
            <w:vAlign w:val="center"/>
            <w:textDirection w:val="lrTb"/>
            <w:noWrap w:val="false"/>
          </w:tcPr>
          <w:p>
            <w:pPr>
              <w:ind w:left="0" w:right="0" w:firstLine="0"/>
              <w:jc w:val="center"/>
              <w:shd w:val="clear" w:color="auto" w:fill="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w:t>
            </w:r>
            <w:r/>
          </w:p>
        </w:tc>
        <w:tc>
          <w:tcPr>
            <w:tcW w:w="5300" w:type="dxa"/>
            <w:vAlign w:val="center"/>
            <w:vMerge w:val="restart"/>
            <w:textDirection w:val="lrTb"/>
            <w:noWrap w:val="false"/>
          </w:tcPr>
          <w:p>
            <w:pPr>
              <w:pStyle w:val="867"/>
              <w:jc w:val="both"/>
              <w:spacing w:before="92" w:line="220" w:lineRule="auto"/>
              <w:shd w:val="clear" w:color="auto"/>
              <w:rPr>
                <w:rFonts w:hint="eastAsia" w:asciiTheme="minorEastAsia" w:hAnsiTheme="minorEastAsia" w:eastAsiaTheme="minorEastAsia" w:cstheme="minorEastAsia"/>
                <w:b w:val="0"/>
                <w:bCs w:val="0"/>
                <w:i w:val="0"/>
                <w:i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sz w:val="21"/>
                <w:szCs w:val="21"/>
                <w:highlight w:val="none"/>
                <w:lang w:eastAsia="zh-CN"/>
                <w14:textFill>
                  <w14:solidFill>
                    <w14:schemeClr w14:val="tx1"/>
                  </w14:solidFill>
                </w14:textFill>
              </w:rPr>
              <w:t xml:space="preserve">保安合计</w:t>
            </w:r>
            <w:r>
              <w:rPr>
                <w:rFonts w:hint="eastAsia" w:asciiTheme="minorEastAsia" w:hAnsiTheme="minorEastAsia" w:eastAsiaTheme="minorEastAsia" w:cstheme="minorEastAsia"/>
                <w:b w:val="0"/>
                <w:bCs w:val="0"/>
                <w:i w:val="0"/>
                <w:iCs w:val="0"/>
                <w:color w:val="000000" w:themeColor="text1"/>
                <w:sz w:val="21"/>
                <w:szCs w:val="21"/>
                <w:highlight w:val="none"/>
                <w:lang w:val="en-US" w:eastAsia="zh-CN"/>
                <w14:textFill>
                  <w14:solidFill>
                    <w14:schemeClr w14:val="tx1"/>
                  </w14:solidFill>
                </w14:textFill>
              </w:rPr>
              <w:t xml:space="preserve">22</w:t>
            </w:r>
            <w:r>
              <w:rPr>
                <w:rFonts w:hint="eastAsia" w:asciiTheme="minorEastAsia" w:hAnsiTheme="minorEastAsia" w:eastAsiaTheme="minorEastAsia" w:cstheme="minorEastAsia"/>
                <w:b w:val="0"/>
                <w:bCs w:val="0"/>
                <w:i w:val="0"/>
                <w:iCs w:val="0"/>
                <w:color w:val="000000" w:themeColor="text1"/>
                <w:sz w:val="21"/>
                <w:szCs w:val="21"/>
                <w:highlight w:val="none"/>
                <w:lang w:eastAsia="zh-CN"/>
                <w14:textFill>
                  <w14:solidFill>
                    <w14:schemeClr w14:val="tx1"/>
                  </w14:solidFill>
                </w14:textFill>
              </w:rPr>
              <w:t xml:space="preserve">人，具备</w:t>
            </w:r>
            <w:r>
              <w:rPr>
                <w:rFonts w:hint="eastAsia" w:asciiTheme="minorEastAsia" w:hAnsiTheme="minorEastAsia" w:eastAsiaTheme="minorEastAsia" w:cstheme="minorEastAsia"/>
                <w:b w:val="0"/>
                <w:bCs w:val="0"/>
                <w:i w:val="0"/>
                <w:iCs w:val="0"/>
                <w:color w:val="000000" w:themeColor="text1"/>
                <w:sz w:val="21"/>
                <w:szCs w:val="21"/>
                <w:highlight w:val="none"/>
                <w:lang w:val="en-US" w:eastAsia="zh-CN"/>
                <w14:textFill>
                  <w14:solidFill>
                    <w14:schemeClr w14:val="tx1"/>
                  </w14:solidFill>
                </w14:textFill>
              </w:rPr>
              <w:t xml:space="preserve">有效的</w:t>
            </w:r>
            <w:r>
              <w:rPr>
                <w:rFonts w:hint="eastAsia" w:asciiTheme="minorEastAsia" w:hAnsiTheme="minorEastAsia" w:eastAsiaTheme="minorEastAsia" w:cstheme="minorEastAsia"/>
                <w:b w:val="0"/>
                <w:bCs w:val="0"/>
                <w:i w:val="0"/>
                <w:iCs w:val="0"/>
                <w:color w:val="000000" w:themeColor="text1"/>
                <w:sz w:val="21"/>
                <w:szCs w:val="21"/>
                <w:highlight w:val="none"/>
                <w:lang w:eastAsia="zh-CN"/>
                <w14:textFill>
                  <w14:solidFill>
                    <w14:schemeClr w14:val="tx1"/>
                  </w14:solidFill>
                </w14:textFill>
              </w:rPr>
              <w:t xml:space="preserve">保安员证，</w:t>
            </w:r>
            <w:r>
              <w:rPr>
                <w:rFonts w:hint="eastAsia" w:asciiTheme="minorEastAsia" w:hAnsiTheme="minorEastAsia" w:eastAsiaTheme="minorEastAsia" w:cstheme="minorEastAsia"/>
                <w:b w:val="0"/>
                <w:bCs w:val="0"/>
                <w:i w:val="0"/>
                <w:iCs w:val="0"/>
                <w:color w:val="000000" w:themeColor="text1"/>
                <w:sz w:val="21"/>
                <w:szCs w:val="21"/>
                <w:highlight w:val="none"/>
                <w:lang w:val="en-US" w:eastAsia="zh-CN"/>
                <w14:textFill>
                  <w14:solidFill>
                    <w14:schemeClr w14:val="tx1"/>
                  </w14:solidFill>
                </w14:textFill>
              </w:rPr>
              <w:t xml:space="preserve">身体健康，无犯罪记录，</w:t>
            </w:r>
            <w:r>
              <w:rPr>
                <w:rFonts w:hint="eastAsia" w:ascii="宋体" w:hAnsi="宋体" w:eastAsia="宋体" w:cs="宋体"/>
                <w:b/>
                <w:bCs/>
                <w:color w:val="000000" w:themeColor="text1"/>
                <w:highlight w:val="none"/>
                <w:lang w:eastAsia="zh-CN"/>
                <w14:textFill>
                  <w14:solidFill>
                    <w14:schemeClr w14:val="tx1"/>
                  </w14:solidFill>
                </w14:textFill>
              </w:rPr>
              <w:t xml:space="preserve">投标供应商中标后需向采购人提供</w:t>
            </w:r>
            <w:r>
              <w:rPr>
                <w:rFonts w:hint="eastAsia" w:cs="宋体"/>
                <w:b/>
                <w:bCs/>
                <w:color w:val="000000" w:themeColor="text1"/>
                <w:highlight w:val="none"/>
                <w:lang w:val="en-US" w:eastAsia="zh-CN"/>
                <w14:textFill>
                  <w14:solidFill>
                    <w14:schemeClr w14:val="tx1"/>
                  </w14:solidFill>
                </w14:textFill>
              </w:rPr>
              <w:t xml:space="preserve">保安证。</w:t>
            </w:r>
            <w:r/>
          </w:p>
          <w:p>
            <w:pPr>
              <w:pStyle w:val="867"/>
              <w:jc w:val="both"/>
              <w:spacing w:before="92" w:line="220" w:lineRule="auto"/>
              <w:shd w:val="clear" w:color="auto"/>
              <w:rPr>
                <w:rFonts w:hint="eastAsia" w:asciiTheme="minorEastAsia" w:hAnsiTheme="minorEastAsia" w:eastAsiaTheme="minorEastAsia" w:cstheme="minorEastAsia"/>
                <w:b w:val="0"/>
                <w:bCs w:val="0"/>
                <w:i w:val="0"/>
                <w:i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sz w:val="21"/>
                <w:szCs w:val="21"/>
                <w:highlight w:val="none"/>
                <w:lang w:val="en-US" w:eastAsia="zh-CN"/>
                <w14:textFill>
                  <w14:solidFill>
                    <w14:schemeClr w14:val="tx1"/>
                  </w14:solidFill>
                </w14:textFill>
              </w:rPr>
            </w:r>
            <w:r/>
          </w:p>
        </w:tc>
      </w:tr>
      <w:tr>
        <w:trPr>
          <w:trHeight w:val="457"/>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09"/>
              <w:spacing w:before="94" w:line="221" w:lineRule="auto"/>
              <w:shd w:val="clear" w:color="auto" w:fill="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巡逻岗</w:t>
            </w:r>
            <w:r/>
          </w:p>
        </w:tc>
        <w:tc>
          <w:tcPr>
            <w:tcW w:w="2313" w:type="dxa"/>
            <w:vAlign w:val="center"/>
            <w:textDirection w:val="lrTb"/>
            <w:noWrap w:val="false"/>
          </w:tcPr>
          <w:p>
            <w:pPr>
              <w:ind w:left="0" w:right="0" w:firstLine="0"/>
              <w:jc w:val="center"/>
              <w:shd w:val="clear" w:color="auto" w:fill="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3</w:t>
            </w:r>
            <w:r/>
          </w:p>
        </w:tc>
        <w:tc>
          <w:tcPr>
            <w:tcW w:w="3263" w:type="dxa"/>
            <w:vAlign w:val="center"/>
            <w:textDirection w:val="lrTb"/>
            <w:noWrap w:val="false"/>
          </w:tcPr>
          <w:p>
            <w:pPr>
              <w:ind w:left="0" w:right="0" w:firstLine="0"/>
              <w:jc w:val="center"/>
              <w:shd w:val="clear" w:color="auto" w:fill="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9</w:t>
            </w:r>
            <w:r/>
          </w:p>
        </w:tc>
        <w:tc>
          <w:tcPr>
            <w:tcW w:w="5300" w:type="dxa"/>
            <w:vAlign w:val="center"/>
            <w:vMerge w:val="continue"/>
            <w:textDirection w:val="lrTb"/>
            <w:noWrap w:val="false"/>
          </w:tcPr>
          <w:p>
            <w:pPr>
              <w:pStyle w:val="867"/>
              <w:ind w:left="117"/>
              <w:jc w:val="both"/>
              <w:spacing w:before="91"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71"/>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32"/>
              <w:spacing w:before="92" w:line="221" w:lineRule="auto"/>
              <w:shd w:val="clear" w:color="auto" w:fill="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8"/>
                <w:highlight w:val="none"/>
                <w14:textFill>
                  <w14:solidFill>
                    <w14:schemeClr w14:val="tx1"/>
                  </w14:solidFill>
                </w14:textFill>
              </w:rPr>
              <w:t xml:space="preserve">门岗</w:t>
            </w:r>
            <w:r/>
          </w:p>
        </w:tc>
        <w:tc>
          <w:tcPr>
            <w:tcW w:w="2313" w:type="dxa"/>
            <w:vAlign w:val="center"/>
            <w:textDirection w:val="lrTb"/>
            <w:noWrap w:val="false"/>
          </w:tcPr>
          <w:p>
            <w:pPr>
              <w:ind w:left="0" w:right="0" w:firstLine="0"/>
              <w:jc w:val="center"/>
              <w:shd w:val="clear" w:color="auto" w:fill="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4</w:t>
            </w:r>
            <w:r/>
          </w:p>
        </w:tc>
        <w:tc>
          <w:tcPr>
            <w:tcW w:w="3263" w:type="dxa"/>
            <w:vAlign w:val="center"/>
            <w:textDirection w:val="lrTb"/>
            <w:noWrap w:val="false"/>
          </w:tcPr>
          <w:p>
            <w:pPr>
              <w:ind w:left="0" w:right="0" w:firstLine="0"/>
              <w:jc w:val="center"/>
              <w:shd w:val="clear" w:color="auto" w:fill="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12</w:t>
            </w:r>
            <w:r/>
          </w:p>
        </w:tc>
        <w:tc>
          <w:tcPr>
            <w:tcW w:w="5300" w:type="dxa"/>
            <w:vAlign w:val="center"/>
            <w:vMerge w:val="continue"/>
            <w:textDirection w:val="lrTb"/>
            <w:noWrap w:val="false"/>
          </w:tcPr>
          <w:p>
            <w:pPr>
              <w:pStyle w:val="867"/>
              <w:ind w:left="137"/>
              <w:jc w:val="both"/>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58"/>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3"/>
              <w:spacing w:before="93" w:line="221" w:lineRule="auto"/>
              <w:shd w:val="clear" w:color="auto" w:fill="auto"/>
              <w:rPr>
                <w:rFonts w:hint="eastAsia" w:asciiTheme="minorEastAsia" w:hAnsiTheme="minorEastAsia" w:eastAsiaTheme="minorEastAsia" w:cstheme="minorEastAsia"/>
                <w:color w:val="000000" w:themeColor="text1"/>
                <w:spacing w:val="-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消控岗</w:t>
            </w:r>
            <w:r/>
          </w:p>
        </w:tc>
        <w:tc>
          <w:tcPr>
            <w:tcW w:w="2313" w:type="dxa"/>
            <w:vAlign w:val="center"/>
            <w:textDirection w:val="lrTb"/>
            <w:noWrap w:val="false"/>
          </w:tcPr>
          <w:p>
            <w:pPr>
              <w:ind w:left="0" w:right="0" w:firstLine="0"/>
              <w:jc w:val="center"/>
              <w:shd w:val="clear" w:color="auto" w:fill="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4</w:t>
            </w:r>
            <w:r/>
          </w:p>
        </w:tc>
        <w:tc>
          <w:tcPr>
            <w:tcW w:w="3263" w:type="dxa"/>
            <w:vAlign w:val="center"/>
            <w:textDirection w:val="lrTb"/>
            <w:noWrap w:val="false"/>
          </w:tcPr>
          <w:p>
            <w:pPr>
              <w:ind w:left="0" w:right="0" w:firstLine="0"/>
              <w:jc w:val="center"/>
              <w:shd w:val="clear" w:color="auto" w:fill="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16</w:t>
            </w:r>
            <w:r/>
          </w:p>
        </w:tc>
        <w:tc>
          <w:tcPr>
            <w:tcW w:w="5300" w:type="dxa"/>
            <w:vAlign w:val="center"/>
            <w:textDirection w:val="lrTb"/>
            <w:noWrap w:val="false"/>
          </w:tcPr>
          <w:p>
            <w:pPr>
              <w:pStyle w:val="867"/>
              <w:jc w:val="both"/>
              <w:spacing w:before="92"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消控岗</w:t>
            </w:r>
            <w:r>
              <w:rPr>
                <w:rFonts w:hint="eastAsia" w:asciiTheme="minorEastAsia" w:hAnsiTheme="minorEastAsia" w:eastAsiaTheme="minorEastAsia" w:cstheme="minorEastAsia"/>
                <w:color w:val="000000" w:themeColor="text1"/>
                <w:spacing w:val="-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需具备有效的</w:t>
            </w:r>
            <w:r>
              <w:rPr>
                <w:rFonts w:hint="eastAsia" w:asciiTheme="minorEastAsia" w:hAnsiTheme="minorEastAsia" w:eastAsiaTheme="minorEastAsia" w:cstheme="minorEastAsia"/>
                <w:color w:val="000000" w:themeColor="text1"/>
                <w:spacing w:val="0"/>
                <w:sz w:val="21"/>
                <w:szCs w:val="21"/>
                <w:highlight w:val="none"/>
                <w:lang w:val="en-US" w:eastAsia="zh-CN"/>
                <w14:textFill>
                  <w14:solidFill>
                    <w14:schemeClr w14:val="tx1"/>
                  </w14:solidFill>
                </w14:textFill>
              </w:rPr>
              <w:t xml:space="preserve">消防设施操作员（四级/中级工）证书</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，身体健康，无犯罪记录，</w:t>
            </w:r>
            <w:r>
              <w:rPr>
                <w:rFonts w:hint="eastAsia" w:ascii="宋体" w:hAnsi="宋体" w:eastAsia="宋体" w:cs="宋体"/>
                <w:b/>
                <w:bCs/>
                <w:color w:val="000000" w:themeColor="text1"/>
                <w:highlight w:val="none"/>
                <w:lang w:eastAsia="zh-CN"/>
                <w14:textFill>
                  <w14:solidFill>
                    <w14:schemeClr w14:val="tx1"/>
                  </w14:solidFill>
                </w14:textFill>
              </w:rPr>
              <w:t xml:space="preserve">投标供应商中标后需向采购人提供</w:t>
            </w:r>
            <w:r>
              <w:rPr>
                <w:rFonts w:hint="eastAsia" w:cs="宋体"/>
                <w:b/>
                <w:bCs/>
                <w:color w:val="000000" w:themeColor="text1"/>
                <w:highlight w:val="none"/>
                <w:lang w:val="en-US" w:eastAsia="zh-CN"/>
                <w14:textFill>
                  <w14:solidFill>
                    <w14:schemeClr w14:val="tx1"/>
                  </w14:solidFill>
                </w14:textFill>
              </w:rPr>
              <w:t xml:space="preserve">保安证。</w:t>
            </w:r>
            <w:r/>
          </w:p>
        </w:tc>
      </w:tr>
      <w:tr>
        <w:trPr>
          <w:trHeight w:val="460"/>
        </w:trPr>
        <w:tc>
          <w:tcPr>
            <w:tcW w:w="1546" w:type="dxa"/>
            <w:vAlign w:val="top"/>
            <w:vMerge w:val="continue"/>
            <w:textDirection w:val="lrTb"/>
            <w:noWrap w:val="false"/>
          </w:tcPr>
          <w:p>
            <w:pPr>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c>
          <w:tcPr>
            <w:tcW w:w="2145" w:type="dxa"/>
            <w:vAlign w:val="top"/>
            <w:textDirection w:val="lrTb"/>
            <w:noWrap w:val="false"/>
          </w:tcPr>
          <w:p>
            <w:pPr>
              <w:pStyle w:val="867"/>
              <w:ind w:left="110"/>
              <w:spacing w:before="93" w:line="221" w:lineRule="auto"/>
              <w:shd w:val="clear" w:color="auto" w:fill="auto"/>
              <w:rPr>
                <w:rFonts w:hint="eastAsia" w:asciiTheme="minorEastAsia" w:hAnsiTheme="minorEastAsia" w:eastAsiaTheme="minorEastAsia" w:cstheme="minorEastAsia"/>
                <w:color w:val="000000" w:themeColor="text1"/>
                <w:spacing w:val="-4"/>
                <w:position w:val="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车管岗</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center"/>
            <w:textDirection w:val="lrTb"/>
            <w:noWrap w:val="false"/>
          </w:tcPr>
          <w:p>
            <w:pPr>
              <w:jc w:val="both"/>
              <w:shd w:val="clear" w:color="auto"/>
              <w:rPr>
                <w:rFonts w:hint="eastAsia" w:asciiTheme="minorEastAsia" w:hAnsiTheme="minorEastAsia" w:eastAsiaTheme="minorEastAsia" w:cstheme="minorEastAsia"/>
                <w:color w:val="000000" w:themeColor="text1"/>
                <w:sz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14:textFill>
                  <w14:solidFill>
                    <w14:schemeClr w14:val="tx1"/>
                  </w14:solidFill>
                </w14:textFill>
              </w:rPr>
            </w:r>
            <w:r/>
          </w:p>
        </w:tc>
      </w:tr>
      <w:tr>
        <w:trPr>
          <w:trHeight w:val="463"/>
        </w:trPr>
        <w:tc>
          <w:tcPr>
            <w:tcW w:w="1546" w:type="dxa"/>
            <w:vAlign w:val="top"/>
            <w:textDirection w:val="lrTb"/>
            <w:noWrap w:val="false"/>
          </w:tcPr>
          <w:p>
            <w:pPr>
              <w:pStyle w:val="867"/>
              <w:ind w:left="115"/>
              <w:spacing w:before="95"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highlight w:val="none"/>
                <w14:textFill>
                  <w14:solidFill>
                    <w14:schemeClr w14:val="tx1"/>
                  </w14:solidFill>
                </w14:textFill>
              </w:rPr>
              <w:t xml:space="preserve">会议服务</w:t>
            </w:r>
            <w:r/>
          </w:p>
        </w:tc>
        <w:tc>
          <w:tcPr>
            <w:tcW w:w="2145" w:type="dxa"/>
            <w:vAlign w:val="top"/>
            <w:textDirection w:val="lrTb"/>
            <w:noWrap w:val="false"/>
          </w:tcPr>
          <w:p>
            <w:pPr>
              <w:pStyle w:val="867"/>
              <w:ind w:left="107"/>
              <w:spacing w:before="95" w:line="220"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highlight w:val="none"/>
                <w14:textFill>
                  <w14:solidFill>
                    <w14:schemeClr w14:val="tx1"/>
                  </w14:solidFill>
                </w14:textFill>
              </w:rPr>
              <w:t xml:space="preserve">会务</w:t>
            </w:r>
            <w:r/>
          </w:p>
        </w:tc>
        <w:tc>
          <w:tcPr>
            <w:tcW w:w="231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r>
            <w:r/>
          </w:p>
        </w:tc>
        <w:tc>
          <w:tcPr>
            <w:tcW w:w="5300" w:type="dxa"/>
            <w:vAlign w:val="top"/>
            <w:textDirection w:val="lrTb"/>
            <w:noWrap w:val="false"/>
          </w:tcPr>
          <w:p>
            <w:pPr>
              <w:pStyle w:val="867"/>
              <w:ind w:left="117"/>
              <w:spacing w:before="95"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trHeight w:val="463"/>
        </w:trPr>
        <w:tc>
          <w:tcPr>
            <w:gridSpan w:val="3"/>
            <w:tcW w:w="6004" w:type="dxa"/>
            <w:vAlign w:val="top"/>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合计</w:t>
            </w:r>
            <w:r/>
          </w:p>
        </w:tc>
        <w:tc>
          <w:tcPr>
            <w:tcW w:w="3263" w:type="dxa"/>
            <w:vAlign w:val="center"/>
            <w:textDirection w:val="lrTb"/>
            <w:noWrap w:val="false"/>
          </w:tcPr>
          <w:p>
            <w:pPr>
              <w:ind w:left="0" w:right="0" w:firstLine="0"/>
              <w:jc w:val="center"/>
              <w:shd w:val="clear" w:color="auto"/>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highlight w:val="none"/>
                <w:lang w:val="en-US" w:eastAsia="zh-CN"/>
                <w14:textFill>
                  <w14:solidFill>
                    <w14:schemeClr w14:val="tx1"/>
                  </w14:solidFill>
                </w14:textFill>
              </w:rPr>
              <w:t xml:space="preserve">55</w:t>
            </w:r>
            <w:r/>
          </w:p>
        </w:tc>
        <w:tc>
          <w:tcPr>
            <w:tcW w:w="5300" w:type="dxa"/>
            <w:vAlign w:val="top"/>
            <w:textDirection w:val="lrTb"/>
            <w:noWrap w:val="false"/>
          </w:tcPr>
          <w:p>
            <w:pPr>
              <w:pStyle w:val="867"/>
              <w:ind w:left="117"/>
              <w:spacing w:before="95" w:line="221" w:lineRule="auto"/>
              <w:shd w:val="clear" w:color="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bl>
    <w:p>
      <w:pPr>
        <w:ind w:left="551"/>
        <w:spacing w:before="32" w:line="213" w:lineRule="auto"/>
        <w:shd w:val="clear" w:color="auto"/>
        <w:rPr>
          <w:rFonts w:ascii="楷体" w:hAnsi="楷体" w:eastAsia="楷体" w:cs="楷体"/>
          <w:color w:val="000000" w:themeColor="text1"/>
          <w:spacing w:val="-2"/>
          <w:sz w:val="21"/>
          <w:szCs w:val="21"/>
          <w:highlight w:val="none"/>
          <w14:textFill>
            <w14:solidFill>
              <w14:schemeClr w14:val="tx1"/>
            </w14:solidFill>
          </w14:textFill>
        </w:rPr>
      </w:pPr>
      <w:r>
        <w:rPr>
          <w:rFonts w:ascii="楷体" w:hAnsi="楷体" w:eastAsia="楷体" w:cs="楷体"/>
          <w:color w:val="000000" w:themeColor="text1"/>
          <w:spacing w:val="-2"/>
          <w:sz w:val="21"/>
          <w:szCs w:val="21"/>
          <w:highlight w:val="none"/>
          <w14:textFill>
            <w14:solidFill>
              <w14:schemeClr w14:val="tx1"/>
            </w14:solidFill>
          </w14:textFill>
        </w:rPr>
      </w:r>
      <w:r/>
    </w:p>
    <w:p>
      <w:pPr>
        <w:ind w:left="239" w:firstLine="223"/>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 </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供应商应当</w:t>
      </w:r>
      <w:r>
        <w:rPr>
          <w:rFonts w:hint="eastAsia" w:ascii="宋体" w:hAnsi="宋体" w:eastAsia="宋体" w:cs="宋体"/>
          <w:color w:val="000000" w:themeColor="text1"/>
          <w:sz w:val="24"/>
          <w:szCs w:val="24"/>
          <w:lang w:eastAsia="zh-CN"/>
          <w14:textFill>
            <w14:solidFill>
              <w14:schemeClr w14:val="tx1"/>
            </w14:solidFill>
          </w14:textFill>
        </w:rPr>
        <w:t xml:space="preserve">按照</w:t>
      </w:r>
      <w:r>
        <w:rPr>
          <w:rFonts w:hint="eastAsia" w:ascii="宋体" w:hAnsi="宋体" w:eastAsia="宋体" w:cs="宋体"/>
          <w:color w:val="000000" w:themeColor="text1"/>
          <w:sz w:val="24"/>
          <w:szCs w:val="24"/>
          <w14:textFill>
            <w14:solidFill>
              <w14:schemeClr w14:val="tx1"/>
            </w14:solidFill>
          </w14:textFill>
        </w:rPr>
        <w:t xml:space="preserve">国家相关法律法规，合理确定服务人员工资标准、工作时间等。</w:t>
      </w:r>
      <w:r/>
    </w:p>
    <w:p>
      <w:pPr>
        <w:ind w:left="239" w:firstLine="223"/>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供应商应当自行为服务人员办理必需的保险，有关人员伤亡及第三者责任险均应当考虑在报价因素中。</w:t>
      </w:r>
      <w:r/>
    </w:p>
    <w:p>
      <w:pPr>
        <w:numPr>
          <w:ilvl w:val="0"/>
          <w:numId w:val="0"/>
        </w:numPr>
        <w:ind w:left="239" w:firstLine="219"/>
        <w:keepLines w:val="0"/>
        <w:keepNext w:val="0"/>
        <w:pageBreakBefore w:val="0"/>
        <w:spacing w:line="360" w:lineRule="auto"/>
        <w:widowControl/>
        <w:rPr>
          <w:rFonts w:hint="eastAsia" w:ascii="宋体" w:hAnsi="宋体" w:eastAsia="宋体" w:cs="宋体"/>
          <w:color w:val="ff0000"/>
          <w:spacing w:val="-2"/>
          <w:sz w:val="24"/>
          <w:szCs w:val="24"/>
        </w:rPr>
      </w:pPr>
      <w:r>
        <w:rPr>
          <w:rFonts w:hint="eastAsia" w:ascii="宋体" w:hAnsi="宋体" w:eastAsia="宋体" w:cs="宋体"/>
          <w:color w:val="ff0000"/>
          <w:spacing w:val="-2"/>
          <w:sz w:val="24"/>
          <w:szCs w:val="24"/>
          <w:lang w:val="en-US" w:eastAsia="zh-CN" w:bidi="ar-SA"/>
        </w:rPr>
        <w:t xml:space="preserve">3）</w:t>
      </w:r>
      <w:r>
        <w:rPr>
          <w:rFonts w:hint="eastAsia" w:ascii="宋体" w:hAnsi="宋体" w:eastAsia="宋体" w:cs="宋体"/>
          <w:b w:val="0"/>
          <w:bCs w:val="0"/>
          <w:color w:val="ff0000"/>
          <w:sz w:val="24"/>
          <w:szCs w:val="24"/>
        </w:rPr>
        <w:t xml:space="preserve">供应商中标后提供上述所有人员名单并按规定为其缴纳社会保险、提供相关福利等，现场所有人员工资、社保及福利等必须符合劳动法要求，不接受享受特殊社保政策人员。</w:t>
      </w:r>
      <w:r/>
    </w:p>
    <w:p>
      <w:pPr>
        <w:ind w:left="541"/>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6.商务要求</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6.1总配置物业人员不得低于55人，其中：项目负责人1名、综合主管1名、客服1名、环境主管1名、工程维修1名、弱电维修1名、保洁11名、保安服务人员38名（包括保安队长1名、巡逻岗9名、门岗12名、消控岗16名）。中标后须提供相关人员证书供采购人核验。</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6.2本项目采用二级物业服务标准。除非本招标文件或补充通知另有规定，招标范围按本招标文件规定。投标价格应为物业管理过程中的全部费用，包括本项目</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管理服务人员的工资（符合劳动法）、高温费、社保福利费、法定节假日加班费、物业管理区域清洁费、耗材费、工具费、垃圾清运费、办公费、法定税费、公众责任保险费、公共能耗费用按实际产生进行结算（包括但不限于公共区域照明及电梯能耗费）和合理利润外，还应包括体检、管理、劳务、服装、培训、通讯、安全保卫、调整风险及政策性文件规定等各项应有费用，以及为完成招标文件规定的本项目管理工作所涉及的一切相关费用（含物业服务费、环卫）。投标人报价时应充分考虑服务期内所有可能影响到报价的因素，一旦投标结束最终中标，总价包定，不予调整。</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6.3中标方不得将中标内容转包第三方。</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6.4报价中相关成本费用的测算及标准符合国家、省、市相关最新政策规定。</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6.5对于与报价相关的采购人的各种免费维保条件，请各投标人自行与采购人联系、了解，并考虑在本次报价中，若签订合同后由于该种因素考虑调整合同价格的采购人将不予考虑。</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6.6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p>
    <w:p>
      <w:pPr>
        <w:numPr>
          <w:ilvl w:val="0"/>
          <w:numId w:val="0"/>
        </w:numPr>
        <w:ind w:left="239" w:firstLine="223"/>
        <w:keepLines w:val="0"/>
        <w:keepNext w:val="0"/>
        <w:pageBreakBefore w:val="0"/>
        <w:spacing w:line="360" w:lineRule="auto"/>
        <w:widowControl/>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6.7投标人要根据安置小区特点，针对性地提出管理理念、方法、措施，要有针对性、可操作性，如违章搭建、房屋渗漏处理、保洁、破墙开店、红白喜事搭木圆堂、养宠物、接待和值守等。</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6.8</w:t>
      </w:r>
      <w:r>
        <w:rPr>
          <w:rFonts w:hint="eastAsia" w:ascii="宋体" w:hAnsi="宋体" w:eastAsia="宋体" w:cs="宋体"/>
          <w:b w:val="0"/>
          <w:bCs w:val="0"/>
          <w:color w:val="000000" w:themeColor="text1"/>
          <w:sz w:val="24"/>
          <w:szCs w:val="24"/>
          <w14:textFill>
            <w14:solidFill>
              <w14:schemeClr w14:val="tx1"/>
            </w14:solidFill>
          </w14:textFill>
        </w:rPr>
        <w:t xml:space="preserve">实施期限</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【填写实施期限】</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服务期：</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三年，具体开始时间以采购人通知为准。物业管理周期：3年，进驻时间以采购人通知时间为准。采取“1+1+1”模式，即合同一年一签，若上一年度物业管理未达到招标人要求，招标人有权拒绝签订下一年度物业管理合同。</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6.9</w:t>
      </w:r>
      <w:r>
        <w:rPr>
          <w:rFonts w:hint="eastAsia" w:ascii="宋体" w:hAnsi="宋体" w:eastAsia="宋体" w:cs="宋体"/>
          <w:b w:val="0"/>
          <w:bCs w:val="0"/>
          <w:color w:val="000000" w:themeColor="text1"/>
          <w:sz w:val="24"/>
          <w:szCs w:val="24"/>
          <w14:textFill>
            <w14:solidFill>
              <w14:schemeClr w14:val="tx1"/>
            </w14:solidFill>
          </w14:textFill>
        </w:rPr>
        <w:t xml:space="preserve">付款方式</w:t>
      </w:r>
      <w:r/>
    </w:p>
    <w:p>
      <w:pPr>
        <w:numPr>
          <w:ilvl w:val="0"/>
          <w:numId w:val="0"/>
        </w:numPr>
        <w:ind w:left="239" w:firstLine="223"/>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【填写付款方式】</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物业管理费的支付采用“2+2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+2+2”模式。按照考核结果每季度结算，每半年支付一次。其中，第一季度产生的费用于当年第四季度支付，后续季度费用支付顺序依次顺延。20%为绩效考核部分（考核内容见附件1）根据月度、季度考核支付，20%年度考核部分（考核内容见附件2）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numPr>
          <w:ilvl w:val="0"/>
          <w:numId w:val="2"/>
        </w:numPr>
        <w:ind w:left="424"/>
        <w:spacing w:before="90" w:line="360" w:lineRule="auto"/>
        <w:rPr>
          <w:rFonts w:hint="eastAsia" w:ascii="宋体" w:hAnsi="宋体" w:eastAsia="宋体" w:cs="宋体"/>
          <w:b/>
          <w:bCs/>
          <w:color w:val="000000" w:themeColor="text1"/>
          <w:spacing w:val="-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需要说明的其他事项</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1．除非本招标文件或补充通知另有规定，招</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标范围按本招标文件规定。投标价格应为物业管理过程中的全部费用，包括本项目管理服务人员的工资（符合劳动法）、高温费、社保福利费、法定节假日加班费、物业管理区域清洁费、耗材费、工具费、垃圾清运费、办公费、法定税费、公众责任保险费和合理利润外，还应包括体检、管理、劳务、服装、培训、通讯、安全保卫、调整风险及政策性文件规定等各项应有费用，以及为完成招标文件规定的本项目管理工作所涉及的一切相关费用（含物业服务费、环卫）。投标人报价时应充分考虑服务期内所有可能影响到报价的因素，一旦投标结束最终中标，总价包定，不予调整。</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卫生保洁所需的工具（包括保洁车）、清洁剂（全能清洁剂、玻璃清洁剂、高效洁厕剂等）、各类垃圾袋、秩序维护人员所需的统一着装（着保安服、系武装带，戴保安帽），秩序维护人员配备的对讲装置、巡逻电瓶车以及其他必备的安全护卫工具及警用器材，均由中标人提供，所需费用包含在投标报价中。小区内建筑垃圾一经发现立即清运该小区建筑垃圾指定堆放点。</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3.物业公用设施日常维护保养费、办公费、固定资产折旧费及物业公司在日常工作中所产生的易耗品的支出，包括设备维护所需用品、保险费等费用均由中标人负责提供，所需费用包含在投标报价中。</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4．投标人报价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5．物业管理收费的收费标准由投标单位参考自身管理收费水平，根据本项目的规模、品质及周边环境等因素，测算物业管理财务收支情况，并提供劳务费用、清洁卫生材料费用、设施、设备维护费用预算清单。</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6．管理服务人员、保洁人员、保安人员等所有人员需为本单位正式员工，在物业管理期内需缴纳社会保险，享国家法定待遇，工作时间及待遇符合《中华人民共和国劳动法》规定。</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7．投标人报价应充分考虑物业管理区域内的公共秩序，各项安全防范工作，在小区公共区域（包括商业配套、社区中心、地下室）内发生一切安全事故，均应该考虑在其中，故投标人应考虑缴纳小区公共区域、公用设施设备及公众责任保险费的理赔额度。</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8.物业公用设施日常维护保养费、办公费、固定资产折旧费及物业公司在日常工作中所产生的易耗品的支出，包括设备维护所需用品、保险费等费用均由中标人负责提供，所需费用包含在投标报价中。</w:t>
      </w:r>
      <w:r/>
    </w:p>
    <w:p>
      <w:pPr>
        <w:numPr>
          <w:ilvl w:val="0"/>
          <w:numId w:val="0"/>
        </w:numPr>
        <w:ind w:left="239" w:firstLine="223"/>
        <w:keepLines w:val="0"/>
        <w:keepNext w:val="0"/>
        <w:pageBreakBefore w:val="0"/>
        <w:spacing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9.物业管理周期：3年，进驻时间以采购人通知时间为准。采取“1+1+1”模式，即合同一年一签，若上一年度物业管理未达到招标人要求，招标人有权拒绝签订下一年度物业管理合同。</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7.1 零星维修材料费用</w:t>
      </w:r>
      <w:r/>
    </w:p>
    <w:p>
      <w:pPr>
        <w:pStyle w:val="840"/>
        <w:ind w:left="21" w:right="87" w:firstLine="412"/>
        <w:spacing w:before="61"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5" name="图片 209"/>
                <wp:cNvGraphicFramePr/>
                <a:graphic xmlns:a="http://schemas.openxmlformats.org/drawingml/2006/main">
                  <a:graphicData uri="http://schemas.openxmlformats.org/drawingml/2006/picture">
                    <pic:pic xmlns:pic="http://schemas.openxmlformats.org/drawingml/2006/picture">
                      <pic:nvPicPr>
                        <pic:cNvPr id="189" name="图片 209"/>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pacing w:val="3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pacing w:val="1"/>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明确涉及的零星维修材料以</w:t>
      </w:r>
      <w:r>
        <w:rPr>
          <w:rFonts w:hint="eastAsia" w:ascii="宋体" w:hAnsi="宋体" w:eastAsia="宋体" w:cs="宋体"/>
          <w:color w:val="000000" w:themeColor="text1"/>
          <w:spacing w:val="-1"/>
          <w:sz w:val="24"/>
          <w:szCs w:val="24"/>
          <w14:textFill>
            <w14:solidFill>
              <w14:schemeClr w14:val="tx1"/>
            </w14:solidFill>
          </w14:textFill>
        </w:rPr>
        <w:t xml:space="preserve">及关于费用方面</w:t>
      </w:r>
      <w:r>
        <w:rPr>
          <w:rFonts w:hint="eastAsia" w:ascii="宋体" w:hAnsi="宋体" w:eastAsia="宋体" w:cs="宋体"/>
          <w:color w:val="000000" w:themeColor="text1"/>
          <w:spacing w:val="-8"/>
          <w:sz w:val="24"/>
          <w:szCs w:val="24"/>
          <w14:textFill>
            <w14:solidFill>
              <w14:schemeClr w14:val="tx1"/>
            </w14:solidFill>
          </w14:textFill>
        </w:rPr>
        <w:t xml:space="preserve">的规定）。</w:t>
      </w:r>
      <w:r/>
    </w:p>
    <w:p>
      <w:pPr>
        <w:pStyle w:val="840"/>
        <w:ind w:left="433"/>
        <w:spacing w:before="89"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6" name="图片 210"/>
                <wp:cNvGraphicFramePr/>
                <a:graphic xmlns:a="http://schemas.openxmlformats.org/drawingml/2006/main">
                  <a:graphicData uri="http://schemas.openxmlformats.org/drawingml/2006/picture">
                    <pic:pic xmlns:pic="http://schemas.openxmlformats.org/drawingml/2006/picture">
                      <pic:nvPicPr>
                        <pic:cNvPr id="190" name="图片 210"/>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涉及以下情形的，由采购人承担</w:t>
      </w:r>
      <w:r>
        <w:rPr>
          <w:rFonts w:hint="eastAsia" w:ascii="宋体" w:hAnsi="宋体" w:eastAsia="宋体" w:cs="宋体"/>
          <w:color w:val="000000" w:themeColor="text1"/>
          <w:spacing w:val="-16"/>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6"/>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明确涉及的零</w:t>
      </w:r>
      <w:r>
        <w:rPr>
          <w:rFonts w:hint="eastAsia" w:ascii="宋体" w:hAnsi="宋体" w:eastAsia="宋体" w:cs="宋体"/>
          <w:color w:val="000000" w:themeColor="text1"/>
          <w:spacing w:val="-2"/>
          <w:sz w:val="24"/>
          <w:szCs w:val="24"/>
          <w14:textFill>
            <w14:solidFill>
              <w14:schemeClr w14:val="tx1"/>
            </w14:solidFill>
          </w14:textFill>
        </w:rPr>
        <w:t xml:space="preserve">星维修材料以及关于费用方面的规定）</w:t>
      </w:r>
      <w:r>
        <w:rPr>
          <w:rFonts w:hint="eastAsia" w:ascii="宋体" w:hAnsi="宋体" w:eastAsia="宋体" w:cs="宋体"/>
          <w:color w:val="000000" w:themeColor="text1"/>
          <w:spacing w:val="-2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7.2 低值易耗品费用</w:t>
      </w:r>
      <w:r/>
    </w:p>
    <w:p>
      <w:pPr>
        <w:pStyle w:val="840"/>
        <w:ind w:left="4" w:right="77" w:firstLine="428"/>
        <w:spacing w:before="62"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7" name="图片 211"/>
                <wp:cNvGraphicFramePr/>
                <a:graphic xmlns:a="http://schemas.openxmlformats.org/drawingml/2006/main">
                  <a:graphicData uri="http://schemas.openxmlformats.org/drawingml/2006/picture">
                    <pic:pic xmlns:pic="http://schemas.openxmlformats.org/drawingml/2006/picture">
                      <pic:nvPicPr>
                        <pic:cNvPr id="187" name="图片 211"/>
                        <pic:cNvPicPr/>
                        <pic:nvPr/>
                      </pic:nvPicPr>
                      <pic:blipFill>
                        <a:blip r:embed="rId1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themeColor="text1"/>
          <w:spacing w:val="3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明确涉及的环境维护、绿化养护等服务中需 </w:t>
      </w:r>
      <w:r>
        <w:rPr>
          <w:rFonts w:hint="eastAsia" w:ascii="宋体" w:hAnsi="宋体" w:eastAsia="宋体" w:cs="宋体"/>
          <w:color w:val="000000" w:themeColor="text1"/>
          <w:spacing w:val="-1"/>
          <w:sz w:val="24"/>
          <w:szCs w:val="24"/>
          <w14:textFill>
            <w14:solidFill>
              <w14:schemeClr w14:val="tx1"/>
            </w14:solidFill>
          </w14:textFill>
        </w:rPr>
        <w:t xml:space="preserve">要的低值易耗品以及关于费用方面的规定）。</w:t>
      </w:r>
      <w:r/>
    </w:p>
    <w:p>
      <w:pPr>
        <w:pStyle w:val="840"/>
        <w:ind w:left="433"/>
        <w:spacing w:before="87"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8" name="图片 212"/>
                <wp:cNvGraphicFramePr/>
                <a:graphic xmlns:a="http://schemas.openxmlformats.org/drawingml/2006/main">
                  <a:graphicData uri="http://schemas.openxmlformats.org/drawingml/2006/picture">
                    <pic:pic xmlns:pic="http://schemas.openxmlformats.org/drawingml/2006/picture">
                      <pic:nvPicPr>
                        <pic:cNvPr id="191" name="图片 212"/>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涉及以下情形的，由采购人承担</w:t>
      </w:r>
      <w:r>
        <w:rPr>
          <w:rFonts w:hint="eastAsia" w:ascii="宋体" w:hAnsi="宋体" w:eastAsia="宋体" w:cs="宋体"/>
          <w:color w:val="000000" w:themeColor="text1"/>
          <w:spacing w:val="-7"/>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明确涉及的环境维护、绿化养护等服务中需要的低值易耗品以及关于费用方面的规定）</w:t>
      </w:r>
      <w:r>
        <w:rPr>
          <w:rFonts w:hint="eastAsia" w:ascii="宋体" w:hAnsi="宋体" w:eastAsia="宋体" w:cs="宋体"/>
          <w:color w:val="000000" w:themeColor="text1"/>
          <w:spacing w:val="-45"/>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7.3 苗木费用</w:t>
      </w:r>
      <w:r/>
    </w:p>
    <w:p>
      <w:pPr>
        <w:pStyle w:val="840"/>
        <w:ind w:left="433"/>
        <w:spacing w:before="62"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9" name="图片 213"/>
                <wp:cNvGraphicFramePr/>
                <a:graphic xmlns:a="http://schemas.openxmlformats.org/drawingml/2006/main">
                  <a:graphicData uri="http://schemas.openxmlformats.org/drawingml/2006/picture">
                    <pic:pic xmlns:pic="http://schemas.openxmlformats.org/drawingml/2006/picture">
                      <pic:nvPicPr>
                        <pic:cNvPr id="217" name="图片 213"/>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9"/>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涉及以下情形的，</w:t>
      </w:r>
      <w:r>
        <w:rPr>
          <w:rFonts w:hint="eastAsia" w:ascii="宋体" w:hAnsi="宋体" w:eastAsia="宋体" w:cs="宋体"/>
          <w:color w:val="000000" w:themeColor="text1"/>
          <w:spacing w:val="-25"/>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 xml:space="preserve">相关费用包含在物业管理服务采购合同金额之内，</w:t>
      </w:r>
      <w:r>
        <w:rPr>
          <w:rFonts w:hint="eastAsia" w:ascii="宋体" w:hAnsi="宋体" w:eastAsia="宋体" w:cs="宋体"/>
          <w:color w:val="000000" w:themeColor="text1"/>
          <w:spacing w:val="-4"/>
          <w:sz w:val="24"/>
          <w:szCs w:val="24"/>
          <w14:textFill>
            <w14:solidFill>
              <w14:schemeClr w14:val="tx1"/>
            </w14:solidFill>
          </w14:textFill>
        </w:rPr>
        <w:t xml:space="preserve"> 由供应商承担</w:t>
      </w:r>
      <w:r>
        <w:rPr>
          <w:rFonts w:hint="eastAsia" w:ascii="宋体" w:hAnsi="宋体" w:eastAsia="宋体" w:cs="宋体"/>
          <w:color w:val="000000" w:themeColor="text1"/>
          <w:spacing w:val="-18"/>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8"/>
          <w:sz w:val="24"/>
          <w:szCs w:val="24"/>
          <w14:textFill>
            <w14:solidFill>
              <w14:schemeClr w14:val="tx1"/>
            </w14:solidFill>
          </w14:textFill>
        </w:rPr>
        <w:t xml:space="preserve">（</w:t>
      </w:r>
      <w:r>
        <w:rPr>
          <w:rFonts w:hint="eastAsia" w:ascii="宋体" w:hAnsi="宋体" w:eastAsia="宋体" w:cs="宋体"/>
          <w:color w:val="000000" w:themeColor="text1"/>
          <w:spacing w:val="-4"/>
          <w:sz w:val="24"/>
          <w:szCs w:val="24"/>
          <w14:textFill>
            <w14:solidFill>
              <w14:schemeClr w14:val="tx1"/>
            </w14:solidFill>
          </w14:textFill>
        </w:rPr>
        <w:t xml:space="preserve">明确涉及的苗木以及关于费用方面的规定）。</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0" name="图片 214"/>
                <wp:cNvGraphicFramePr/>
                <a:graphic xmlns:a="http://schemas.openxmlformats.org/drawingml/2006/main">
                  <a:graphicData uri="http://schemas.openxmlformats.org/drawingml/2006/picture">
                    <pic:pic xmlns:pic="http://schemas.openxmlformats.org/drawingml/2006/picture">
                      <pic:nvPicPr>
                        <pic:cNvPr id="219" name="图片 214"/>
                        <pic:cNvPicPr/>
                        <pic:nvPr/>
                      </pic:nvPicPr>
                      <pic:blipFill>
                        <a:blip r:embed="rId1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pt;height:7.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涉及以下情形的，由采购人承担</w:t>
      </w:r>
      <w:r>
        <w:rPr>
          <w:rFonts w:hint="eastAsia" w:ascii="宋体" w:hAnsi="宋体" w:eastAsia="宋体" w:cs="宋体"/>
          <w:color w:val="000000" w:themeColor="text1"/>
          <w:spacing w:val="-12"/>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2"/>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明确涉及的苗木以及关于费用方面的规定）。</w:t>
      </w:r>
      <w:r/>
    </w:p>
    <w:p>
      <w:pPr>
        <w:ind w:left="424"/>
        <w:spacing w:before="90"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7.4 客耗品费用</w:t>
      </w:r>
      <w:r/>
    </w:p>
    <w:p>
      <w:pPr>
        <w:pStyle w:val="840"/>
        <w:ind w:left="433"/>
        <w:spacing w:before="62"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 name="图片 215"/>
                <wp:cNvGraphicFramePr/>
                <a:graphic xmlns:a="http://schemas.openxmlformats.org/drawingml/2006/main">
                  <a:graphicData uri="http://schemas.openxmlformats.org/drawingml/2006/picture">
                    <pic:pic xmlns:pic="http://schemas.openxmlformats.org/drawingml/2006/picture">
                      <pic:nvPicPr>
                        <pic:cNvPr id="218" name="图片 215"/>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涉及以下情形的，相关费用包含在物业管理服务采购合同金额之内，</w:t>
      </w:r>
      <w:r>
        <w:rPr>
          <w:rFonts w:hint="eastAsia" w:ascii="宋体" w:hAnsi="宋体" w:eastAsia="宋体" w:cs="宋体"/>
          <w:color w:val="000000" w:themeColor="text1"/>
          <w:spacing w:val="-40"/>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 xml:space="preserve">由供应商承担</w:t>
      </w:r>
      <w:r>
        <w:rPr>
          <w:rFonts w:hint="eastAsia" w:ascii="宋体" w:hAnsi="宋体" w:eastAsia="宋体" w:cs="宋体"/>
          <w:color w:val="000000" w:themeColor="text1"/>
          <w:spacing w:val="-19"/>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9"/>
          <w:sz w:val="24"/>
          <w:szCs w:val="24"/>
          <w14:textFill>
            <w14:solidFill>
              <w14:schemeClr w14:val="tx1"/>
            </w14:solidFill>
          </w14:textFill>
        </w:rPr>
        <w:t xml:space="preserve">（</w:t>
      </w:r>
      <w:r>
        <w:rPr>
          <w:rFonts w:hint="eastAsia" w:ascii="宋体" w:hAnsi="宋体" w:eastAsia="宋体" w:cs="宋体"/>
          <w:color w:val="000000" w:themeColor="text1"/>
          <w:spacing w:val="-5"/>
          <w:sz w:val="24"/>
          <w:szCs w:val="24"/>
          <w14:textFill>
            <w14:solidFill>
              <w14:schemeClr w14:val="tx1"/>
            </w14:solidFill>
          </w14:textFill>
        </w:rPr>
        <w:t xml:space="preserve">明确涉及的客耗品以及关于费用方面的规定）。</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2" name="图片 216"/>
                <wp:cNvGraphicFramePr/>
                <a:graphic xmlns:a="http://schemas.openxmlformats.org/drawingml/2006/main">
                  <a:graphicData uri="http://schemas.openxmlformats.org/drawingml/2006/picture">
                    <pic:pic xmlns:pic="http://schemas.openxmlformats.org/drawingml/2006/picture">
                      <pic:nvPicPr>
                        <pic:cNvPr id="220" name="图片 216"/>
                        <pic:cNvPicPr/>
                        <pic:nvPr/>
                      </pic:nvPicPr>
                      <pic:blipFill>
                        <a:blip r:embed="rId2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pt;height:7.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涉及以下情形的，由采购人承担</w:t>
      </w:r>
      <w:r>
        <w:rPr>
          <w:rFonts w:hint="eastAsia" w:ascii="宋体" w:hAnsi="宋体" w:eastAsia="宋体" w:cs="宋体"/>
          <w:color w:val="000000" w:themeColor="text1"/>
          <w:spacing w:val="-15"/>
          <w:sz w:val="24"/>
          <w:szCs w:val="24"/>
          <w14:textFill>
            <w14:solidFill>
              <w14:schemeClr w14:val="tx1"/>
            </w14:solidFill>
          </w14:textFill>
        </w:rPr>
        <w:t xml:space="preserve">：</w:t>
      </w:r>
      <w:r>
        <w:rPr>
          <w:rFonts w:hint="eastAsia" w:ascii="宋体" w:hAnsi="宋体" w:eastAsia="宋体" w:cs="宋体"/>
          <w:color w:val="000000" w:themeColor="text1"/>
          <w:spacing w:val="7"/>
          <w:sz w:val="24"/>
          <w:szCs w:val="24"/>
          <w:u w:val="single"/>
          <w14:textFill>
            <w14:solidFill>
              <w14:schemeClr w14:val="tx1"/>
            </w14:solidFill>
          </w14:textFill>
        </w:rPr>
        <w:t xml:space="preserve">              </w:t>
      </w:r>
      <w:r>
        <w:rPr>
          <w:rFonts w:hint="eastAsia" w:ascii="宋体" w:hAnsi="宋体" w:eastAsia="宋体" w:cs="宋体"/>
          <w:color w:val="000000" w:themeColor="text1"/>
          <w:spacing w:val="-15"/>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明确涉及的客耗品以及关于费用方面的规</w:t>
      </w:r>
      <w:r>
        <w:rPr>
          <w:rFonts w:hint="eastAsia" w:ascii="宋体" w:hAnsi="宋体" w:eastAsia="宋体" w:cs="宋体"/>
          <w:color w:val="000000" w:themeColor="text1"/>
          <w:spacing w:val="-2"/>
          <w:sz w:val="24"/>
          <w:szCs w:val="24"/>
          <w14:textFill>
            <w14:solidFill>
              <w14:schemeClr w14:val="tx1"/>
            </w14:solidFill>
          </w14:textFill>
        </w:rPr>
        <w:t xml:space="preserve">定）</w:t>
      </w:r>
      <w:r>
        <w:rPr>
          <w:rFonts w:hint="eastAsia" w:ascii="宋体" w:hAnsi="宋体" w:eastAsia="宋体" w:cs="宋体"/>
          <w:color w:val="000000" w:themeColor="text1"/>
          <w:spacing w:val="-46"/>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 xml:space="preserve">。</w:t>
      </w:r>
      <w:r/>
    </w:p>
    <w:p>
      <w:pPr>
        <w:ind w:right="78" w:firstLine="434"/>
        <w:spacing w:before="88"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注：本款涉及的零星维修材料、低值易耗品、苗木、客耗品等费用，不论是由供应商，还是采购人承担，涉</w:t>
      </w:r>
      <w:r>
        <w:rPr>
          <w:rFonts w:hint="eastAsia" w:ascii="宋体" w:hAnsi="宋体" w:eastAsia="宋体" w:cs="宋体"/>
          <w:color w:val="000000" w:themeColor="text1"/>
          <w:sz w:val="24"/>
          <w:szCs w:val="24"/>
          <w14:textFill>
            <w14:solidFill>
              <w14:schemeClr w14:val="tx1"/>
            </w14:solidFill>
          </w14:textFill>
        </w:rPr>
        <w:t xml:space="preserve">及的相关服务由供应商承担，服务费用包含 </w:t>
      </w:r>
      <w:r>
        <w:rPr>
          <w:rFonts w:hint="eastAsia" w:ascii="宋体" w:hAnsi="宋体" w:eastAsia="宋体" w:cs="宋体"/>
          <w:color w:val="000000" w:themeColor="text1"/>
          <w:spacing w:val="-2"/>
          <w:sz w:val="24"/>
          <w:szCs w:val="24"/>
          <w14:textFill>
            <w14:solidFill>
              <w14:schemeClr w14:val="tx1"/>
            </w14:solidFill>
          </w14:textFill>
        </w:rPr>
        <w:t xml:space="preserve">在物业服务项目合同金额之内。</w:t>
      </w:r>
      <w:r/>
    </w:p>
    <w:p>
      <w:pPr>
        <w:ind w:left="422"/>
        <w:spacing w:before="91"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pacing w:val="-1"/>
          <w:sz w:val="24"/>
          <w:szCs w:val="24"/>
          <w14:textFill>
            <w14:solidFill>
              <w14:schemeClr w14:val="tx1"/>
            </w14:solidFill>
          </w14:textFill>
        </w:rPr>
        <w:t xml:space="preserve">8.采购项目需落实的政府采购政策</w:t>
      </w:r>
      <w:r/>
    </w:p>
    <w:p>
      <w:pPr>
        <w:pStyle w:val="840"/>
        <w:ind w:left="423"/>
        <w:spacing w:before="69" w:line="360" w:lineRule="auto"/>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采购人应当落实政府采购政策， 包括但不</w:t>
      </w:r>
      <w:r>
        <w:rPr>
          <w:rFonts w:hint="eastAsia" w:ascii="宋体" w:hAnsi="宋体" w:eastAsia="宋体" w:cs="宋体"/>
          <w:color w:val="000000" w:themeColor="text1"/>
          <w:spacing w:val="-3"/>
          <w:sz w:val="24"/>
          <w:szCs w:val="24"/>
          <w14:textFill>
            <w14:solidFill>
              <w14:schemeClr w14:val="tx1"/>
            </w14:solidFill>
          </w14:textFill>
        </w:rPr>
        <w:t xml:space="preserve">限于促进中小企业发展、促进残疾人就业、政府绿色采购政策等。</w:t>
      </w:r>
      <w:r/>
    </w:p>
    <w:p>
      <w:pPr>
        <w:ind w:firstLine="482"/>
        <w:jc w:val="left"/>
        <w:spacing w:line="360" w:lineRule="auto"/>
        <w:shd w:val="clear" w:color="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1、凡涉及采购文件的补充说明和修改，均以无锡市公共资源交易中心政府采购专栏、无锡政府采购网和江苏政府采购网上发布的通知为准。</w:t>
      </w:r>
      <w:r/>
    </w:p>
    <w:p>
      <w:pPr>
        <w:ind w:firstLine="482"/>
        <w:jc w:val="left"/>
        <w:spacing w:line="360" w:lineRule="auto"/>
        <w:shd w:val="clear" w:color="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847"/>
        <w:ind w:left="481" w:firstLine="0"/>
        <w:rPr>
          <w:rFonts w:hint="eastAsia"/>
          <w:color w:val="000000" w:themeColor="text1"/>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履约保证金：本项目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bCs/>
          <w:color w:val="000000" w:themeColor="text1"/>
          <w:sz w:val="24"/>
          <w:szCs w:val="24"/>
          <w:highlight w:val="none"/>
          <w14:textFill>
            <w14:solidFill>
              <w14:schemeClr w14:val="tx1"/>
            </w14:solidFill>
          </w14:textFill>
        </w:rPr>
        <w:t xml:space="preserve">收取履约保证金。</w:t>
      </w:r>
      <w:r/>
    </w:p>
    <w:p>
      <w:pPr>
        <w:pStyle w:val="840"/>
        <w:spacing w:before="69" w:line="220" w:lineRule="auto"/>
        <w:rPr>
          <w:rFonts w:hint="eastAsia" w:ascii="宋体" w:hAnsi="宋体" w:eastAsia="宋体" w:cs="宋体"/>
          <w:color w:val="000000" w:themeColor="text1"/>
          <w:spacing w:val="-3"/>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clear="all"/>
      </w:r>
      <w:r>
        <w:rPr>
          <w:rFonts w:hint="eastAsia" w:ascii="宋体" w:hAnsi="宋体" w:eastAsia="宋体" w:cs="宋体"/>
          <w:b/>
          <w:color w:val="000000" w:themeColor="text1"/>
          <w:sz w:val="24"/>
          <w:szCs w:val="24"/>
          <w:lang w:eastAsia="zh-CN"/>
          <w14:textFill>
            <w14:solidFill>
              <w14:schemeClr w14:val="tx1"/>
            </w14:solidFill>
          </w14:textFill>
        </w:rPr>
        <w:t xml:space="preserve">附</w:t>
      </w:r>
      <w:r>
        <w:rPr>
          <w:rFonts w:hint="eastAsia" w:ascii="宋体" w:hAnsi="宋体" w:eastAsia="宋体" w:cs="宋体"/>
          <w:b/>
          <w:color w:val="000000" w:themeColor="text1"/>
          <w:sz w:val="24"/>
          <w:szCs w:val="24"/>
          <w:lang w:val="en-US" w:eastAsia="zh-CN"/>
          <w14:textFill>
            <w14:solidFill>
              <w14:schemeClr w14:val="tx1"/>
            </w14:solidFill>
          </w14:textFill>
        </w:rPr>
        <w:t xml:space="preserve">件A</w:t>
      </w:r>
      <w:r>
        <w:rPr>
          <w:rFonts w:hint="eastAsia" w:ascii="宋体" w:hAnsi="宋体" w:eastAsia="宋体" w:cs="宋体"/>
          <w:b/>
          <w:color w:val="000000" w:themeColor="text1"/>
          <w:sz w:val="24"/>
          <w:szCs w:val="24"/>
          <w:lang w:eastAsia="zh-CN"/>
          <w14:textFill>
            <w14:solidFill>
              <w14:schemeClr w14:val="tx1"/>
            </w14:solidFill>
          </w14:textFill>
        </w:rPr>
        <w:t xml:space="preserve">：</w:t>
      </w:r>
      <w:r/>
    </w:p>
    <w:p>
      <w:pPr>
        <w:pStyle w:val="840"/>
        <w:ind w:left="423"/>
        <w:spacing w:before="69" w:line="220" w:lineRule="auto"/>
        <w:rPr>
          <w:rFonts w:hint="eastAsia" w:ascii="宋体" w:hAnsi="宋体" w:eastAsia="宋体" w:cs="宋体"/>
          <w:color w:val="000000" w:themeColor="text1"/>
          <w:spacing w:val="-3"/>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lang w:eastAsia="zh-CN"/>
          <w14:textFill>
            <w14:solidFill>
              <w14:schemeClr w14:val="tx1"/>
            </w14:solidFill>
          </w14:textFill>
        </w:rPr>
      </w:r>
      <w:r/>
    </w:p>
    <w:p>
      <w:pPr>
        <w:jc w:val="center"/>
        <w:spacing w:line="360" w:lineRule="auto"/>
        <w:widowControl w:val="off"/>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物业管理服务的考核细则</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1、物业外包服务考核实施办法（试行）</w:t>
      </w:r>
      <w:r/>
    </w:p>
    <w:p>
      <w:pPr>
        <w:pStyle w:val="881"/>
        <w:spacing w:line="360" w:lineRule="auto"/>
        <w:shd w:val="clear" w:color="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（1）物业管理费由采购人根据招标文件中《月度、年度物业管理考核表》进行考核后根据考核结果扣发。</w:t>
      </w:r>
      <w:r/>
    </w:p>
    <w:p>
      <w:pPr>
        <w:pStyle w:val="881"/>
        <w:spacing w:line="360" w:lineRule="auto"/>
        <w:shd w:val="clear" w:color="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（2）采购人按月度、年度考核，月度考核得分按季度结算，考核得分(保留1位小数，尾数四舍五入)。</w:t>
      </w:r>
      <w:r/>
    </w:p>
    <w:p>
      <w:pPr>
        <w:pStyle w:val="881"/>
        <w:ind w:firstLine="480"/>
        <w:spacing w:line="360" w:lineRule="auto"/>
        <w:shd w:val="clear" w:color="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（3）实行100分制，当季度考核得分超过90分(含)，不扣当季作业费用;得分低于90分且高于70分(含)，每低1分扣当季作业经费的1%;当季度考核得分低于70分，每低1分扣当季度作业经费的3%。</w:t>
      </w:r>
      <w:r/>
    </w:p>
    <w:p>
      <w:pPr>
        <w:pStyle w:val="881"/>
        <w:spacing w:line="360" w:lineRule="auto"/>
        <w:shd w:val="clear" w:color="auto"/>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4）一个合同期内累计2个月度考核得分低于70分时终止合同;项目运营过程中发生安全事故(造成人员死亡或100万元以上直接经济损失)，且物业承担主要及以上责任的，终止合同；物业服务企业在抢险救灾过程中，因履职不到位，造成安全责任事故的，终止合同。项目运营过程中发生安全事故(未造成人员死亡，且100万元以下直接经济损失)，且物业承担主要及以上责任的，当月月度考核0分。</w:t>
      </w:r>
      <w:r/>
    </w:p>
    <w:p>
      <w:pPr>
        <w:ind w:firstLine="480"/>
        <w:jc w:val="both"/>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（5）采购人有权根据实施情况对本考核办法及时做出修改。</w:t>
      </w:r>
      <w:r/>
    </w:p>
    <w:p>
      <w:pPr>
        <w:jc w:val="both"/>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jc w:val="both"/>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rPr>
          <w:rFonts w:hint="eastAsia" w:ascii="宋体" w:hAnsi="宋体" w:eastAsia="宋体" w:cs="宋体"/>
          <w:b/>
          <w:color w:val="000000" w:themeColor="text1"/>
          <w:sz w:val="24"/>
          <w:szCs w:val="24"/>
          <w:lang w:eastAsia="zh-CN"/>
          <w14:textFill>
            <w14:solidFill>
              <w14:schemeClr w14:val="tx1"/>
            </w14:solidFill>
          </w14:textFill>
        </w:rPr>
        <w:sectPr>
          <w:footerReference w:type="default" r:id="rId14"/>
          <w:footnotePr/>
          <w:endnotePr/>
          <w:type w:val="nextPage"/>
          <w:pgSz w:w="16839" w:h="11907" w:orient="landscape"/>
          <w:pgMar w:top="1012" w:right="1130" w:bottom="1133" w:left="1135" w:header="0" w:footer="919" w:gutter="0"/>
          <w:cols w:num="1" w:sep="0" w:space="720" w:equalWidth="1"/>
          <w:docGrid w:linePitch="360"/>
        </w:sectPr>
      </w:pPr>
      <w:r>
        <w:rPr>
          <w:rFonts w:hint="eastAsia" w:ascii="宋体" w:hAnsi="宋体" w:eastAsia="宋体" w:cs="宋体"/>
          <w:b/>
          <w:color w:val="000000" w:themeColor="text1"/>
          <w:sz w:val="24"/>
          <w:szCs w:val="24"/>
          <w:lang w:eastAsia="zh-CN"/>
          <w14:textFill>
            <w14:solidFill>
              <w14:schemeClr w14:val="tx1"/>
            </w14:solidFill>
          </w14:textFill>
        </w:rPr>
        <w:br w:type="page" w:clear="all"/>
      </w:r>
      <w:r/>
    </w:p>
    <w:p>
      <w:pPr>
        <w:ind w:left="541"/>
        <w:spacing w:before="91" w:line="186"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outlineLvl w:val="0"/>
      </w:pPr>
      <w:r>
        <w:rPr>
          <w:rFonts w:hint="eastAsia" w:asciiTheme="minorEastAsia" w:hAnsiTheme="minorEastAsia" w:eastAsiaTheme="minorEastAsia" w:cstheme="minorEastAsia"/>
          <w:b/>
          <w:bCs/>
          <w:color w:val="000000" w:themeColor="text1"/>
          <w:spacing w:val="-1"/>
          <w:sz w:val="21"/>
          <w:szCs w:val="21"/>
          <w:highlight w:val="none"/>
          <w14:textFill>
            <w14:solidFill>
              <w14:schemeClr w14:val="tx1"/>
            </w14:solidFill>
          </w14:textFill>
        </w:rPr>
        <w:t xml:space="preserve">验收标准与要求</w:t>
      </w:r>
      <w:r/>
    </w:p>
    <w:p>
      <w:pPr>
        <w:spacing w:line="401" w:lineRule="auto"/>
        <w:shd w:val="clear" w:color="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【填写具体验收标准与要求】</w:t>
      </w:r>
      <w:r/>
    </w:p>
    <w:tbl>
      <w:tblPr>
        <w:tblStyle w:val="836"/>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6"/>
        <w:gridCol w:w="6671"/>
        <w:gridCol w:w="636"/>
        <w:gridCol w:w="1159"/>
        <w:gridCol w:w="753"/>
      </w:tblGrid>
      <w:tr>
        <w:trPr>
          <w:trHeight w:val="36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   </w:t>
            </w:r>
            <w:r>
              <w:rPr>
                <w:rFonts w:hint="eastAsia" w:asciiTheme="minorEastAsia" w:hAnsiTheme="minorEastAsia" w:eastAsiaTheme="minorEastAsia" w:cstheme="minorEastAsia"/>
                <w:i w:val="0"/>
                <w:iCs w:val="0"/>
                <w:color w:val="000000" w:themeColor="text1"/>
                <w:sz w:val="36"/>
                <w:szCs w:val="36"/>
                <w:highlight w:val="none"/>
                <w:u w:val="single"/>
                <w:lang w:val="en-US" w:eastAsia="zh-CN" w:bidi="ar"/>
                <w14:textFill>
                  <w14:solidFill>
                    <w14:schemeClr w14:val="tx1"/>
                  </w14:solidFill>
                </w14:textFill>
              </w:rPr>
              <w:t xml:space="preserve">                  </w:t>
            </w:r>
            <w:r>
              <w:rPr>
                <w:rFonts w:hint="eastAsia" w:asciiTheme="minorEastAsia" w:hAnsiTheme="minorEastAsia" w:eastAsiaTheme="minorEastAsia" w:cstheme="minorEastAsia"/>
                <w:i w:val="0"/>
                <w:iCs w:val="0"/>
                <w:color w:val="000000" w:themeColor="text1"/>
                <w:sz w:val="36"/>
                <w:szCs w:val="36"/>
                <w:highlight w:val="none"/>
                <w:u w:val="none"/>
                <w:lang w:val="en-US" w:eastAsia="zh-CN" w:bidi="ar"/>
                <w14:textFill>
                  <w14:solidFill>
                    <w14:schemeClr w14:val="tx1"/>
                  </w14:solidFill>
                </w14:textFill>
              </w:rPr>
              <w:t xml:space="preserve">小区</w:t>
            </w:r>
            <w:r>
              <w:rPr>
                <w:rFonts w:hint="eastAsia" w:asciiTheme="minorEastAsia" w:hAnsiTheme="minorEastAsia" w:eastAsiaTheme="minorEastAsia" w:cstheme="minorEastAsia"/>
                <w:i w:val="0"/>
                <w:iCs w:val="0"/>
                <w:color w:val="000000" w:themeColor="text1"/>
                <w:sz w:val="36"/>
                <w:szCs w:val="36"/>
                <w:highlight w:val="none"/>
                <w:u w:val="single"/>
                <w:lang w:val="en-US" w:eastAsia="zh-CN" w:bidi="ar"/>
                <w14:textFill>
                  <w14:solidFill>
                    <w14:schemeClr w14:val="tx1"/>
                  </w14:solidFill>
                </w14:textFill>
              </w:rPr>
              <w:t xml:space="preserve">         </w:t>
            </w:r>
            <w:r>
              <w:rPr>
                <w:rFonts w:hint="eastAsia" w:asciiTheme="minorEastAsia" w:hAnsiTheme="minorEastAsia" w:eastAsiaTheme="minorEastAsia" w:cstheme="minorEastAsia"/>
                <w:i w:val="0"/>
                <w:iCs w:val="0"/>
                <w:color w:val="000000" w:themeColor="text1"/>
                <w:sz w:val="36"/>
                <w:szCs w:val="36"/>
                <w:highlight w:val="none"/>
                <w:u w:val="none"/>
                <w:lang w:val="en-US" w:eastAsia="zh-CN" w:bidi="ar"/>
                <w14:textFill>
                  <w14:solidFill>
                    <w14:schemeClr w14:val="tx1"/>
                  </w14:solidFill>
                </w14:textFill>
              </w:rPr>
              <w:t xml:space="preserve">月物业管理考核表</w:t>
            </w:r>
            <w:r/>
          </w:p>
        </w:tc>
      </w:tr>
      <w:tr>
        <w:trPr>
          <w:trHeight w:val="301"/>
        </w:trPr>
        <w:tc>
          <w:tcPr>
            <w:gridSpan w:val="5"/>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考核单位：</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测评分</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清洁管理（24分）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1.电梯厅：每日清扫轿厢，每周擦拭墙面，每月顶部清洁(有记录及台账)。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2.停车场/车位：每日清扫，每季度进行1次地面清洁消杀(有记录及台账)。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3.道路/场地：每日清扫，保持路面无垃圾、无积水、无破损。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4.公共部位（标识.设施）：每周擦拭清洁。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5.垃圾处置：每日清理清洗无异味，垃圾分类按“三定一督”实行，不得出现混收现象。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6.卫生消杀：灭鼠等“灭四害”行动每年至少2次（有记录及台账）。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7.楼道、楼顶、管道井：无杂物堆放，保持通畅。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房屋、共用设施、设备维修与管理（14分）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1.公共部位门窗：保持设施完好，开闭灵活无异响。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2.围墙：做好日常巡查，损坏立即修复（报修）。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3.道路场地等：巡查道路、侧石、井盖等，发现损坏立即修复（报修）。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4.排水设施：排水沟保持通畅，每半年清理地下管井。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5.给水设施：确保水质化验达标，有台账。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6.公共部位照明灯、景观灯等：损坏立即修复。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7.其他设施：巡查小区单元门、楼道、管井线及其他共用设施设备，及时维修养护。小区内交通标志齐全。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消防维保（12分）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1、消防泵每季启动一次并做记录，每年保养一次，保证其运行正常。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2、消防栓每月巡查一次，消防栓箱内各种配件完好。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3、每周检查火警功能、报警功能是否正常。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4、每年试验一次探测器，并对全部控制装置进行一次试验，不合格的应当调换。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5、每半年检查一次消防水带、阀杆处加注润滑油并做一次放水检查。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6、每月检查一次灭火器，临近失效立即更新或充压。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绿化养护与管理（15分）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1.基本条件：乔灌木生长健壮树冠完整，花灌木开花结果；无缺株、枯株，发现应立即补种。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2.草坪、乔灌木类、花坛：及时修剪养护，无虫害。</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3.小区景观河：护栏完整无损坏；救生圈、警示标牌等安全设施设备齐全，保持水面清洁、水质优良、无漂浮垃圾。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安全防范（22分）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1.人员要求：项目经理到专职人员有职责清单，专职人员一岗一页，有上岗证，建立安全员AB角机制，佩戴统一标志，穿戴统一制服，仪容仪表规范整齐。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2.门岗：各出入口24小时值班看守，做好相关记录；对外来人员和车辆进入小区登记。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3.巡逻岗:按要求开展巡查，做好记录，遇到突发事件，采取措施及时上报。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4.交通、消防：各类车辆在指定地方有序停放；保持消防通道无路障，道路畅通。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5.小区安全和教育：项目负责人每季度带队排查小区隐患，每半年1次消防演练，每年1次全面系统的安全风险评估（含消防设施年度测试报告等）；入职人员先培训、再上岗，每天班前、班后5分钟安全培训（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满意度及人员到岗情况（13分）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1.服务周到热情，矛盾调解及时，专项创建及重大活动等保障工作到位。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2.无物业管理不到位造成集体上访、无新闻媒体负面曝光。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3.持证人员符合招标文件及投标文件要求，人员配备到位，无缺岗。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4.规定工作时间内人员到岗工作情况。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考核得分</w:t>
            </w:r>
            <w:r/>
          </w:p>
        </w:tc>
        <w:tc>
          <w:tcPr>
            <w:gridSpan w:val="4"/>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r>
      <w:tr>
        <w:trPr>
          <w:trHeight w:val="375"/>
        </w:trPr>
        <w:tc>
          <w:tcPr>
            <w:gridSpan w:val="5"/>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备注： 1.本考核由物管条线、村（社区）分别考核。</w:t>
            </w:r>
            <w:r/>
          </w:p>
        </w:tc>
      </w:tr>
      <w:tr>
        <w:trPr>
          <w:trHeight w:val="40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 2.考核采用百分制评分法，后按物管条线、村（社区）各占50%进行折算，最终进行结果运用。</w:t>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shd w:val="clear" w:color="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r>
            <w:r/>
          </w:p>
        </w:tc>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1"/>
                <w:szCs w:val="21"/>
                <w:highlight w:val="none"/>
                <w:u w:val="none"/>
                <w:lang w:val="en-US" w:eastAsia="zh-CN" w:bidi="ar"/>
                <w14:textFill>
                  <w14:solidFill>
                    <w14:schemeClr w14:val="tx1"/>
                  </w14:solidFill>
                </w14:textFill>
              </w:rPr>
              <w:t xml:space="preserve"> 3.村（社区）每月考核表于次月10日前交物管条线汇总。</w:t>
            </w:r>
            <w:r/>
          </w:p>
        </w:tc>
      </w:tr>
    </w:tbl>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p>
      <w:pPr>
        <w:pStyle w:val="881"/>
        <w:shd w:val="clear" w:color="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tbl>
      <w:tblPr>
        <w:tblStyle w:val="836"/>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8"/>
        <w:gridCol w:w="1122"/>
        <w:gridCol w:w="3624"/>
        <w:gridCol w:w="540"/>
        <w:gridCol w:w="2852"/>
        <w:gridCol w:w="579"/>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shd w:val="clear" w:color="auto"/>
              <w:widowControl/>
              <w:rPr>
                <w:rFonts w:hint="eastAsia" w:asciiTheme="minorEastAsia" w:hAnsiTheme="minorEastAsia" w:eastAsiaTheme="minorEastAsia" w:cstheme="minorEastAsia"/>
                <w:i w:val="0"/>
                <w:iCs w:val="0"/>
                <w:color w:val="000000" w:themeColor="text1"/>
                <w:sz w:val="36"/>
                <w:szCs w:val="36"/>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36"/>
                <w:szCs w:val="36"/>
                <w:highlight w:val="none"/>
                <w:u w:val="none"/>
                <w:lang w:val="en-US" w:eastAsia="zh-CN" w:bidi="ar"/>
                <w14:textFill>
                  <w14:solidFill>
                    <w14:schemeClr w14:val="tx1"/>
                  </w14:solidFill>
                </w14:textFill>
              </w:rPr>
              <w:t xml:space="preserve">  </w:t>
            </w:r>
            <w:r>
              <w:rPr>
                <w:rFonts w:hint="eastAsia" w:asciiTheme="minorEastAsia" w:hAnsiTheme="minorEastAsia" w:eastAsiaTheme="minorEastAsia" w:cstheme="minorEastAsia"/>
                <w:i w:val="0"/>
                <w:iCs w:val="0"/>
                <w:color w:val="000000" w:themeColor="text1"/>
                <w:sz w:val="36"/>
                <w:szCs w:val="36"/>
                <w:highlight w:val="none"/>
                <w:u w:val="single"/>
                <w:lang w:val="en-US" w:eastAsia="zh-CN" w:bidi="ar"/>
                <w14:textFill>
                  <w14:solidFill>
                    <w14:schemeClr w14:val="tx1"/>
                  </w14:solidFill>
                </w14:textFill>
              </w:rPr>
              <w:t xml:space="preserve">                  </w:t>
            </w:r>
            <w:r>
              <w:rPr>
                <w:rFonts w:hint="eastAsia" w:asciiTheme="minorEastAsia" w:hAnsiTheme="minorEastAsia" w:eastAsiaTheme="minorEastAsia" w:cstheme="minorEastAsia"/>
                <w:i w:val="0"/>
                <w:iCs w:val="0"/>
                <w:color w:val="000000" w:themeColor="text1"/>
                <w:sz w:val="36"/>
                <w:szCs w:val="36"/>
                <w:highlight w:val="none"/>
                <w:u w:val="none"/>
                <w:lang w:val="en-US" w:eastAsia="zh-CN" w:bidi="ar"/>
                <w14:textFill>
                  <w14:solidFill>
                    <w14:schemeClr w14:val="tx1"/>
                  </w14:solidFill>
                </w14:textFill>
              </w:rPr>
              <w:t xml:space="preserve">小区</w:t>
            </w:r>
            <w:r>
              <w:rPr>
                <w:rFonts w:hint="eastAsia" w:asciiTheme="minorEastAsia" w:hAnsiTheme="minorEastAsia" w:eastAsiaTheme="minorEastAsia" w:cstheme="minorEastAsia"/>
                <w:i w:val="0"/>
                <w:iCs w:val="0"/>
                <w:color w:val="000000" w:themeColor="text1"/>
                <w:sz w:val="36"/>
                <w:szCs w:val="36"/>
                <w:highlight w:val="none"/>
                <w:u w:val="single"/>
                <w:lang w:val="en-US" w:eastAsia="zh-CN" w:bidi="ar"/>
                <w14:textFill>
                  <w14:solidFill>
                    <w14:schemeClr w14:val="tx1"/>
                  </w14:solidFill>
                </w14:textFill>
              </w:rPr>
              <w:t xml:space="preserve">       </w:t>
            </w:r>
            <w:r>
              <w:rPr>
                <w:rFonts w:hint="eastAsia" w:asciiTheme="minorEastAsia" w:hAnsiTheme="minorEastAsia" w:eastAsiaTheme="minorEastAsia" w:cstheme="minorEastAsia"/>
                <w:i w:val="0"/>
                <w:iCs w:val="0"/>
                <w:color w:val="000000" w:themeColor="text1"/>
                <w:sz w:val="36"/>
                <w:szCs w:val="36"/>
                <w:highlight w:val="none"/>
                <w:u w:val="none"/>
                <w:lang w:val="en-US" w:eastAsia="zh-CN" w:bidi="ar"/>
                <w14:textFill>
                  <w14:solidFill>
                    <w14:schemeClr w14:val="tx1"/>
                  </w14:solidFill>
                </w14:textFill>
              </w:rPr>
              <w:t xml:space="preserve">年度物业管理考核表</w:t>
            </w:r>
            <w:r/>
          </w:p>
        </w:tc>
      </w:tr>
      <w:tr>
        <w:trPr>
          <w:trHeight w:val="18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right"/>
              <w:shd w:val="clear" w:color="auto"/>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管理要求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测评分</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综合服务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人员要求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小区管理员有物业管理员上岗证和项目经理上岗证，电梯、消防、监控等工作人员有相关证件，有两年以上物业管理工作经验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物业管理员上岗证、项目经理上岗证、电梯、消防、监控、安全员等相关证件，缺少一证扣1分，工作经验不足扣1分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日常服务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公示服务标准和收费标准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没有公布服务标准扣1分，没有公布收费标准扣1分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制订小区物业服务年度计划并组织实施，每半年向属地社区报告1次计划实施情况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没有制订年度计划扣1分，没有组织实施并向社区报告扣2分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制订小区房屋装修申请、验收等装修管理制度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建立业主档案、收费管理、设备管理等记录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每年组织4次以上的社区活动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没有组织社区活动扣3分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清洁管理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电梯保洁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每年对电梯门壁打蜡上光2次，有纪录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没有打蜡上光扣2分，无记录扣1分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卫生消杀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灭鼠、灭蚊等每年进行3次，有记录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没有进行灭鼠、灭蚊扣2分，无记录扣1分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房屋、共用设施设备和管理与维护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每半年对地下管井彻底疏通1次以上，每年对地下管井清理1次以上，有记录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没有进行彻底疏通工作扣2分，没有进行清理工作扣2分，无记录扣1分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饮用水池（箱）每半年清洗消毒1次，水质达标，有记录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没有进行清洗消毒、水质不达标扣3分，无记录扣2分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按照保养要求进行检查、调试、维护、维修，以确保消防系统处于良好状态并做好年度监测报告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对监控系统的维护、服务、管理到位，监控系统可靠、有效地运行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电梯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采用“服务+保险”的方式运营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未达要求扣5分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完成一次电梯年检工作，确保电梯处于良好状态，所有机组的正常运行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绿化养护与    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草坪、树木、花坛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成活率85%以上，每年修剪3次以上，除草施肥每年1次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成活率不足扣2分，修剪次数不足扣2分，没有进行除草施肥扣1分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假山、亭、廊、雕塑等建筑小品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每半年清洁、整修维护1次，有记录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没有进行清洁、整修扣2分，无记录扣1分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安全防范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人员组织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能处理和应对小区公共秩序维护工作，能正确使用各类消防、物防、技防器械和设备，能够熟悉、掌握各类刑事、治安案件和各类灾害事故的应急预案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视工作人员掌握程度酌情打分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对进出小区的车辆进行管理和疏导，保持出入口环境整洁、有序、道路畅通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视门岗管理情况酌情打分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巡逻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在遇到突发事件时，采取必要措施并及时报告管理处和相关部门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遇突发事件报告不及时本项不得分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交通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地面、墙面按照车辆道路行驶要求设立指示牌和地标，车辆行驶有规定路线，车辆停放有序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无相关交通设施扣1分，车辆停放无序扣2分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有专职人员巡视和协助停车事宜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无专职人员巡视扣1分，无协助停车扣1分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预案</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有火警、水警、警情应急预案；每年应组织1次应急预案演习</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无应急预案扣3分，无演习扣2分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创新管理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在日常服务中有创新便民服务举措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如有相应便民措施，本项酌情打分，如没有，本项不得分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时效管理</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按时完成上级下达的任务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视实际工作完成情况酌情打分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重大事故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媒体有无负面消息、有无安全事故、有无火灾、有无偷盗事件、有无集体上访、整改事项一直无法整改到位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如有重大事故发生，本项不得分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17"/>
                <w:szCs w:val="17"/>
                <w:highlight w:val="none"/>
                <w:u w:val="none"/>
                <w14:textFill>
                  <w14:solidFill>
                    <w14:schemeClr w14:val="tx1"/>
                  </w14:solidFill>
                </w14:textFill>
              </w:rPr>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2"/>
                <w:szCs w:val="22"/>
                <w:highlight w:val="none"/>
                <w:u w:val="none"/>
                <w:lang w:val="en-US" w:eastAsia="zh-CN" w:bidi="ar"/>
                <w14:textFill>
                  <w14:solidFill>
                    <w14:schemeClr w14:val="tx1"/>
                  </w14:solidFill>
                </w14:textFill>
              </w:rPr>
              <w:t xml:space="preserve">考核分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18"/>
                <w:szCs w:val="18"/>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18"/>
                <w:szCs w:val="18"/>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hd w:val="clear" w:color="auto"/>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Theme="minorEastAsia" w:hAnsiTheme="minorEastAsia" w:eastAsiaTheme="minorEastAsia" w:cstheme="minorEastAsia"/>
                <w:i w:val="0"/>
                <w:iCs w:val="0"/>
                <w:color w:val="000000" w:themeColor="text1"/>
                <w:sz w:val="22"/>
                <w:szCs w:val="22"/>
                <w:highlight w:val="none"/>
                <w:u w:val="none"/>
                <w14:textFill>
                  <w14:solidFill>
                    <w14:schemeClr w14:val="tx1"/>
                  </w14:solidFill>
                </w14:textFill>
              </w:rPr>
              <w:suppressLineNumbers w:val="0"/>
            </w:pPr>
            <w:r>
              <w:rPr>
                <w:rFonts w:hint="eastAsia" w:asciiTheme="minorEastAsia" w:hAnsiTheme="minorEastAsia" w:eastAsiaTheme="minorEastAsia" w:cstheme="minorEastAsia"/>
                <w:i w:val="0"/>
                <w:iCs w:val="0"/>
                <w:color w:val="000000" w:themeColor="text1"/>
                <w:sz w:val="22"/>
                <w:szCs w:val="22"/>
                <w:highlight w:val="none"/>
                <w:u w:val="none"/>
                <w:lang w:val="en-US" w:eastAsia="zh-CN" w:bidi="ar"/>
                <w14:textFill>
                  <w14:solidFill>
                    <w14:schemeClr w14:val="tx1"/>
                  </w14:solidFill>
                </w14:textFill>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shd w:val="clear" w:color="auto"/>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shd w:val="clear" w:color="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bl>
    <w:p>
      <w:pPr>
        <w:pStyle w:val="837"/>
        <w:rPr>
          <w:rFonts w:hint="eastAsia"/>
          <w:color w:val="000000" w:themeColor="text1"/>
          <w:lang w:eastAsia="zh-CN"/>
          <w14:textFill>
            <w14:solidFill>
              <w14:schemeClr w14:val="tx1"/>
            </w14:solidFill>
          </w14:textFill>
        </w:rPr>
        <w:sectPr>
          <w:footnotePr/>
          <w:endnotePr/>
          <w:type w:val="nextPage"/>
          <w:pgSz w:w="11907" w:h="16839" w:orient="portrait"/>
          <w:pgMar w:top="1130" w:right="1133" w:bottom="1135" w:left="1012" w:header="0" w:footer="919" w:gutter="0"/>
          <w:cols w:num="1" w:sep="0" w:space="720" w:equalWidth="1"/>
          <w:docGrid w:linePitch="360"/>
        </w:sectPr>
      </w:pPr>
      <w:r>
        <w:rPr>
          <w:rFonts w:hint="eastAsia"/>
          <w:color w:val="000000" w:themeColor="text1"/>
          <w:lang w:eastAsia="zh-CN"/>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70"/>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无锡市锡山区东港镇人民政府</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3"/>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JSZC-320205-JZCG-G2026-0054</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二、采购内容：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湖贤佳苑（安置房七期）物业服务采购项目</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合同签订生效后</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p>
    <w:p>
      <w:pPr>
        <w:numPr>
          <w:ilvl w:val="0"/>
          <w:numId w:val="0"/>
        </w:numPr>
        <w:ind w:firstLine="480"/>
        <w:keepLines w:val="0"/>
        <w:keepNext w:val="0"/>
        <w:pageBreakBefore w:val="0"/>
        <w:spacing w:line="360" w:lineRule="auto"/>
        <w:shd w:val="clear" w:color="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物业管理费的支付采用“2+2</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+2+2+2”模式。按照考核结果每季度结算，每半年支付一次。其中，第一季度产生的费用于当年第四季度支付，后续季度费用支付顺序依次顺延。20%为绩效考核部分（考核内容见附件1）根据月度、季度考核支付，20%年度考核部分（考核内容见附件2）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40"/>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861"/>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40"/>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2"/>
          <w:highlight w:val="none"/>
          <w:u w:val="none"/>
          <w:shd w:val="clear" w:color="auto" w:fill="auto"/>
          <w14:textFill>
            <w14:solidFill>
              <w14:schemeClr w14:val="tx1"/>
            </w14:solidFill>
          </w14:textFill>
        </w:rPr>
      </w:r>
      <w:r/>
    </w:p>
    <w:p>
      <w:pPr>
        <w:pStyle w:val="846"/>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u w:val="none"/>
          <w:shd w:val="clear" w:color="auto" w:fill="auto"/>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bookmarkStart w:id="71" w:name="OLE_LINK4"/>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71"/>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湖贤佳苑（安置房七期）物业服务采购项目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湖贤佳苑（安置房七期）物业服务采购项目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1、本项目为</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湖贤佳苑（安置房七期）物业服务采购项目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服务内容：详见附件；</w:t>
      </w:r>
      <w:r/>
    </w:p>
    <w:p>
      <w:pPr>
        <w:ind w:firstLine="523"/>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2、坐落位置：</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523"/>
        <w:spacing w:line="360" w:lineRule="auto"/>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3、占地面积：</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二、本项目的物业管理服务委托管理期限：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3年，具体以合同签订期限为准</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p>
    <w:p>
      <w:pPr>
        <w:ind w:firstLine="523"/>
        <w:spacing w:line="360" w:lineRule="auto"/>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第二条  委托管理事项</w:t>
      </w:r>
      <w:r/>
    </w:p>
    <w:p>
      <w:pPr>
        <w:ind w:left="0" w:firstLine="480"/>
        <w:jc w:val="left"/>
        <w:keepLines w:val="0"/>
        <w:keepNext w:val="0"/>
        <w:pageBreakBefore w:val="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委托物业管理服务事项详见本项目招标文件。</w:t>
      </w:r>
      <w:r/>
    </w:p>
    <w:p>
      <w:pPr>
        <w:ind w:firstLine="523"/>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具体内容如下：详见采购需求</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第三条  合同总价款及物业管理服务费用的支付和使用 </w:t>
      </w:r>
      <w:r>
        <w:rPr>
          <w:rFonts w:hint="eastAsia" w:ascii="宋体" w:hAnsi="宋体" w:eastAsia="宋体" w:cs="宋体"/>
          <w:bCs/>
          <w:color w:val="000000" w:themeColor="text1"/>
          <w:sz w:val="24"/>
          <w:szCs w:val="24"/>
          <w14:textFill>
            <w14:solidFill>
              <w14:schemeClr w14:val="tx1"/>
            </w14:solidFill>
          </w14:textFill>
        </w:rPr>
        <w:t xml:space="preserve">   </w:t>
      </w:r>
      <w:r/>
    </w:p>
    <w:p>
      <w:pPr>
        <w:ind w:left="0" w:firstLine="480"/>
        <w:jc w:val="left"/>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一、本合同项下物业管理服务费用人民币总价款（三年）为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（大写），每月服务费用为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w:t>
      </w:r>
      <w:r/>
    </w:p>
    <w:p>
      <w:pPr>
        <w:ind w:left="0" w:firstLine="480"/>
        <w:jc w:val="left"/>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二、本合同执行期间合同总价款不变。</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第四条  组成本合同的有关文件</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关于</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的招标文件、投标文件、合同条款及中标通知书，乙方在投标、评标过程中所作其它有关承诺、声明、书面澄清等均为合同不可分割的部分，与主合同具有同等法律效力。</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第五条  双方权利义务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14:textFill>
            <w14:solidFill>
              <w14:schemeClr w14:val="tx1"/>
            </w14:solidFill>
          </w14:textFill>
        </w:rPr>
        <w:t xml:space="preserve">甲方权利义务：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代表和维护产权人及使用人的合法权益；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不得干涉乙方依法或依本合同规定内容所进行的管理活动；</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负责处理非乙方原因而产生的各种纠纷；</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审定乙方撰写的物业管理服务管理制度；</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检查监督乙方管理工作的实施及制度的执行情况；</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审定乙方提出的物业管理服务年度计划及财务预决算；</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lang w:val="zh-CN"/>
          <w14:textFill>
            <w14:solidFill>
              <w14:schemeClr w14:val="tx1"/>
            </w14:solidFill>
          </w14:textFill>
        </w:rPr>
        <w:t xml:space="preserve">在物业管理公司管理期间，采购人免费提供物业管理办公用房若干，提供给物业管理公司使用，产权归业主所有；</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提供乙方进行物业管理服务所必须的水、电供应；</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协助乙方做好物业服务管理工作；</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10、法规、政策规定由甲方承担的其他责任。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14:textFill>
            <w14:solidFill>
              <w14:schemeClr w14:val="tx1"/>
            </w14:solidFill>
          </w14:textFill>
        </w:rPr>
        <w:t xml:space="preserve">乙方权利义务：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根据有关</w:t>
      </w:r>
      <w:r>
        <w:rPr>
          <w:rFonts w:hint="eastAsia" w:ascii="宋体" w:hAnsi="宋体" w:eastAsia="宋体" w:cs="宋体"/>
          <w:bCs/>
          <w:color w:val="000000" w:themeColor="text1"/>
          <w:sz w:val="24"/>
          <w:szCs w:val="24"/>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14:textFill>
            <w14:solidFill>
              <w14:schemeClr w14:val="tx1"/>
            </w14:solidFill>
          </w14:textFill>
        </w:rPr>
        <w:t xml:space="preserve">、本合同的规定及本物业的实际情况，制定物业服务管理制度及管理方案、年度管理计划、资金使用计划及决算报告等工作目标；</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定期向甲方公布物业服务管理费用</w:t>
      </w:r>
      <w:r>
        <w:rPr>
          <w:rFonts w:hint="eastAsia" w:ascii="宋体" w:hAnsi="宋体" w:eastAsia="宋体" w:cs="宋体"/>
          <w:bCs/>
          <w:color w:val="000000" w:themeColor="text1"/>
          <w:sz w:val="24"/>
          <w:szCs w:val="24"/>
          <w:lang w:eastAsia="zh-CN"/>
          <w14:textFill>
            <w14:solidFill>
              <w14:schemeClr w14:val="tx1"/>
            </w14:solidFill>
          </w14:textFill>
        </w:rPr>
        <w:t xml:space="preserve">收支账目</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在本物业管理区域内设立专门机构负责本物业的日常物业管理工作，并委派有岗位资质的人员履行本合同；</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负责所有日常物业材料、用品及易耗品的更新；</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自主开展物业管理活动，但不得侵害甲方、物业使用人及他人的合法权益，不得利用提供物业管理服务的便利获取不当利益；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根据有关</w:t>
      </w:r>
      <w:r>
        <w:rPr>
          <w:rFonts w:hint="eastAsia" w:ascii="宋体" w:hAnsi="宋体" w:eastAsia="宋体" w:cs="宋体"/>
          <w:bCs/>
          <w:color w:val="000000" w:themeColor="text1"/>
          <w:sz w:val="24"/>
          <w:szCs w:val="24"/>
          <w:lang w:eastAsia="zh-CN"/>
          <w14:textFill>
            <w14:solidFill>
              <w14:schemeClr w14:val="tx1"/>
            </w14:solidFill>
          </w14:textFill>
        </w:rPr>
        <w:t xml:space="preserve">法律法规</w:t>
      </w:r>
      <w:r>
        <w:rPr>
          <w:rFonts w:hint="eastAsia" w:ascii="宋体" w:hAnsi="宋体" w:eastAsia="宋体" w:cs="宋体"/>
          <w:bCs/>
          <w:color w:val="000000" w:themeColor="text1"/>
          <w:sz w:val="24"/>
          <w:szCs w:val="24"/>
          <w14:textFill>
            <w14:solidFill>
              <w14:schemeClr w14:val="tx1"/>
            </w14:solidFill>
          </w14:textFill>
        </w:rPr>
        <w:t xml:space="preserve">的规定和本合同的规定，向甲方收取物业服务费用，通过合法有效方式解决拖欠物业服务费的问题；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14:textFill>
            <w14:solidFill>
              <w14:schemeClr w14:val="tx1"/>
            </w14:solidFill>
          </w14:textFill>
        </w:rPr>
        <w:t xml:space="preserve">建立、保存物业管理帐目，及时向甲方公告本管理区域内的重大物业服务事项；</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合同终止时，向甲方移交全部物业管理用房、档案资料和注明应属甲方所有的其他资产和物资（含开办费），并办理交接手续；</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法规、政策规定由乙方承担的其他责任。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三、在管理过程中，因下列因素所致的损害，不论其为直接或间接，均构成对乙方的免责事由，乙方均不负赔偿之责：</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1.天灾、地震等不可抗力的事由所致的损害；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2.暴动、持械抢劫、破坏、爆炸、火灾、刑事犯罪等违法行为等事由所致的损害，但因乙方故意或过失所致，不在此限；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3.因本合同标的物本身固有瑕疵所致的损害；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4.因甲方或第三者之故意、过失所致的损害；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5.因甲方或物业使用人专有部分的火灾、盗窃等所致的损害。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6.因乙方书面建议甲方改善或改进物业管理措施，而甲方未采纳所致的损害；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7.因甲方或物业使用人指挥调派乙方工作人员所致的损害；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8.本合同标的物之共用部分（含共用部位、共用设备设施）自然或人为的任何损坏。但因乙方故意或过失所致的，不在此限；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9.除上述各款外，其它不可归责于乙方之事由的。</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四、为维护公众、甲方及物业使用人的合法利益，在不可预见情况下，如发生煤气</w:t>
      </w:r>
      <w:r>
        <w:rPr>
          <w:rFonts w:hint="eastAsia" w:ascii="宋体" w:hAnsi="宋体" w:eastAsia="宋体" w:cs="宋体"/>
          <w:bCs/>
          <w:color w:val="000000" w:themeColor="text1"/>
          <w:sz w:val="24"/>
          <w:szCs w:val="24"/>
          <w:lang w:eastAsia="zh-CN"/>
          <w14:textFill>
            <w14:solidFill>
              <w14:schemeClr w14:val="tx1"/>
            </w14:solidFill>
          </w14:textFill>
        </w:rPr>
        <w:t xml:space="preserve">泄漏</w:t>
      </w:r>
      <w:r>
        <w:rPr>
          <w:rFonts w:hint="eastAsia" w:ascii="宋体" w:hAnsi="宋体" w:eastAsia="宋体" w:cs="宋体"/>
          <w:bCs/>
          <w:color w:val="000000" w:themeColor="text1"/>
          <w:sz w:val="24"/>
          <w:szCs w:val="24"/>
          <w14:textFill>
            <w14:solidFill>
              <w14:schemeClr w14:val="tx1"/>
            </w14:solidFill>
          </w14:textFill>
        </w:rPr>
        <w:t xml:space="preserve">、漏电、火灾、水管破裂、救助人命、协助公安机关执行任务等情况，乙方因采取紧急避险措施造成财产损失的，按有关法律规定处理。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（1）甲方内部工作安排、计划调整等自身原因；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（3）其他甲方原因。</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523"/>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第六条 </w:t>
      </w:r>
      <w:r>
        <w:rPr>
          <w:rFonts w:hint="eastAsia" w:ascii="宋体" w:hAnsi="宋体" w:eastAsia="宋体" w:cs="宋体"/>
          <w:b/>
          <w:color w:val="000000" w:themeColor="text1"/>
          <w:sz w:val="24"/>
          <w:szCs w:val="24"/>
          <w:lang w:val="en-US" w:eastAsia="zh-CN"/>
          <w14:textFill>
            <w14:solidFill>
              <w14:schemeClr w14:val="tx1"/>
            </w14:solidFill>
          </w14:textFill>
        </w:rPr>
        <w:t xml:space="preserve">双方的责任</w:t>
      </w:r>
      <w:r/>
    </w:p>
    <w:p>
      <w:pPr>
        <w:ind w:firstLine="480"/>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甲方责任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为乙方人员提供必备的工作条件，包括值班室、办公桌椅、通讯联络工具，组织训练学习的场所等。</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2、配备符合国家要求的消防设施，对乙方提出的安全防范隐患报告应及时答复和改进。制订并执行内部安全防范规章制度，教育本单位员工配合和支持乙方人员履行职责。</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3、按合同约定的时间和方式向乙方支付服务费。</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乙方责任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要严格遵守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的有关规定。按招标合同要求，根据任务量和工种不同，须配备数量足够的、相关工种对应的常驻工作人员（不得兼职）和管理人员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与所有聘用人员依法签订劳动合同。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2、项目经理未经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方同意不得随意换人；不得在其他单位兼职或挂职，否则按违约处理，采购人可扣除相应的物业管理费，甲方可予解约。</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所聘人员不能有不良记录，年龄、健康、精神状况等应符合国家用工要求和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相关部门的用工要求，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负责员工的安全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法治教育</w:t>
      </w:r>
      <w:r>
        <w:rPr>
          <w:rFonts w:hint="eastAsia" w:ascii="宋体" w:hAnsi="宋体" w:eastAsia="宋体" w:cs="宋体"/>
          <w:color w:val="000000" w:themeColor="text1"/>
          <w:sz w:val="24"/>
          <w:szCs w:val="24"/>
          <w:highlight w:val="none"/>
          <w14:textFill>
            <w14:solidFill>
              <w14:schemeClr w14:val="tx1"/>
            </w14:solidFill>
          </w14:textFill>
        </w:rPr>
        <w:t xml:space="preserve">和岗位培训，负责给所聘员工投相应保险，本服务期间，出现伤亡事故等各种意外，公安或司法机关责任界定后由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负责承担相应的责任。新进人员须经过培训、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面试同意才可上岗。</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4、工作人员上岗时，必须四季穿着正式的工作服，且挂牌上岗（物业或保安制服），服装样式体现岗位特色和方便不同岗位操作，并经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所聘人员就餐、交通须自行解决，如有费用由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计入投标报价中。</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所聘人员（除保安员外）工作时间原则上每周工作5天，每天8小时工作制，若有工作时间超过8小时的或临时工作安排，不在总报价内的，可根据国家相关法律法规另行结算加班工资。</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所聘人员必须遵守工作管理与考核制度和认真履行岗位职责，并严格执行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方制定的所有规章制度，接受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方的监督、管理，维护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方利益。</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必须做好新上岗职工培训及通过晨会、周训、月训等方式对在岗职工职业培训并有记录，不符合规定的人员及时调整。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必须注重核心团队建设（项目经理、主管等），维持队伍的稳定，未经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认可，不得调换核心团队成员。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szCs w:val="24"/>
          <w:highlight w:val="none"/>
          <w14:textFill>
            <w14:solidFill>
              <w14:schemeClr w14:val="tx1"/>
            </w14:solidFill>
          </w14:textFill>
        </w:rPr>
        <w:t xml:space="preserve">突发事件的情况下，有直接管理和调动工作人员的权力；有权要求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及时更换不服从管理、违纪或其他原因不适合继续在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工作的所有服务人员。</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要节约用水、用电等，在相应区域张贴相关标识（标识必须符合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园区</w:t>
      </w:r>
      <w:r>
        <w:rPr>
          <w:rFonts w:hint="eastAsia" w:ascii="宋体" w:hAnsi="宋体" w:eastAsia="宋体" w:cs="宋体"/>
          <w:color w:val="000000" w:themeColor="text1"/>
          <w:sz w:val="24"/>
          <w:szCs w:val="24"/>
          <w:highlight w:val="none"/>
          <w14:textFill>
            <w14:solidFill>
              <w14:schemeClr w14:val="tx1"/>
            </w14:solidFill>
          </w14:textFill>
        </w:rPr>
        <w:t xml:space="preserve">整体文化环境，经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审核通过方能实施），用人计划及实际用人情况并报给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方，用工及业务合同备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方检查；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方有权对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方进行审查、监督，并根据《考核办法》实施与服务费挂钩的目标考核工作。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、对检查考核结果双方签字确认。若对检查考核结果有异议，双方可复查确定考核结果。如果检查考核事实情况清楚，结果正确，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仍不签字，三日后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可单方签字确认，结果有效。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季</w:t>
      </w:r>
      <w:r>
        <w:rPr>
          <w:rFonts w:hint="eastAsia" w:ascii="宋体" w:hAnsi="宋体" w:eastAsia="宋体" w:cs="宋体"/>
          <w:color w:val="000000" w:themeColor="text1"/>
          <w:sz w:val="24"/>
          <w:szCs w:val="24"/>
          <w:highlight w:val="none"/>
          <w14:textFill>
            <w14:solidFill>
              <w14:schemeClr w14:val="tx1"/>
            </w14:solidFill>
          </w14:textFill>
        </w:rPr>
        <w:t xml:space="preserve">度考核不合格按实扣除服务费，连续出现或1年中出现3次此情况，视作不履行合同，则按法律程序解除合同并报市财政采购管理处。</w:t>
      </w:r>
      <w:r/>
    </w:p>
    <w:p>
      <w:pPr>
        <w:contextualSpacing/>
        <w:ind w:firstLine="482"/>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第七条  乙方的人员配置</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1、乙方总配置人员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名。                  </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4、物业人员要求：</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（2）所有相关人员要求</w:t>
      </w:r>
      <w:r>
        <w:rPr>
          <w:rFonts w:hint="eastAsia" w:ascii="宋体" w:hAnsi="宋体" w:eastAsia="宋体" w:cs="宋体"/>
          <w:color w:val="000000" w:themeColor="text1"/>
          <w:sz w:val="24"/>
          <w:szCs w:val="24"/>
          <w:lang w:eastAsia="zh-CN"/>
          <w14:textFill>
            <w14:solidFill>
              <w14:schemeClr w14:val="tx1"/>
            </w14:solidFill>
          </w14:textFill>
        </w:rPr>
        <w:t xml:space="preserve">政治</w:t>
      </w:r>
      <w:r>
        <w:rPr>
          <w:rFonts w:hint="eastAsia" w:ascii="宋体" w:hAnsi="宋体" w:eastAsia="宋体" w:cs="宋体"/>
          <w:color w:val="000000" w:themeColor="text1"/>
          <w:sz w:val="24"/>
          <w:szCs w:val="24"/>
          <w14:textFill>
            <w14:solidFill>
              <w14:schemeClr w14:val="tx1"/>
            </w14:solidFill>
          </w14:textFill>
        </w:rPr>
        <w:t xml:space="preserve">可靠，身体素质好，无不良行为记录。</w:t>
      </w:r>
      <w:r/>
    </w:p>
    <w:p>
      <w:pPr>
        <w:contextualSpacing/>
        <w:ind w:firstLine="480"/>
        <w:spacing w:line="360" w:lineRule="auto"/>
        <w:tabs>
          <w:tab w:val="left" w:pos="945" w:leader="none"/>
          <w:tab w:val="left" w:pos="1155"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（3）重要岗位人员必须由甲方人事部门考核、政治审查通过方可录用。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第八条   款项支付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1、本合同项下所有款项均以人民币支付。</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2、本合同项下的采购资金系甲方支付。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3、以上款项按约定向乙方支付。</w:t>
      </w:r>
      <w:r/>
    </w:p>
    <w:p>
      <w:pPr>
        <w:ind w:firstLine="560"/>
        <w:jc w:val="left"/>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条</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履约保证金</w:t>
      </w:r>
      <w:r/>
    </w:p>
    <w:p>
      <w:pPr>
        <w:ind w:firstLine="560"/>
        <w:jc w:val="left"/>
        <w:spacing w:line="360" w:lineRule="auto"/>
        <w:rPr>
          <w:rFonts w:hint="default"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1、收取履约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形式</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default"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2、收取履约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金额</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3、履约</w:t>
      </w:r>
      <w:r>
        <w:rPr>
          <w:rFonts w:hint="eastAsia" w:ascii="宋体" w:hAnsi="宋体" w:eastAsia="宋体"/>
          <w:color w:val="000000" w:themeColor="text1"/>
          <w:sz w:val="24"/>
          <w:szCs w:val="24"/>
          <w14:textFill>
            <w14:solidFill>
              <w14:schemeClr w14:val="tx1"/>
            </w14:solidFill>
          </w14:textFill>
        </w:rPr>
        <w:t xml:space="preserve">保证金</w:t>
      </w:r>
      <w:r>
        <w:rPr>
          <w:rFonts w:ascii="宋体" w:hAnsi="宋体" w:eastAsia="宋体"/>
          <w:color w:val="000000" w:themeColor="text1"/>
          <w:sz w:val="24"/>
          <w:szCs w:val="24"/>
          <w14:textFill>
            <w14:solidFill>
              <w14:schemeClr w14:val="tx1"/>
            </w14:solidFill>
          </w14:textFill>
        </w:rPr>
        <w:t xml:space="preserve">期限</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4、履约保证金的缴纳时间</w:t>
      </w:r>
      <w:r>
        <w:rPr>
          <w:rFonts w:hint="eastAsia" w:ascii="宋体" w:hAnsi="宋体" w:eastAsia="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5、退付办法</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720"/>
        <w:spacing w:line="360" w:lineRule="auto"/>
        <w:tabs>
          <w:tab w:val="left" w:pos="840" w:leader="none"/>
          <w:tab w:val="left" w:pos="1155" w:leader="none"/>
        </w:tabs>
        <w:rPr>
          <w:rFonts w:hint="default" w:ascii="宋体" w:hAnsi="宋体" w:eastAsia="宋体" w:cs="宋体"/>
          <w:b w:val="0"/>
          <w:bCs w:val="0"/>
          <w:color w:val="000000" w:themeColor="text1"/>
          <w:sz w:val="24"/>
          <w:szCs w:val="24"/>
          <w:lang w:val="en-US" w:eastAsia="zh-CN" w:bidi="ar-SA"/>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6、履约保证金不予退还的情形</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60"/>
        <w:jc w:val="left"/>
        <w:spacing w:line="360" w:lineRule="auto"/>
        <w:rPr>
          <w:rFonts w:hint="default" w:ascii="宋体" w:hAnsi="宋体" w:eastAsia="宋体"/>
          <w:color w:val="000000" w:themeColor="text1"/>
          <w:sz w:val="24"/>
          <w:szCs w:val="24"/>
          <w:u w:val="single"/>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7、逾期退还履约保证金的违约责任</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u w:val="single"/>
          <w:lang w:val="en-US" w:eastAsia="zh-CN" w:bidi="ar-SA"/>
          <w14:textFill>
            <w14:solidFill>
              <w14:schemeClr w14:val="tx1"/>
            </w14:solidFill>
          </w14:textFill>
        </w:rPr>
        <w:t xml:space="preserve">                      </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14:textFill>
            <w14:solidFill>
              <w14:schemeClr w14:val="tx1"/>
            </w14:solidFill>
          </w14:textFill>
        </w:rPr>
        <w:t xml:space="preserve">条　违约责任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1、甲方无正当理由，违反本合同第五条的有关规定，使乙方未能完成规定管理目标的，乙方有权要求甲方在一定期限内解决，逾期未解决，造成乙方经济损失的，由甲方向乙方偿付合同总价5%的违约金, 或依照法律程序解除部分或全部合同。</w:t>
      </w:r>
      <w:r/>
    </w:p>
    <w:p>
      <w:pPr>
        <w:ind w:firstLine="560"/>
        <w:jc w:val="left"/>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2、甲方未按合同规定的期限向乙方支付款项的，每逾期1天甲方向乙方偿付欠款总额的5‰滞纳金，但累计滞纳金总额不超过欠款总额的5% 。</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五条及第六条的有关规定，未能达到规定管理目标及质量保证的，甲方有权要求乙方限期整改，逾期未整改，造成甲方经济损失的，甲方有权扣留乙方全部履约保证金（如有），同时乙方应向甲方支付合同总价5%的违约金。</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14:textFill>
            <w14:solidFill>
              <w14:schemeClr w14:val="tx1"/>
            </w14:solidFill>
          </w14:textFill>
        </w:rPr>
        <w:t xml:space="preserve">条　合同生效及其他</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按照招标文件和乙方投标文件的规定，与乙方签订书面合同。所签订的合同不得对招标文件确定的事项和乙方投标文件作实质性修改。合同经无锡市公共资源交易中心锡山分中心对《合同书（格式条款）》见证后，乙方按甲乙双方代表需签字并盖章后生效。</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3、合同中未有约定的按照有关的法律法规以及国家行业标准或技术文件规定予以解决。</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4、甲乙双方确认：对本合同条款及后果均已知悉，一致确认不存在欺诈、胁迫、乘人之危、重大误解、显失公平等任何可能导致合同无效或被撤销的情形。</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themeColor="text1"/>
          <w:sz w:val="24"/>
          <w:szCs w:val="24"/>
          <w:u w:val="single"/>
          <w14:textFill>
            <w14:solidFill>
              <w14:schemeClr w14:val="tx1"/>
            </w14:solidFill>
          </w14:textFill>
        </w:rPr>
        <w:t xml:space="preserve"> （2）  </w:t>
      </w:r>
      <w:r>
        <w:rPr>
          <w:rFonts w:hint="eastAsia" w:ascii="宋体" w:hAnsi="宋体" w:eastAsia="宋体" w:cs="宋体"/>
          <w:bCs/>
          <w:color w:val="000000" w:themeColor="text1"/>
          <w:sz w:val="24"/>
          <w:szCs w:val="24"/>
          <w14:textFill>
            <w14:solidFill>
              <w14:schemeClr w14:val="tx1"/>
            </w14:solidFill>
          </w14:textFill>
        </w:rPr>
        <w:t xml:space="preserve">方式处理：</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（1）向无锡仲裁委员会申请仲裁。</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（2）向甲方所在地法院提起诉讼。</w:t>
      </w:r>
      <w:r/>
    </w:p>
    <w:p>
      <w:pPr>
        <w:ind w:firstLine="523"/>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6、本合同终止时，乙方应移交物业管理权，撤出本物业，协助甲方作好物业服务的交接和善后工作，移交或配合甲方移交管理用房和物业管理的全部档案资料等。</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本物业管理合同终止后，在新的物业管理企业接管本物业前，除甲方要求乙方提前撤离外，新老物业管理公司的交接过渡期最长为1个月，在此期间乙方应提供过渡期物业服务，过渡期物业服务标准和服务费标准不变，由乙方收取；1个月过渡期满，即完成交接、撤离。否则，甲方有权进行任何处置，一切后果由乙方承担。</w:t>
      </w:r>
      <w:r/>
    </w:p>
    <w:p>
      <w:pPr>
        <w:ind w:firstLine="560"/>
        <w:jc w:val="left"/>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十二条、项目验收</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 甲方依法组织履约验收工作。</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对于实际使用人和甲方分离的项目，甲方邀请实际使用人参与验收。</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如有必要，甲方邀请参加本项目的其他供应商或第三方专业机构及专家参与验收，相关意见将作为验收书的参考资料。</w:t>
      </w:r>
      <w:r/>
    </w:p>
    <w:p>
      <w:pPr>
        <w:ind w:firstLine="560"/>
        <w:jc w:val="left"/>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23"/>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14:textFill>
            <w14:solidFill>
              <w14:schemeClr w14:val="tx1"/>
            </w14:solidFill>
          </w14:textFill>
        </w:rPr>
        <w:t xml:space="preserve">条   诚实信用</w:t>
      </w:r>
      <w:r/>
    </w:p>
    <w:p>
      <w:pPr>
        <w:ind w:firstLine="523"/>
        <w:spacing w:line="360" w:lineRule="auto"/>
        <w:rPr>
          <w:rFonts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乙方应诚实信用，严格按照招标文件要求和承诺履行合同，不向甲方进行商业贿赂或者提供不正当利益。</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需方（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）：（签章）                   供方（中标方）：（签章）</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法定（授权）代表人：                     法定（授权）代表人：</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地址：                                   地址：</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年    月    日                           年    月    日</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供方户名：</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供方开户银行：</w:t>
      </w:r>
      <w:r/>
    </w:p>
    <w:p>
      <w:pPr>
        <w:ind w:firstLine="523"/>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供方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账号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pStyle w:val="8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3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37"/>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4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hd w:val="clear" w:color="auto"/>
        <w:rPr>
          <w:rFonts w:ascii="Arial" w:hAnsi="Arial" w:eastAsia="黑体"/>
          <w:bCs/>
          <w:color w:val="000000" w:themeColor="text1"/>
          <w:sz w:val="24"/>
          <w:szCs w:val="32"/>
          <w:highlight w:val="none"/>
          <w14:textFill>
            <w14:solidFill>
              <w14:schemeClr w14:val="tx1"/>
            </w14:solidFill>
          </w14:textFill>
        </w:rPr>
      </w:pPr>
      <w:r>
        <w:rPr>
          <w:rFonts w:hint="eastAsia" w:ascii="Arial" w:hAnsi="Arial" w:eastAsia="黑体"/>
          <w:bCs/>
          <w:color w:val="000000" w:themeColor="text1"/>
          <w:sz w:val="24"/>
          <w:szCs w:val="32"/>
          <w:highlight w:val="none"/>
          <w14:textFill>
            <w14:solidFill>
              <w14:schemeClr w14:val="tx1"/>
            </w14:solidFill>
          </w14:textFill>
        </w:rPr>
        <w:t xml:space="preserve">附件：项目安全目标责任书</w:t>
      </w:r>
      <w:r>
        <w:rPr>
          <w:rFonts w:ascii="Arial" w:hAnsi="Arial" w:eastAsia="黑体"/>
          <w:bCs/>
          <w:color w:val="000000" w:themeColor="text1"/>
          <w:sz w:val="24"/>
          <w:szCs w:val="32"/>
          <w:highlight w:val="none"/>
          <w14:textFill>
            <w14:solidFill>
              <w14:schemeClr w14:val="tx1"/>
            </w14:solidFill>
          </w14:textFill>
        </w:rPr>
        <w:t xml:space="preserve">：</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3"/>
        <w:ind w:firstLine="2240"/>
        <w:shd w:val="clear" w:color="auto"/>
        <w:rPr>
          <w:rFonts w:ascii="宋体" w:hAnsi="宋体" w:eastAsia="宋体"/>
          <w:bCs/>
          <w:color w:val="000000" w:themeColor="text1"/>
          <w:sz w:val="28"/>
          <w:szCs w:val="28"/>
          <w:highlight w:val="none"/>
          <w14:textFill>
            <w14:solidFill>
              <w14:schemeClr w14:val="tx1"/>
            </w14:solidFill>
          </w14:textFill>
        </w:rPr>
      </w:pPr>
      <w:r>
        <w:rPr>
          <w:rFonts w:hint="eastAsia" w:ascii="宋体" w:hAnsi="宋体" w:eastAsia="宋体"/>
          <w:bCs/>
          <w:color w:val="000000" w:themeColor="text1"/>
          <w:sz w:val="28"/>
          <w:szCs w:val="28"/>
          <w:highlight w:val="none"/>
          <w14:textFill>
            <w14:solidFill>
              <w14:schemeClr w14:val="tx1"/>
            </w14:solidFill>
          </w14:textFill>
        </w:rPr>
        <w:t xml:space="preserve">项目安全目标责任书</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35"/>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72" w:name="_Hlk65241481"/>
      <w:r>
        <w:rPr>
          <w:rFonts w:hint="eastAsia" w:ascii="宋体" w:hAnsi="宋体" w:eastAsia="宋体" w:cs="宋体"/>
          <w:bCs/>
          <w:color w:val="000000" w:themeColor="text1"/>
          <w:sz w:val="24"/>
          <w:szCs w:val="24"/>
          <w:highlight w:val="none"/>
          <w14:textFill>
            <w14:solidFill>
              <w14:schemeClr w14:val="tx1"/>
            </w14:solidFill>
          </w14:textFill>
        </w:rPr>
        <w:t xml:space="preserve">为贯彻“安全第一、预防为主”的安全生产方针，确保本项目无重大安全责任事故，保障现场物业作业人员的人身安全及国家财产安全，保证物业项目的顺利进行，根据《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中华人民共和国安全生产法</w:t>
      </w:r>
      <w:r>
        <w:rPr>
          <w:rFonts w:hint="eastAsia" w:ascii="宋体" w:hAnsi="宋体" w:eastAsia="宋体" w:cs="宋体"/>
          <w:bCs/>
          <w:color w:val="000000" w:themeColor="text1"/>
          <w:sz w:val="24"/>
          <w:szCs w:val="24"/>
          <w:highlight w:val="none"/>
          <w14:textFill>
            <w14:solidFill>
              <w14:schemeClr w14:val="tx1"/>
            </w14:solidFill>
          </w14:textFill>
        </w:rPr>
        <w:t xml:space="preserve">》、《中华人民共和国道路交通安全法》等有关规定，经甲乙双方协商，特制定本项目安全目标责任书。 </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一、本项目确保下列人员负责现场日常管理工作： </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1、作业单位项目经理；</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2、作业单位安全员。</w:t>
      </w:r>
      <w:r/>
    </w:p>
    <w:p>
      <w:pPr>
        <w:ind w:firstLine="480"/>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二、作业单位安全目标责任如下：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1、作业单位项目经理是本项目安全生产及相关业务活动的第一责任人。</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建立和完善以岗位安全生产责任制为核心的安全生产制，明确安全生产目标，每个分解目标必须明确负责人和责任人，并制定具体的保证措施，确保目标实现。安全管理网络及安全工作的目标分解及保证措施必须报物业管理部门备案。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4、作业单位必须具备全体项目管理人员、作业人员用工合同、社保证明、特种作业证书及以上人员意外伤害保险投保合同清单。</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作业单位应认真执行“安全生产技术交底制度”：服务开始前由项目经理向作业人员等进行安全技术交底，对管理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6、作业单位应当建立、健全对作业人员的日常安全教育、技术培训和考核制度，严格组织养护，不得安排未接受过安全教育和技术培训的作业人员上岗作业。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7、切实做好“安全三上岗”制度，上岗前由班长进行安全交底，上岗时班组安全员进行上岗巡回检查并做好上岗记录，每周进行一次总结讲评工作。培训记录必须有被培训对象签字，记录备案等查。</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作业单位项目部每月应至少组织一次安全检查，同时根据季节环境和作业情况随时组织有针对性的检查，消除管理中存在的安全隐患，所查问题必须明确整改措施、整改时间及负责人，并以书面的形式报物业管理部门审查。</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10、作业单位应制定各项应急预案，并定期进行演练，特别是消防、电梯、暴雨、台风、防疫等应急预案。</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设备的使用必须有符合要求的操作规程，操作人员应持证操作，禁止违规操作使用。物业管理部门应进行现场的检查监督，对屡教屡犯人员勒令撤离现场，对作业单位警告或处罚直至勒令停工、清场，严格保障项目的安全。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项目配套设施（包括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严禁私接乱拉电线，防止火灾发生。</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三、其他事项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1、本项目安全生产责任书由双方授权代表签字并加盖公章后生效； </w:t>
      </w:r>
      <w:r/>
    </w:p>
    <w:p>
      <w:pPr>
        <w:ind w:firstLine="435"/>
        <w:jc w:val="left"/>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2、本项目安全生产责任书为无锡市锡山区东港镇人民政府与作业单位签订的《          合同》的附件，与《             合同》具有同等法律效力。</w:t>
      </w:r>
      <w:r/>
    </w:p>
    <w:p>
      <w:pPr>
        <w:ind w:firstLine="435"/>
        <w:spacing w:line="360" w:lineRule="auto"/>
        <w:shd w:val="clear" w:color="auto"/>
        <w:tabs>
          <w:tab w:val="left" w:pos="955" w:leader="none"/>
          <w:tab w:val="left" w:pos="1146"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540"/>
        <w:spacing w:line="360" w:lineRule="auto"/>
        <w:shd w:val="clear" w:color="auto"/>
        <w:tabs>
          <w:tab w:val="left" w:pos="955" w:leader="none"/>
          <w:tab w:val="left" w:pos="1146"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甲方单位（盖章）：                       乙方单位（盖章）：</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法定代表人或被授权人：                   法定代表人或被授权人：</w:t>
      </w:r>
      <w:r/>
    </w:p>
    <w:p>
      <w:pPr>
        <w:ind w:firstLine="480"/>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日期：</w:t>
      </w:r>
      <w:bookmarkEnd w:id="72"/>
      <w:r/>
      <w:r/>
    </w:p>
    <w:p>
      <w:pPr>
        <w:jc w:val="cente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r>
      <w:r/>
    </w:p>
    <w:p>
      <w:pPr>
        <w:pStyle w:val="837"/>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r>
      <w:r/>
    </w:p>
    <w:p>
      <w:pP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r>
      <w:r/>
    </w:p>
    <w:p>
      <w:pPr>
        <w:pStyle w:val="837"/>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r>
      <w:r/>
    </w:p>
    <w:p>
      <w:pP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r>
      <w:r/>
    </w:p>
    <w:p>
      <w:pPr>
        <w:pStyle w:val="837"/>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3"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73"/>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具体评分标准如下：</w:t>
      </w:r>
      <w:r/>
    </w:p>
    <w:p>
      <w:pPr>
        <w:pStyle w:val="84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评分项目及总分（总分100分）</w:t>
      </w:r>
      <w:r/>
    </w:p>
    <w:p>
      <w:pPr>
        <w:numPr>
          <w:ilvl w:val="0"/>
          <w:numId w:val="4"/>
        </w:num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513"/>
        <w:spacing w:line="360" w:lineRule="auto"/>
        <w:rPr>
          <w:rFonts w:hint="eastAsia"/>
          <w:color w:val="000000" w:themeColor="text1"/>
          <w14:textFill>
            <w14:solidFill>
              <w14:schemeClr w14:val="tx1"/>
            </w14:solidFill>
          </w14:textFill>
        </w:rPr>
      </w:pP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0"/>
          <w:highlight w:val="none"/>
          <w14:textFill>
            <w14:solidFill>
              <w14:schemeClr w14:val="tx1"/>
            </w14:solidFill>
          </w14:textFill>
        </w:rPr>
        <w:t xml:space="preserve">企业综合实力                </w:t>
      </w:r>
      <w:r>
        <w:rPr>
          <w:rFonts w:hint="eastAsia" w:ascii="宋体" w:hAnsi="宋体" w:eastAsia="宋体" w:cs="Times New Roman"/>
          <w:color w:val="000000" w:themeColor="text1"/>
          <w:sz w:val="24"/>
          <w:szCs w:val="20"/>
          <w:highlight w:val="none"/>
          <w:lang w:val="en-US" w:eastAsia="zh-CN"/>
          <w14:textFill>
            <w14:solidFill>
              <w14:schemeClr w14:val="tx1"/>
            </w14:solidFill>
          </w14:textFill>
        </w:rPr>
        <w:t xml:space="preserve">                                  5</w:t>
      </w:r>
      <w:r>
        <w:rPr>
          <w:rFonts w:hint="eastAsia" w:ascii="宋体" w:hAnsi="宋体" w:eastAsia="宋体" w:cs="Times New Roman"/>
          <w:color w:val="000000" w:themeColor="text1"/>
          <w:sz w:val="24"/>
          <w:szCs w:val="20"/>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Cs w:val="0"/>
          <w:color w:val="000000" w:themeColor="text1"/>
          <w:sz w:val="24"/>
          <w:szCs w:val="22"/>
          <w:highlight w:val="none"/>
          <w:lang w:val="en-US" w:eastAsia="zh-CN" w:bidi="ar-SA"/>
          <w14:textFill>
            <w14:solidFill>
              <w14:schemeClr w14:val="tx1"/>
            </w14:solidFill>
          </w14:textFill>
        </w:rPr>
        <w:t xml:space="preserve">人员配置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highlight w:val="none"/>
          <w14:textFill>
            <w14:solidFill>
              <w14:schemeClr w14:val="tx1"/>
            </w14:solidFill>
          </w14:textFill>
        </w:rPr>
        <w:t xml:space="preserve">分</w:t>
      </w:r>
      <w:r/>
    </w:p>
    <w:p>
      <w:pPr>
        <w:pStyle w:val="840"/>
        <w:ind w:firstLine="480"/>
        <w:jc w:val="left"/>
        <w:spacing w:line="360" w:lineRule="auto"/>
        <w:rPr>
          <w:rFonts w:hint="eastAsia" w:ascii="宋体" w:hAnsi="宋体" w:eastAsia="宋体" w:cs="宋体"/>
          <w:bCs w:val="0"/>
          <w:color w:val="000000" w:themeColor="text1"/>
          <w:sz w:val="24"/>
          <w:highlight w:val="none"/>
          <w14:textFill>
            <w14:solidFill>
              <w14:schemeClr w14:val="tx1"/>
            </w14:solidFill>
          </w14:textFill>
        </w:rPr>
      </w:pP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val="0"/>
          <w:color w:val="000000" w:themeColor="text1"/>
          <w:sz w:val="24"/>
          <w:highlight w:val="none"/>
          <w14:textFill>
            <w14:solidFill>
              <w14:schemeClr w14:val="tx1"/>
            </w14:solidFill>
          </w14:textFill>
        </w:rPr>
        <w:t xml:space="preserve">、服务方案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24"/>
          <w:highlight w:val="none"/>
          <w14:textFill>
            <w14:solidFill>
              <w14:schemeClr w14:val="tx1"/>
            </w14:solidFill>
          </w14:textFill>
        </w:rPr>
        <w:t xml:space="preserve">  </w:t>
      </w:r>
      <w:r>
        <w:rPr>
          <w:rFonts w:hint="eastAsia" w:ascii="宋体" w:hAnsi="宋体" w:eastAsia="宋体" w:cs="宋体"/>
          <w:bCs w:val="0"/>
          <w:color w:val="000000" w:themeColor="text1"/>
          <w:sz w:val="24"/>
          <w:highlight w:val="none"/>
          <w:lang w:val="en-US" w:eastAsia="zh-CN"/>
          <w14:textFill>
            <w14:solidFill>
              <w14:schemeClr w14:val="tx1"/>
            </w14:solidFill>
          </w14:textFill>
        </w:rPr>
        <w:t xml:space="preserve">48</w:t>
      </w:r>
      <w:r>
        <w:rPr>
          <w:rFonts w:hint="eastAsia" w:ascii="宋体" w:hAnsi="宋体" w:eastAsia="宋体" w:cs="宋体"/>
          <w:bCs w:val="0"/>
          <w:color w:val="000000" w:themeColor="text1"/>
          <w:sz w:val="24"/>
          <w:highlight w:val="none"/>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000000" w:themeColor="text1"/>
          <w:sz w:val="24"/>
          <w:szCs w:val="24"/>
          <w:highlight w:val="none"/>
          <w14:textFill>
            <w14:solidFill>
              <w14:schemeClr w14:val="tx1"/>
            </w14:solidFill>
          </w14:textFill>
        </w:rPr>
        <w:t xml:space="preserve">采购本国产品的支持政策</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themeColor="text1"/>
          <w:sz w:val="24"/>
          <w:szCs w:val="24"/>
          <w:lang w:val="en-US" w:eastAsia="zh-CN"/>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themeColor="text1"/>
          <w:sz w:val="24"/>
          <w:szCs w:val="24"/>
          <w:lang w:val="en-US" w:eastAsia="zh-CN"/>
          <w14:textFill>
            <w14:solidFill>
              <w14:schemeClr w14:val="tx1"/>
            </w14:solidFill>
          </w14:textFill>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企业</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综合实力（</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分）</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分）：投标人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自2023年1月1日以来，</w:t>
      </w:r>
      <w:r>
        <w:rPr>
          <w:rFonts w:hint="eastAsia" w:ascii="宋体" w:hAnsi="宋体" w:eastAsia="宋体" w:cs="宋体"/>
          <w:bCs/>
          <w:color w:val="000000" w:themeColor="text1"/>
          <w:sz w:val="24"/>
          <w:szCs w:val="24"/>
          <w:highlight w:val="none"/>
          <w14:textFill>
            <w14:solidFill>
              <w14:schemeClr w14:val="tx1"/>
            </w14:solidFill>
          </w14:textFill>
        </w:rPr>
        <w:t xml:space="preserve">有类似项目业绩（需提供单份有效期内的①合同或协议②资金往来凭证③验收证明（能够证明本项目已完成的证明材料）</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或业主证明材料</w:t>
      </w:r>
      <w:r>
        <w:rPr>
          <w:rFonts w:hint="eastAsia" w:ascii="宋体" w:hAnsi="宋体" w:eastAsia="宋体" w:cs="宋体"/>
          <w:bCs/>
          <w:color w:val="000000" w:themeColor="text1"/>
          <w:sz w:val="24"/>
          <w:szCs w:val="24"/>
          <w:highlight w:val="none"/>
          <w14:textFill>
            <w14:solidFill>
              <w14:schemeClr w14:val="tx1"/>
            </w14:solidFill>
          </w14:textFill>
        </w:rPr>
        <w:t xml:space="preserve">，时间以合同（协议）上签订时间为准，每有一个得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分，最高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4"/>
          <w:szCs w:val="24"/>
          <w:highlight w:val="none"/>
          <w14:textFill>
            <w14:solidFill>
              <w14:schemeClr w14:val="tx1"/>
            </w14:solidFill>
          </w14:textFill>
        </w:rPr>
        <w:t xml:space="preserve">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以上证明材料原件</w:t>
      </w:r>
      <w:r>
        <w:rPr>
          <w:rFonts w:hint="eastAsia" w:ascii="宋体" w:hAnsi="宋体" w:eastAsia="宋体" w:cs="宋体"/>
          <w:b/>
          <w:bCs/>
          <w:color w:val="000000" w:themeColor="text1"/>
          <w:sz w:val="24"/>
          <w:szCs w:val="24"/>
          <w:highlight w:val="none"/>
          <w14:textFill>
            <w14:solidFill>
              <w14:schemeClr w14:val="tx1"/>
            </w14:solidFill>
          </w14:textFill>
        </w:rPr>
        <w:t xml:space="preserve">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上传至投标文件中并电子签章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不提供或不符合要求的不得分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认证证书</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分）：投标人具备有效的质量管理体系认证证书的得1分，环境管理体系认证证书的得1分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职业健康安全管理体系认证证书的得1分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本项最高得3分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提供有效证书扫描件及“全国认证认可信息公共服务平台”http://cx.cnca.cn 查询截图（显示证书状态）上传至投标文件并电子签章，不提供或不符合要求的不得分。</w:t>
      </w:r>
      <w:r/>
    </w:p>
    <w:p>
      <w:pPr>
        <w:ind w:left="420"/>
        <w:keepLines w:val="0"/>
        <w:keepNext w:val="0"/>
        <w:pageBreakBefore w:val="0"/>
        <w:spacing w:before="105" w:line="360" w:lineRule="auto"/>
        <w:shd w:val="clear" w:color="auto" w:fill="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b/>
          <w:bCs/>
          <w:color w:val="000000" w:themeColor="text1"/>
          <w:spacing w:val="-1"/>
          <w:sz w:val="24"/>
          <w:szCs w:val="24"/>
          <w:highlight w:val="none"/>
          <w14:textFill>
            <w14:solidFill>
              <w14:schemeClr w14:val="tx1"/>
            </w14:solidFill>
          </w14:textFill>
        </w:rPr>
        <w:t xml:space="preserve">人员配置情况（</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pacing w:val="-1"/>
          <w:sz w:val="24"/>
          <w:szCs w:val="24"/>
          <w:highlight w:val="none"/>
          <w:lang w:val="en-US" w:eastAsia="zh-CN"/>
          <w14:textFill>
            <w14:solidFill>
              <w14:schemeClr w14:val="tx1"/>
            </w14:solidFill>
          </w14:textFill>
        </w:rPr>
        <w:t xml:space="preserve">7</w:t>
      </w:r>
      <w:r>
        <w:rPr>
          <w:rFonts w:ascii="宋体" w:hAnsi="宋体" w:eastAsia="宋体" w:cs="宋体"/>
          <w:b/>
          <w:bCs/>
          <w:color w:val="000000" w:themeColor="text1"/>
          <w:spacing w:val="-1"/>
          <w:sz w:val="24"/>
          <w:szCs w:val="24"/>
          <w:highlight w:val="none"/>
          <w14:textFill>
            <w14:solidFill>
              <w14:schemeClr w14:val="tx1"/>
            </w14:solidFill>
          </w14:textFill>
        </w:rPr>
        <w:t xml:space="preserve">分）</w:t>
      </w:r>
      <w:r/>
    </w:p>
    <w:p>
      <w:pPr>
        <w:ind w:left="2" w:firstLine="496"/>
        <w:keepLines w:val="0"/>
        <w:keepNext w:val="0"/>
        <w:pageBreakBefore w:val="0"/>
        <w:spacing w:before="181" w:line="360" w:lineRule="auto"/>
        <w:shd w:val="clear" w:color="auto" w:fill="auto"/>
        <w:rPr>
          <w:rFonts w:ascii="宋体" w:hAnsi="宋体" w:eastAsia="宋体" w:cs="宋体"/>
          <w:color w:val="000000" w:themeColor="text1"/>
          <w:spacing w:val="-1"/>
          <w:sz w:val="24"/>
          <w:szCs w:val="24"/>
          <w:highlight w:val="none"/>
          <w14:textFill>
            <w14:solidFill>
              <w14:schemeClr w14:val="tx1"/>
            </w14:solidFill>
          </w14:textFill>
        </w:rPr>
      </w:pPr>
      <w:r>
        <w:rPr>
          <w:rFonts w:ascii="宋体" w:hAnsi="宋体" w:eastAsia="宋体" w:cs="宋体"/>
          <w:color w:val="000000" w:themeColor="text1"/>
          <w:spacing w:val="-1"/>
          <w:sz w:val="24"/>
          <w:szCs w:val="24"/>
          <w:highlight w:val="none"/>
          <w14:textFill>
            <w14:solidFill>
              <w14:schemeClr w14:val="tx1"/>
            </w14:solidFill>
          </w14:textFill>
        </w:rPr>
        <w:t xml:space="preserve">①拟派任本项目的项目负责人情况（</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1"/>
          <w:sz w:val="24"/>
          <w:szCs w:val="24"/>
          <w:highlight w:val="none"/>
          <w14:textFill>
            <w14:solidFill>
              <w14:schemeClr w14:val="tx1"/>
            </w14:solidFill>
          </w14:textFill>
        </w:rPr>
        <w:t xml:space="preserve">分）</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项目负责人具有人社部门或经人社部门备案的组织颁发的园林绿化</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工</w:t>
      </w:r>
      <w:r>
        <w:rPr>
          <w:rFonts w:hint="eastAsia" w:ascii="宋体" w:hAnsi="宋体" w:eastAsia="宋体" w:cs="宋体"/>
          <w:bCs/>
          <w:color w:val="000000" w:themeColor="text1"/>
          <w:sz w:val="24"/>
          <w:szCs w:val="24"/>
          <w:highlight w:val="none"/>
          <w14:textFill>
            <w14:solidFill>
              <w14:schemeClr w14:val="tx1"/>
            </w14:solidFill>
          </w14:textFill>
        </w:rPr>
        <w:t xml:space="preserve">职业技能等级证书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二级得1分，一级</w:t>
      </w:r>
      <w:r>
        <w:rPr>
          <w:rFonts w:hint="eastAsia" w:ascii="宋体" w:hAnsi="宋体" w:eastAsia="宋体" w:cs="宋体"/>
          <w:bCs/>
          <w:color w:val="000000" w:themeColor="text1"/>
          <w:sz w:val="24"/>
          <w:szCs w:val="24"/>
          <w:highlight w:val="none"/>
          <w14:textFill>
            <w14:solidFill>
              <w14:schemeClr w14:val="tx1"/>
            </w14:solidFill>
          </w14:textFill>
        </w:rPr>
        <w:t xml:space="preserve">及以上得2分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具有人社部门或经人社部门备案的组织颁发的物业管理师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职业资格证书或</w:t>
      </w:r>
      <w:r>
        <w:rPr>
          <w:rFonts w:hint="eastAsia" w:ascii="宋体" w:hAnsi="宋体" w:eastAsia="宋体" w:cs="宋体"/>
          <w:bCs/>
          <w:color w:val="000000" w:themeColor="text1"/>
          <w:sz w:val="24"/>
          <w:szCs w:val="24"/>
          <w:highlight w:val="none"/>
          <w14:textFill>
            <w14:solidFill>
              <w14:schemeClr w14:val="tx1"/>
            </w14:solidFill>
          </w14:textFill>
        </w:rPr>
        <w:t xml:space="preserve">职业技能等级证书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四级/中级工</w:t>
      </w:r>
      <w:r>
        <w:rPr>
          <w:rFonts w:hint="eastAsia" w:ascii="宋体" w:hAnsi="宋体" w:eastAsia="宋体" w:cs="宋体"/>
          <w:bCs/>
          <w:color w:val="000000" w:themeColor="text1"/>
          <w:sz w:val="24"/>
          <w:szCs w:val="24"/>
          <w:highlight w:val="none"/>
          <w14:textFill>
            <w14:solidFill>
              <w14:schemeClr w14:val="tx1"/>
            </w14:solidFill>
          </w14:textFill>
        </w:rPr>
        <w:t xml:space="preserve">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三级/高级工及以上得2分</w:t>
      </w:r>
      <w:r>
        <w:rPr>
          <w:rFonts w:hint="eastAsia" w:ascii="宋体" w:hAnsi="宋体" w:eastAsia="宋体" w:cs="宋体"/>
          <w:bCs/>
          <w:color w:val="000000" w:themeColor="text1"/>
          <w:sz w:val="24"/>
          <w:szCs w:val="24"/>
          <w:highlight w:val="none"/>
          <w14:textFill>
            <w14:solidFill>
              <w14:schemeClr w14:val="tx1"/>
            </w14:solidFill>
          </w14:textFill>
        </w:rPr>
        <w:t xml:space="preserve">，需提供有效的证书扫描件，否则不得分。本项最高得4分。</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②拟派任本项目的保安队长情况（4分）</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项目保安队长具有消防设施操作员证书的，五级/初级工得1分，四级/中级工及以上得2分；具有人社部门或经人社部门备案的组织颁发的保安员证书的，四级/中级工</w:t>
      </w:r>
      <w:r/>
    </w:p>
    <w:p>
      <w:pPr>
        <w:jc w:val="left"/>
        <w:spacing w:line="360" w:lineRule="auto"/>
        <w:shd w:val="clear" w:color="auto" w:fill="auto"/>
        <w:tabs>
          <w:tab w:val="left" w:pos="945" w:leader="none"/>
          <w:tab w:val="left" w:pos="1155"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得1分，三级/高级工及以上得2分。本项最高得4分。</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拟派任本项目的环境主管情况（3分）</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环境主管具有人社部门颁发的园林绿化相关专业职称证书的，中级工程师得1分，高级工程师得2分；具有</w:t>
      </w:r>
      <w:r>
        <w:rPr>
          <w:rFonts w:hint="eastAsia" w:ascii="宋体" w:hAnsi="宋体" w:eastAsia="宋体" w:cs="宋体"/>
          <w:bCs/>
          <w:color w:val="000000" w:themeColor="text1"/>
          <w:sz w:val="24"/>
          <w:szCs w:val="24"/>
          <w:highlight w:val="none"/>
          <w14:textFill>
            <w14:solidFill>
              <w14:schemeClr w14:val="tx1"/>
            </w14:solidFill>
          </w14:textFill>
        </w:rPr>
        <w:t xml:space="preserve">人社部门或经人社部门备案的组织颁发的园林绿化</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工</w:t>
      </w:r>
      <w:r>
        <w:rPr>
          <w:rFonts w:hint="eastAsia" w:ascii="宋体" w:hAnsi="宋体" w:eastAsia="宋体" w:cs="宋体"/>
          <w:bCs/>
          <w:color w:val="000000" w:themeColor="text1"/>
          <w:sz w:val="24"/>
          <w:szCs w:val="24"/>
          <w:highlight w:val="none"/>
          <w14:textFill>
            <w14:solidFill>
              <w14:schemeClr w14:val="tx1"/>
            </w14:solidFill>
          </w14:textFill>
        </w:rPr>
        <w:t xml:space="preserve">职业技能等级证书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二级得0.5分，一级得1分。本项最高得3分。</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④其他人员</w:t>
      </w:r>
      <w:r>
        <w:rPr>
          <w:rFonts w:hint="eastAsia" w:ascii="宋体" w:hAnsi="宋体" w:eastAsia="宋体" w:cs="宋体"/>
          <w:bCs/>
          <w:color w:val="000000" w:themeColor="text1"/>
          <w:sz w:val="24"/>
          <w:szCs w:val="24"/>
          <w:highlight w:val="none"/>
          <w14:textFill>
            <w14:solidFill>
              <w14:schemeClr w14:val="tx1"/>
            </w14:solidFill>
          </w14:textFill>
        </w:rPr>
        <w:t xml:space="preserve">情况（</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jc w:val="left"/>
        <w:spacing w:line="360" w:lineRule="auto"/>
        <w:shd w:val="clear" w:color="auto" w:fill="auto"/>
        <w:tabs>
          <w:tab w:val="left" w:pos="945" w:leader="none"/>
          <w:tab w:val="left" w:pos="1155"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消控岗保安人员具有人社部门或经人社部门备案的组织颁发的保安员证书的，四级/中级工</w:t>
      </w:r>
      <w:r>
        <w:rPr>
          <w:rFonts w:hint="eastAsia" w:ascii="宋体" w:hAnsi="宋体" w:eastAsia="宋体" w:cs="宋体"/>
          <w:bCs/>
          <w:color w:val="000000" w:themeColor="text1"/>
          <w:sz w:val="24"/>
          <w:szCs w:val="24"/>
          <w:highlight w:val="none"/>
          <w14:textFill>
            <w14:solidFill>
              <w14:schemeClr w14:val="tx1"/>
            </w14:solidFill>
          </w14:textFill>
        </w:rPr>
        <w:t xml:space="preserve">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三级/高级工及以上得2分，需提供有效的证书扫描件，否则不得分。本项最高得2分。 </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综合主管具有人社部门颁发的注册安全工程师证书的得2分。本项最高得2分。</w:t>
      </w:r>
      <w:r/>
    </w:p>
    <w:p>
      <w:pPr>
        <w:ind w:firstLine="480"/>
        <w:jc w:val="left"/>
        <w:spacing w:line="360" w:lineRule="auto"/>
        <w:shd w:val="clear" w:color="auto" w:fill="auto"/>
        <w:tabs>
          <w:tab w:val="left" w:pos="945" w:leader="none"/>
          <w:tab w:val="left" w:pos="1155" w:leader="none"/>
        </w:tabs>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工程维修人员具有人社部门或经人社部门备案的组织颁发的维修电工证书的，三级得1分，二级及以上得2分。本项最高得2分。</w:t>
      </w:r>
      <w:r/>
    </w:p>
    <w:p>
      <w:pPr>
        <w:ind w:firstLine="480"/>
        <w:jc w:val="left"/>
        <w:spacing w:line="360" w:lineRule="auto"/>
        <w:shd w:val="clear" w:color="auto"/>
        <w:tabs>
          <w:tab w:val="left" w:pos="945" w:leader="none"/>
          <w:tab w:val="left" w:pos="1155" w:leader="none"/>
        </w:tabs>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注：同一人不可重复得分。提供上述人员的证书等相关证明材料原件扫描件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上传至投标文件并</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加盖</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bCs w:val="0"/>
          <w:color w:val="000000" w:themeColor="text1"/>
          <w:sz w:val="24"/>
          <w:szCs w:val="24"/>
          <w:highlight w:val="none"/>
          <w14:textFill>
            <w14:solidFill>
              <w14:schemeClr w14:val="tx1"/>
            </w14:solidFill>
          </w14:textFill>
        </w:rPr>
        <w:t xml:space="preserve">电子</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公章</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；同时</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提供投标人近三个月连续为其缴纳社保的缴费证明（至少包含近三个月中任意一个月份不含投标当月缴纳社保的证明，成立不满三个自然月的公司若无法提供为其缴纳的社保，则需提供此员工与企业签订的劳动合同），需提供社保缴费证明或劳动合同原件扫描件上传至电子标书中并加盖投标人电子公章；不提供或提供不全的不得分。</w:t>
      </w:r>
      <w:r/>
    </w:p>
    <w:p>
      <w:pPr>
        <w:pStyle w:val="841"/>
        <w:ind w:firstLine="480"/>
        <w:jc w:val="left"/>
        <w:spacing w:after="0"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、服务方案（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48</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在响应招标文件需求的基础上针对下列各部分进行评价，要求体现科学合理性、条理性、可行性、完善性，以下各部分如未见阐述则不得分：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（1）目标及整体设想（</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①投标人对本项目所要求工作内容的认识与理解（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②投标人对本项目服务的理解与设想（</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③投标人对本项目服务的目标（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分；以上内容未进行阐述或不满足采购需求或内容存在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处及以上瑕疵的该条得0分；本项最高得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（2）管理服务体系（</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①管理服务体系运作流程（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②管理规章制度（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③物业管理服务的组织架构（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（3）岗前培训及阶段性培训管理（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针对本项目培训目标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②针对本项目培训内容方案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③针对本项目培训方法方案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（4）日常管理标准及措施（</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①管理服务运作模式和管理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 xml:space="preserve">管理服务的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日常管理措施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分；以上内容未进行阐述或不满足采购需求或内容存在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）物资装备的配备及维保使用方案（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①物业管理服务方面涉及的物资装备配备方案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②维保使用方案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分；以上内容未进行阐述或不满足采购需求或内容存在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）管理重点难点和措施（6分）</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①分析本项目服务过程中存在的重点、难点问题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②针对分析的重点、难点问题提出处理预案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应急事件处理方案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与采购人以及其他单位、部门的综合协调方案（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①与采购人协调方案（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②与其他单位、部门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之间的</w:t>
      </w:r>
      <w:r>
        <w:rPr>
          <w:rFonts w:hint="eastAsia" w:ascii="宋体" w:hAnsi="宋体" w:eastAsia="宋体" w:cs="宋体"/>
          <w:color w:val="000000" w:themeColor="text1"/>
          <w:sz w:val="24"/>
          <w:szCs w:val="24"/>
          <w:highlight w:val="none"/>
          <w14:textFill>
            <w14:solidFill>
              <w14:schemeClr w14:val="tx1"/>
            </w14:solidFill>
          </w14:textFill>
        </w:rPr>
        <w:t xml:space="preserve">协调方案（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正式接管前具体措施（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分；以上内容存在1处瑕疵的该条得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分；以上内容未进行阐述或不满足采购需求或内容存在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特殊情况应急预案及措施（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过失及意外保障措施（</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①过失及意外保障措施（2分）</w:t>
      </w:r>
      <w:r/>
    </w:p>
    <w:p>
      <w:pPr>
        <w:ind w:left="0" w:right="0" w:firstLine="480"/>
        <w:jc w:val="both"/>
        <w:keepLines w:val="0"/>
        <w:keepNext w:val="0"/>
        <w:pageBreakBefore w:val="0"/>
        <w:spacing w:before="0" w:after="0" w:line="360" w:lineRule="auto"/>
        <w:shd w:val="clear" w:color="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②过失及意外处理原则（2分）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档案资料管理（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513"/>
        <w:spacing w:line="360" w:lineRule="auto"/>
        <w:shd w:val="clear" w:color="auto"/>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①物业管理档案的内容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numPr>
          <w:ilvl w:val="0"/>
          <w:numId w:val="0"/>
        </w:numPr>
        <w:ind w:firstLine="480"/>
        <w:spacing w:line="360" w:lineRule="auto"/>
        <w:shd w:val="clear" w:color="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档案资料管理工作流程</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513"/>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③档案资料管理制度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服务响应时间（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left="0" w:right="0" w:firstLine="480"/>
        <w:jc w:val="both"/>
        <w:keepLines w:val="0"/>
        <w:keepNext w:val="0"/>
        <w:pageBreakBefore w:val="0"/>
        <w:spacing w:before="0" w:after="0"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firstLine="482"/>
        <w:keepLines w:val="0"/>
        <w:keepNext w:val="0"/>
        <w:pageBreakBefore w:val="0"/>
        <w:spacing w:line="360" w:lineRule="auto"/>
        <w:shd w:val="clear" w:color="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）特色与创新（2分）</w:t>
      </w:r>
      <w:r/>
    </w:p>
    <w:p>
      <w:pPr>
        <w:pStyle w:val="887"/>
        <w:ind w:firstLine="480"/>
        <w:spacing w:line="360" w:lineRule="auto"/>
        <w:rPr>
          <w:rFonts w:hint="eastAsia" w:asciiTheme="minorEastAsia" w:hAnsiTheme="minorEastAsia" w:eastAsiaTheme="minorEastAsia" w:cstheme="minorEastAsia"/>
          <w:color w:val="000000" w:themeColor="text1"/>
          <w:sz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pStyle w:val="8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41"/>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42"/>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37"/>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37"/>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37"/>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37"/>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pStyle w:val="840"/>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840"/>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846"/>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840"/>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JSZC-320205-JZCG-G2026-0054</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湖贤佳苑（安置房七期）物业服务采购项目</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二○二</w:t>
      </w:r>
      <w:r>
        <w:rPr>
          <w:rFonts w:hint="eastAsia" w:ascii="宋体" w:hAnsi="宋体" w:eastAsia="宋体" w:cs="宋体"/>
          <w:bCs/>
          <w:color w:val="000000" w:themeColor="text1"/>
          <w:sz w:val="36"/>
          <w:szCs w:val="36"/>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4" w:name="一．报价函（格式）"/>
      <w:r/>
      <w:bookmarkEnd w:id="74"/>
      <w:r/>
      <w:r/>
    </w:p>
    <w:p>
      <w:pPr>
        <w:pStyle w:val="84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868"/>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853"/>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853"/>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40"/>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840"/>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840"/>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5" w:name="报价方关于资格的声明函（格式）"/>
      <w:r/>
      <w:bookmarkEnd w:id="75"/>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湖贤佳苑（安置房七期）物业服务采购项目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840"/>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湖贤佳苑（安置房七期）物业服务采购项目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2" o:spid="_x0000_s12"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3" o:spid="_x0000_s13"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4" o:spid="_x0000_s14"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5" o:spid="_x0000_s15"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2"/>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53"/>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5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5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5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5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5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5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85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869"/>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JSZC-320205-JZCG-G2026-0054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headerReference w:type="default" r:id="rId10"/>
          <w:headerReference w:type="first" r:id="rId11"/>
          <w:footerReference w:type="default" r:id="rId15"/>
          <w:footerReference w:type="first" r:id="rId16"/>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JSZC-320205-JZCG-G2026-0054</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836"/>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5"/>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836"/>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870"/>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870"/>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836"/>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871"/>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871"/>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843"/>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87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836"/>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873"/>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8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852"/>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湖贤佳苑（安置房七期）物业服务采购项目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840"/>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8、</w:t>
      </w:r>
      <w:r/>
    </w:p>
    <w:p>
      <w:pPr>
        <w:pStyle w:val="840"/>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852"/>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52"/>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52"/>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55"/>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4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52"/>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52"/>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52"/>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JSZC-320205-JZCG-G2026-0054</w:t>
      </w:r>
      <w:r/>
    </w:p>
    <w:tbl>
      <w:tblPr>
        <w:tblStyle w:val="836"/>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73"/>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873"/>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872"/>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874"/>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836"/>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852"/>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52"/>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852"/>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6"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JSZC-320205-JZCG-G2026-0054</w:t>
      </w:r>
      <w:r/>
    </w:p>
    <w:tbl>
      <w:tblPr>
        <w:tblStyle w:val="836"/>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836"/>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5"/>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875"/>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6"/>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7"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84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84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4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85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4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84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84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848"/>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875"/>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7"/>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875"/>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8"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8"/>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_x000B__x000C_">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宋体">
    <w:panose1 w:val="02010600030101010101"/>
  </w:font>
  <w:font w:name="楷体_GB2312">
    <w:panose1 w:val="02010609060101010101"/>
  </w:font>
  <w:font w:name="华文中宋">
    <w:panose1 w:val="02010600040101010101"/>
  </w:font>
  <w:font w:name="黑体">
    <w:panose1 w:val="0201060906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left="652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spacing w:val="7"/>
        <w:sz w:val="18"/>
        <w:szCs w:val="18"/>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rPr>
        <w:rFonts w:hint="eastAsia" w:eastAsia="楷体_GB2312"/>
        <w:sz w:val="21"/>
        <w:lang w:eastAsia="zh-CN"/>
      </w:rPr>
    </w:pPr>
    <w:r>
      <w:rPr>
        <w:rFonts w:hint="eastAsia" w:eastAsia="楷体_GB2312"/>
        <w:sz w:val="21"/>
        <w:lang w:eastAsia="zh-CN"/>
      </w:rPr>
    </w:r>
    <w:r/>
  </w:p>
  <w:p>
    <w:pPr>
      <w:pStyle w:val="876"/>
      <w:jc w:val="both"/>
      <w:rPr>
        <w:rFonts w:hint="eastAsia" w:eastAsia="楷体_GB2312"/>
        <w:sz w:val="21"/>
        <w:lang w:eastAsia="zh-CN"/>
      </w:rPr>
    </w:pPr>
    <w:r>
      <w:rPr>
        <w:rFonts w:hint="eastAsia" w:eastAsia="楷体_GB2312"/>
        <w:sz w:val="21"/>
        <w:lang w:eastAsia="zh-CN"/>
      </w:rPr>
    </w:r>
    <w:r/>
  </w:p>
  <w:p>
    <w:pPr>
      <w:pStyle w:val="876"/>
      <w:jc w:val="both"/>
      <w:rPr>
        <w:rFonts w:hint="eastAsia" w:ascii="宋体" w:hAnsi="宋体" w:eastAsia="宋体" w:cs="宋体"/>
        <w:sz w:val="15"/>
        <w:szCs w:val="15"/>
      </w:rPr>
    </w:pPr>
    <w:r>
      <w:rPr>
        <w:rFonts w:hint="eastAsia" w:eastAsia="楷体_GB2312"/>
        <w:sz w:val="22"/>
        <w:szCs w:val="20"/>
        <w:lang w:eastAsia="zh-CN"/>
      </w:rPr>
      <w:t xml:space="preserve">JSZC-320205-JZCG-G2026-0054</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rPr>
        <w:rFonts w:hint="eastAsia" w:ascii="宋体" w:hAnsi="宋体" w:eastAsia="宋体" w:cs="宋体"/>
        <w:sz w:val="15"/>
        <w:szCs w:val="15"/>
      </w:rPr>
    </w:pPr>
    <w:r>
      <w:rPr>
        <w:rFonts w:hint="eastAsia" w:eastAsia="楷体_GB2312"/>
        <w:sz w:val="21"/>
        <w:lang w:eastAsia="zh-CN"/>
      </w:rPr>
      <w:t xml:space="preserve">JSZC-320205-JZCG-G2026-0054</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JSZC-320205-JZCG-G2026-0054</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2"/>
    <w:next w:val="8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35"/>
    <w:link w:val="12"/>
    <w:uiPriority w:val="9"/>
    <w:rPr>
      <w:rFonts w:ascii="Arial" w:hAnsi="Arial" w:eastAsia="Arial" w:cs="Arial"/>
      <w:sz w:val="40"/>
      <w:szCs w:val="40"/>
    </w:rPr>
  </w:style>
  <w:style w:type="character" w:styleId="15">
    <w:name w:val="Heading 2 Char"/>
    <w:basedOn w:val="835"/>
    <w:link w:val="833"/>
    <w:uiPriority w:val="9"/>
    <w:rPr>
      <w:rFonts w:ascii="Arial" w:hAnsi="Arial" w:eastAsia="Arial" w:cs="Arial"/>
      <w:sz w:val="34"/>
    </w:rPr>
  </w:style>
  <w:style w:type="paragraph" w:styleId="16">
    <w:name w:val="Heading 3"/>
    <w:basedOn w:val="832"/>
    <w:next w:val="8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35"/>
    <w:link w:val="16"/>
    <w:uiPriority w:val="9"/>
    <w:rPr>
      <w:rFonts w:ascii="Arial" w:hAnsi="Arial" w:eastAsia="Arial" w:cs="Arial"/>
      <w:sz w:val="30"/>
      <w:szCs w:val="30"/>
    </w:rPr>
  </w:style>
  <w:style w:type="character" w:styleId="19">
    <w:name w:val="Heading 4 Char"/>
    <w:basedOn w:val="835"/>
    <w:link w:val="834"/>
    <w:uiPriority w:val="9"/>
    <w:rPr>
      <w:rFonts w:ascii="Arial" w:hAnsi="Arial" w:eastAsia="Arial" w:cs="Arial"/>
      <w:b/>
      <w:bCs/>
      <w:sz w:val="26"/>
      <w:szCs w:val="26"/>
    </w:rPr>
  </w:style>
  <w:style w:type="paragraph" w:styleId="20">
    <w:name w:val="Heading 5"/>
    <w:basedOn w:val="832"/>
    <w:next w:val="8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5"/>
    <w:link w:val="20"/>
    <w:uiPriority w:val="9"/>
    <w:rPr>
      <w:rFonts w:ascii="Arial" w:hAnsi="Arial" w:eastAsia="Arial" w:cs="Arial"/>
      <w:b/>
      <w:bCs/>
      <w:sz w:val="24"/>
      <w:szCs w:val="24"/>
    </w:rPr>
  </w:style>
  <w:style w:type="paragraph" w:styleId="22">
    <w:name w:val="Heading 6"/>
    <w:basedOn w:val="832"/>
    <w:next w:val="8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5"/>
    <w:link w:val="22"/>
    <w:uiPriority w:val="9"/>
    <w:rPr>
      <w:rFonts w:ascii="Arial" w:hAnsi="Arial" w:eastAsia="Arial" w:cs="Arial"/>
      <w:b/>
      <w:bCs/>
      <w:sz w:val="22"/>
      <w:szCs w:val="22"/>
    </w:rPr>
  </w:style>
  <w:style w:type="paragraph" w:styleId="24">
    <w:name w:val="Heading 7"/>
    <w:basedOn w:val="832"/>
    <w:next w:val="8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5"/>
    <w:link w:val="24"/>
    <w:uiPriority w:val="9"/>
    <w:rPr>
      <w:rFonts w:ascii="Arial" w:hAnsi="Arial" w:eastAsia="Arial" w:cs="Arial"/>
      <w:b/>
      <w:bCs/>
      <w:i/>
      <w:iCs/>
      <w:sz w:val="22"/>
      <w:szCs w:val="22"/>
    </w:rPr>
  </w:style>
  <w:style w:type="paragraph" w:styleId="26">
    <w:name w:val="Heading 8"/>
    <w:basedOn w:val="832"/>
    <w:next w:val="8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5"/>
    <w:link w:val="26"/>
    <w:uiPriority w:val="9"/>
    <w:rPr>
      <w:rFonts w:ascii="Arial" w:hAnsi="Arial" w:eastAsia="Arial" w:cs="Arial"/>
      <w:i/>
      <w:iCs/>
      <w:sz w:val="22"/>
      <w:szCs w:val="22"/>
    </w:rPr>
  </w:style>
  <w:style w:type="paragraph" w:styleId="28">
    <w:name w:val="Heading 9"/>
    <w:basedOn w:val="832"/>
    <w:next w:val="8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2"/>
    <w:next w:val="832"/>
    <w:link w:val="34"/>
    <w:uiPriority w:val="10"/>
    <w:qFormat/>
    <w:pPr>
      <w:contextualSpacing/>
      <w:spacing w:before="300" w:after="200"/>
    </w:pPr>
    <w:rPr>
      <w:sz w:val="48"/>
      <w:szCs w:val="48"/>
    </w:rPr>
  </w:style>
  <w:style w:type="character" w:styleId="34">
    <w:name w:val="Title Char"/>
    <w:basedOn w:val="835"/>
    <w:link w:val="33"/>
    <w:uiPriority w:val="10"/>
    <w:rPr>
      <w:sz w:val="48"/>
      <w:szCs w:val="48"/>
    </w:rPr>
  </w:style>
  <w:style w:type="character" w:styleId="36">
    <w:name w:val="Subtitle Char"/>
    <w:basedOn w:val="835"/>
    <w:link w:val="846"/>
    <w:uiPriority w:val="11"/>
    <w:rPr>
      <w:sz w:val="24"/>
      <w:szCs w:val="24"/>
    </w:rPr>
  </w:style>
  <w:style w:type="paragraph" w:styleId="37">
    <w:name w:val="Quote"/>
    <w:basedOn w:val="832"/>
    <w:next w:val="832"/>
    <w:link w:val="38"/>
    <w:uiPriority w:val="29"/>
    <w:qFormat/>
    <w:pPr>
      <w:ind w:left="720" w:right="720"/>
    </w:pPr>
    <w:rPr>
      <w:i/>
    </w:rPr>
  </w:style>
  <w:style w:type="character" w:styleId="38">
    <w:name w:val="Quote Char"/>
    <w:link w:val="37"/>
    <w:uiPriority w:val="29"/>
    <w:rPr>
      <w:i/>
    </w:rPr>
  </w:style>
  <w:style w:type="paragraph" w:styleId="39">
    <w:name w:val="Intense Quote"/>
    <w:basedOn w:val="832"/>
    <w:next w:val="8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5"/>
    <w:link w:val="845"/>
    <w:uiPriority w:val="99"/>
  </w:style>
  <w:style w:type="character" w:styleId="44">
    <w:name w:val="Footer Char"/>
    <w:basedOn w:val="835"/>
    <w:link w:val="844"/>
    <w:uiPriority w:val="99"/>
  </w:style>
  <w:style w:type="paragraph" w:styleId="45">
    <w:name w:val="Caption"/>
    <w:basedOn w:val="832"/>
    <w:next w:val="832"/>
    <w:uiPriority w:val="35"/>
    <w:semiHidden/>
    <w:unhideWhenUsed/>
    <w:qFormat/>
    <w:pPr>
      <w:spacing w:line="276" w:lineRule="auto"/>
    </w:pPr>
    <w:rPr>
      <w:b/>
      <w:bCs/>
      <w:color w:val="4f81bd" w:themeColor="accent1"/>
      <w:sz w:val="18"/>
      <w:szCs w:val="18"/>
    </w:rPr>
  </w:style>
  <w:style w:type="character" w:styleId="46">
    <w:name w:val="Caption Char"/>
    <w:basedOn w:val="45"/>
    <w:link w:val="844"/>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5"/>
    <w:uiPriority w:val="99"/>
    <w:unhideWhenUsed/>
    <w:rPr>
      <w:vertAlign w:val="superscript"/>
    </w:rPr>
  </w:style>
  <w:style w:type="paragraph" w:styleId="177">
    <w:name w:val="endnote text"/>
    <w:basedOn w:val="8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5"/>
    <w:uiPriority w:val="99"/>
    <w:semiHidden/>
    <w:unhideWhenUsed/>
    <w:rPr>
      <w:vertAlign w:val="superscript"/>
    </w:rPr>
  </w:style>
  <w:style w:type="paragraph" w:styleId="180">
    <w:name w:val="toc 1"/>
    <w:basedOn w:val="832"/>
    <w:next w:val="832"/>
    <w:uiPriority w:val="39"/>
    <w:unhideWhenUsed/>
    <w:pPr>
      <w:ind w:left="0" w:right="0" w:firstLine="0"/>
      <w:spacing w:after="57"/>
    </w:pPr>
  </w:style>
  <w:style w:type="paragraph" w:styleId="181">
    <w:name w:val="toc 2"/>
    <w:basedOn w:val="832"/>
    <w:next w:val="832"/>
    <w:uiPriority w:val="39"/>
    <w:unhideWhenUsed/>
    <w:pPr>
      <w:ind w:left="283" w:right="0" w:firstLine="0"/>
      <w:spacing w:after="57"/>
    </w:pPr>
  </w:style>
  <w:style w:type="paragraph" w:styleId="182">
    <w:name w:val="toc 3"/>
    <w:basedOn w:val="832"/>
    <w:next w:val="832"/>
    <w:uiPriority w:val="39"/>
    <w:unhideWhenUsed/>
    <w:pPr>
      <w:ind w:left="567" w:right="0" w:firstLine="0"/>
      <w:spacing w:after="57"/>
    </w:pPr>
  </w:style>
  <w:style w:type="paragraph" w:styleId="183">
    <w:name w:val="toc 4"/>
    <w:basedOn w:val="832"/>
    <w:next w:val="832"/>
    <w:uiPriority w:val="39"/>
    <w:unhideWhenUsed/>
    <w:pPr>
      <w:ind w:left="850" w:right="0" w:firstLine="0"/>
      <w:spacing w:after="57"/>
    </w:pPr>
  </w:style>
  <w:style w:type="paragraph" w:styleId="184">
    <w:name w:val="toc 5"/>
    <w:basedOn w:val="832"/>
    <w:next w:val="832"/>
    <w:uiPriority w:val="39"/>
    <w:unhideWhenUsed/>
    <w:pPr>
      <w:ind w:left="1134" w:right="0" w:firstLine="0"/>
      <w:spacing w:after="57"/>
    </w:pPr>
  </w:style>
  <w:style w:type="paragraph" w:styleId="186">
    <w:name w:val="toc 7"/>
    <w:basedOn w:val="832"/>
    <w:next w:val="832"/>
    <w:uiPriority w:val="39"/>
    <w:unhideWhenUsed/>
    <w:pPr>
      <w:ind w:left="1701" w:right="0" w:firstLine="0"/>
      <w:spacing w:after="57"/>
    </w:pPr>
  </w:style>
  <w:style w:type="paragraph" w:styleId="187">
    <w:name w:val="toc 8"/>
    <w:basedOn w:val="832"/>
    <w:next w:val="832"/>
    <w:uiPriority w:val="39"/>
    <w:unhideWhenUsed/>
    <w:pPr>
      <w:ind w:left="1984" w:right="0" w:firstLine="0"/>
      <w:spacing w:after="57"/>
    </w:pPr>
  </w:style>
  <w:style w:type="paragraph" w:styleId="188">
    <w:name w:val="toc 9"/>
    <w:basedOn w:val="832"/>
    <w:next w:val="8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2"/>
    <w:next w:val="832"/>
    <w:uiPriority w:val="99"/>
    <w:unhideWhenUsed/>
    <w:pPr>
      <w:spacing w:after="0" w:afterAutospacing="0"/>
    </w:pPr>
  </w:style>
  <w:style w:type="paragraph" w:styleId="832" w:default="1">
    <w:name w:val="Normal"/>
    <w:next w:val="837"/>
    <w:link w:val="871"/>
    <w:uiPriority w:val="0"/>
    <w:qFormat/>
    <w:pPr>
      <w:jc w:val="both"/>
      <w:widowControl w:val="off"/>
    </w:pPr>
    <w:rPr>
      <w:rFonts w:hint="default" w:ascii="等线" w:hAnsi="等线" w:eastAsia="等线" w:cs="Times New Roman"/>
      <w:sz w:val="21"/>
      <w:szCs w:val="22"/>
      <w:lang w:val="en-US" w:eastAsia="zh-CN" w:bidi="ar-SA"/>
    </w:rPr>
  </w:style>
  <w:style w:type="paragraph" w:styleId="833">
    <w:name w:val="Heading 2"/>
    <w:next w:val="832"/>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paragraph" w:styleId="834">
    <w:name w:val="Heading 4"/>
    <w:basedOn w:val="832"/>
    <w:next w:val="832"/>
    <w:uiPriority w:val="99"/>
    <w:qFormat/>
    <w:pPr>
      <w:jc w:val="center"/>
      <w:keepNext/>
      <w:outlineLvl w:val="3"/>
    </w:pPr>
    <w:rPr>
      <w:rFonts w:eastAsia="楷体_GB2312"/>
      <w:b/>
      <w:bCs/>
      <w:sz w:val="13"/>
    </w:rPr>
  </w:style>
  <w:style w:type="character" w:styleId="835" w:default="1">
    <w:name w:val="Default Paragraph Font"/>
    <w:uiPriority w:val="0"/>
    <w:semiHidden/>
    <w:qFormat/>
  </w:style>
  <w:style w:type="table" w:styleId="836" w:default="1">
    <w:name w:val="Normal Table"/>
    <w:uiPriority w:val="0"/>
    <w:semiHidden/>
    <w:qFormat/>
    <w:tblPr>
      <w:tblCellMar>
        <w:left w:w="108" w:type="dxa"/>
        <w:top w:w="0" w:type="dxa"/>
        <w:right w:w="108" w:type="dxa"/>
        <w:bottom w:w="0" w:type="dxa"/>
      </w:tblCellMar>
    </w:tblPr>
  </w:style>
  <w:style w:type="paragraph" w:styleId="837" w:customStyle="1">
    <w:name w:val="段"/>
    <w:next w:val="83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38">
    <w:name w:val="Document Map"/>
    <w:basedOn w:val="832"/>
    <w:uiPriority w:val="0"/>
    <w:qFormat/>
    <w:pPr>
      <w:shd w:val="clear" w:color="auto" w:fill="000080"/>
    </w:pPr>
    <w:rPr>
      <w:rFonts w:asciiTheme="minorHAnsi" w:hAnsiTheme="minorHAnsi" w:eastAsiaTheme="minorEastAsia" w:cstheme="minorBidi"/>
      <w:szCs w:val="24"/>
      <w:shd w:val="clear" w:color="auto" w:fill="000080"/>
    </w:rPr>
  </w:style>
  <w:style w:type="paragraph" w:styleId="839">
    <w:name w:val="annotation text"/>
    <w:basedOn w:val="832"/>
    <w:uiPriority w:val="0"/>
    <w:semiHidden/>
    <w:qFormat/>
    <w:pPr>
      <w:jc w:val="left"/>
    </w:pPr>
    <w:rPr>
      <w:sz w:val="20"/>
      <w:szCs w:val="24"/>
    </w:rPr>
  </w:style>
  <w:style w:type="paragraph" w:styleId="840">
    <w:name w:val="Body Text"/>
    <w:basedOn w:val="832"/>
    <w:next w:val="841"/>
    <w:uiPriority w:val="99"/>
    <w:qFormat/>
    <w:rPr>
      <w:rFonts w:ascii="华文中宋" w:eastAsia="华文中宋"/>
      <w:bCs/>
      <w:sz w:val="28"/>
    </w:rPr>
  </w:style>
  <w:style w:type="paragraph" w:styleId="841">
    <w:name w:val="Body Text First Indent"/>
    <w:basedOn w:val="840"/>
    <w:next w:val="842"/>
    <w:uiPriority w:val="99"/>
    <w:unhideWhenUsed/>
    <w:qFormat/>
    <w:pPr>
      <w:ind w:firstLine="420"/>
      <w:spacing w:after="120"/>
    </w:pPr>
    <w:rPr>
      <w:rFonts w:ascii="Times New Roman"/>
      <w:bCs w:val="0"/>
      <w:sz w:val="21"/>
    </w:rPr>
  </w:style>
  <w:style w:type="paragraph" w:styleId="842">
    <w:name w:val="toc 6"/>
    <w:basedOn w:val="832"/>
    <w:next w:val="832"/>
    <w:uiPriority w:val="99"/>
    <w:qFormat/>
    <w:pPr>
      <w:ind w:left="1050" w:firstLine="420"/>
      <w:jc w:val="left"/>
      <w:spacing w:line="288" w:lineRule="auto"/>
    </w:pPr>
    <w:rPr>
      <w:sz w:val="18"/>
      <w:szCs w:val="18"/>
    </w:rPr>
  </w:style>
  <w:style w:type="paragraph" w:styleId="843">
    <w:name w:val="index 4"/>
    <w:basedOn w:val="832"/>
    <w:next w:val="832"/>
    <w:uiPriority w:val="99"/>
    <w:qFormat/>
    <w:pPr>
      <w:ind w:left="600"/>
    </w:pPr>
    <w:rPr>
      <w:szCs w:val="24"/>
    </w:rPr>
  </w:style>
  <w:style w:type="paragraph" w:styleId="844">
    <w:name w:val="Footer"/>
    <w:basedOn w:val="832"/>
    <w:uiPriority w:val="99"/>
    <w:unhideWhenUsed/>
    <w:qFormat/>
    <w:pPr>
      <w:spacing w:after="0" w:line="240" w:lineRule="auto"/>
      <w:tabs>
        <w:tab w:val="center" w:pos="7143" w:leader="none"/>
        <w:tab w:val="right" w:pos="14287" w:leader="none"/>
      </w:tabs>
    </w:pPr>
  </w:style>
  <w:style w:type="paragraph" w:styleId="845">
    <w:name w:val="Header"/>
    <w:basedOn w:val="832"/>
    <w:uiPriority w:val="99"/>
    <w:unhideWhenUsed/>
    <w:qFormat/>
    <w:pPr>
      <w:spacing w:after="0" w:line="240" w:lineRule="auto"/>
      <w:tabs>
        <w:tab w:val="center" w:pos="7143" w:leader="none"/>
        <w:tab w:val="right" w:pos="14287" w:leader="none"/>
      </w:tabs>
    </w:pPr>
  </w:style>
  <w:style w:type="paragraph" w:styleId="846">
    <w:name w:val="Subtitle"/>
    <w:basedOn w:val="832"/>
    <w:next w:val="832"/>
    <w:uiPriority w:val="11"/>
    <w:qFormat/>
    <w:pPr>
      <w:spacing w:before="200" w:after="200"/>
    </w:pPr>
    <w:rPr>
      <w:sz w:val="24"/>
      <w:szCs w:val="24"/>
    </w:rPr>
  </w:style>
  <w:style w:type="paragraph" w:styleId="847">
    <w:name w:val="List"/>
    <w:basedOn w:val="832"/>
    <w:uiPriority w:val="99"/>
    <w:semiHidden/>
    <w:qFormat/>
    <w:pPr>
      <w:contextualSpacing/>
      <w:ind w:left="200" w:hanging="200"/>
    </w:pPr>
  </w:style>
  <w:style w:type="paragraph" w:styleId="848">
    <w:name w:val="Normal (Web)"/>
    <w:basedOn w:val="832"/>
    <w:uiPriority w:val="99"/>
    <w:qFormat/>
    <w:pPr>
      <w:jc w:val="left"/>
      <w:spacing w:before="100" w:beforeAutospacing="1" w:after="100" w:afterAutospacing="1"/>
      <w:widowControl/>
    </w:pPr>
    <w:rPr>
      <w:rFonts w:ascii="宋体" w:hAnsi="宋体" w:cs="宋体"/>
      <w:sz w:val="24"/>
      <w:szCs w:val="24"/>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mphasis"/>
    <w:basedOn w:val="835"/>
    <w:uiPriority w:val="20"/>
    <w:qFormat/>
    <w:rPr>
      <w:b/>
      <w:bCs/>
    </w:rPr>
  </w:style>
  <w:style w:type="paragraph" w:styleId="851" w:customStyle="1">
    <w:name w:val="正文文本11"/>
    <w:basedOn w:val="832"/>
    <w:next w:val="852"/>
    <w:uiPriority w:val="99"/>
    <w:qFormat/>
    <w:rPr>
      <w:rFonts w:ascii="华文中宋" w:eastAsia="华文中宋"/>
      <w:bCs/>
      <w:sz w:val="28"/>
    </w:rPr>
  </w:style>
  <w:style w:type="paragraph" w:styleId="852" w:customStyle="1">
    <w:name w:val="正文首行缩进1"/>
    <w:basedOn w:val="853"/>
    <w:next w:val="855"/>
    <w:link w:val="860"/>
    <w:uiPriority w:val="99"/>
    <w:unhideWhenUsed/>
    <w:qFormat/>
    <w:pPr>
      <w:ind w:firstLine="420"/>
      <w:spacing w:after="120"/>
    </w:pPr>
    <w:rPr>
      <w:rFonts w:ascii="等线" w:hAnsi="等线" w:eastAsia="等线" w:cs="Times New Roman"/>
      <w:bCs w:val="0"/>
      <w:sz w:val="21"/>
      <w:szCs w:val="22"/>
    </w:rPr>
  </w:style>
  <w:style w:type="paragraph" w:styleId="853" w:customStyle="1">
    <w:name w:val="正文文本1"/>
    <w:basedOn w:val="832"/>
    <w:next w:val="854"/>
    <w:uiPriority w:val="0"/>
    <w:qFormat/>
    <w:rPr>
      <w:rFonts w:ascii="华文中宋" w:hAnsi="Times New Roman" w:eastAsia="华文中宋" w:cs="Times New Roman"/>
      <w:bCs/>
      <w:sz w:val="28"/>
      <w:szCs w:val="20"/>
    </w:rPr>
  </w:style>
  <w:style w:type="paragraph" w:styleId="854" w:customStyle="1">
    <w:name w:val="列表1"/>
    <w:basedOn w:val="832"/>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855" w:customStyle="1">
    <w:name w:val="目录 61"/>
    <w:basedOn w:val="832"/>
    <w:next w:val="832"/>
    <w:uiPriority w:val="99"/>
    <w:qFormat/>
    <w:pPr>
      <w:ind w:left="1050" w:firstLine="420"/>
      <w:jc w:val="left"/>
      <w:spacing w:line="288" w:lineRule="auto"/>
    </w:pPr>
    <w:rPr>
      <w:sz w:val="18"/>
      <w:szCs w:val="18"/>
    </w:rPr>
  </w:style>
  <w:style w:type="paragraph" w:styleId="856">
    <w:name w:val="List Paragraph"/>
    <w:basedOn w:val="832"/>
    <w:uiPriority w:val="34"/>
    <w:qFormat/>
    <w:pPr>
      <w:contextualSpacing/>
      <w:ind w:left="720"/>
    </w:pPr>
  </w:style>
  <w:style w:type="paragraph" w:styleId="857" w:customStyle="1">
    <w:name w:val="纯文本1"/>
    <w:basedOn w:val="832"/>
    <w:next w:val="858"/>
    <w:uiPriority w:val="0"/>
    <w:qFormat/>
    <w:rPr>
      <w:rFonts w:ascii="宋体" w:hAnsi="Courier New" w:eastAsia="宋体" w:cs="Times New Roman"/>
      <w:szCs w:val="20"/>
    </w:rPr>
  </w:style>
  <w:style w:type="paragraph" w:styleId="858" w:customStyle="1">
    <w:name w:val="目录 21"/>
    <w:basedOn w:val="832"/>
    <w:next w:val="832"/>
    <w:uiPriority w:val="39"/>
    <w:unhideWhenUsed/>
    <w:qFormat/>
    <w:pPr>
      <w:ind w:left="420"/>
    </w:pPr>
  </w:style>
  <w:style w:type="paragraph" w:styleId="859" w:customStyle="1">
    <w:name w:val="目录 11"/>
    <w:basedOn w:val="832"/>
    <w:next w:val="832"/>
    <w:uiPriority w:val="39"/>
    <w:qFormat/>
    <w:pPr>
      <w:jc w:val="center"/>
      <w:spacing w:before="120" w:after="120"/>
      <w:tabs>
        <w:tab w:val="right" w:pos="9170" w:leader="dot"/>
      </w:tabs>
    </w:pPr>
    <w:rPr>
      <w:rFonts w:eastAsia="文鼎小标宋简"/>
      <w:caps/>
      <w:sz w:val="32"/>
      <w:szCs w:val="32"/>
    </w:rPr>
  </w:style>
  <w:style w:type="character" w:styleId="860" w:customStyle="1">
    <w:name w:val="正文首行缩进 Char"/>
    <w:link w:val="852"/>
    <w:uiPriority w:val="99"/>
    <w:semiHidden/>
    <w:qFormat/>
    <w:rPr>
      <w:rFonts w:ascii="等线" w:hAnsi="等线" w:eastAsia="等线" w:cs="Times New Roman"/>
      <w:sz w:val="21"/>
      <w:szCs w:val="22"/>
    </w:rPr>
  </w:style>
  <w:style w:type="paragraph" w:styleId="861" w:customStyle="1">
    <w:name w:val="_Style 1"/>
    <w:basedOn w:val="832"/>
    <w:uiPriority w:val="0"/>
    <w:qFormat/>
    <w:pPr>
      <w:ind w:firstLine="420"/>
    </w:pPr>
    <w:rPr>
      <w:rFonts w:ascii="Times New Roman" w:hAnsi="Times New Roman" w:eastAsia="宋体" w:cs="Times New Roman"/>
      <w:sz w:val="20"/>
      <w:szCs w:val="20"/>
    </w:rPr>
  </w:style>
  <w:style w:type="paragraph" w:styleId="862" w:customStyle="1">
    <w:name w:val="标题 11"/>
    <w:basedOn w:val="832"/>
    <w:next w:val="832"/>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863" w:customStyle="1">
    <w:name w:val="TOC Heading1"/>
    <w:next w:val="832"/>
    <w:uiPriority w:val="0"/>
    <w:qFormat/>
    <w:rPr>
      <w:rFonts w:hint="default" w:ascii="Times New Roman" w:hAnsi="Times New Roman" w:eastAsia="宋体" w:cs="Times New Roman"/>
      <w:sz w:val="32"/>
      <w:lang w:val="en-US" w:eastAsia="zh-CN" w:bidi="ar-SA"/>
    </w:rPr>
  </w:style>
  <w:style w:type="paragraph" w:styleId="864" w:customStyle="1">
    <w:name w:val="列出段落1"/>
    <w:basedOn w:val="832"/>
    <w:uiPriority w:val="0"/>
    <w:qFormat/>
    <w:pPr>
      <w:ind w:firstLine="420"/>
    </w:pPr>
    <w:rPr>
      <w:rFonts w:ascii="Calibri" w:hAnsi="Calibri" w:eastAsia="宋体" w:cs="Times New Roman"/>
    </w:rPr>
  </w:style>
  <w:style w:type="paragraph" w:styleId="865" w:customStyle="1">
    <w:name w:val="标题 41"/>
    <w:basedOn w:val="832"/>
    <w:next w:val="832"/>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866" w:customStyle="1">
    <w:name w:val="Table Normal"/>
    <w:uiPriority w:val="0"/>
    <w:unhideWhenUsed/>
    <w:qFormat/>
    <w:tblPr/>
  </w:style>
  <w:style w:type="paragraph" w:styleId="867" w:customStyle="1">
    <w:name w:val="Table Text"/>
    <w:basedOn w:val="832"/>
    <w:uiPriority w:val="0"/>
    <w:semiHidden/>
    <w:qFormat/>
    <w:rPr>
      <w:rFonts w:ascii="宋体" w:hAnsi="宋体" w:eastAsia="宋体" w:cs="宋体"/>
      <w:sz w:val="22"/>
      <w:szCs w:val="22"/>
      <w:lang w:val="en-US" w:eastAsia="en-US" w:bidi="ar-SA"/>
    </w:rPr>
  </w:style>
  <w:style w:type="character" w:styleId="868" w:customStyle="1">
    <w:name w:val="HTML 打字机1"/>
    <w:link w:val="832"/>
    <w:uiPriority w:val="0"/>
    <w:qFormat/>
    <w:rPr>
      <w:rFonts w:hint="default" w:ascii="等线" w:hAnsi="等线" w:eastAsia="等线" w:cs="Times New Roman"/>
      <w:sz w:val="21"/>
      <w:szCs w:val="22"/>
      <w:lang w:val="en-US" w:eastAsia="zh-CN" w:bidi="ar-SA"/>
    </w:rPr>
  </w:style>
  <w:style w:type="paragraph" w:styleId="869" w:customStyle="1">
    <w:name w:val="索引 41"/>
    <w:basedOn w:val="832"/>
    <w:next w:val="832"/>
    <w:uiPriority w:val="99"/>
    <w:qFormat/>
    <w:pPr>
      <w:ind w:left="600"/>
    </w:pPr>
    <w:rPr>
      <w:rFonts w:ascii="Times New Roman" w:hAnsi="Times New Roman" w:eastAsia="宋体" w:cs="Times New Roman"/>
      <w:szCs w:val="24"/>
    </w:rPr>
  </w:style>
  <w:style w:type="character" w:styleId="870" w:customStyle="1">
    <w:name w:val="font41"/>
    <w:link w:val="832"/>
    <w:uiPriority w:val="0"/>
    <w:qFormat/>
    <w:rPr>
      <w:rFonts w:hint="eastAsia" w:ascii="宋体" w:hAnsi="宋体" w:eastAsia="宋体" w:cs="宋体"/>
      <w:color w:val="000000"/>
      <w:sz w:val="24"/>
      <w:szCs w:val="24"/>
      <w:u w:val="none"/>
    </w:rPr>
  </w:style>
  <w:style w:type="character" w:styleId="871" w:customStyle="1">
    <w:name w:val="font21"/>
    <w:link w:val="832"/>
    <w:uiPriority w:val="0"/>
    <w:qFormat/>
    <w:rPr>
      <w:rFonts w:hint="eastAsia" w:ascii="宋体" w:hAnsi="宋体" w:eastAsia="宋体" w:cs="宋体"/>
      <w:b/>
      <w:color w:val="000000"/>
      <w:sz w:val="24"/>
      <w:szCs w:val="24"/>
      <w:u w:val="none"/>
    </w:rPr>
  </w:style>
  <w:style w:type="paragraph" w:styleId="87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73" w:customStyle="1">
    <w:name w:val="标题 31"/>
    <w:basedOn w:val="832"/>
    <w:next w:val="83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874" w:customStyle="1">
    <w:name w:val="正文缩进1"/>
    <w:basedOn w:val="832"/>
    <w:next w:val="832"/>
    <w:uiPriority w:val="0"/>
    <w:qFormat/>
    <w:pPr>
      <w:ind w:firstLine="420"/>
    </w:pPr>
    <w:rPr>
      <w:rFonts w:ascii="Times New Roman" w:hAnsi="Times New Roman" w:eastAsia="宋体" w:cs="Times New Roman"/>
      <w:szCs w:val="20"/>
    </w:rPr>
  </w:style>
  <w:style w:type="paragraph" w:styleId="875" w:customStyle="1">
    <w:name w:val="标题 21"/>
    <w:basedOn w:val="832"/>
    <w:next w:val="832"/>
    <w:uiPriority w:val="9"/>
    <w:qFormat/>
    <w:pPr>
      <w:keepLines/>
      <w:keepNext/>
      <w:spacing w:before="260" w:after="260" w:line="413" w:lineRule="auto"/>
      <w:outlineLvl w:val="1"/>
    </w:pPr>
    <w:rPr>
      <w:rFonts w:ascii="Arial" w:hAnsi="Arial" w:eastAsia="黑体" w:cs="Times New Roman"/>
      <w:b/>
      <w:bCs/>
      <w:sz w:val="32"/>
      <w:szCs w:val="32"/>
    </w:rPr>
  </w:style>
  <w:style w:type="paragraph" w:styleId="876" w:customStyle="1">
    <w:name w:val="页眉1"/>
    <w:basedOn w:val="8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77" w:customStyle="1">
    <w:name w:val="页脚1"/>
    <w:basedOn w:val="832"/>
    <w:next w:val="863"/>
    <w:uiPriority w:val="99"/>
    <w:unhideWhenUsed/>
    <w:qFormat/>
    <w:pPr>
      <w:jc w:val="left"/>
      <w:tabs>
        <w:tab w:val="center" w:pos="4153" w:leader="none"/>
        <w:tab w:val="right" w:pos="8306" w:leader="none"/>
      </w:tabs>
    </w:pPr>
    <w:rPr>
      <w:sz w:val="18"/>
      <w:szCs w:val="18"/>
    </w:rPr>
  </w:style>
  <w:style w:type="paragraph" w:styleId="878" w:customStyle="1">
    <w:name w:val="页眉11"/>
    <w:basedOn w:val="832"/>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879" w:customStyle="1">
    <w:name w:val="页脚111"/>
    <w:basedOn w:val="832"/>
    <w:next w:val="832"/>
    <w:uiPriority w:val="0"/>
    <w:unhideWhenUsed/>
    <w:qFormat/>
    <w:pPr>
      <w:jc w:val="left"/>
      <w:tabs>
        <w:tab w:val="center" w:pos="4153" w:leader="none"/>
        <w:tab w:val="right" w:pos="8306" w:leader="none"/>
      </w:tabs>
    </w:pPr>
    <w:rPr>
      <w:sz w:val="18"/>
      <w:szCs w:val="18"/>
    </w:rPr>
  </w:style>
  <w:style w:type="paragraph" w:styleId="880" w:customStyle="1">
    <w:name w:val="正文文本12"/>
    <w:basedOn w:val="832"/>
    <w:next w:val="832"/>
    <w:uiPriority w:val="99"/>
    <w:qFormat/>
    <w:rPr>
      <w:rFonts w:ascii="华文中宋" w:eastAsia="华文中宋"/>
      <w:bCs/>
      <w:sz w:val="28"/>
    </w:rPr>
  </w:style>
  <w:style w:type="paragraph" w:styleId="881" w:customStyle="1">
    <w:name w:val="列出段落"/>
    <w:basedOn w:val="832"/>
    <w:uiPriority w:val="99"/>
    <w:qFormat/>
    <w:pPr>
      <w:ind w:firstLine="420"/>
    </w:pPr>
  </w:style>
  <w:style w:type="paragraph" w:styleId="882" w:customStyle="1">
    <w:name w:val="l15"/>
    <w:basedOn w:val="832"/>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883" w:customStyle="1">
    <w:name w:val="标题 411"/>
    <w:basedOn w:val="832"/>
    <w:next w:val="832"/>
    <w:uiPriority w:val="99"/>
    <w:qFormat/>
    <w:pPr>
      <w:jc w:val="center"/>
      <w:keepNext/>
      <w:outlineLvl w:val="3"/>
    </w:pPr>
    <w:rPr>
      <w:rFonts w:eastAsia="楷体_GB2312"/>
      <w:b/>
      <w:bCs/>
      <w:sz w:val="13"/>
    </w:rPr>
  </w:style>
  <w:style w:type="paragraph" w:styleId="884" w:customStyle="1">
    <w:name w:val="页脚11"/>
    <w:basedOn w:val="832"/>
    <w:uiPriority w:val="0"/>
    <w:unhideWhenUsed/>
    <w:qFormat/>
    <w:pPr>
      <w:jc w:val="left"/>
      <w:tabs>
        <w:tab w:val="center" w:pos="4153" w:leader="none"/>
        <w:tab w:val="right" w:pos="8306" w:leader="none"/>
      </w:tabs>
    </w:pPr>
    <w:rPr>
      <w:sz w:val="18"/>
      <w:szCs w:val="18"/>
    </w:rPr>
  </w:style>
  <w:style w:type="paragraph" w:styleId="885" w:customStyle="1">
    <w:name w:val="样式 表格正文 + 两端对齐"/>
    <w:basedOn w:val="832"/>
    <w:next w:val="886"/>
    <w:uiPriority w:val="99"/>
    <w:qFormat/>
    <w:pPr>
      <w:spacing w:line="300" w:lineRule="auto"/>
    </w:pPr>
  </w:style>
  <w:style w:type="paragraph" w:styleId="886" w:customStyle="1">
    <w:name w:val="正文1"/>
    <w:basedOn w:val="838"/>
    <w:next w:val="83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887" w:customStyle="1">
    <w:name w:val="List Paragraph1"/>
    <w:basedOn w:val="832"/>
    <w:uiPriority w:val="0"/>
    <w:qFormat/>
    <w:pPr>
      <w:ind w:firstLine="420"/>
    </w:pPr>
    <w:rPr>
      <w:szCs w:val="21"/>
    </w:rPr>
  </w:style>
  <w:style w:type="numbering" w:styleId="35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1</cp:revision>
  <dcterms:created xsi:type="dcterms:W3CDTF">2025-06-12T07:27:00Z</dcterms:created>
  <dcterms:modified xsi:type="dcterms:W3CDTF">2026-10-29T03:56:07Z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E48AA1ACAC28410A88CCEBFB2B9CD331_12</vt:lpwstr>
  </property>
  <property fmtid="{D5CDD505-2E9C-101B-9397-08002B2CF9AE}" pid="4" name="KSOTemplateDocerSaveRecord">
    <vt:lpwstr>eyJoZGlkIjoiZGUyYTY1ZjhiZjc3ZTYzZWRkMjI3NWI3NzU4OTNkOTkiLCJ1c2VySWQiOiIxMzc5NjEyNDY0In0=</vt:lpwstr>
  </property>
</Properties>
</file>