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84"/>
          <w:szCs w:val="84"/>
          <w:highlight w:val="none"/>
        </w:rPr>
      </w:pPr>
      <w:r>
        <w:rPr>
          <w:rFonts w:hint="eastAsia" w:ascii="宋体" w:hAnsi="宋体" w:cs="宋体"/>
          <w:b/>
          <w:color w:val="auto"/>
          <w:sz w:val="84"/>
          <w:szCs w:val="84"/>
          <w:highlight w:val="none"/>
        </w:rPr>
      </w:r>
      <w:r/>
    </w:p>
    <w:p>
      <w:pPr>
        <w:jc w:val="center"/>
        <w:rPr>
          <w:rFonts w:hint="eastAsia" w:ascii="宋体" w:hAnsi="宋体" w:cs="宋体"/>
          <w:b/>
          <w:color w:val="auto"/>
          <w:sz w:val="84"/>
          <w:szCs w:val="84"/>
          <w:highlight w:val="none"/>
        </w:rPr>
      </w:pPr>
      <w:r>
        <w:rPr>
          <w:rFonts w:hint="eastAsia" w:ascii="宋体" w:hAnsi="宋体" w:cs="宋体"/>
          <w:b/>
          <w:color w:val="auto"/>
          <w:sz w:val="84"/>
          <w:szCs w:val="84"/>
          <w:highlight w:val="none"/>
        </w:rPr>
      </w:r>
      <w:r/>
    </w:p>
    <w:p>
      <w:pPr>
        <w:jc w:val="center"/>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苏州高新区政府采购</w:t>
      </w:r>
      <w:r/>
    </w:p>
    <w:p>
      <w:pPr>
        <w:jc w:val="center"/>
        <w:rPr>
          <w:rFonts w:hint="eastAsia" w:ascii="宋体" w:hAnsi="宋体" w:cs="宋体"/>
          <w:b/>
          <w:color w:val="auto"/>
          <w:sz w:val="84"/>
          <w:szCs w:val="84"/>
          <w:highlight w:val="none"/>
        </w:rPr>
      </w:pPr>
      <w:r>
        <w:rPr>
          <w:rFonts w:hint="eastAsia" w:ascii="宋体" w:hAnsi="宋体" w:cs="宋体"/>
          <w:b/>
          <w:color w:val="auto"/>
          <w:sz w:val="84"/>
          <w:szCs w:val="84"/>
          <w:highlight w:val="none"/>
        </w:rPr>
        <w:t xml:space="preserve">竞争性磋商文件</w:t>
      </w:r>
      <w:r/>
    </w:p>
    <w:p>
      <w:pPr>
        <w:pStyle w:val="730"/>
        <w:rPr>
          <w:rFonts w:hint="eastAsia" w:ascii="宋体" w:hAnsi="宋体" w:cs="宋体"/>
          <w:b/>
          <w:color w:val="auto"/>
          <w:sz w:val="84"/>
          <w:szCs w:val="84"/>
          <w:highlight w:val="none"/>
        </w:rPr>
      </w:pPr>
      <w:r>
        <w:rPr>
          <w:rFonts w:hint="eastAsia" w:ascii="宋体" w:hAnsi="宋体" w:cs="宋体"/>
          <w:b/>
          <w:color w:val="auto"/>
          <w:sz w:val="84"/>
          <w:szCs w:val="84"/>
          <w:highlight w:val="none"/>
        </w:rPr>
      </w:r>
      <w:r/>
    </w:p>
    <w:p>
      <w:pPr>
        <w:pStyle w:val="730"/>
        <w:rPr>
          <w:rFonts w:hint="eastAsia" w:ascii="宋体" w:hAnsi="宋体" w:cs="宋体"/>
          <w:b/>
          <w:color w:val="auto"/>
          <w:sz w:val="84"/>
          <w:szCs w:val="84"/>
          <w:highlight w:val="none"/>
        </w:rPr>
      </w:pPr>
      <w:r>
        <w:rPr>
          <w:rFonts w:hint="eastAsia" w:ascii="宋体" w:hAnsi="宋体" w:cs="宋体"/>
          <w:b/>
          <w:color w:val="auto"/>
          <w:sz w:val="84"/>
          <w:szCs w:val="84"/>
          <w:highlight w:val="none"/>
        </w:rPr>
      </w:r>
      <w:r/>
    </w:p>
    <w:p>
      <w:pPr>
        <w:pStyle w:val="730"/>
        <w:rPr>
          <w:rFonts w:hint="eastAsia" w:ascii="宋体" w:hAnsi="宋体" w:cs="宋体"/>
          <w:b/>
          <w:color w:val="auto"/>
          <w:sz w:val="84"/>
          <w:szCs w:val="84"/>
          <w:highlight w:val="none"/>
        </w:rPr>
      </w:pPr>
      <w:r>
        <w:rPr>
          <w:rFonts w:hint="eastAsia" w:ascii="宋体" w:hAnsi="宋体" w:cs="宋体"/>
          <w:b/>
          <w:color w:val="auto"/>
          <w:sz w:val="84"/>
          <w:szCs w:val="84"/>
          <w:highlight w:val="none"/>
        </w:rPr>
      </w:r>
      <w:r/>
    </w:p>
    <w:p>
      <w:pPr>
        <w:ind w:firstLine="964"/>
        <w:jc w:val="left"/>
        <w:spacing w:line="480" w:lineRule="auto"/>
        <w:rPr>
          <w:rFonts w:hint="eastAsia" w:ascii="宋体" w:hAnsi="宋体"/>
          <w:b/>
          <w:bCs/>
          <w:color w:val="auto"/>
          <w:sz w:val="32"/>
          <w:szCs w:val="32"/>
          <w:highlight w:val="none"/>
        </w:rPr>
      </w:pPr>
      <w:r>
        <w:rPr>
          <w:rFonts w:ascii="宋体" w:hAnsi="宋体" w:cs="宋体"/>
          <w:b/>
          <w:bCs/>
          <w:color w:val="auto"/>
          <w:sz w:val="32"/>
          <w:szCs w:val="32"/>
          <w:highlight w:val="none"/>
        </w:rPr>
        <w:t xml:space="preserve">采购编号：</w:t>
      </w:r>
      <w:r>
        <w:rPr>
          <w:rFonts w:hint="eastAsia" w:ascii="宋体" w:hAnsi="宋体" w:cs="宋体"/>
          <w:b/>
          <w:bCs/>
          <w:color w:val="auto"/>
          <w:sz w:val="32"/>
          <w:szCs w:val="32"/>
          <w:highlight w:val="none"/>
        </w:rPr>
        <w:t xml:space="preserve">JSZC-320505-SSXC-C2026-0001</w:t>
      </w:r>
      <w:r/>
    </w:p>
    <w:p>
      <w:pPr>
        <w:ind w:left="2520" w:hanging="1556"/>
        <w:jc w:val="left"/>
        <w:spacing w:line="480" w:lineRule="auto"/>
        <w:rPr>
          <w:rFonts w:hint="eastAsia" w:ascii="宋体" w:hAnsi="宋体" w:eastAsia="宋体" w:cs="宋体"/>
          <w:b/>
          <w:bCs/>
          <w:color w:val="auto"/>
          <w:sz w:val="32"/>
          <w:szCs w:val="32"/>
          <w:highlight w:val="none"/>
          <w:lang w:eastAsia="zh-CN"/>
        </w:rPr>
      </w:pPr>
      <w:r>
        <w:rPr>
          <w:rFonts w:ascii="宋体" w:hAnsi="宋体" w:cs="宋体"/>
          <w:b/>
          <w:bCs/>
          <w:color w:val="auto"/>
          <w:sz w:val="32"/>
          <w:szCs w:val="32"/>
          <w:highlight w:val="none"/>
        </w:rPr>
        <w:t xml:space="preserve">采购项目：</w:t>
      </w:r>
      <w:r>
        <w:rPr>
          <w:rFonts w:hint="eastAsia" w:ascii="宋体" w:hAnsi="宋体" w:cs="宋体"/>
          <w:b/>
          <w:bCs/>
          <w:color w:val="auto"/>
          <w:sz w:val="32"/>
          <w:szCs w:val="32"/>
          <w:highlight w:val="none"/>
          <w:lang w:eastAsia="zh-CN"/>
        </w:rPr>
        <w:t xml:space="preserve">2026-2029年安防视频监控新建项目维保</w:t>
      </w:r>
      <w:r/>
    </w:p>
    <w:p>
      <w:pPr>
        <w:ind w:left="1050" w:hanging="90"/>
        <w:jc w:val="left"/>
        <w:spacing w:line="480" w:lineRule="auto"/>
        <w:rPr>
          <w:rFonts w:hint="eastAsia" w:ascii="宋体" w:hAnsi="宋体" w:cs="宋体"/>
          <w:b/>
          <w:bCs/>
          <w:color w:val="auto"/>
          <w:sz w:val="32"/>
          <w:szCs w:val="32"/>
          <w:highlight w:val="none"/>
        </w:rPr>
      </w:pPr>
      <w:r>
        <w:rPr>
          <w:rFonts w:hint="eastAsia" w:ascii="宋体" w:hAnsi="宋体" w:eastAsia="Arial" w:cs="宋体"/>
          <w:b/>
          <w:bCs/>
          <w:color w:val="auto"/>
          <w:sz w:val="30"/>
          <w:szCs w:val="21"/>
          <w:highlight w:val="none"/>
        </w:rPr>
        <w:t xml:space="preserve">采购</w:t>
      </w:r>
      <w:r>
        <w:rPr>
          <w:rFonts w:hint="eastAsia" w:ascii="宋体" w:hAnsi="宋体" w:cs="宋体"/>
          <w:b/>
          <w:bCs/>
          <w:color w:val="auto"/>
          <w:sz w:val="30"/>
          <w:szCs w:val="21"/>
          <w:highlight w:val="none"/>
          <w:lang w:val="en-US" w:eastAsia="zh-CN"/>
        </w:rPr>
        <w:t xml:space="preserve">单位</w:t>
      </w:r>
      <w:r>
        <w:rPr>
          <w:rFonts w:hint="eastAsia" w:ascii="宋体" w:hAnsi="宋体" w:eastAsia="Arial" w:cs="宋体"/>
          <w:b/>
          <w:bCs/>
          <w:color w:val="auto"/>
          <w:sz w:val="30"/>
          <w:szCs w:val="21"/>
          <w:highlight w:val="none"/>
        </w:rPr>
        <w:t xml:space="preserve">：</w:t>
      </w:r>
      <w:r>
        <w:rPr>
          <w:rFonts w:hint="eastAsia" w:ascii="宋体" w:hAnsi="宋体" w:cs="宋体"/>
          <w:b/>
          <w:bCs/>
          <w:color w:val="auto"/>
          <w:sz w:val="32"/>
          <w:szCs w:val="32"/>
          <w:highlight w:val="none"/>
        </w:rPr>
        <w:t xml:space="preserve">苏州浒墅关经济技术开发区集成指挥中心</w:t>
      </w:r>
      <w:r/>
    </w:p>
    <w:p>
      <w:pPr>
        <w:ind w:left="1050" w:hanging="90"/>
        <w:jc w:val="left"/>
        <w:spacing w:line="480" w:lineRule="auto"/>
        <w:rPr>
          <w:rFonts w:ascii="宋体" w:hAnsi="宋体" w:cs="宋体"/>
          <w:b/>
          <w:bCs/>
          <w:color w:val="auto"/>
          <w:sz w:val="32"/>
          <w:szCs w:val="32"/>
          <w:highlight w:val="none"/>
        </w:rPr>
      </w:pPr>
      <w:r>
        <w:rPr>
          <w:rFonts w:hint="eastAsia" w:cs="宋体"/>
          <w:b/>
          <w:color w:val="auto"/>
          <w:sz w:val="30"/>
          <w:szCs w:val="30"/>
          <w:highlight w:val="none"/>
        </w:rPr>
        <w:t xml:space="preserve">采购</w:t>
      </w:r>
      <w:r>
        <w:rPr>
          <w:rFonts w:ascii="宋体" w:hAnsi="宋体" w:cs="宋体"/>
          <w:b/>
          <w:bCs/>
          <w:color w:val="auto"/>
          <w:sz w:val="32"/>
          <w:szCs w:val="32"/>
          <w:highlight w:val="none"/>
        </w:rPr>
        <w:t xml:space="preserve">类别：</w:t>
      </w:r>
      <w:r>
        <w:rPr>
          <w:rFonts w:hint="eastAsia" w:ascii="宋体" w:hAnsi="宋体" w:cs="宋体"/>
          <w:b/>
          <w:bCs/>
          <w:color w:val="auto"/>
          <w:sz w:val="32"/>
          <w:highlight w:val="none"/>
        </w:rPr>
        <w:t xml:space="preserve">服务</w:t>
      </w:r>
      <w:r>
        <w:rPr>
          <w:rFonts w:ascii="宋体" w:hAnsi="宋体" w:cs="宋体"/>
          <w:b/>
          <w:bCs/>
          <w:color w:val="auto"/>
          <w:sz w:val="32"/>
          <w:szCs w:val="32"/>
          <w:highlight w:val="none"/>
        </w:rPr>
        <w:t xml:space="preserve">类</w:t>
      </w:r>
      <w:r/>
    </w:p>
    <w:p>
      <w:pPr>
        <w:pStyle w:val="73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30"/>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苏州苏兮创建设咨询有限公司</w:t>
      </w:r>
      <w:r/>
    </w:p>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t xml:space="preserve">二〇二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lang w:val="en-US"/>
        </w:rPr>
        <w:t xml:space="preserve">年</w:t>
      </w:r>
      <w:r>
        <w:rPr>
          <w:rFonts w:hint="eastAsia" w:ascii="宋体" w:hAnsi="宋体" w:eastAsia="宋体" w:cs="宋体"/>
          <w:b/>
          <w:color w:val="auto"/>
          <w:sz w:val="32"/>
          <w:highlight w:val="none"/>
          <w:lang w:val="en-US" w:eastAsia="zh-CN"/>
        </w:rPr>
        <w:t xml:space="preserve">十</w:t>
      </w:r>
      <w:r>
        <w:rPr>
          <w:rFonts w:hint="eastAsia" w:ascii="宋体" w:hAnsi="宋体" w:eastAsia="宋体" w:cs="宋体"/>
          <w:b/>
          <w:color w:val="auto"/>
          <w:sz w:val="32"/>
          <w:highlight w:val="none"/>
          <w:lang w:val="en-US"/>
        </w:rPr>
        <w:t xml:space="preserve">月</w:t>
      </w:r>
      <w:r/>
    </w:p>
    <w:p>
      <w:pPr>
        <w:jc w:val="center"/>
        <w:spacing w:line="48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"_Toc9473"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磋商须知前附表............................................3</w:t>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第一章</w:t>
      </w:r>
      <w:r>
        <w:rPr>
          <w:rFonts w:hint="eastAsia" w:ascii="宋体" w:hAnsi="宋体" w:cs="宋体"/>
          <w:color w:val="auto"/>
          <w:sz w:val="28"/>
          <w:szCs w:val="28"/>
          <w:highlight w:val="none"/>
          <w:lang w:val="en-US" w:eastAsia="zh-CN"/>
        </w:rPr>
        <w:t xml:space="preserve"> 磋商公告</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fldChar w:fldCharType="end"/>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"_Toc31289"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须知</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"_Toc4265"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磋商响应文件格式</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7</w:t>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磋商需求</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"_Toc20798"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合同主要条款</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p>
    <w:p>
      <w:pPr>
        <w:pStyle w:val="713"/>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"_Toc15282"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评审方法及评分标准</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8</w:t>
      </w:r>
      <w:r/>
    </w:p>
    <w:p>
      <w:pPr>
        <w:pStyle w:val="713"/>
        <w:spacing w:line="360" w:lineRule="auto"/>
        <w:rPr>
          <w:rFonts w:hint="eastAsia"/>
          <w:b/>
          <w:color w:val="auto"/>
          <w:szCs w:val="36"/>
          <w:highlight w:val="none"/>
        </w:rPr>
      </w:pPr>
      <w:r>
        <w:rPr>
          <w:rFonts w:hint="eastAsia" w:ascii="宋体" w:hAnsi="宋体" w:eastAsia="宋体" w:cs="宋体"/>
          <w:color w:val="auto"/>
          <w:sz w:val="28"/>
          <w:szCs w:val="28"/>
          <w:highlight w:val="none"/>
        </w:rPr>
        <w:fldChar w:fldCharType="end"/>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lang w:val="en-US" w:eastAsia="zh-CN"/>
        </w:rPr>
        <w:t xml:space="preserve">磋商须知</w:t>
      </w:r>
      <w:r>
        <w:rPr>
          <w:rFonts w:hint="eastAsia"/>
          <w:b/>
          <w:color w:val="auto"/>
          <w:sz w:val="36"/>
          <w:szCs w:val="36"/>
          <w:highlight w:val="none"/>
        </w:rPr>
        <w:t xml:space="preserve">前附表</w:t>
      </w:r>
      <w:r/>
    </w:p>
    <w:p>
      <w:pPr>
        <w:rPr>
          <w:color w:val="auto"/>
          <w:highlight w:val="none"/>
        </w:rPr>
      </w:pPr>
      <w:r>
        <w:rPr>
          <w:color w:val="auto"/>
          <w:highlight w:val="none"/>
        </w:rPr>
      </w:r>
      <w:r/>
    </w:p>
    <w:tbl>
      <w:tblPr>
        <w:tblStyle w:val="698"/>
        <w:tblW w:w="10155" w:type="dxa"/>
        <w:jc w:val="center"/>
        <w:tblLayout w:type="fixed"/>
        <w:tblCellMar>
          <w:left w:w="108" w:type="dxa"/>
          <w:top w:w="0" w:type="dxa"/>
          <w:right w:w="108" w:type="dxa"/>
          <w:bottom w:w="0" w:type="dxa"/>
        </w:tblCellMar>
        <w:tblLook w:val="04A0" w:firstRow="1" w:lastRow="0" w:firstColumn="1" w:lastColumn="0" w:noHBand="0" w:noVBand="1"/>
      </w:tblPr>
      <w:tblGrid>
        <w:gridCol w:w="809"/>
        <w:gridCol w:w="1929"/>
        <w:gridCol w:w="741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2026-2029年安防视频监控新建项目维保</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服务期限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叁年</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具体开始时间</w:t>
            </w:r>
            <w:r>
              <w:rPr>
                <w:rFonts w:hint="eastAsia" w:ascii="宋体" w:hAnsi="宋体"/>
                <w:color w:val="auto"/>
                <w:sz w:val="24"/>
                <w:highlight w:val="none"/>
                <w:lang w:val="zh-CN"/>
              </w:rPr>
              <w:t xml:space="preserve">以采购人通知为准）</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tabs>
                <w:tab w:val="left" w:pos="252" w:leader="none"/>
              </w:tabs>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采购预算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2532630.00 元</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最高限价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2532630.00 元</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highlight w:val="none"/>
              </w:rPr>
              <w:t xml:space="preserve">采购单位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名称：苏州浒墅关经济技术开发区集成指挥中心</w:t>
            </w:r>
            <w:r/>
          </w:p>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地址：苏州高新区兴贤路666号</w:t>
            </w:r>
            <w:r/>
          </w:p>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联系人：邵启航</w:t>
            </w:r>
            <w:r/>
          </w:p>
          <w:p>
            <w:pPr>
              <w:jc w:val="left"/>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联系电话：</w:t>
            </w:r>
            <w:r>
              <w:rPr>
                <w:rFonts w:hint="eastAsia" w:ascii="宋体" w:hAnsi="宋体"/>
                <w:color w:val="auto"/>
                <w:sz w:val="24"/>
                <w:highlight w:val="none"/>
                <w:lang w:eastAsia="zh-CN"/>
              </w:rPr>
              <w:t xml:space="preserve">13913595597</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采购代理机构</w:t>
            </w:r>
            <w:r/>
          </w:p>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名称及地址</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苏州苏兮创建设咨询有限公司</w:t>
            </w:r>
            <w:r/>
          </w:p>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地  址：苏州市吴中区金枫路216号东创科技园D栋12楼</w:t>
            </w:r>
            <w:r/>
          </w:p>
          <w:p>
            <w:pPr>
              <w:jc w:val="left"/>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联系人：周曦       电话：1596214914</w:t>
            </w:r>
            <w:r>
              <w:rPr>
                <w:rFonts w:hint="eastAsia" w:ascii="宋体" w:hAnsi="宋体"/>
                <w:color w:val="auto"/>
                <w:sz w:val="24"/>
                <w:highlight w:val="none"/>
                <w:lang w:val="en-US" w:eastAsia="zh-CN"/>
              </w:rPr>
              <w:t xml:space="preserve">2</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s="宋体"/>
                <w:color w:val="auto"/>
                <w:sz w:val="24"/>
                <w:highlight w:val="none"/>
              </w:rPr>
            </w:pPr>
            <w:r>
              <w:rPr>
                <w:rFonts w:hint="eastAsia" w:ascii="宋体" w:hAnsi="宋体"/>
                <w:color w:val="auto"/>
                <w:sz w:val="24"/>
                <w:highlight w:val="none"/>
                <w:lang w:val="en-US" w:eastAsia="zh-CN"/>
              </w:rPr>
              <w:t xml:space="preserve">响应文件</w:t>
            </w:r>
            <w:r>
              <w:rPr>
                <w:rFonts w:hint="eastAsia" w:ascii="宋体" w:hAnsi="宋体"/>
                <w:color w:val="auto"/>
                <w:sz w:val="24"/>
                <w:highlight w:val="none"/>
              </w:rPr>
              <w:t xml:space="preserve">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详见</w:t>
            </w:r>
            <w:r>
              <w:rPr>
                <w:rFonts w:hint="eastAsia" w:ascii="宋体" w:hAnsi="宋体"/>
                <w:color w:val="auto"/>
                <w:sz w:val="24"/>
                <w:highlight w:val="none"/>
                <w:lang w:val="en-US" w:eastAsia="zh-CN"/>
              </w:rPr>
              <w:t xml:space="preserve">磋商文件</w:t>
            </w:r>
            <w:r>
              <w:rPr>
                <w:rFonts w:hint="eastAsia" w:ascii="宋体" w:hAnsi="宋体"/>
                <w:color w:val="auto"/>
                <w:sz w:val="24"/>
                <w:highlight w:val="none"/>
              </w:rPr>
              <w:t xml:space="preserve">第二章</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s="宋体"/>
                <w:color w:val="auto"/>
                <w:sz w:val="24"/>
                <w:highlight w:val="none"/>
              </w:rPr>
            </w:pP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本项目不收取</w:t>
            </w:r>
            <w:r>
              <w:rPr>
                <w:rFonts w:hint="eastAsia" w:ascii="宋体" w:hAnsi="宋体"/>
                <w:b/>
                <w:bCs/>
                <w:color w:val="auto"/>
                <w:sz w:val="24"/>
                <w:highlight w:val="none"/>
                <w:lang w:val="en-US" w:eastAsia="zh-CN"/>
              </w:rPr>
              <w:t xml:space="preserve">磋商</w:t>
            </w:r>
            <w:r>
              <w:rPr>
                <w:rFonts w:hint="eastAsia" w:ascii="宋体" w:hAnsi="宋体"/>
                <w:b/>
                <w:bCs/>
                <w:color w:val="auto"/>
                <w:sz w:val="24"/>
                <w:highlight w:val="none"/>
              </w:rPr>
              <w:t xml:space="preserve">保证金，但须在响应文件中提供响应保证承诺书，格式见</w:t>
            </w:r>
            <w:r>
              <w:rPr>
                <w:rFonts w:hint="eastAsia" w:ascii="宋体" w:hAnsi="宋体"/>
                <w:b/>
                <w:bCs/>
                <w:color w:val="auto"/>
                <w:sz w:val="24"/>
                <w:highlight w:val="none"/>
                <w:lang w:val="en-US" w:eastAsia="zh-CN"/>
              </w:rPr>
              <w:t xml:space="preserve">磋商文件</w:t>
            </w:r>
            <w:r>
              <w:rPr>
                <w:rFonts w:hint="eastAsia" w:ascii="宋体" w:hAnsi="宋体"/>
                <w:b/>
                <w:bCs/>
                <w:color w:val="auto"/>
                <w:sz w:val="24"/>
                <w:highlight w:val="none"/>
              </w:rPr>
              <w:t xml:space="preserve">第</w:t>
            </w: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章。</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响应文件</w:t>
            </w:r>
            <w:r>
              <w:rPr>
                <w:rFonts w:hint="eastAsia" w:ascii="宋体" w:hAnsi="宋体"/>
                <w:color w:val="auto"/>
                <w:sz w:val="24"/>
                <w:highlight w:val="none"/>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自</w:t>
            </w:r>
            <w:r>
              <w:rPr>
                <w:rFonts w:hint="eastAsia" w:ascii="宋体" w:hAnsi="宋体"/>
                <w:color w:val="auto"/>
                <w:sz w:val="24"/>
                <w:highlight w:val="none"/>
              </w:rPr>
              <w:t xml:space="preserve">响应文件提交截止之日起</w:t>
            </w: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十天（日历日）</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获取</w:t>
            </w:r>
            <w:r>
              <w:rPr>
                <w:rFonts w:hint="eastAsia" w:ascii="宋体" w:hAnsi="宋体"/>
                <w:color w:val="auto"/>
                <w:sz w:val="24"/>
                <w:highlight w:val="none"/>
                <w:lang w:val="en-US" w:eastAsia="zh-CN"/>
              </w:rPr>
              <w:t xml:space="preserve">磋商文件</w:t>
            </w:r>
            <w:r/>
          </w:p>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自</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公告发布之日起5个工作日</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312"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文件网上</w:t>
            </w:r>
            <w:r/>
          </w:p>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日</w:t>
            </w:r>
            <w:r>
              <w:rPr>
                <w:rFonts w:hint="eastAsia" w:ascii="宋体" w:hAnsi="宋体"/>
                <w:color w:val="auto"/>
                <w:sz w:val="24"/>
                <w:highlight w:val="none"/>
                <w:u w:val="none"/>
                <w:lang w:val="en-US" w:eastAsia="zh-CN"/>
              </w:rPr>
              <w:t xml:space="preserve">09</w:t>
            </w:r>
            <w:r>
              <w:rPr>
                <w:rFonts w:hint="eastAsia" w:ascii="宋体" w:hAnsi="宋体"/>
                <w:color w:val="auto"/>
                <w:sz w:val="24"/>
                <w:highlight w:val="none"/>
                <w:u w:val="none"/>
              </w:rPr>
              <w:t xml:space="preserve">点30分</w:t>
            </w:r>
            <w:r>
              <w:rPr>
                <w:rFonts w:hint="eastAsia" w:ascii="宋体" w:hAnsi="宋体"/>
                <w:color w:val="auto"/>
                <w:sz w:val="24"/>
                <w:highlight w:val="none"/>
              </w:rPr>
              <w:t xml:space="preserve">（北京时间） </w:t>
            </w:r>
            <w:r/>
          </w:p>
          <w:p>
            <w:pPr>
              <w:jc w:val="left"/>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文件必须在截止时间前完成提交（上传），逾期提交（上传）的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文件恕不接受。</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开启</w:t>
            </w:r>
            <w:r>
              <w:rPr>
                <w:rFonts w:hint="eastAsia" w:ascii="宋体" w:hAnsi="宋体"/>
                <w:color w:val="auto"/>
                <w:sz w:val="24"/>
                <w:highlight w:val="none"/>
              </w:rPr>
              <w:t xml:space="preserve">时间</w:t>
            </w:r>
            <w:r/>
          </w:p>
          <w:p>
            <w:pPr>
              <w:jc w:val="center"/>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开启</w:t>
            </w:r>
            <w:r>
              <w:rPr>
                <w:rFonts w:hint="eastAsia" w:ascii="宋体" w:hAnsi="宋体"/>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日</w:t>
            </w:r>
            <w:r>
              <w:rPr>
                <w:rFonts w:hint="eastAsia" w:ascii="宋体" w:hAnsi="宋体"/>
                <w:color w:val="auto"/>
                <w:sz w:val="24"/>
                <w:highlight w:val="none"/>
                <w:u w:val="none"/>
                <w:lang w:val="en-US" w:eastAsia="zh-CN"/>
              </w:rPr>
              <w:t xml:space="preserve">09</w:t>
            </w:r>
            <w:r>
              <w:rPr>
                <w:rFonts w:hint="eastAsia" w:ascii="宋体" w:hAnsi="宋体" w:cs="宋体"/>
                <w:color w:val="auto"/>
                <w:sz w:val="24"/>
                <w:highlight w:val="none"/>
                <w:u w:val="none"/>
              </w:rPr>
              <w:t xml:space="preserve">点30分</w:t>
            </w:r>
            <w:r>
              <w:rPr>
                <w:rFonts w:hint="eastAsia" w:ascii="宋体" w:hAnsi="宋体" w:cs="宋体"/>
                <w:color w:val="auto"/>
                <w:sz w:val="24"/>
                <w:highlight w:val="none"/>
              </w:rPr>
              <w:t xml:space="preserve">（北京时间）</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“苏采云”系统（网址：https://jszfcg.jsczt.cn）-“开标大厅”</w:t>
            </w:r>
            <w:r/>
          </w:p>
          <w:p>
            <w:pPr>
              <w:jc w:val="left"/>
              <w:spacing w:line="440" w:lineRule="exact"/>
              <w:rPr>
                <w:rFonts w:hint="eastAsia" w:ascii="宋体" w:hAnsi="宋体"/>
                <w:color w:val="auto"/>
                <w:sz w:val="24"/>
                <w:highlight w:val="none"/>
              </w:rPr>
            </w:pPr>
            <w:r>
              <w:rPr>
                <w:rFonts w:hint="eastAsia" w:ascii="宋体" w:hAnsi="宋体" w:cs="宋体"/>
                <w:b/>
                <w:color w:val="auto"/>
                <w:sz w:val="24"/>
                <w:highlight w:val="none"/>
              </w:rPr>
              <w:t xml:space="preserve">本项目为不见面</w:t>
            </w:r>
            <w:r>
              <w:rPr>
                <w:rFonts w:hint="eastAsia" w:ascii="宋体" w:hAnsi="宋体" w:cs="宋体"/>
                <w:b/>
                <w:color w:val="auto"/>
                <w:sz w:val="24"/>
                <w:highlight w:val="none"/>
                <w:lang w:val="en-US" w:eastAsia="zh-CN"/>
              </w:rPr>
              <w:t xml:space="preserve">磋商</w:t>
            </w:r>
            <w:r>
              <w:rPr>
                <w:rFonts w:hint="eastAsia" w:ascii="宋体" w:hAnsi="宋体" w:cs="宋体"/>
                <w:b/>
                <w:color w:val="auto"/>
                <w:sz w:val="24"/>
                <w:highlight w:val="none"/>
              </w:rPr>
              <w:t xml:space="preserve">项目，</w:t>
            </w:r>
            <w:r>
              <w:rPr>
                <w:rFonts w:hint="eastAsia" w:ascii="宋体" w:hAnsi="宋体" w:cs="宋体"/>
                <w:b/>
                <w:color w:val="auto"/>
                <w:sz w:val="24"/>
                <w:highlight w:val="none"/>
                <w:lang w:val="en-US" w:eastAsia="zh-CN"/>
              </w:rPr>
              <w:t xml:space="preserve">开启</w:t>
            </w:r>
            <w:r>
              <w:rPr>
                <w:rFonts w:hint="eastAsia" w:ascii="宋体" w:hAnsi="宋体" w:cs="宋体"/>
                <w:b/>
                <w:color w:val="auto"/>
                <w:sz w:val="24"/>
                <w:highlight w:val="none"/>
              </w:rPr>
              <w:t xml:space="preserve">阶段供应商在【供应商解密】环节必须使用CA证书解密电子</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文件，如在系统规定的解密时间（</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文件提交截止时间后30分钟）内未能完成解密的视为放弃</w:t>
            </w:r>
            <w:r>
              <w:rPr>
                <w:rFonts w:hint="eastAsia" w:ascii="宋体" w:hAnsi="宋体" w:cs="宋体"/>
                <w:b/>
                <w:color w:val="auto"/>
                <w:sz w:val="24"/>
                <w:highlight w:val="none"/>
                <w:lang w:val="en-US" w:eastAsia="zh-CN"/>
              </w:rPr>
              <w:t xml:space="preserve">参与本项目</w:t>
            </w:r>
            <w:r>
              <w:rPr>
                <w:rFonts w:hint="eastAsia" w:ascii="宋体" w:hAnsi="宋体" w:cs="宋体"/>
                <w:b/>
                <w:color w:val="auto"/>
                <w:sz w:val="24"/>
                <w:highlight w:val="none"/>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312" w:lineRule="auto"/>
              <w:rPr>
                <w:rFonts w:hint="eastAsia" w:ascii="宋体" w:hAnsi="宋体"/>
                <w:color w:val="auto"/>
                <w:sz w:val="24"/>
                <w:highlight w:val="none"/>
              </w:rPr>
            </w:pPr>
            <w:r>
              <w:rPr>
                <w:rFonts w:hint="eastAsia" w:ascii="宋体" w:hAnsi="宋体"/>
                <w:color w:val="auto"/>
                <w:sz w:val="24"/>
                <w:highlight w:val="none"/>
              </w:rPr>
              <w:t xml:space="preserve">评</w:t>
            </w:r>
            <w:r>
              <w:rPr>
                <w:rFonts w:hint="eastAsia" w:ascii="宋体" w:hAnsi="宋体"/>
                <w:color w:val="auto"/>
                <w:sz w:val="24"/>
                <w:highlight w:val="none"/>
                <w:lang w:val="en-US" w:eastAsia="zh-CN"/>
              </w:rPr>
              <w:t xml:space="preserve">审</w:t>
            </w:r>
            <w:r>
              <w:rPr>
                <w:rFonts w:hint="eastAsia" w:ascii="宋体" w:hAnsi="宋体"/>
                <w:color w:val="auto"/>
                <w:sz w:val="24"/>
                <w:highlight w:val="none"/>
              </w:rPr>
              <w:t xml:space="preserve">时间</w:t>
            </w:r>
            <w:r/>
          </w:p>
          <w:p>
            <w:pPr>
              <w:jc w:val="center"/>
              <w:spacing w:line="312" w:lineRule="auto"/>
              <w:rPr>
                <w:rFonts w:hint="eastAsia" w:ascii="宋体" w:hAnsi="宋体"/>
                <w:color w:val="auto"/>
                <w:sz w:val="24"/>
                <w:highlight w:val="none"/>
              </w:rPr>
            </w:pPr>
            <w:r>
              <w:rPr>
                <w:rFonts w:hint="eastAsia" w:ascii="宋体" w:hAnsi="宋体"/>
                <w:color w:val="auto"/>
                <w:sz w:val="24"/>
                <w:highlight w:val="none"/>
              </w:rPr>
              <w:t xml:space="preserve">评</w:t>
            </w:r>
            <w:r>
              <w:rPr>
                <w:rFonts w:hint="eastAsia" w:ascii="宋体" w:hAnsi="宋体"/>
                <w:color w:val="auto"/>
                <w:sz w:val="24"/>
                <w:highlight w:val="none"/>
                <w:lang w:val="en-US" w:eastAsia="zh-CN"/>
              </w:rPr>
              <w:t xml:space="preserve">审</w:t>
            </w:r>
            <w:r>
              <w:rPr>
                <w:rFonts w:hint="eastAsia" w:ascii="宋体" w:hAnsi="宋体"/>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日</w:t>
            </w:r>
            <w:r>
              <w:rPr>
                <w:rFonts w:hint="eastAsia" w:ascii="宋体" w:hAnsi="宋体"/>
                <w:color w:val="auto"/>
                <w:sz w:val="24"/>
                <w:highlight w:val="none"/>
                <w:u w:val="none"/>
                <w:lang w:val="en-US" w:eastAsia="zh-CN"/>
              </w:rPr>
              <w:t xml:space="preserve">09</w:t>
            </w:r>
            <w:r>
              <w:rPr>
                <w:rFonts w:hint="eastAsia" w:ascii="宋体" w:hAnsi="宋体" w:cs="宋体"/>
                <w:color w:val="auto"/>
                <w:sz w:val="24"/>
                <w:highlight w:val="none"/>
                <w:u w:val="none"/>
              </w:rPr>
              <w:t xml:space="preserve">点30分</w:t>
            </w:r>
            <w:r>
              <w:rPr>
                <w:rFonts w:hint="eastAsia" w:ascii="宋体" w:hAnsi="宋体" w:cs="宋体"/>
                <w:color w:val="auto"/>
                <w:sz w:val="24"/>
                <w:highlight w:val="none"/>
              </w:rPr>
              <w:t xml:space="preserve">（北京时间）</w:t>
            </w:r>
            <w:r/>
          </w:p>
          <w:p>
            <w:pPr>
              <w:jc w:val="left"/>
              <w:spacing w:line="440" w:lineRule="exact"/>
              <w:rPr>
                <w:color w:val="auto"/>
                <w:highlight w:val="none"/>
              </w:rPr>
            </w:pPr>
            <w:r>
              <w:rPr>
                <w:rFonts w:hint="eastAsia" w:ascii="宋体" w:hAnsi="宋体" w:cs="宋体"/>
                <w:color w:val="auto"/>
                <w:sz w:val="24"/>
                <w:highlight w:val="none"/>
              </w:rPr>
              <w:t xml:space="preserve">“苏采云”系统（网址：https://jszfcg.jsczt.cn）</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磋商响应</w:t>
            </w:r>
            <w:r/>
          </w:p>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s="Arial"/>
                <w:color w:val="auto"/>
                <w:sz w:val="24"/>
                <w:highlight w:val="none"/>
              </w:rPr>
            </w:pPr>
            <w:r>
              <w:rPr>
                <w:rFonts w:hint="eastAsia" w:ascii="宋体" w:hAnsi="宋体" w:cs="Arial"/>
                <w:color w:val="auto"/>
                <w:sz w:val="24"/>
                <w:highlight w:val="none"/>
              </w:rPr>
              <w:t xml:space="preserve">本项目采用电子</w:t>
            </w:r>
            <w:r>
              <w:rPr>
                <w:rFonts w:hint="eastAsia" w:ascii="宋体" w:hAnsi="宋体" w:cs="Arial"/>
                <w:color w:val="auto"/>
                <w:sz w:val="24"/>
                <w:highlight w:val="none"/>
                <w:lang w:val="en-US" w:eastAsia="zh-CN"/>
              </w:rPr>
              <w:t xml:space="preserve">招投标形式，请供应商按照《苏采云系统供应商操作手册》（以下简称“操作手册”）进行制作、上传电子响应文件。供应商</w:t>
            </w:r>
            <w:r>
              <w:rPr>
                <w:rFonts w:hint="eastAsia" w:ascii="宋体" w:hAnsi="宋体" w:cs="Arial"/>
                <w:color w:val="auto"/>
                <w:sz w:val="24"/>
                <w:highlight w:val="none"/>
              </w:rPr>
              <w:t xml:space="preserve">无需提供纸质</w:t>
            </w:r>
            <w:r>
              <w:rPr>
                <w:rFonts w:hint="eastAsia" w:ascii="宋体" w:hAnsi="宋体" w:cs="Arial"/>
                <w:color w:val="auto"/>
                <w:sz w:val="24"/>
                <w:highlight w:val="none"/>
                <w:lang w:val="en-US" w:eastAsia="zh-CN"/>
              </w:rPr>
              <w:t xml:space="preserve">响应</w:t>
            </w:r>
            <w:r>
              <w:rPr>
                <w:rFonts w:hint="eastAsia" w:ascii="宋体" w:hAnsi="宋体" w:cs="Arial"/>
                <w:color w:val="auto"/>
                <w:sz w:val="24"/>
                <w:highlight w:val="none"/>
              </w:rPr>
              <w:t xml:space="preserve">文件。</w:t>
            </w:r>
            <w:r/>
          </w:p>
          <w:p>
            <w:pPr>
              <w:jc w:val="left"/>
              <w:spacing w:line="440" w:lineRule="exact"/>
              <w:rPr>
                <w:rFonts w:hint="eastAsia" w:ascii="宋体" w:hAnsi="宋体"/>
                <w:color w:val="auto"/>
                <w:sz w:val="24"/>
                <w:highlight w:val="none"/>
              </w:rPr>
            </w:pPr>
            <w:r>
              <w:rPr>
                <w:rFonts w:hint="eastAsia" w:ascii="宋体" w:hAnsi="宋体" w:cs="Arial"/>
                <w:b/>
                <w:bCs/>
                <w:color w:val="auto"/>
                <w:sz w:val="24"/>
                <w:highlight w:val="none"/>
              </w:rPr>
              <w:t xml:space="preserve">电子响应文件制作完成后请于响应文件提交的截止时间前成功上传至“苏采云”系统，否则视为放弃参加本项目采购活动。</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综合评分方法，以评审总得分最高的供应商作为本项目的成交供应商，详见</w:t>
            </w:r>
            <w:r>
              <w:rPr>
                <w:rFonts w:hint="eastAsia" w:ascii="宋体" w:hAnsi="宋体"/>
                <w:color w:val="auto"/>
                <w:sz w:val="24"/>
                <w:highlight w:val="none"/>
                <w:lang w:val="en-US" w:eastAsia="zh-CN"/>
              </w:rPr>
              <w:t xml:space="preserve">磋商文件</w:t>
            </w:r>
            <w:r>
              <w:rPr>
                <w:rFonts w:hint="eastAsia" w:ascii="宋体" w:hAnsi="宋体"/>
                <w:color w:val="auto"/>
                <w:sz w:val="24"/>
                <w:highlight w:val="none"/>
              </w:rPr>
              <w:t xml:space="preserve">第</w:t>
            </w: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章。</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pStyle w:val="772"/>
              <w:ind w:firstLine="0"/>
              <w:spacing w:line="44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确定出</w:t>
            </w:r>
            <w:r>
              <w:rPr>
                <w:rFonts w:hint="eastAsia" w:ascii="宋体" w:hAnsi="宋体" w:eastAsia="宋体"/>
                <w:color w:val="auto"/>
                <w:sz w:val="24"/>
                <w:szCs w:val="24"/>
                <w:highlight w:val="none"/>
                <w:lang w:val="en-US" w:eastAsia="zh-CN"/>
              </w:rPr>
              <w:t xml:space="preserve">成交单位</w:t>
            </w:r>
            <w:r>
              <w:rPr>
                <w:rFonts w:hint="eastAsia" w:ascii="宋体" w:hAnsi="宋体" w:eastAsia="宋体"/>
                <w:color w:val="auto"/>
                <w:sz w:val="24"/>
                <w:szCs w:val="24"/>
                <w:highlight w:val="none"/>
              </w:rPr>
              <w:t xml:space="preserve">后，采购代理机构在法定时间内向</w:t>
            </w:r>
            <w:r>
              <w:rPr>
                <w:rFonts w:hint="eastAsia" w:ascii="宋体" w:hAnsi="宋体" w:eastAsia="宋体"/>
                <w:color w:val="auto"/>
                <w:sz w:val="24"/>
                <w:szCs w:val="24"/>
                <w:highlight w:val="none"/>
                <w:lang w:val="en-US" w:eastAsia="zh-CN"/>
              </w:rPr>
              <w:t xml:space="preserve">成交单位</w:t>
            </w:r>
            <w:r>
              <w:rPr>
                <w:rFonts w:hint="eastAsia" w:ascii="宋体" w:hAnsi="宋体" w:eastAsia="宋体"/>
                <w:color w:val="auto"/>
                <w:sz w:val="24"/>
                <w:szCs w:val="24"/>
                <w:highlight w:val="none"/>
              </w:rPr>
              <w:t xml:space="preserve">发出</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rPr>
              <w:t xml:space="preserve">通知书。</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rPr>
              <w:t xml:space="preserve">通知书将成为合同的组成部分。</w:t>
            </w:r>
            <w:r/>
          </w:p>
          <w:p>
            <w:pPr>
              <w:pStyle w:val="772"/>
              <w:ind w:firstLine="0"/>
              <w:spacing w:line="440" w:lineRule="exact"/>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请</w:t>
            </w:r>
            <w:r>
              <w:rPr>
                <w:rFonts w:hint="eastAsia" w:ascii="宋体" w:hAnsi="宋体" w:eastAsia="宋体"/>
                <w:b/>
                <w:color w:val="auto"/>
                <w:sz w:val="24"/>
                <w:szCs w:val="24"/>
                <w:highlight w:val="none"/>
                <w:lang w:val="en-US" w:eastAsia="zh-CN"/>
              </w:rPr>
              <w:t xml:space="preserve">成交单位</w:t>
            </w:r>
            <w:r>
              <w:rPr>
                <w:rFonts w:hint="eastAsia" w:ascii="宋体" w:hAnsi="宋体" w:eastAsia="宋体"/>
                <w:b/>
                <w:color w:val="auto"/>
                <w:sz w:val="24"/>
                <w:szCs w:val="24"/>
                <w:highlight w:val="none"/>
              </w:rPr>
              <w:t xml:space="preserve">在</w:t>
            </w:r>
            <w:r>
              <w:rPr>
                <w:rFonts w:hint="eastAsia" w:ascii="宋体" w:hAnsi="宋体" w:eastAsia="宋体"/>
                <w:b/>
                <w:color w:val="auto"/>
                <w:sz w:val="24"/>
                <w:szCs w:val="24"/>
                <w:highlight w:val="none"/>
                <w:lang w:val="en-US" w:eastAsia="zh-CN"/>
              </w:rPr>
              <w:t xml:space="preserve">成交</w:t>
            </w:r>
            <w:r>
              <w:rPr>
                <w:rFonts w:hint="eastAsia" w:ascii="宋体" w:hAnsi="宋体" w:eastAsia="宋体"/>
                <w:b/>
                <w:color w:val="auto"/>
                <w:sz w:val="24"/>
                <w:szCs w:val="24"/>
                <w:highlight w:val="none"/>
              </w:rPr>
              <w:t xml:space="preserve">结果公告届满之日起30日内</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使用CA证书登录“苏采云”系统及时下载</w:t>
            </w:r>
            <w:r>
              <w:rPr>
                <w:rFonts w:hint="eastAsia" w:ascii="宋体" w:hAnsi="宋体" w:eastAsia="宋体"/>
                <w:b/>
                <w:color w:val="auto"/>
                <w:sz w:val="24"/>
                <w:szCs w:val="24"/>
                <w:highlight w:val="none"/>
                <w:lang w:val="en-US" w:eastAsia="zh-CN"/>
              </w:rPr>
              <w:t xml:space="preserve">成交</w:t>
            </w:r>
            <w:r>
              <w:rPr>
                <w:rFonts w:hint="eastAsia" w:ascii="宋体" w:hAnsi="宋体" w:eastAsia="宋体"/>
                <w:b/>
                <w:color w:val="auto"/>
                <w:sz w:val="24"/>
                <w:szCs w:val="24"/>
                <w:highlight w:val="none"/>
              </w:rPr>
              <w:t xml:space="preserve">通知书。</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9" w:type="dxa"/>
            <w:vAlign w:val="center"/>
            <w:textDirection w:val="lrTb"/>
            <w:noWrap/>
          </w:tcPr>
          <w:p>
            <w:pPr>
              <w:jc w:val="cente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9" w:type="dxa"/>
            <w:vAlign w:val="center"/>
            <w:textDirection w:val="lrTb"/>
            <w:noWrap/>
          </w:tcPr>
          <w:p>
            <w:pPr>
              <w:jc w:val="center"/>
              <w:spacing w:line="44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7" w:type="dxa"/>
            <w:vAlign w:val="center"/>
            <w:textDirection w:val="lrTb"/>
            <w:noWrap/>
          </w:tcPr>
          <w:p>
            <w:pPr>
              <w:pStyle w:val="772"/>
              <w:ind w:firstLine="0"/>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代理服务费：服务费按苏财购告【2016】31号规定的收费标准，领取成交通知书时成交单位向采购代理机构一次性付清。</w:t>
            </w:r>
            <w:r/>
          </w:p>
          <w:p>
            <w:pPr>
              <w:pStyle w:val="772"/>
              <w:ind w:firstLine="0"/>
              <w:spacing w:line="440" w:lineRule="exact"/>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rPr>
              <w:t xml:space="preserve">收费标准：预算金额100万元以下费率为预算金额的1.5%；预算金额100万(含)-500万费率为预算金额的1.1%；预算金额500万（含）-1000万费率为预算金额的0.8%；预算金额1000万（含）-5000万费率为预算金额的0.5%；预算金额5000万（含）以上费率为预算金额的0.25%；低于3000元的按照3000元计取</w:t>
            </w:r>
            <w:r>
              <w:rPr>
                <w:rFonts w:hint="eastAsia" w:ascii="宋体" w:hAnsi="宋体" w:eastAsia="宋体" w:cs="Times New Roman"/>
                <w:b/>
                <w:bCs/>
                <w:color w:val="auto"/>
                <w:sz w:val="24"/>
                <w:szCs w:val="24"/>
                <w:highlight w:val="none"/>
                <w:lang w:eastAsia="zh-CN"/>
              </w:rPr>
              <w:t xml:space="preserve">。</w:t>
            </w:r>
            <w:r/>
          </w:p>
          <w:p>
            <w:pPr>
              <w:pStyle w:val="772"/>
              <w:ind w:firstLine="0"/>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本项目服务费金额：31858.93元</w:t>
            </w:r>
            <w:r>
              <w:rPr>
                <w:rFonts w:hint="eastAsia" w:ascii="宋体" w:hAnsi="宋体" w:eastAsia="宋体" w:cs="Times New Roman"/>
                <w:b/>
                <w:bCs/>
                <w:color w:val="auto"/>
                <w:sz w:val="24"/>
                <w:szCs w:val="24"/>
                <w:highlight w:val="none"/>
              </w:rPr>
              <w:t xml:space="preserve">。</w:t>
            </w:r>
            <w:r/>
          </w:p>
        </w:tc>
      </w:tr>
    </w:tbl>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pStyle w:val="772"/>
        <w:ind w:firstLine="0"/>
        <w:jc w:val="center"/>
        <w:spacing w:line="360" w:lineRule="auto"/>
        <w:rPr>
          <w:rFonts w:hint="eastAsia" w:ascii="宋体" w:hAnsi="宋体" w:eastAsia="宋体" w:cs="宋体"/>
          <w:b/>
          <w:color w:val="auto"/>
          <w:sz w:val="32"/>
          <w:highlight w:val="none"/>
          <w:lang w:val="en-US"/>
        </w:rPr>
      </w:pPr>
      <w:r>
        <w:rPr>
          <w:rFonts w:hint="eastAsia" w:ascii="宋体" w:hAnsi="宋体" w:eastAsia="宋体" w:cs="宋体"/>
          <w:b/>
          <w:color w:val="auto"/>
          <w:sz w:val="32"/>
          <w:highlight w:val="none"/>
          <w:lang w:val="en-US"/>
        </w:rPr>
      </w:r>
      <w:r/>
    </w:p>
    <w:p>
      <w:pPr>
        <w:jc w:val="center"/>
        <w:spacing w:line="360" w:lineRule="auto"/>
        <w:rPr>
          <w:rFonts w:hint="eastAsia" w:ascii="宋体" w:hAnsi="宋体" w:cs="宋体"/>
          <w:b/>
          <w:color w:val="auto"/>
          <w:sz w:val="28"/>
          <w:szCs w:val="28"/>
          <w:highlight w:val="none"/>
        </w:rPr>
        <w:outlineLvl w:val="0"/>
      </w:pPr>
      <w:r/>
      <w:bookmarkStart w:id="0" w:name="_Toc9473"/>
      <w:r>
        <w:rPr>
          <w:rFonts w:hint="eastAsia" w:ascii="宋体" w:hAnsi="宋体" w:cs="宋体"/>
          <w:b/>
          <w:color w:val="auto"/>
          <w:sz w:val="28"/>
          <w:szCs w:val="28"/>
          <w:highlight w:val="none"/>
        </w:rPr>
        <w:t xml:space="preserve">第一章 </w:t>
      </w:r>
      <w:bookmarkEnd w:id="0"/>
      <w:r>
        <w:rPr>
          <w:rFonts w:hint="eastAsia" w:ascii="宋体" w:hAnsi="宋体" w:cs="宋体"/>
          <w:b/>
          <w:color w:val="auto"/>
          <w:sz w:val="28"/>
          <w:szCs w:val="28"/>
          <w:highlight w:val="none"/>
        </w:rPr>
        <w:t xml:space="preserve">磋商公告</w:t>
      </w:r>
      <w:r/>
    </w:p>
    <w:tbl>
      <w:tblPr>
        <w:tblStyle w:val="698"/>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vAlign w:val="center"/>
            <w:textDirection w:val="lrTb"/>
            <w:noWrap w:val="false"/>
          </w:tcPr>
          <w:p>
            <w:pPr>
              <w:ind w:firstLine="482"/>
              <w:jc w:val="both"/>
              <w:keepLines w:val="0"/>
              <w:keepNext w:val="0"/>
              <w:pageBreakBefore w:val="0"/>
              <w:spacing w:before="289" w:after="37"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项目概况</w:t>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u w:val="none"/>
                <w:lang w:eastAsia="zh-CN"/>
              </w:rPr>
              <w:t xml:space="preserve">2026-2029年安防视频监控新建项目维保 </w:t>
            </w:r>
            <w:r>
              <w:rPr>
                <w:rFonts w:hint="eastAsia" w:ascii="宋体" w:hAnsi="宋体" w:eastAsia="宋体" w:cs="宋体"/>
                <w:color w:val="auto"/>
                <w:sz w:val="24"/>
                <w:highlight w:val="none"/>
              </w:rPr>
              <w:t xml:space="preserve">JSZC-320505-SSXC-C2026-0001</w:t>
            </w:r>
            <w:r>
              <w:rPr>
                <w:rFonts w:hint="eastAsia" w:ascii="宋体" w:hAnsi="宋体" w:cs="宋体"/>
                <w:color w:val="auto"/>
                <w:sz w:val="24"/>
                <w:highlight w:val="none"/>
                <w:u w:val="none"/>
                <w:lang w:eastAsia="zh-CN"/>
              </w:rPr>
              <w:t xml:space="preserve"> </w:t>
            </w:r>
            <w:r>
              <w:rPr>
                <w:rFonts w:ascii="SimSun" w:hAnsi="SimSun" w:eastAsia="SimSun" w:cs="SimSun"/>
                <w:color w:val="000000"/>
                <w:sz w:val="24"/>
              </w:rPr>
              <w:t xml:space="preserve">采购项目</w:t>
            </w:r>
            <w:r>
              <w:rPr>
                <w:rFonts w:hint="eastAsia" w:ascii="宋体" w:hAnsi="宋体" w:cs="宋体"/>
                <w:color w:val="auto"/>
                <w:sz w:val="24"/>
                <w:highlight w:val="none"/>
                <w:u w:val="none"/>
              </w:rPr>
              <w:t xml:space="preserve">的潜在</w:t>
            </w:r>
            <w:r>
              <w:rPr>
                <w:rFonts w:hint="eastAsia" w:ascii="宋体" w:hAnsi="宋体" w:cs="宋体"/>
                <w:color w:val="auto"/>
                <w:sz w:val="24"/>
                <w:highlight w:val="none"/>
                <w:u w:val="none"/>
                <w:lang w:val="en-US" w:eastAsia="zh-CN"/>
              </w:rPr>
              <w:t xml:space="preserve">供应商</w:t>
            </w:r>
            <w:r>
              <w:rPr>
                <w:rFonts w:hint="eastAsia" w:ascii="宋体" w:hAnsi="宋体" w:cs="宋体"/>
                <w:color w:val="auto"/>
                <w:sz w:val="24"/>
                <w:highlight w:val="none"/>
                <w:u w:val="none"/>
              </w:rPr>
              <w:t xml:space="preserve">应在</w:t>
            </w:r>
            <w:r>
              <w:rPr>
                <w:rFonts w:hint="eastAsia" w:ascii="宋体" w:hAnsi="宋体" w:cs="宋体"/>
                <w:color w:val="auto"/>
                <w:sz w:val="24"/>
                <w:highlight w:val="none"/>
                <w:u w:val="none"/>
              </w:rPr>
              <w:t xml:space="preserve">“苏采云”系统</w:t>
            </w:r>
            <w:r>
              <w:rPr>
                <w:rFonts w:hint="eastAsia" w:ascii="宋体" w:hAnsi="宋体" w:cs="宋体"/>
                <w:color w:val="auto"/>
                <w:sz w:val="24"/>
                <w:highlight w:val="none"/>
                <w:u w:val="none"/>
              </w:rPr>
              <w:t xml:space="preserve">（网址：https://jszfcg.jsczt.cn）</w:t>
            </w:r>
            <w:r>
              <w:rPr>
                <w:rFonts w:hint="eastAsia" w:ascii="宋体" w:hAnsi="宋体" w:cs="宋体"/>
                <w:color w:val="auto"/>
                <w:sz w:val="24"/>
                <w:highlight w:val="none"/>
                <w:u w:val="none"/>
                <w:lang w:val="en-US" w:eastAsia="zh-CN"/>
              </w:rPr>
              <w:t xml:space="preserve">获取采购文件</w:t>
            </w:r>
            <w:r>
              <w:rPr>
                <w:rFonts w:hint="eastAsia" w:ascii="宋体" w:hAnsi="宋体" w:cs="宋体"/>
                <w:color w:val="auto"/>
                <w:sz w:val="24"/>
                <w:highlight w:val="none"/>
                <w:u w:val="none"/>
              </w:rPr>
              <w:t xml:space="preserve">，并于</w:t>
            </w:r>
            <w:r>
              <w:rPr>
                <w:rFonts w:hint="eastAsia" w:ascii="宋体" w:hAnsi="宋体" w:cs="宋体"/>
                <w:color w:val="auto"/>
                <w:sz w:val="24"/>
                <w:highlight w:val="none"/>
                <w:u w:val="none"/>
                <w:lang w:val="en-US" w:eastAsia="zh-CN"/>
              </w:rPr>
              <w:t xml:space="preserve">2026-10-30 09</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none"/>
              </w:rPr>
              <w:t xml:space="preserve">30</w:t>
            </w:r>
            <w:r>
              <w:rPr>
                <w:rFonts w:hint="eastAsia" w:ascii="宋体" w:hAnsi="宋体" w:cs="宋体"/>
                <w:color w:val="auto"/>
                <w:sz w:val="24"/>
                <w:highlight w:val="none"/>
                <w:u w:val="none"/>
              </w:rPr>
              <w:t xml:space="preserve">（北京时间）前</w:t>
            </w:r>
            <w:r>
              <w:rPr>
                <w:rFonts w:hint="eastAsia" w:ascii="宋体" w:hAnsi="宋体" w:cs="宋体"/>
                <w:color w:val="auto"/>
                <w:sz w:val="24"/>
                <w:highlight w:val="none"/>
                <w:u w:val="none"/>
              </w:rPr>
              <w:t xml:space="preserve">提交</w:t>
            </w:r>
            <w:r>
              <w:rPr>
                <w:rFonts w:hint="eastAsia" w:ascii="宋体" w:hAnsi="宋体" w:cs="宋体"/>
                <w:color w:val="auto"/>
                <w:sz w:val="24"/>
                <w:highlight w:val="none"/>
                <w:u w:val="none"/>
                <w:lang w:val="en-US" w:eastAsia="zh-CN"/>
              </w:rPr>
              <w:t xml:space="preserve">响应</w:t>
            </w:r>
            <w:r>
              <w:rPr>
                <w:rFonts w:hint="eastAsia" w:ascii="宋体" w:hAnsi="宋体" w:cs="宋体"/>
                <w:color w:val="auto"/>
                <w:sz w:val="24"/>
                <w:highlight w:val="none"/>
                <w:u w:val="none"/>
              </w:rPr>
              <w:t xml:space="preserve">文件。</w:t>
            </w:r>
            <w:r/>
          </w:p>
        </w:tc>
      </w:tr>
    </w:tbl>
    <w:p>
      <w:pPr>
        <w:ind w:firstLine="482"/>
        <w:spacing w:line="360" w:lineRule="auto"/>
        <w:rPr>
          <w:rFonts w:hint="eastAsia" w:ascii="宋体" w:hAnsi="宋体" w:eastAsia="宋体" w:cs="宋体"/>
          <w:b/>
          <w:bCs/>
          <w:color w:val="auto"/>
          <w:sz w:val="10"/>
          <w:szCs w:val="10"/>
          <w:highlight w:val="none"/>
        </w:rPr>
      </w:pPr>
      <w:r>
        <w:rPr>
          <w:rFonts w:hint="eastAsia" w:ascii="宋体" w:hAnsi="宋体" w:eastAsia="宋体" w:cs="宋体"/>
          <w:b/>
          <w:bCs/>
          <w:color w:val="auto"/>
          <w:sz w:val="10"/>
          <w:szCs w:val="10"/>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项目编号：JSZC-320505-SSXC-C2026-0001</w:t>
      </w:r>
      <w:r/>
    </w:p>
    <w:p>
      <w:pPr>
        <w:ind w:firstLine="480"/>
        <w:spacing w:line="360" w:lineRule="auto"/>
        <w:rPr>
          <w:rFonts w:hint="eastAsia" w:ascii="宋体" w:hAnsi="宋体" w:eastAsia="宋体" w:cs="宋体"/>
          <w:color w:val="auto"/>
          <w:sz w:val="24"/>
          <w:highlight w:val="none"/>
          <w:lang w:eastAsia="zh-CN"/>
        </w:rPr>
      </w:pPr>
      <w:r/>
      <w:bookmarkStart w:id="1" w:name="_Toc6572"/>
      <w:r/>
      <w:bookmarkStart w:id="2" w:name="_Toc25156"/>
      <w:r>
        <w:rPr>
          <w:rFonts w:hint="eastAsia" w:ascii="宋体" w:hAnsi="宋体" w:eastAsia="宋体" w:cs="宋体"/>
          <w:color w:val="auto"/>
          <w:sz w:val="24"/>
          <w:highlight w:val="none"/>
        </w:rPr>
        <w:t xml:space="preserve">项目名称：</w:t>
      </w:r>
      <w:bookmarkEnd w:id="1"/>
      <w:r/>
      <w:bookmarkEnd w:id="2"/>
      <w:r>
        <w:rPr>
          <w:rFonts w:hint="eastAsia" w:ascii="宋体" w:hAnsi="宋体" w:cs="宋体"/>
          <w:color w:val="auto"/>
          <w:sz w:val="24"/>
          <w:highlight w:val="none"/>
          <w:lang w:eastAsia="zh-CN"/>
        </w:rPr>
        <w:t xml:space="preserve">2026-2029年安防视频监控新建项目维保</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采购方式：竞争性磋商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253</w:t>
      </w:r>
      <w:r>
        <w:rPr>
          <w:rFonts w:hint="eastAsia" w:ascii="宋体" w:hAnsi="宋体" w:cs="宋体"/>
          <w:color w:val="auto"/>
          <w:sz w:val="24"/>
          <w:highlight w:val="none"/>
          <w:lang w:val="en-US" w:eastAsia="zh-CN"/>
        </w:rPr>
        <w:t xml:space="preserve">.263000</w:t>
      </w:r>
      <w:r>
        <w:rPr>
          <w:rFonts w:hint="eastAsia" w:ascii="宋体" w:hAnsi="宋体" w:cs="宋体"/>
          <w:color w:val="auto"/>
          <w:sz w:val="24"/>
          <w:highlight w:val="none"/>
          <w:lang w:val="en-US" w:eastAsia="zh-CN"/>
        </w:rPr>
        <w:t xml:space="preserve">万元</w:t>
      </w: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最高限价（如有）：</w:t>
      </w:r>
      <w:r>
        <w:rPr>
          <w:rFonts w:hint="eastAsia" w:ascii="宋体" w:hAnsi="宋体" w:cs="宋体"/>
          <w:color w:val="auto"/>
          <w:sz w:val="24"/>
          <w:highlight w:val="none"/>
          <w:lang w:val="en-US" w:eastAsia="zh-CN"/>
        </w:rPr>
        <w:t xml:space="preserve">253</w:t>
      </w:r>
      <w:r>
        <w:rPr>
          <w:rFonts w:hint="eastAsia" w:ascii="宋体" w:hAnsi="宋体" w:cs="宋体"/>
          <w:color w:val="auto"/>
          <w:sz w:val="24"/>
          <w:highlight w:val="none"/>
          <w:lang w:val="en-US" w:eastAsia="zh-CN"/>
        </w:rPr>
        <w:t xml:space="preserve">.263000</w:t>
      </w:r>
      <w:r>
        <w:rPr>
          <w:rFonts w:hint="eastAsia" w:ascii="宋体" w:hAnsi="宋体" w:cs="宋体"/>
          <w:color w:val="auto"/>
          <w:sz w:val="24"/>
          <w:highlight w:val="none"/>
          <w:lang w:val="en-US" w:eastAsia="zh-CN"/>
        </w:rPr>
        <w:t xml:space="preserve">万元</w:t>
      </w: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1、</w:t>
      </w:r>
      <w:r>
        <w:rPr>
          <w:rFonts w:hint="eastAsia" w:asciiTheme="minorEastAsia" w:hAnsiTheme="minorEastAsia" w:eastAsiaTheme="minorEastAsia" w:cstheme="minorEastAsia"/>
          <w:color w:val="auto"/>
          <w:sz w:val="24"/>
          <w:szCs w:val="24"/>
          <w:highlight w:val="none"/>
          <w:lang w:val="en-US" w:eastAsia="zh-CN"/>
        </w:rPr>
        <w:t xml:space="preserve">服务范围：</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针对浒墅关经开区辖区内6个小区的监控点位和两条道路的监控点位的维保，包括新浒花园一、二、三区监控点位的维保、惠丰花园二区监控点位的维保、保卫新村监控点位的维保、浒墅人家一区监控点位的维保、阳山花苑一、二、三、四、五、六区监控点位的维保，长江花园监控点位的维保、运东道路监控点位的维保以及运西道路监控点位的维保。</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2、维保内容：</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本项目为全包式维保，维保内容包括：前端监控摄像机及相应的网络传输设备、存储设备（含硬盘等）、后端中心平台、管线、立杆防雷等配套设备等。</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具体内容</w:t>
      </w:r>
      <w:r>
        <w:rPr>
          <w:rFonts w:hint="eastAsia" w:ascii="宋体" w:hAnsi="宋体" w:eastAsia="宋体" w:cs="宋体"/>
          <w:b/>
          <w:bCs/>
          <w:color w:val="auto"/>
          <w:sz w:val="24"/>
          <w:highlight w:val="none"/>
        </w:rPr>
        <w:t xml:space="preserve">详见</w:t>
      </w:r>
      <w:r>
        <w:rPr>
          <w:rFonts w:hint="eastAsia" w:ascii="宋体" w:hAnsi="宋体" w:cs="宋体"/>
          <w:b/>
          <w:bCs/>
          <w:color w:val="auto"/>
          <w:sz w:val="24"/>
          <w:highlight w:val="none"/>
          <w:lang w:val="en-US" w:eastAsia="zh-CN"/>
        </w:rPr>
        <w:t xml:space="preserve">磋商文件</w:t>
      </w:r>
      <w:r>
        <w:rPr>
          <w:rFonts w:hint="eastAsia" w:ascii="宋体" w:hAnsi="宋体" w:eastAsia="宋体" w:cs="宋体"/>
          <w:b/>
          <w:bCs/>
          <w:color w:val="auto"/>
          <w:sz w:val="24"/>
          <w:highlight w:val="none"/>
        </w:rPr>
        <w:t xml:space="preserve">第四章《</w:t>
      </w:r>
      <w:r>
        <w:rPr>
          <w:rFonts w:hint="eastAsia" w:ascii="宋体" w:hAnsi="宋体" w:cs="宋体"/>
          <w:b/>
          <w:bCs/>
          <w:color w:val="auto"/>
          <w:sz w:val="24"/>
          <w:highlight w:val="none"/>
          <w:lang w:val="en-US" w:eastAsia="zh-CN"/>
        </w:rPr>
        <w:t xml:space="preserve">磋商需求</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合同履行期限：叁年（具体开始时间以采购人通知为准）。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shd w:val="clear" w:color="auto" w:fill="ffffff"/>
        </w:rPr>
        <w:t xml:space="preserve">本项目（是/否）接受联合体投标：否。</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落实政府采购政策需满足的资格要求：</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1、根据《政府采购促进中小企业发展管理办法》的相关规定，</w:t>
      </w:r>
      <w:r>
        <w:rPr>
          <w:rFonts w:hint="eastAsia" w:ascii="宋体" w:hAnsi="宋体" w:cs="宋体"/>
          <w:b/>
          <w:bCs/>
          <w:color w:val="auto"/>
          <w:sz w:val="24"/>
          <w:highlight w:val="none"/>
          <w:lang w:val="en-US" w:eastAsia="zh-CN"/>
        </w:rPr>
        <w:t xml:space="preserve">本项目非专门面向中小企业采购</w:t>
      </w:r>
      <w:r>
        <w:rPr>
          <w:rFonts w:hint="eastAsia" w:ascii="宋体" w:hAnsi="宋体" w:cs="宋体"/>
          <w:b w:val="0"/>
          <w:bCs w:val="0"/>
          <w:color w:val="auto"/>
          <w:sz w:val="24"/>
          <w:highlight w:val="none"/>
          <w:lang w:val="en-US" w:eastAsia="zh-CN"/>
        </w:rPr>
        <w:t xml:space="preserve">，所属行业为</w:t>
      </w:r>
      <w:r>
        <w:rPr>
          <w:rFonts w:hint="eastAsia" w:ascii="宋体" w:hAnsi="宋体" w:cs="宋体"/>
          <w:b/>
          <w:bCs/>
          <w:color w:val="auto"/>
          <w:sz w:val="24"/>
          <w:highlight w:val="none"/>
          <w:lang w:val="en-US" w:eastAsia="zh-CN"/>
        </w:rPr>
        <w:t xml:space="preserve">其他未列明行业</w:t>
      </w:r>
      <w:r>
        <w:rPr>
          <w:rFonts w:hint="eastAsia" w:ascii="宋体" w:hAnsi="宋体" w:cs="宋体"/>
          <w:b w:val="0"/>
          <w:bCs w:val="0"/>
          <w:color w:val="auto"/>
          <w:sz w:val="24"/>
          <w:highlight w:val="none"/>
          <w:lang w:val="en-US" w:eastAsia="zh-CN"/>
        </w:rPr>
        <w:t xml:space="preserve">。</w:t>
      </w:r>
      <w:r>
        <w:rPr>
          <w:rFonts w:ascii="SimSun" w:hAnsi="SimSun" w:eastAsia="SimSun" w:cs="SimSun"/>
          <w:color w:val="000000"/>
          <w:sz w:val="24"/>
        </w:rPr>
        <w:t xml:space="preserve">供应商应提供《中小企业声明函》或《残疾人福利性单位声明函》或省级以上监狱管理局、戒毒管理局（含新疆生产建设兵团）出具的属于监狱企业的证明文件。</w:t>
      </w:r>
      <w:r>
        <w:rPr>
          <w:rFonts w:hint="eastAsia" w:ascii="宋体" w:hAnsi="宋体" w:cs="宋体"/>
          <w:b w:val="0"/>
          <w:bCs w:val="0"/>
          <w:color w:val="auto"/>
          <w:sz w:val="24"/>
          <w:highlight w:val="none"/>
          <w:lang w:val="en-US" w:eastAsia="zh-CN"/>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（三）本项目的特定资格要求：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w:t>
      </w:r>
      <w:r>
        <w:rPr>
          <w:rFonts w:hint="eastAsia" w:ascii="宋体" w:hAnsi="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w:t>
      </w:r>
      <w:r>
        <w:rPr>
          <w:rFonts w:hint="eastAsia" w:ascii="宋体" w:hAnsi="宋体" w:eastAsia="宋体" w:cs="宋体"/>
          <w:color w:val="auto"/>
          <w:sz w:val="24"/>
          <w:highlight w:val="none"/>
        </w:rPr>
        <w:t xml:space="preserve">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地点：“苏采云”系统（网址：https://jszfcg.jsczt.cn）</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rPr>
        <w:t xml:space="preserve">“苏采云”系统</w:t>
      </w:r>
      <w:r>
        <w:rPr>
          <w:rFonts w:hint="eastAsia" w:ascii="宋体" w:hAnsi="宋体" w:cs="宋体"/>
          <w:color w:val="auto"/>
          <w:sz w:val="24"/>
          <w:highlight w:val="none"/>
          <w:lang w:val="en-US" w:eastAsia="zh-CN"/>
        </w:rPr>
        <w:t xml:space="preserve">自行下载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四、</w:t>
      </w:r>
      <w:r>
        <w:rPr>
          <w:rFonts w:hint="eastAsia" w:ascii="宋体" w:hAnsi="宋体" w:cs="宋体"/>
          <w:b/>
          <w:bCs/>
          <w:color w:val="auto"/>
          <w:sz w:val="24"/>
          <w:highlight w:val="none"/>
          <w:lang w:val="en-US" w:eastAsia="zh-CN"/>
        </w:rPr>
        <w:t xml:space="preserve">响应文件提交</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截止</w:t>
      </w:r>
      <w:r>
        <w:rPr>
          <w:rFonts w:hint="eastAsia" w:ascii="宋体" w:hAnsi="宋体" w:eastAsia="宋体" w:cs="宋体"/>
          <w:color w:val="auto"/>
          <w:sz w:val="24"/>
          <w:highlight w:val="none"/>
        </w:rPr>
        <w:t xml:space="preserve">时间：2026-10-</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 09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北京时间</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地点：“苏采云”系统（网址：https://jszfcg.jsczt.cn）</w:t>
      </w:r>
      <w:r/>
    </w:p>
    <w:p>
      <w:pPr>
        <w:numPr>
          <w:ilvl w:val="0"/>
          <w:numId w:val="0"/>
        </w:numPr>
        <w:ind w:firstLine="482"/>
        <w:spacing w:line="360" w:lineRule="auto"/>
        <w:rPr>
          <w:rFonts w:hint="eastAsia" w:ascii="宋体" w:hAnsi="宋体" w:cs="宋体"/>
          <w:b/>
          <w:bCs/>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highlight w:val="none"/>
          <w:lang w:val="en-US" w:eastAsia="zh-CN"/>
        </w:rPr>
        <w:t xml:space="preserve">开启</w:t>
      </w:r>
      <w:r/>
    </w:p>
    <w:p>
      <w:pPr>
        <w:numPr>
          <w:ilvl w:val="0"/>
          <w:numId w:val="0"/>
        </w:numPr>
        <w:ind w:firstLine="482"/>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时间：2026-10-30 09</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30（北京时间）</w:t>
      </w:r>
      <w:r/>
    </w:p>
    <w:p>
      <w:pPr>
        <w:numPr>
          <w:ilvl w:val="0"/>
          <w:numId w:val="0"/>
        </w:numPr>
        <w:ind w:firstLine="482"/>
        <w:spacing w:line="360" w:lineRule="auto"/>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地点：</w:t>
      </w:r>
      <w:r>
        <w:rPr>
          <w:rFonts w:ascii="SimSun" w:hAnsi="SimSun" w:eastAsia="SimSun" w:cs="SimSun"/>
          <w:color w:val="000000"/>
          <w:sz w:val="24"/>
        </w:rPr>
        <w:t xml:space="preserve">苏州市市辖区政府采购不见面虚拟开标室</w:t>
      </w:r>
      <w:r>
        <w:rPr>
          <w:rFonts w:hint="eastAsia" w:ascii="宋体" w:hAnsi="宋体" w:cs="宋体"/>
          <w:b w:val="0"/>
          <w:bCs w:val="0"/>
          <w:color w:val="auto"/>
          <w:sz w:val="24"/>
          <w:highlight w:val="none"/>
          <w:lang w:val="en-US" w:eastAsia="zh-CN"/>
        </w:rPr>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、其他补充事宜</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 xml:space="preserve">1、CA证书办理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苏州现场办理地址：苏州市高新区邓尉路105号狮山科技馆1楼服务大厅，</w:t>
      </w:r>
      <w:r>
        <w:rPr>
          <w:rFonts w:hint="eastAsia" w:ascii="宋体" w:hAnsi="宋体" w:cs="宋体"/>
          <w:b/>
          <w:bCs/>
          <w:color w:val="auto"/>
          <w:sz w:val="24"/>
          <w:highlight w:val="none"/>
          <w:lang w:val="en-US" w:eastAsia="zh-CN"/>
        </w:rPr>
        <w:t xml:space="preserve">咨询</w:t>
      </w:r>
      <w:r>
        <w:rPr>
          <w:rFonts w:hint="eastAsia" w:ascii="宋体" w:hAnsi="宋体" w:eastAsia="宋体" w:cs="宋体"/>
          <w:b/>
          <w:bCs/>
          <w:color w:val="auto"/>
          <w:sz w:val="24"/>
          <w:highlight w:val="none"/>
        </w:rPr>
        <w:t xml:space="preserve">电话：0512-65737699。</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 xml:space="preserve">2、参与采购活动</w:t>
      </w:r>
      <w:r/>
    </w:p>
    <w:p>
      <w:pPr>
        <w:ind w:firstLine="48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w:t>
      </w:r>
      <w:r>
        <w:rPr>
          <w:rFonts w:hint="eastAsia" w:ascii="宋体" w:hAnsi="宋体" w:cs="宋体"/>
          <w:bCs/>
          <w:color w:val="auto"/>
          <w:sz w:val="24"/>
          <w:highlight w:val="none"/>
          <w:lang w:val="en-US" w:eastAsia="zh-CN" w:bidi="ar"/>
        </w:rPr>
        <w:t xml:space="preserve">招标（</w:t>
      </w:r>
      <w:r>
        <w:rPr>
          <w:rFonts w:hint="eastAsia" w:ascii="宋体" w:hAnsi="宋体" w:eastAsia="宋体" w:cs="宋体"/>
          <w:bCs/>
          <w:color w:val="auto"/>
          <w:sz w:val="24"/>
          <w:highlight w:val="none"/>
          <w:lang w:bidi="ar"/>
        </w:rPr>
        <w:t xml:space="preserve">采购</w:t>
      </w:r>
      <w:r>
        <w:rPr>
          <w:rFonts w:hint="eastAsia" w:ascii="宋体" w:hAnsi="宋体" w:cs="宋体"/>
          <w:bCs/>
          <w:color w:val="auto"/>
          <w:sz w:val="24"/>
          <w:highlight w:val="none"/>
          <w:lang w:val="en-US" w:eastAsia="zh-CN" w:bidi="ar"/>
        </w:rPr>
        <w:t xml:space="preserve">）</w:t>
      </w:r>
      <w:r>
        <w:rPr>
          <w:rFonts w:hint="eastAsia" w:ascii="宋体" w:hAnsi="宋体" w:eastAsia="宋体" w:cs="宋体"/>
          <w:bCs/>
          <w:color w:val="auto"/>
          <w:sz w:val="24"/>
          <w:highlight w:val="none"/>
          <w:lang w:bidi="ar"/>
        </w:rPr>
        <w:t xml:space="preserve">公告要求提交《投标供应商确认函》的供应商，视为未参与该项政府采购活动，不具备对该政府采购项目提出质疑的法定权利，但因供应商资格条件或获取</w:t>
      </w:r>
      <w:r>
        <w:rPr>
          <w:rFonts w:hint="eastAsia" w:ascii="宋体" w:hAnsi="宋体" w:cs="宋体"/>
          <w:bCs/>
          <w:color w:val="auto"/>
          <w:sz w:val="24"/>
          <w:highlight w:val="none"/>
          <w:lang w:val="en-US" w:eastAsia="zh-CN" w:bidi="ar"/>
        </w:rPr>
        <w:t xml:space="preserve">招标（</w:t>
      </w:r>
      <w:r>
        <w:rPr>
          <w:rFonts w:hint="eastAsia" w:ascii="宋体" w:hAnsi="宋体" w:eastAsia="宋体" w:cs="宋体"/>
          <w:bCs/>
          <w:color w:val="auto"/>
          <w:sz w:val="24"/>
          <w:highlight w:val="none"/>
          <w:lang w:bidi="ar"/>
        </w:rPr>
        <w:t xml:space="preserve">采购</w:t>
      </w:r>
      <w:r>
        <w:rPr>
          <w:rFonts w:hint="eastAsia" w:ascii="宋体" w:hAnsi="宋体" w:cs="宋体"/>
          <w:bCs/>
          <w:color w:val="auto"/>
          <w:sz w:val="24"/>
          <w:highlight w:val="none"/>
          <w:lang w:val="en-US" w:eastAsia="zh-CN" w:bidi="ar"/>
        </w:rPr>
        <w:t xml:space="preserve">）</w:t>
      </w:r>
      <w:r>
        <w:rPr>
          <w:rFonts w:hint="eastAsia" w:ascii="宋体" w:hAnsi="宋体" w:eastAsia="宋体" w:cs="宋体"/>
          <w:bCs/>
          <w:color w:val="auto"/>
          <w:sz w:val="24"/>
          <w:highlight w:val="none"/>
          <w:lang w:bidi="ar"/>
        </w:rPr>
        <w:t xml:space="preserve">文件时间设定不符合有关法律法规规定等原因使供应商权益受损的除外。</w:t>
      </w:r>
      <w:r/>
    </w:p>
    <w:p>
      <w:pPr>
        <w:ind w:firstLine="48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highlight w:val="none"/>
          <w:lang w:bidi="ar"/>
        </w:rPr>
        <w:t xml:space="preserve">3、</w:t>
      </w:r>
      <w:r>
        <w:rPr>
          <w:rFonts w:hint="eastAsia" w:ascii="宋体" w:hAnsi="宋体" w:eastAsia="宋体" w:cs="宋体"/>
          <w:b/>
          <w:bCs w:val="0"/>
          <w:color w:val="auto"/>
          <w:sz w:val="24"/>
          <w:szCs w:val="22"/>
          <w:highlight w:val="none"/>
        </w:rPr>
        <w:t xml:space="preserve">电子投标</w:t>
      </w:r>
      <w:r>
        <w:rPr>
          <w:rFonts w:hint="eastAsia" w:ascii="宋体" w:hAnsi="宋体" w:cs="宋体"/>
          <w:b/>
          <w:bCs w:val="0"/>
          <w:color w:val="auto"/>
          <w:sz w:val="24"/>
          <w:szCs w:val="22"/>
          <w:highlight w:val="none"/>
          <w:lang w:eastAsia="zh-CN"/>
        </w:rPr>
        <w:t xml:space="preserve">（</w:t>
      </w:r>
      <w:r>
        <w:rPr>
          <w:rFonts w:hint="eastAsia" w:ascii="宋体" w:hAnsi="宋体" w:cs="宋体"/>
          <w:b/>
          <w:bCs w:val="0"/>
          <w:color w:val="auto"/>
          <w:sz w:val="24"/>
          <w:szCs w:val="22"/>
          <w:highlight w:val="none"/>
          <w:lang w:val="en-US" w:eastAsia="zh-CN"/>
        </w:rPr>
        <w:t xml:space="preserve">响应</w:t>
      </w:r>
      <w:r>
        <w:rPr>
          <w:rFonts w:hint="eastAsia" w:ascii="宋体" w:hAnsi="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准备</w:t>
      </w:r>
      <w:r/>
    </w:p>
    <w:p>
      <w:pPr>
        <w:ind w:firstLine="480"/>
        <w:spacing w:line="360" w:lineRule="auto"/>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供应商在“苏采云”系统中操作</w:t>
      </w:r>
      <w:r>
        <w:rPr>
          <w:rFonts w:hint="eastAsia" w:ascii="宋体" w:hAnsi="宋体" w:cs="宋体"/>
          <w:bCs/>
          <w:color w:val="auto"/>
          <w:sz w:val="24"/>
          <w:highlight w:val="none"/>
          <w:lang w:val="en-US" w:eastAsia="zh-CN" w:bidi="ar"/>
        </w:rPr>
        <w:t xml:space="preserve">成功</w:t>
      </w:r>
      <w:r>
        <w:rPr>
          <w:rFonts w:hint="eastAsia" w:ascii="宋体" w:hAnsi="宋体" w:eastAsia="宋体" w:cs="宋体"/>
          <w:bCs/>
          <w:color w:val="auto"/>
          <w:sz w:val="24"/>
          <w:highlight w:val="none"/>
          <w:lang w:bidi="ar"/>
        </w:rPr>
        <w:t xml:space="preserve">参与项目后，必须在“已参与项目”界面中下载电子</w:t>
      </w:r>
      <w:r>
        <w:rPr>
          <w:rFonts w:hint="eastAsia" w:ascii="宋体" w:hAnsi="宋体" w:cs="宋体"/>
          <w:bCs/>
          <w:color w:val="auto"/>
          <w:sz w:val="24"/>
          <w:highlight w:val="none"/>
          <w:lang w:val="en-US" w:eastAsia="zh-CN" w:bidi="ar"/>
        </w:rPr>
        <w:t xml:space="preserve">招标</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采购</w:t>
      </w:r>
      <w:r>
        <w:rPr>
          <w:rFonts w:hint="eastAsia" w:ascii="宋体" w:hAnsi="宋体" w:cs="宋体"/>
          <w:bCs/>
          <w:color w:val="auto"/>
          <w:sz w:val="24"/>
          <w:highlight w:val="none"/>
          <w:lang w:eastAsia="zh-CN" w:bidi="ar"/>
        </w:rPr>
        <w:t xml:space="preserve">）</w:t>
      </w:r>
      <w:r>
        <w:rPr>
          <w:rFonts w:hint="eastAsia" w:ascii="宋体" w:hAnsi="宋体" w:eastAsia="宋体" w:cs="宋体"/>
          <w:bCs/>
          <w:color w:val="auto"/>
          <w:sz w:val="24"/>
          <w:highlight w:val="none"/>
          <w:lang w:bidi="ar"/>
        </w:rPr>
        <w:t xml:space="preserve">文件（后缀名为“.kedt”）并导入政府采购客户端工具后方可进行</w:t>
      </w:r>
      <w:r>
        <w:rPr>
          <w:rFonts w:hint="eastAsia" w:ascii="宋体" w:hAnsi="宋体" w:cs="宋体"/>
          <w:bCs/>
          <w:color w:val="auto"/>
          <w:sz w:val="24"/>
          <w:highlight w:val="none"/>
          <w:lang w:val="en-US" w:eastAsia="zh-CN" w:bidi="ar"/>
        </w:rPr>
        <w:t xml:space="preserve">投标</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响应</w:t>
      </w:r>
      <w:r>
        <w:rPr>
          <w:rFonts w:hint="eastAsia" w:ascii="宋体" w:hAnsi="宋体" w:cs="宋体"/>
          <w:bCs/>
          <w:color w:val="auto"/>
          <w:sz w:val="24"/>
          <w:highlight w:val="none"/>
          <w:lang w:eastAsia="zh-CN" w:bidi="ar"/>
        </w:rPr>
        <w:t xml:space="preserve">）</w:t>
      </w:r>
      <w:r>
        <w:rPr>
          <w:rFonts w:hint="eastAsia" w:ascii="宋体" w:hAnsi="宋体" w:eastAsia="宋体" w:cs="宋体"/>
          <w:bCs/>
          <w:color w:val="auto"/>
          <w:sz w:val="24"/>
          <w:highlight w:val="none"/>
          <w:lang w:bidi="ar"/>
        </w:rPr>
        <w:t xml:space="preserve">文件制作和提交</w:t>
      </w:r>
      <w:r>
        <w:rPr>
          <w:rFonts w:hint="eastAsia" w:ascii="宋体" w:hAnsi="宋体" w:eastAsia="宋体" w:cs="宋体"/>
          <w:b/>
          <w:bCs w:val="0"/>
          <w:color w:val="auto"/>
          <w:sz w:val="24"/>
          <w:highlight w:val="none"/>
          <w:lang w:bidi="ar"/>
        </w:rPr>
        <w:t xml:space="preserve">（具体详见《苏采云系统供应商操作手册》，网址链接</w:t>
      </w:r>
      <w:r/>
    </w:p>
    <w:p>
      <w:pPr>
        <w:spacing w:line="360" w:lineRule="auto"/>
        <w:rPr>
          <w:rFonts w:hint="eastAsia" w:ascii="宋体" w:hAnsi="宋体" w:eastAsia="宋体" w:cs="宋体"/>
          <w:bCs/>
          <w:color w:val="auto"/>
          <w:sz w:val="24"/>
          <w:highlight w:val="none"/>
          <w:lang w:bidi="ar"/>
        </w:rPr>
      </w:pPr>
      <w:r>
        <w:rPr>
          <w:rFonts w:hint="default" w:ascii="Calibri" w:hAnsi="Calibri" w:eastAsia="宋体" w:cs="Calibri"/>
          <w:b/>
          <w:bCs w:val="0"/>
          <w:color w:val="auto"/>
          <w:sz w:val="24"/>
          <w:highlight w:val="none"/>
          <w:lang w:bidi="ar"/>
        </w:rPr>
        <w:t xml:space="preserve">https://czju.suzhou.gov.cn/zfcg/html/content/20231220161910031.shtml）</w:t>
      </w:r>
      <w:r>
        <w:rPr>
          <w:rFonts w:hint="eastAsia" w:ascii="宋体" w:hAnsi="宋体" w:eastAsia="宋体" w:cs="宋体"/>
          <w:bCs/>
          <w:color w:val="auto"/>
          <w:sz w:val="24"/>
          <w:highlight w:val="none"/>
          <w:lang w:bidi="ar"/>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4、线上参加开标（开启）会方式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文件，如在系统规定的</w:t>
      </w:r>
      <w:r>
        <w:rPr>
          <w:rFonts w:hint="eastAsia" w:ascii="宋体" w:hAnsi="宋体" w:cs="宋体"/>
          <w:color w:val="auto"/>
          <w:sz w:val="24"/>
          <w:highlight w:val="none"/>
          <w:lang w:val="en-US" w:eastAsia="zh-CN"/>
        </w:rPr>
        <w:t xml:space="preserve">解密</w:t>
      </w:r>
      <w:r>
        <w:rPr>
          <w:rFonts w:hint="eastAsia" w:ascii="宋体" w:hAnsi="宋体" w:eastAsia="宋体" w:cs="宋体"/>
          <w:color w:val="auto"/>
          <w:sz w:val="24"/>
          <w:highlight w:val="none"/>
        </w:rPr>
        <w:t xml:space="preserve">时间（投标/响应文件提交截止时间后30分钟）内未能</w:t>
      </w:r>
      <w:r>
        <w:rPr>
          <w:rFonts w:hint="eastAsia" w:ascii="宋体" w:hAnsi="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解密的视为放弃参与本项目，投标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auto"/>
          <w:sz w:val="24"/>
          <w:highlight w:val="none"/>
        </w:rPr>
        <w:t xml:space="preserve">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注册咨询：0512-69820854；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CA技术咨询电话：400-608-6099</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签章使用问题：025-83633811、025-83633812、15380932027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15371015030；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系统使用指导与咨询：联系电话：0512-69820854；智能客服：登录苏采云系统后，联系系统右下方智能客服图标进行咨询。</w:t>
      </w:r>
      <w:r/>
    </w:p>
    <w:p>
      <w:pPr>
        <w:ind w:firstLine="480"/>
        <w:spacing w:line="360" w:lineRule="auto"/>
        <w:tabs>
          <w:tab w:val="left" w:pos="148" w:leader="none"/>
        </w:tabs>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考虑到熟悉“苏采云”系统、办理CA证书都需要一定的时间，请提早准备以免耽误</w:t>
      </w:r>
      <w:r>
        <w:rPr>
          <w:rFonts w:hint="eastAsia" w:ascii="宋体" w:hAnsi="宋体" w:cs="宋体"/>
          <w:color w:val="auto"/>
          <w:sz w:val="24"/>
          <w:highlight w:val="none"/>
          <w:lang w:val="en-US" w:eastAsia="zh-CN"/>
        </w:rPr>
        <w:t xml:space="preserve">招（投）标</w:t>
      </w:r>
      <w:r>
        <w:rPr>
          <w:rFonts w:hint="eastAsia" w:ascii="宋体" w:hAnsi="宋体" w:eastAsia="宋体" w:cs="宋体"/>
          <w:color w:val="auto"/>
          <w:sz w:val="24"/>
          <w:highlight w:val="none"/>
        </w:rPr>
        <w:t xml:space="preserve">采购活动。</w:t>
      </w:r>
      <w:r/>
    </w:p>
    <w:p>
      <w:pPr>
        <w:ind w:firstLine="480"/>
        <w:spacing w:line="360" w:lineRule="auto"/>
        <w:tabs>
          <w:tab w:val="left" w:pos="148"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、拒绝下述供应商参加本次采购活动：</w:t>
      </w:r>
      <w:r/>
    </w:p>
    <w:p>
      <w:pPr>
        <w:ind w:firstLine="480"/>
        <w:spacing w:line="360" w:lineRule="auto"/>
        <w:tabs>
          <w:tab w:val="left" w:pos="148" w:leader="none"/>
        </w:tabs>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tabs>
          <w:tab w:val="left" w:pos="148" w:leader="none"/>
        </w:tabs>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w:t>
      </w:r>
      <w:r>
        <w:rPr>
          <w:rFonts w:hint="eastAsia" w:ascii="宋体" w:hAnsi="宋体" w:cs="宋体"/>
          <w:color w:val="auto"/>
          <w:sz w:val="24"/>
          <w:highlight w:val="none"/>
          <w:lang w:val="en-US" w:eastAsia="zh-CN"/>
        </w:rPr>
        <w:t xml:space="preserve">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highlight w:val="none"/>
          <w:lang w:bidi="ar"/>
        </w:rPr>
      </w:pPr>
      <w:r>
        <w:rPr>
          <w:rFonts w:hint="eastAsia" w:ascii="宋体" w:hAnsi="宋体" w:cs="宋体"/>
          <w:b/>
          <w:bCs/>
          <w:color w:val="auto"/>
          <w:sz w:val="24"/>
          <w:highlight w:val="none"/>
          <w:lang w:val="en-US" w:eastAsia="zh-CN" w:bidi="ar"/>
        </w:rPr>
        <w:t xml:space="preserve">8</w:t>
      </w:r>
      <w:r>
        <w:rPr>
          <w:rFonts w:hint="eastAsia" w:ascii="宋体" w:hAnsi="宋体" w:eastAsia="宋体" w:cs="宋体"/>
          <w:b/>
          <w:bCs/>
          <w:color w:val="auto"/>
          <w:sz w:val="24"/>
          <w:highlight w:val="none"/>
          <w:lang w:bidi="ar"/>
        </w:rPr>
        <w:t xml:space="preserve">、</w:t>
      </w:r>
      <w:r>
        <w:rPr>
          <w:rFonts w:hint="eastAsia" w:ascii="宋体" w:hAnsi="宋体" w:eastAsia="宋体" w:cs="宋体"/>
          <w:color w:val="auto"/>
          <w:sz w:val="24"/>
          <w:highlight w:val="none"/>
          <w:lang w:bidi="ar"/>
        </w:rPr>
        <w:t xml:space="preserve">本公告同时在中国政府采购网、江苏政府采购网、苏州市政府采购网上发布。</w:t>
      </w:r>
      <w:r/>
    </w:p>
    <w:p>
      <w:pPr>
        <w:ind w:firstLine="480"/>
        <w:spacing w:line="360" w:lineRule="auto"/>
        <w:tabs>
          <w:tab w:val="left" w:pos="148" w:leader="none"/>
        </w:tabs>
        <w:rPr>
          <w:rFonts w:hint="eastAsia" w:ascii="宋体" w:hAnsi="宋体" w:eastAsia="宋体" w:cs="宋体"/>
          <w:color w:val="auto"/>
          <w:sz w:val="24"/>
          <w:highlight w:val="none"/>
          <w:lang w:bidi="ar"/>
        </w:rPr>
      </w:pPr>
      <w:r>
        <w:rPr>
          <w:rFonts w:hint="eastAsia" w:ascii="宋体" w:hAnsi="宋体" w:cs="宋体"/>
          <w:b/>
          <w:bCs/>
          <w:color w:val="auto"/>
          <w:sz w:val="24"/>
          <w:highlight w:val="none"/>
          <w:lang w:val="en-US" w:eastAsia="zh-CN" w:bidi="ar"/>
        </w:rPr>
        <w:t xml:space="preserve">9</w:t>
      </w:r>
      <w:r>
        <w:rPr>
          <w:rFonts w:hint="eastAsia" w:ascii="宋体" w:hAnsi="宋体" w:eastAsia="宋体" w:cs="宋体"/>
          <w:b/>
          <w:bCs/>
          <w:color w:val="auto"/>
          <w:sz w:val="24"/>
          <w:highlight w:val="none"/>
          <w:lang w:bidi="ar"/>
        </w:rPr>
        <w:t xml:space="preserve">、</w:t>
      </w:r>
      <w:r>
        <w:rPr>
          <w:rFonts w:hint="eastAsia" w:ascii="宋体" w:hAnsi="宋体" w:eastAsia="宋体" w:cs="宋体"/>
          <w:color w:val="auto"/>
          <w:sz w:val="24"/>
          <w:highlight w:val="none"/>
          <w:lang w:bidi="ar"/>
        </w:rPr>
        <w:t xml:space="preserve">本项目获取采购文件截止日期之后下载的采购文件，视为非有效方式且不作为供应商权益受到损害的证明材料和依据。</w:t>
      </w:r>
      <w:r/>
    </w:p>
    <w:p>
      <w:pPr>
        <w:ind w:firstLine="480"/>
        <w:spacing w:line="360" w:lineRule="auto"/>
        <w:tabs>
          <w:tab w:val="left" w:pos="148" w:leader="none"/>
        </w:tabs>
        <w:rPr>
          <w:rFonts w:hint="eastAsia" w:ascii="宋体" w:hAnsi="宋体" w:eastAsia="宋体" w:cs="宋体"/>
          <w:color w:val="auto"/>
          <w:sz w:val="24"/>
          <w:highlight w:val="none"/>
          <w:lang w:eastAsia="zh-CN" w:bidi="ar"/>
        </w:rPr>
      </w:pPr>
      <w:r>
        <w:rPr>
          <w:rFonts w:hint="eastAsia" w:ascii="宋体" w:hAnsi="宋体" w:cs="宋体"/>
          <w:b/>
          <w:bCs/>
          <w:color w:val="auto"/>
          <w:sz w:val="24"/>
          <w:highlight w:val="none"/>
          <w:lang w:val="en-US" w:eastAsia="zh-CN" w:bidi="ar"/>
        </w:rPr>
        <w:t xml:space="preserve">10</w:t>
      </w:r>
      <w:r>
        <w:rPr>
          <w:rFonts w:hint="eastAsia" w:ascii="宋体" w:hAnsi="宋体" w:eastAsia="宋体" w:cs="宋体"/>
          <w:b/>
          <w:bCs/>
          <w:color w:val="auto"/>
          <w:sz w:val="24"/>
          <w:highlight w:val="none"/>
          <w:lang w:bidi="ar"/>
        </w:rPr>
        <w:t xml:space="preserve">、</w:t>
      </w:r>
      <w:r>
        <w:rPr>
          <w:rFonts w:hint="eastAsia" w:ascii="宋体" w:hAnsi="宋体" w:eastAsia="宋体" w:cs="宋体"/>
          <w:color w:val="auto"/>
          <w:sz w:val="24"/>
          <w:highlight w:val="none"/>
          <w:lang w:bidi="ar"/>
        </w:rPr>
        <w:t xml:space="preserve">本项目不收取磋商保证金</w:t>
      </w:r>
      <w:r>
        <w:rPr>
          <w:rFonts w:hint="eastAsia" w:ascii="宋体" w:hAnsi="宋体" w:cs="宋体"/>
          <w:color w:val="auto"/>
          <w:sz w:val="24"/>
          <w:highlight w:val="none"/>
          <w:lang w:eastAsia="zh-CN" w:bidi="ar"/>
        </w:rPr>
        <w:t xml:space="preserve">。</w:t>
      </w:r>
      <w:r/>
    </w:p>
    <w:p>
      <w:pPr>
        <w:ind w:firstLine="480"/>
        <w:spacing w:line="360" w:lineRule="auto"/>
        <w:tabs>
          <w:tab w:val="left" w:pos="148" w:leader="none"/>
        </w:tabs>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1</w:t>
      </w:r>
      <w:r>
        <w:rPr>
          <w:rFonts w:hint="eastAsia" w:ascii="宋体" w:hAnsi="宋体" w:cs="宋体"/>
          <w:b/>
          <w:bCs/>
          <w:color w:val="auto"/>
          <w:sz w:val="24"/>
          <w:highlight w:val="none"/>
          <w:lang w:val="en-US" w:eastAsia="zh-CN" w:bidi="ar"/>
        </w:rPr>
        <w:t xml:space="preserve">1</w:t>
      </w:r>
      <w:r>
        <w:rPr>
          <w:rFonts w:hint="eastAsia" w:ascii="宋体" w:hAnsi="宋体" w:eastAsia="宋体" w:cs="宋体"/>
          <w:b/>
          <w:bCs/>
          <w:color w:val="auto"/>
          <w:sz w:val="24"/>
          <w:highlight w:val="none"/>
          <w:lang w:bidi="ar"/>
        </w:rPr>
        <w:t xml:space="preserve">、不同</w:t>
      </w:r>
      <w:r>
        <w:rPr>
          <w:rFonts w:hint="eastAsia" w:ascii="宋体" w:hAnsi="宋体" w:cs="宋体"/>
          <w:b/>
          <w:bCs/>
          <w:color w:val="auto"/>
          <w:sz w:val="24"/>
          <w:highlight w:val="none"/>
          <w:lang w:val="en-US" w:eastAsia="zh-CN" w:bidi="ar"/>
        </w:rPr>
        <w:t xml:space="preserve">磋商响应单位</w:t>
      </w:r>
      <w:r>
        <w:rPr>
          <w:rFonts w:hint="eastAsia" w:ascii="宋体" w:hAnsi="宋体" w:eastAsia="宋体" w:cs="宋体"/>
          <w:b/>
          <w:bCs/>
          <w:color w:val="auto"/>
          <w:sz w:val="24"/>
          <w:highlight w:val="none"/>
          <w:lang w:bidi="ar"/>
        </w:rPr>
        <w:t xml:space="preserve">的</w:t>
      </w:r>
      <w:r>
        <w:rPr>
          <w:rFonts w:hint="eastAsia" w:ascii="宋体" w:hAnsi="宋体" w:cs="宋体"/>
          <w:b/>
          <w:bCs/>
          <w:color w:val="auto"/>
          <w:sz w:val="24"/>
          <w:highlight w:val="none"/>
          <w:lang w:val="en-US" w:eastAsia="zh-CN" w:bidi="ar"/>
        </w:rPr>
        <w:t xml:space="preserve">响应</w:t>
      </w:r>
      <w:r>
        <w:rPr>
          <w:rFonts w:hint="eastAsia" w:ascii="宋体" w:hAnsi="宋体" w:eastAsia="宋体" w:cs="宋体"/>
          <w:b/>
          <w:bCs/>
          <w:color w:val="auto"/>
          <w:sz w:val="24"/>
          <w:highlight w:val="none"/>
          <w:lang w:bidi="ar"/>
        </w:rPr>
        <w:t xml:space="preserve">文件“机器码一致”，</w:t>
      </w:r>
      <w:r>
        <w:rPr>
          <w:rFonts w:hint="eastAsia" w:ascii="宋体" w:hAnsi="宋体" w:cs="宋体"/>
          <w:b/>
          <w:bCs/>
          <w:color w:val="auto"/>
          <w:sz w:val="24"/>
          <w:highlight w:val="none"/>
          <w:lang w:val="en-US" w:eastAsia="zh-CN" w:bidi="ar"/>
        </w:rPr>
        <w:t xml:space="preserve">响应</w:t>
      </w:r>
      <w:r>
        <w:rPr>
          <w:rFonts w:hint="eastAsia" w:ascii="宋体" w:hAnsi="宋体" w:eastAsia="宋体" w:cs="宋体"/>
          <w:b/>
          <w:bCs/>
          <w:color w:val="auto"/>
          <w:sz w:val="24"/>
          <w:highlight w:val="none"/>
          <w:lang w:bidi="ar"/>
        </w:rPr>
        <w:t xml:space="preserve">文件将被拒绝。</w:t>
      </w:r>
      <w:r/>
    </w:p>
    <w:p>
      <w:pPr>
        <w:ind w:firstLine="480"/>
        <w:spacing w:line="360" w:lineRule="auto"/>
        <w:tabs>
          <w:tab w:val="left" w:pos="148" w:leader="none"/>
        </w:tabs>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1</w:t>
      </w:r>
      <w:r>
        <w:rPr>
          <w:rFonts w:hint="eastAsia" w:ascii="宋体" w:hAnsi="宋体" w:cs="宋体"/>
          <w:b/>
          <w:bCs/>
          <w:color w:val="auto"/>
          <w:sz w:val="24"/>
          <w:highlight w:val="none"/>
          <w:lang w:val="en-US" w:eastAsia="zh-CN" w:bidi="ar"/>
        </w:rPr>
        <w:t xml:space="preserve">2</w:t>
      </w:r>
      <w:r>
        <w:rPr>
          <w:rFonts w:hint="eastAsia" w:ascii="宋体" w:hAnsi="宋体" w:eastAsia="宋体" w:cs="宋体"/>
          <w:b/>
          <w:bCs/>
          <w:color w:val="auto"/>
          <w:sz w:val="24"/>
          <w:highlight w:val="none"/>
          <w:lang w:bidi="ar"/>
        </w:rPr>
        <w:t xml:space="preserve">、</w:t>
      </w:r>
      <w:r>
        <w:rPr>
          <w:rFonts w:hint="eastAsia" w:ascii="宋体" w:hAnsi="宋体" w:eastAsia="宋体" w:cs="宋体"/>
          <w:color w:val="auto"/>
          <w:sz w:val="24"/>
          <w:highlight w:val="none"/>
          <w:lang w:bidi="ar"/>
        </w:rPr>
        <w:t xml:space="preserve">根据苏州市财政局《关于深入开展苏州市政府采购合同信用融资业务的通知》相关要求，本项目支持政府采购合同信用融资。</w:t>
      </w:r>
      <w:r/>
    </w:p>
    <w:p>
      <w:pPr>
        <w:ind w:firstLine="480"/>
        <w:spacing w:line="360" w:lineRule="auto"/>
        <w:tabs>
          <w:tab w:val="left" w:pos="148" w:leader="none"/>
        </w:tabs>
        <w:rPr>
          <w:rFonts w:hint="eastAsia" w:ascii="宋体" w:hAnsi="宋体" w:eastAsia="宋体" w:cs="宋体"/>
          <w:color w:val="auto"/>
          <w:sz w:val="24"/>
          <w:highlight w:val="none"/>
          <w:lang w:bidi="ar"/>
        </w:rPr>
      </w:pPr>
      <w:r>
        <w:rPr>
          <w:rFonts w:hint="eastAsia" w:ascii="宋体" w:hAnsi="宋体" w:cs="宋体"/>
          <w:b/>
          <w:bCs/>
          <w:color w:val="auto"/>
          <w:sz w:val="24"/>
          <w:highlight w:val="none"/>
          <w:lang w:val="en-US" w:eastAsia="zh-CN" w:bidi="ar"/>
        </w:rPr>
        <w:t xml:space="preserve">13、</w:t>
      </w:r>
      <w:r>
        <w:rPr>
          <w:rFonts w:hint="eastAsia" w:ascii="宋体" w:hAnsi="宋体" w:eastAsia="宋体" w:cs="宋体"/>
          <w:color w:val="auto"/>
          <w:sz w:val="24"/>
          <w:highlight w:val="none"/>
          <w:lang w:bidi="ar"/>
        </w:rPr>
        <w:t xml:space="preserve">苏州高新区政府采购管理监督电话：0512-68751335。</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、凡对本次采购提出询问，请按以下方式联系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t xml:space="preserve">名称：苏州浒墅关经济技术开发区集成指挥中心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t xml:space="preserve">地址：苏州高新区兴贤路666号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联系人：邵启航</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联系电话：13913595597</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t xml:space="preserve">名称：苏州苏兮创建设咨询有限公司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t xml:space="preserve">地址：苏州市吴中区金枫路216号东创科技园D栋12楼</w:t>
      </w:r>
      <w:r/>
    </w:p>
    <w:p>
      <w:pPr>
        <w:pStyle w:val="77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周曦</w:t>
      </w:r>
      <w:r>
        <w:rPr>
          <w:rFonts w:hint="eastAsia" w:ascii="宋体" w:hAnsi="宋体" w:eastAsia="宋体" w:cs="宋体"/>
          <w:color w:val="auto"/>
          <w:sz w:val="24"/>
          <w:highlight w:val="none"/>
          <w:lang w:val="en-US" w:eastAsia="zh-CN"/>
        </w:rPr>
      </w:r>
      <w:r/>
    </w:p>
    <w:p>
      <w:pPr>
        <w:pStyle w:val="779"/>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rPr>
        <w:t xml:space="preserve">：1596214914</w:t>
      </w:r>
      <w:r>
        <w:rPr>
          <w:rFonts w:hint="eastAsia" w:ascii="宋体" w:hAnsi="宋体" w:eastAsia="宋体" w:cs="宋体"/>
          <w:color w:val="auto"/>
          <w:sz w:val="24"/>
          <w:highlight w:val="none"/>
          <w:lang w:val="en-US" w:eastAsia="zh-CN"/>
        </w:rPr>
        <w:t xml:space="preserve">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项目联系人：周曦</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电话：1596214914</w:t>
      </w:r>
      <w:r>
        <w:rPr>
          <w:rFonts w:hint="eastAsia" w:ascii="宋体" w:hAnsi="宋体" w:eastAsia="宋体" w:cs="宋体"/>
          <w:color w:val="auto"/>
          <w:sz w:val="24"/>
          <w:highlight w:val="none"/>
          <w:lang w:val="en-US" w:eastAsia="zh-CN"/>
        </w:rPr>
        <w:t xml:space="preserve">2</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苏州苏兮创建设咨询有限公司</w:t>
      </w:r>
      <w:r/>
    </w:p>
    <w:p>
      <w:pPr>
        <w:ind w:firstLine="480"/>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2026年10月15日</w:t>
      </w:r>
      <w:r/>
    </w:p>
    <w:p>
      <w:pPr>
        <w:jc w:val="center"/>
        <w:spacing w:line="360" w:lineRule="auto"/>
        <w:rPr>
          <w:rFonts w:hint="eastAsia" w:ascii="宋体" w:hAnsi="宋体" w:eastAsia="宋体" w:cs="宋体"/>
          <w:b/>
          <w:color w:val="auto"/>
          <w:sz w:val="28"/>
          <w:szCs w:val="28"/>
          <w:highlight w:val="none"/>
        </w:rPr>
        <w:outlineLvl w:val="0"/>
      </w:pPr>
      <w:r/>
      <w:bookmarkStart w:id="3" w:name="_Toc31289"/>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cs="宋体"/>
          <w:b/>
          <w:bCs/>
          <w:color w:val="auto"/>
          <w:sz w:val="28"/>
          <w:szCs w:val="28"/>
          <w:highlight w:val="none"/>
        </w:rPr>
        <w:outlineLvl w:val="0"/>
      </w:pPr>
      <w:r>
        <w:rPr>
          <w:highlight w:val="none"/>
        </w:rPr>
      </w:r>
      <w:r>
        <w:rPr>
          <w:highlight w:val="none"/>
        </w:rPr>
      </w:r>
      <w:r/>
    </w:p>
    <w:p>
      <w:pPr>
        <w:jc w:val="center"/>
        <w:spacing w:line="360" w:lineRule="auto"/>
        <w:rPr>
          <w:highlight w:val="none"/>
        </w:rPr>
        <w:outlineLvl w:val="0"/>
      </w:pPr>
      <w:r>
        <w:rPr>
          <w:rFonts w:hint="eastAsia" w:ascii="宋体" w:hAnsi="宋体" w:cs="宋体"/>
          <w:b/>
          <w:color w:val="auto"/>
          <w:sz w:val="28"/>
          <w:szCs w:val="28"/>
          <w:highlight w:val="none"/>
        </w:rPr>
        <w:t xml:space="preserve">第二章 磋商须知</w:t>
      </w:r>
      <w:bookmarkEnd w:id="3"/>
      <w:r/>
      <w:r/>
    </w:p>
    <w:p>
      <w:pPr>
        <w:pStyle w:val="775"/>
        <w:ind w:left="0" w:firstLine="0"/>
        <w:jc w:val="both"/>
        <w:spacing w:line="360" w:lineRule="auto"/>
        <w:rPr>
          <w:rFonts w:hint="eastAsia" w:ascii="宋体" w:hAnsi="宋体" w:eastAsia="宋体" w:cs="宋体"/>
          <w:b/>
          <w:color w:val="auto"/>
          <w:szCs w:val="24"/>
          <w:highlight w:val="none"/>
        </w:rPr>
      </w:pPr>
      <w:r/>
      <w:bookmarkStart w:id="4" w:name="_Toc20132"/>
      <w:r/>
      <w:bookmarkStart w:id="5" w:name="_Toc13437"/>
      <w:r>
        <w:rPr>
          <w:rFonts w:hint="eastAsia" w:ascii="宋体" w:hAnsi="宋体" w:eastAsia="宋体" w:cs="宋体"/>
          <w:b/>
          <w:color w:val="auto"/>
          <w:szCs w:val="24"/>
          <w:highlight w:val="none"/>
        </w:rPr>
        <w:t xml:space="preserve">一、说明和释义</w:t>
      </w:r>
      <w:bookmarkEnd w:id="4"/>
      <w:r/>
      <w:bookmarkEnd w:id="5"/>
      <w:r/>
      <w:r/>
    </w:p>
    <w:p>
      <w:pPr>
        <w:pStyle w:val="775"/>
        <w:ind w:firstLine="482"/>
        <w:jc w:val="both"/>
        <w:spacing w:line="360" w:lineRule="auto"/>
        <w:rPr>
          <w:rFonts w:hint="eastAsia" w:ascii="宋体" w:hAnsi="宋体" w:eastAsia="宋体" w:cs="宋体"/>
          <w:b/>
          <w:color w:val="auto"/>
          <w:szCs w:val="24"/>
          <w:highlight w:val="none"/>
        </w:rPr>
      </w:pPr>
      <w:r/>
      <w:bookmarkStart w:id="6" w:name="_Toc9408"/>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说明</w:t>
      </w:r>
      <w:bookmarkEnd w:id="6"/>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仅适用</w:t>
      </w:r>
      <w:r>
        <w:rPr>
          <w:rFonts w:hint="eastAsia" w:ascii="宋体" w:hAnsi="宋体" w:eastAsia="宋体" w:cs="宋体"/>
          <w:color w:val="auto"/>
          <w:szCs w:val="24"/>
          <w:highlight w:val="none"/>
          <w:lang w:val="en-US" w:eastAsia="zh-CN"/>
        </w:rPr>
        <w:t xml:space="preserve">于</w:t>
      </w:r>
      <w:r>
        <w:rPr>
          <w:rFonts w:hint="eastAsia" w:ascii="宋体" w:hAnsi="宋体" w:eastAsia="宋体" w:cs="宋体"/>
          <w:color w:val="auto"/>
          <w:szCs w:val="24"/>
          <w:highlight w:val="none"/>
        </w:rPr>
        <w:t xml:space="preserve">苏州苏兮创建设咨询有限公司组织的</w:t>
      </w:r>
      <w:r>
        <w:rPr>
          <w:rFonts w:hint="eastAsia" w:ascii="宋体" w:hAnsi="宋体" w:eastAsia="宋体" w:cs="宋体"/>
          <w:color w:val="auto"/>
          <w:szCs w:val="24"/>
          <w:highlight w:val="none"/>
          <w:lang w:val="en-US" w:eastAsia="zh-CN"/>
        </w:rPr>
        <w:t xml:space="preserve">采购</w:t>
      </w:r>
      <w:r>
        <w:rPr>
          <w:rFonts w:hint="eastAsia" w:ascii="宋体" w:hAnsi="宋体" w:eastAsia="宋体" w:cs="宋体"/>
          <w:color w:val="auto"/>
          <w:szCs w:val="24"/>
          <w:highlight w:val="none"/>
        </w:rPr>
        <w:t xml:space="preserve">活动。</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w:t>
      </w:r>
      <w:r>
        <w:rPr>
          <w:rFonts w:hint="eastAsia" w:ascii="宋体" w:hAnsi="宋体" w:eastAsia="宋体" w:cs="宋体"/>
          <w:color w:val="auto"/>
          <w:szCs w:val="24"/>
          <w:highlight w:val="none"/>
          <w:lang w:val="en-US" w:eastAsia="zh-CN"/>
        </w:rPr>
        <w:t xml:space="preserve">采购</w:t>
      </w:r>
      <w:r>
        <w:rPr>
          <w:rFonts w:hint="eastAsia" w:ascii="宋体" w:hAnsi="宋体" w:eastAsia="宋体" w:cs="宋体"/>
          <w:color w:val="auto"/>
          <w:szCs w:val="24"/>
          <w:highlight w:val="none"/>
        </w:rPr>
        <w:t xml:space="preserve">活动及因本次</w:t>
      </w:r>
      <w:r>
        <w:rPr>
          <w:rFonts w:hint="eastAsia" w:ascii="宋体" w:hAnsi="宋体" w:eastAsia="宋体" w:cs="宋体"/>
          <w:color w:val="auto"/>
          <w:szCs w:val="24"/>
          <w:highlight w:val="none"/>
          <w:lang w:val="en-US" w:eastAsia="zh-CN"/>
        </w:rPr>
        <w:t xml:space="preserve">采购</w:t>
      </w:r>
      <w:r>
        <w:rPr>
          <w:rFonts w:hint="eastAsia" w:ascii="宋体" w:hAnsi="宋体" w:eastAsia="宋体" w:cs="宋体"/>
          <w:color w:val="auto"/>
          <w:szCs w:val="24"/>
          <w:highlight w:val="none"/>
        </w:rPr>
        <w:t xml:space="preserve">产生的合同受中国法律制约和保护。</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的解释权属</w:t>
      </w:r>
      <w:r>
        <w:rPr>
          <w:rFonts w:hint="eastAsia" w:ascii="宋体" w:hAnsi="宋体" w:eastAsia="宋体" w:cs="宋体"/>
          <w:color w:val="auto"/>
          <w:szCs w:val="24"/>
          <w:highlight w:val="none"/>
          <w:lang w:val="en-US" w:eastAsia="zh-CN"/>
        </w:rPr>
        <w:t xml:space="preserve">于</w:t>
      </w:r>
      <w:r>
        <w:rPr>
          <w:rFonts w:hint="eastAsia" w:ascii="宋体" w:hAnsi="宋体" w:eastAsia="宋体" w:cs="宋体"/>
          <w:color w:val="auto"/>
          <w:szCs w:val="24"/>
          <w:highlight w:val="none"/>
        </w:rPr>
        <w:t xml:space="preserve">苏州苏兮创建设咨询有限公司。</w:t>
      </w:r>
      <w:r/>
    </w:p>
    <w:p>
      <w:pPr>
        <w:pStyle w:val="775"/>
        <w:ind w:firstLine="482"/>
        <w:jc w:val="both"/>
        <w:spacing w:line="360" w:lineRule="auto"/>
        <w:rPr>
          <w:rFonts w:hint="eastAsia" w:ascii="宋体" w:hAnsi="宋体" w:eastAsia="宋体" w:cs="宋体"/>
          <w:b/>
          <w:color w:val="auto"/>
          <w:szCs w:val="24"/>
          <w:highlight w:val="none"/>
        </w:rPr>
      </w:pPr>
      <w:r/>
      <w:bookmarkStart w:id="7" w:name="_Toc27555"/>
      <w:r>
        <w:rPr>
          <w:rFonts w:hint="eastAsia" w:ascii="宋体" w:hAnsi="宋体" w:eastAsia="宋体" w:cs="宋体"/>
          <w:b/>
          <w:color w:val="auto"/>
          <w:szCs w:val="24"/>
          <w:highlight w:val="none"/>
        </w:rPr>
        <w:t xml:space="preserve">2</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词语释义</w:t>
      </w:r>
      <w:bookmarkEnd w:id="7"/>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2.1采购人：指依法进行政府采购的国家机关、事业单位、团体组织。</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2.2采购代理机构：指依法接受采购人委托，从事货物、工程和服务等政府采购</w:t>
      </w:r>
      <w:r>
        <w:rPr>
          <w:rFonts w:hint="eastAsia" w:ascii="宋体" w:hAnsi="宋体" w:eastAsia="宋体" w:cs="宋体"/>
          <w:color w:val="auto"/>
          <w:szCs w:val="24"/>
          <w:highlight w:val="none"/>
          <w:lang w:val="en-US" w:eastAsia="zh-CN"/>
        </w:rPr>
        <w:t xml:space="preserve">代理</w:t>
      </w:r>
      <w:r>
        <w:rPr>
          <w:rFonts w:hint="eastAsia" w:ascii="宋体" w:hAnsi="宋体" w:eastAsia="宋体" w:cs="宋体"/>
          <w:color w:val="auto"/>
          <w:szCs w:val="24"/>
          <w:highlight w:val="none"/>
        </w:rPr>
        <w:t xml:space="preserve">业务的</w:t>
      </w:r>
      <w:r>
        <w:rPr>
          <w:rFonts w:hint="eastAsia" w:ascii="宋体" w:hAnsi="宋体" w:eastAsia="宋体" w:cs="宋体"/>
          <w:color w:val="auto"/>
          <w:szCs w:val="24"/>
          <w:highlight w:val="none"/>
          <w:lang w:val="en-US" w:eastAsia="zh-CN"/>
        </w:rPr>
        <w:t xml:space="preserve">社会中介</w:t>
      </w:r>
      <w:r>
        <w:rPr>
          <w:rFonts w:hint="eastAsia" w:ascii="宋体" w:hAnsi="宋体" w:eastAsia="宋体" w:cs="宋体"/>
          <w:color w:val="auto"/>
          <w:szCs w:val="24"/>
          <w:highlight w:val="none"/>
        </w:rPr>
        <w:t xml:space="preserve">机构。本项目</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rPr>
        <w:t xml:space="preserve">采购代理机构</w:t>
      </w:r>
      <w:r>
        <w:rPr>
          <w:rFonts w:hint="eastAsia" w:ascii="宋体" w:hAnsi="宋体" w:eastAsia="宋体" w:cs="宋体"/>
          <w:color w:val="auto"/>
          <w:szCs w:val="24"/>
          <w:highlight w:val="none"/>
          <w:lang w:val="en-US" w:eastAsia="zh-CN"/>
        </w:rPr>
        <w:t xml:space="preserve">为</w:t>
      </w:r>
      <w:r>
        <w:rPr>
          <w:rFonts w:hint="eastAsia" w:ascii="宋体" w:hAnsi="宋体" w:eastAsia="宋体" w:cs="宋体"/>
          <w:color w:val="auto"/>
          <w:szCs w:val="24"/>
          <w:highlight w:val="none"/>
        </w:rPr>
        <w:t xml:space="preserve">苏州苏兮创建设咨询有限公司。</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w:t>
      </w:r>
      <w:r>
        <w:rPr>
          <w:rFonts w:hint="eastAsia" w:ascii="宋体" w:hAnsi="宋体" w:eastAsia="宋体" w:cs="宋体"/>
          <w:color w:val="auto"/>
          <w:szCs w:val="24"/>
          <w:highlight w:val="none"/>
          <w:lang w:val="en-US" w:eastAsia="zh-CN"/>
        </w:rPr>
        <w:t xml:space="preserve">供应商</w:t>
      </w:r>
      <w:r>
        <w:rPr>
          <w:rFonts w:hint="eastAsia" w:ascii="宋体" w:hAnsi="宋体" w:eastAsia="宋体" w:cs="宋体"/>
          <w:color w:val="auto"/>
          <w:szCs w:val="24"/>
          <w:highlight w:val="none"/>
        </w:rPr>
        <w:t xml:space="preserve">：响应磋商、参加磋商竞争的法人、其他组织或者自然人。</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供应商</w:t>
      </w:r>
      <w:r>
        <w:rPr>
          <w:rFonts w:hint="eastAsia" w:ascii="宋体" w:hAnsi="宋体" w:eastAsia="宋体" w:cs="宋体"/>
          <w:color w:val="auto"/>
          <w:szCs w:val="24"/>
          <w:highlight w:val="none"/>
        </w:rPr>
        <w:t xml:space="preserve">根据采购人或采购代理机构发布的</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，编制</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文件并按规定</w:t>
      </w:r>
      <w:r>
        <w:rPr>
          <w:rFonts w:hint="eastAsia" w:ascii="宋体" w:hAnsi="宋体" w:eastAsia="宋体" w:cs="宋体"/>
          <w:color w:val="auto"/>
          <w:szCs w:val="24"/>
          <w:highlight w:val="none"/>
          <w:lang w:val="en-US" w:eastAsia="zh-CN"/>
        </w:rPr>
        <w:t xml:space="preserve">参与磋商</w:t>
      </w:r>
      <w:r>
        <w:rPr>
          <w:rFonts w:hint="eastAsia" w:ascii="宋体" w:hAnsi="宋体" w:eastAsia="宋体" w:cs="宋体"/>
          <w:color w:val="auto"/>
          <w:szCs w:val="24"/>
          <w:highlight w:val="none"/>
        </w:rPr>
        <w:t xml:space="preserve">的行为。</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2.5合同：采供双方根据</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和</w:t>
      </w:r>
      <w:r>
        <w:rPr>
          <w:rFonts w:hint="eastAsia" w:ascii="宋体" w:hAnsi="宋体" w:eastAsia="宋体" w:cs="宋体"/>
          <w:color w:val="auto"/>
          <w:szCs w:val="24"/>
          <w:highlight w:val="none"/>
          <w:lang w:val="en-US" w:eastAsia="zh-CN"/>
        </w:rPr>
        <w:t xml:space="preserve">成交</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文件及</w:t>
      </w:r>
      <w:r>
        <w:rPr>
          <w:rFonts w:hint="eastAsia" w:ascii="宋体" w:hAnsi="宋体" w:eastAsia="宋体" w:cs="宋体"/>
          <w:color w:val="auto"/>
          <w:szCs w:val="24"/>
          <w:highlight w:val="none"/>
          <w:lang w:val="en-US" w:eastAsia="zh-CN"/>
        </w:rPr>
        <w:t xml:space="preserve">成交</w:t>
      </w:r>
      <w:r>
        <w:rPr>
          <w:rFonts w:hint="eastAsia" w:ascii="宋体" w:hAnsi="宋体" w:eastAsia="宋体" w:cs="宋体"/>
          <w:color w:val="auto"/>
          <w:szCs w:val="24"/>
          <w:highlight w:val="none"/>
        </w:rPr>
        <w:t xml:space="preserve">通知书规定的内容签署的以书面形式所达成的协议，包括所有的附件、附录和构成协议的所有文件。</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2.6甲方（采购人）：指</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中载明的，依法进行政府采购的国家机关、事业单位、团体组织。</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2.7乙方（</w:t>
      </w:r>
      <w:r>
        <w:rPr>
          <w:rFonts w:hint="eastAsia" w:ascii="宋体" w:hAnsi="宋体" w:eastAsia="宋体" w:cs="宋体"/>
          <w:color w:val="auto"/>
          <w:szCs w:val="24"/>
          <w:highlight w:val="none"/>
          <w:lang w:val="en-US" w:eastAsia="zh-CN"/>
        </w:rPr>
        <w:t xml:space="preserve">供应商</w:t>
      </w:r>
      <w:r>
        <w:rPr>
          <w:rFonts w:hint="eastAsia" w:ascii="宋体" w:hAnsi="宋体" w:eastAsia="宋体" w:cs="宋体"/>
          <w:color w:val="auto"/>
          <w:szCs w:val="24"/>
          <w:highlight w:val="none"/>
        </w:rPr>
        <w:t xml:space="preserve">）：合同中规定的向采购人提供服务的法人或其他组织和自然人。</w:t>
      </w:r>
      <w:r/>
    </w:p>
    <w:p>
      <w:pPr>
        <w:ind w:firstLine="480"/>
        <w:spacing w:line="360" w:lineRule="auto"/>
        <w:rPr>
          <w:rFonts w:hint="eastAsia" w:ascii="宋体" w:hAnsi="宋体"/>
          <w:color w:val="auto"/>
          <w:sz w:val="24"/>
          <w:highlight w:val="none"/>
          <w:shd w:val="clear" w:color="auto" w:fill="ffffff"/>
        </w:rPr>
      </w:pPr>
      <w:r>
        <w:rPr>
          <w:rFonts w:ascii="宋体" w:hAnsi="宋体"/>
          <w:color w:val="auto"/>
          <w:sz w:val="24"/>
          <w:highlight w:val="none"/>
          <w:shd w:val="clear" w:color="auto" w:fill="ffffff"/>
        </w:rPr>
        <w:t xml:space="preserve">2.</w:t>
      </w:r>
      <w:r>
        <w:rPr>
          <w:rFonts w:hint="eastAsia" w:ascii="宋体" w:hAnsi="宋体"/>
          <w:color w:val="auto"/>
          <w:sz w:val="24"/>
          <w:highlight w:val="none"/>
          <w:shd w:val="clear" w:color="auto" w:fill="ffffff"/>
        </w:rPr>
        <w:t xml:space="preserve">8服务：系指本</w:t>
      </w:r>
      <w:r>
        <w:rPr>
          <w:rFonts w:hint="eastAsia" w:ascii="宋体" w:hAnsi="宋体"/>
          <w:color w:val="auto"/>
          <w:sz w:val="24"/>
          <w:highlight w:val="none"/>
          <w:shd w:val="clear" w:color="auto" w:fill="ffffff"/>
          <w:lang w:val="en-US" w:eastAsia="zh-CN"/>
        </w:rPr>
        <w:t xml:space="preserve">磋商文件</w:t>
      </w:r>
      <w:r>
        <w:rPr>
          <w:rFonts w:hint="eastAsia" w:ascii="宋体" w:hAnsi="宋体"/>
          <w:color w:val="auto"/>
          <w:sz w:val="24"/>
          <w:highlight w:val="none"/>
          <w:shd w:val="clear" w:color="auto" w:fill="ffffff"/>
        </w:rPr>
        <w:t xml:space="preserve">规定乙方应承担的合同中规定成交供应商应承担的专业服务等相关义务。</w:t>
      </w:r>
      <w:r/>
    </w:p>
    <w:p>
      <w:pPr>
        <w:pStyle w:val="775"/>
        <w:ind w:firstLine="480"/>
        <w:jc w:val="both"/>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t xml:space="preserve">2.9采购：是指以合同方式有偿取得货物、工程和服务的行为，包括购买、租赁、委托、雇用等。</w:t>
      </w:r>
      <w:r/>
    </w:p>
    <w:p>
      <w:pPr>
        <w:pStyle w:val="775"/>
        <w:ind w:firstLine="480"/>
        <w:jc w:val="both"/>
        <w:spacing w:line="360" w:lineRule="auto"/>
        <w:rPr>
          <w:rFonts w:hint="eastAsia" w:ascii="宋体" w:hAnsi="宋体" w:eastAsia="宋体" w:cs="宋体"/>
          <w:color w:val="auto"/>
          <w:szCs w:val="24"/>
          <w:highlight w:val="none"/>
        </w:rPr>
      </w:pPr>
      <w:r>
        <w:rPr>
          <w:rFonts w:ascii="宋体" w:hAnsi="宋体" w:eastAsia="宋体"/>
          <w:color w:val="auto"/>
          <w:szCs w:val="24"/>
          <w:highlight w:val="none"/>
          <w:shd w:val="clear" w:color="auto" w:fill="ffffff"/>
        </w:rPr>
        <w:t xml:space="preserve">2.</w:t>
      </w:r>
      <w:r>
        <w:rPr>
          <w:rFonts w:hint="eastAsia" w:ascii="宋体" w:hAnsi="宋体" w:eastAsia="宋体"/>
          <w:color w:val="auto"/>
          <w:szCs w:val="24"/>
          <w:highlight w:val="none"/>
          <w:shd w:val="clear" w:color="auto" w:fill="ffffff"/>
        </w:rPr>
        <w:t xml:space="preserve">10知识产权：指专利权、商标权、著作权等无形财产专有权的统称。</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2.11天：日历日。</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2.12时间：除特别说明，均指北京时间。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en-US" w:eastAsia="zh-CN"/>
        </w:rPr>
        <w:t xml:space="preserve">履行</w:t>
      </w:r>
      <w:r>
        <w:rPr>
          <w:rFonts w:hint="eastAsia" w:ascii="宋体" w:hAnsi="宋体" w:cs="宋体"/>
          <w:color w:val="auto"/>
          <w:sz w:val="24"/>
          <w:highlight w:val="none"/>
        </w:rPr>
        <w:t xml:space="preserve">地点：合同中明确约定的乙方</w:t>
      </w:r>
      <w:r>
        <w:rPr>
          <w:rFonts w:hint="eastAsia" w:ascii="宋体" w:hAnsi="宋体" w:cs="宋体"/>
          <w:color w:val="auto"/>
          <w:sz w:val="24"/>
          <w:highlight w:val="none"/>
          <w:lang w:val="en-US" w:eastAsia="zh-CN"/>
        </w:rPr>
        <w:t xml:space="preserve">履行服务的</w:t>
      </w:r>
      <w:r>
        <w:rPr>
          <w:rFonts w:hint="eastAsia" w:ascii="宋体" w:hAnsi="宋体" w:cs="宋体"/>
          <w:color w:val="auto"/>
          <w:sz w:val="24"/>
          <w:highlight w:val="none"/>
        </w:rPr>
        <w:t xml:space="preserve">地点。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2.14合同价款：根据合同规定,乙方在正确地履行合同义务后甲方应支付乙方的价款。</w:t>
      </w:r>
      <w:r/>
    </w:p>
    <w:p>
      <w:pPr>
        <w:pStyle w:val="775"/>
        <w:ind w:firstLine="480"/>
        <w:jc w:val="both"/>
        <w:spacing w:line="360" w:lineRule="auto"/>
        <w:rPr>
          <w:rFonts w:hint="eastAsia" w:ascii="宋体" w:hAnsi="宋体" w:eastAsia="宋体" w:cs="宋体"/>
          <w:color w:val="auto"/>
          <w:szCs w:val="24"/>
          <w:highlight w:val="none"/>
        </w:rPr>
      </w:pPr>
      <w:r>
        <w:rPr>
          <w:rFonts w:ascii="宋体" w:hAnsi="宋体" w:eastAsia="宋体"/>
          <w:color w:val="auto"/>
          <w:szCs w:val="24"/>
          <w:highlight w:val="none"/>
          <w:shd w:val="clear" w:color="auto" w:fill="ffffff"/>
        </w:rPr>
        <w:t xml:space="preserve">2.1</w:t>
      </w:r>
      <w:r>
        <w:rPr>
          <w:rFonts w:hint="eastAsia" w:ascii="宋体" w:hAnsi="宋体" w:eastAsia="宋体"/>
          <w:color w:val="auto"/>
          <w:szCs w:val="24"/>
          <w:highlight w:val="none"/>
          <w:shd w:val="clear" w:color="auto" w:fill="ffffff"/>
        </w:rPr>
        <w:t xml:space="preserve">5</w:t>
      </w:r>
      <w:r>
        <w:rPr>
          <w:rFonts w:hint="eastAsia" w:ascii="宋体" w:hAnsi="宋体" w:eastAsia="宋体" w:cs="宋体"/>
          <w:color w:val="auto"/>
          <w:szCs w:val="24"/>
          <w:highlight w:val="none"/>
        </w:rPr>
        <w:t xml:space="preserve">不可抗力：不能预见、不能避免并且不能克服的客观情况。</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2.16实质响应：满足有关本次采购标的、数量、</w:t>
      </w:r>
      <w:r>
        <w:rPr>
          <w:rFonts w:hint="eastAsia" w:ascii="宋体" w:hAnsi="宋体" w:eastAsia="宋体" w:cs="宋体"/>
          <w:color w:val="auto"/>
          <w:szCs w:val="24"/>
          <w:highlight w:val="none"/>
          <w:lang w:val="en-US" w:eastAsia="zh-CN"/>
        </w:rPr>
        <w:t xml:space="preserve">服务</w:t>
      </w:r>
      <w:r>
        <w:rPr>
          <w:rFonts w:hint="eastAsia" w:ascii="宋体" w:hAnsi="宋体" w:eastAsia="宋体" w:cs="宋体"/>
          <w:color w:val="auto"/>
          <w:szCs w:val="24"/>
          <w:highlight w:val="none"/>
        </w:rPr>
        <w:t xml:space="preserve">质量、价款或者报酬、履行期限、履行地点和方式、违约责任和解决争议方法等要求。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2.17进口产品：指通过中国海关报关验放进入中国境内且产自</w:t>
      </w:r>
      <w:r>
        <w:rPr>
          <w:rFonts w:hint="eastAsia" w:ascii="宋体" w:hAnsi="宋体" w:cs="宋体"/>
          <w:color w:val="auto"/>
          <w:sz w:val="24"/>
          <w:highlight w:val="none"/>
          <w:lang w:val="en-US" w:eastAsia="zh-CN"/>
        </w:rPr>
        <w:t xml:space="preserve">关</w:t>
      </w:r>
      <w:r>
        <w:rPr>
          <w:rFonts w:hint="eastAsia" w:ascii="宋体" w:hAnsi="宋体" w:cs="宋体"/>
          <w:color w:val="auto"/>
          <w:sz w:val="24"/>
          <w:highlight w:val="none"/>
        </w:rPr>
        <w:t xml:space="preserve">境外的产品。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2.18书面形式：指书面文字、合同书、信件和传真等可以有形地表现所载内容的形式。</w:t>
      </w:r>
      <w:r/>
    </w:p>
    <w:p>
      <w:pPr>
        <w:pStyle w:val="775"/>
        <w:ind w:left="0" w:firstLine="0"/>
        <w:jc w:val="both"/>
        <w:spacing w:line="360" w:lineRule="auto"/>
        <w:rPr>
          <w:rFonts w:hint="eastAsia" w:ascii="宋体" w:hAnsi="宋体" w:eastAsia="宋体" w:cs="宋体"/>
          <w:color w:val="auto"/>
          <w:szCs w:val="24"/>
          <w:highlight w:val="none"/>
          <w:lang w:eastAsia="zh-CN"/>
        </w:rPr>
      </w:pPr>
      <w:r/>
      <w:bookmarkStart w:id="8" w:name="_Toc14976"/>
      <w:r/>
      <w:bookmarkStart w:id="9" w:name="_Toc13350"/>
      <w:r>
        <w:rPr>
          <w:rFonts w:hint="eastAsia" w:ascii="宋体" w:hAnsi="宋体" w:eastAsia="宋体" w:cs="宋体"/>
          <w:b/>
          <w:color w:val="auto"/>
          <w:szCs w:val="24"/>
          <w:highlight w:val="none"/>
        </w:rPr>
        <w:t xml:space="preserve">二、</w:t>
      </w:r>
      <w:bookmarkEnd w:id="8"/>
      <w:r/>
      <w:bookmarkEnd w:id="9"/>
      <w:r>
        <w:rPr>
          <w:rFonts w:hint="eastAsia" w:ascii="宋体" w:hAnsi="宋体" w:eastAsia="宋体" w:cs="宋体"/>
          <w:b/>
          <w:color w:val="auto"/>
          <w:szCs w:val="24"/>
          <w:highlight w:val="none"/>
          <w:lang w:val="en-US" w:eastAsia="zh-CN"/>
        </w:rPr>
        <w:t xml:space="preserve">供应商</w:t>
      </w:r>
      <w:r/>
    </w:p>
    <w:p>
      <w:pPr>
        <w:pStyle w:val="775"/>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合格供应商</w:t>
      </w:r>
      <w:r>
        <w:rPr>
          <w:rFonts w:hint="eastAsia" w:ascii="宋体" w:hAnsi="宋体" w:eastAsia="宋体" w:cs="宋体"/>
          <w:b/>
          <w:color w:val="auto"/>
          <w:szCs w:val="24"/>
          <w:highlight w:val="none"/>
        </w:rPr>
        <w:t xml:space="preserve">的资格要求</w:t>
      </w:r>
      <w:r/>
    </w:p>
    <w:p>
      <w:pPr>
        <w:pStyle w:val="957"/>
        <w:ind w:firstLine="48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3.1详见本项目</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公告及</w:t>
      </w:r>
      <w:r>
        <w:rPr>
          <w:rFonts w:hint="eastAsia" w:ascii="宋体" w:hAnsi="宋体" w:cs="宋体"/>
          <w:color w:val="auto"/>
          <w:highlight w:val="none"/>
          <w:lang w:val="en-US" w:eastAsia="zh-CN"/>
        </w:rPr>
        <w:t xml:space="preserve">磋商文件</w:t>
      </w:r>
      <w:r>
        <w:rPr>
          <w:rFonts w:hint="eastAsia" w:ascii="宋体" w:hAnsi="宋体" w:cs="宋体"/>
          <w:color w:val="auto"/>
          <w:highlight w:val="none"/>
        </w:rPr>
        <w:t xml:space="preserve">第一章“</w:t>
      </w:r>
      <w:r>
        <w:rPr>
          <w:rFonts w:hint="eastAsia" w:ascii="宋体" w:hAnsi="宋体" w:cs="宋体"/>
          <w:color w:val="auto"/>
          <w:highlight w:val="none"/>
          <w:lang w:val="zh-CN"/>
        </w:rPr>
        <w:t xml:space="preserve">申请人的资格要求</w:t>
      </w:r>
      <w:r>
        <w:rPr>
          <w:rFonts w:hint="eastAsia" w:ascii="宋体" w:hAnsi="宋体" w:cs="宋体"/>
          <w:color w:val="auto"/>
          <w:highlight w:val="none"/>
        </w:rPr>
        <w:t xml:space="preserve">”。</w:t>
      </w:r>
      <w:r/>
    </w:p>
    <w:p>
      <w:pPr>
        <w:pStyle w:val="957"/>
        <w:ind w:firstLine="482"/>
        <w:jc w:val="both"/>
        <w:spacing w:beforeAutospacing="0" w:afterAutospacing="0" w:line="360" w:lineRule="auto"/>
        <w:rPr>
          <w:rFonts w:hint="eastAsia"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供应商</w:t>
      </w:r>
      <w:r>
        <w:rPr>
          <w:rFonts w:hint="eastAsia" w:ascii="宋体" w:hAnsi="宋体" w:cs="宋体"/>
          <w:b/>
          <w:color w:val="auto"/>
          <w:highlight w:val="none"/>
        </w:rPr>
        <w:t xml:space="preserve">代表</w:t>
      </w:r>
      <w:r/>
    </w:p>
    <w:p>
      <w:pPr>
        <w:pStyle w:val="957"/>
        <w:ind w:firstLine="48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4.1指授权全权代表</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参加</w:t>
      </w:r>
      <w:r>
        <w:rPr>
          <w:rFonts w:hint="eastAsia" w:ascii="宋体" w:hAnsi="宋体" w:cs="宋体"/>
          <w:color w:val="auto"/>
          <w:highlight w:val="none"/>
          <w:lang w:val="en-US" w:eastAsia="zh-CN"/>
        </w:rPr>
        <w:t xml:space="preserve">磋商采购</w:t>
      </w:r>
      <w:r>
        <w:rPr>
          <w:rFonts w:hint="eastAsia" w:ascii="宋体" w:hAnsi="宋体" w:cs="宋体"/>
          <w:color w:val="auto"/>
          <w:highlight w:val="none"/>
        </w:rPr>
        <w:t xml:space="preserve">活动并签署</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文件的人，如果</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代表不是</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，须持有《法定代表人授权委托书》（详见统一格式）。</w:t>
      </w:r>
      <w:r/>
    </w:p>
    <w:p>
      <w:pPr>
        <w:pStyle w:val="957"/>
        <w:ind w:firstLine="482"/>
        <w:jc w:val="both"/>
        <w:spacing w:beforeAutospacing="0" w:afterAutospacing="0" w:line="360" w:lineRule="auto"/>
        <w:rPr>
          <w:rFonts w:hint="eastAsia" w:ascii="宋体" w:hAnsi="宋体" w:cs="宋体"/>
          <w:b/>
          <w:color w:val="auto"/>
          <w:highlight w:val="none"/>
        </w:rPr>
      </w:pPr>
      <w:r>
        <w:rPr>
          <w:rFonts w:hint="eastAsia" w:ascii="宋体" w:hAnsi="宋体" w:cs="宋体"/>
          <w:b/>
          <w:color w:val="auto"/>
          <w:highlight w:val="none"/>
        </w:rPr>
        <w:t xml:space="preserve">5</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磋商</w:t>
      </w:r>
      <w:r>
        <w:rPr>
          <w:rFonts w:hint="eastAsia" w:ascii="宋体" w:hAnsi="宋体" w:cs="宋体"/>
          <w:b/>
          <w:color w:val="auto"/>
          <w:highlight w:val="none"/>
        </w:rPr>
        <w:t xml:space="preserve">费用</w:t>
      </w:r>
      <w:r/>
    </w:p>
    <w:p>
      <w:pPr>
        <w:pStyle w:val="957"/>
        <w:ind w:firstLine="480"/>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5.1无论</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过程中的做法和结果如何，</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自行承担所有与参加</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有关的全部费用。</w:t>
      </w:r>
      <w:r/>
    </w:p>
    <w:p>
      <w:pPr>
        <w:pStyle w:val="957"/>
        <w:ind w:firstLine="48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5.2本次采购活动不收取磋商文件工本费。</w:t>
      </w:r>
      <w:r/>
    </w:p>
    <w:p>
      <w:pPr>
        <w:pStyle w:val="775"/>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6</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联合投标及转包、分包</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6.1本项目不接受联合体投标。</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6.2本项目不接受转包、分包。</w:t>
      </w:r>
      <w:bookmarkStart w:id="10" w:name="_Toc31958"/>
      <w:r/>
      <w:bookmarkStart w:id="11" w:name="_Toc5764"/>
      <w:r/>
      <w:r/>
    </w:p>
    <w:p>
      <w:pPr>
        <w:ind w:firstLine="482"/>
        <w:spacing w:line="360" w:lineRule="auto"/>
        <w:rPr>
          <w:rFonts w:hint="eastAsia" w:ascii="宋体" w:hAnsi="宋体"/>
          <w:b/>
          <w:color w:val="auto"/>
          <w:sz w:val="24"/>
          <w:highlight w:val="none"/>
          <w:shd w:val="clear" w:color="auto" w:fill="ffffff"/>
          <w:lang w:val="zh-CN"/>
        </w:rPr>
      </w:pPr>
      <w:r>
        <w:rPr>
          <w:rFonts w:hint="eastAsia" w:ascii="宋体" w:hAnsi="宋体"/>
          <w:b/>
          <w:color w:val="auto"/>
          <w:sz w:val="24"/>
          <w:highlight w:val="none"/>
          <w:shd w:val="clear" w:color="auto" w:fill="ffffff"/>
          <w:lang w:val="zh-CN"/>
        </w:rPr>
        <w:t xml:space="preserve">7、知识产权</w:t>
      </w:r>
      <w:r/>
    </w:p>
    <w:p>
      <w:pPr>
        <w:pStyle w:val="775"/>
        <w:ind w:firstLine="480"/>
        <w:jc w:val="both"/>
        <w:spacing w:line="360" w:lineRule="auto"/>
        <w:rPr>
          <w:rFonts w:hint="eastAsia" w:ascii="宋体" w:hAnsi="宋体" w:eastAsia="宋体" w:cs="宋体"/>
          <w:b/>
          <w:color w:val="auto"/>
          <w:szCs w:val="24"/>
          <w:highlight w:val="none"/>
        </w:rPr>
      </w:pPr>
      <w:r>
        <w:rPr>
          <w:rFonts w:hint="eastAsia" w:ascii="宋体" w:hAnsi="宋体" w:eastAsia="宋体"/>
          <w:color w:val="auto"/>
          <w:szCs w:val="24"/>
          <w:highlight w:val="none"/>
          <w:shd w:val="clear" w:color="auto" w:fill="ffffff"/>
        </w:rPr>
        <w:t xml:space="preserve">7.1</w:t>
      </w:r>
      <w:r>
        <w:rPr>
          <w:rFonts w:hint="eastAsia" w:ascii="宋体" w:hAnsi="宋体" w:eastAsia="宋体"/>
          <w:color w:val="auto"/>
          <w:szCs w:val="24"/>
          <w:highlight w:val="none"/>
          <w:shd w:val="clear" w:color="auto" w:fill="ffffff"/>
          <w:lang w:val="en-US" w:eastAsia="zh-CN"/>
        </w:rPr>
        <w:t xml:space="preserve">供应商</w:t>
      </w:r>
      <w:r>
        <w:rPr>
          <w:rFonts w:hint="eastAsia" w:ascii="宋体" w:hAnsi="宋体" w:eastAsia="宋体"/>
          <w:color w:val="auto"/>
          <w:szCs w:val="24"/>
          <w:highlight w:val="none"/>
          <w:shd w:val="clear" w:color="auto" w:fill="ffffff"/>
        </w:rPr>
        <w:t xml:space="preserve">应保证在本项目使用的任何产品（包括部分使用）时，不会产生因第三方提出侵犯其专利权、商标权或其它知识产权而引起的法律和经济纠纷，如因专利权、商标权或其他知识产权而引起法律和经济纠纷，由</w:t>
      </w:r>
      <w:r>
        <w:rPr>
          <w:rFonts w:hint="eastAsia" w:ascii="宋体" w:hAnsi="宋体" w:eastAsia="宋体"/>
          <w:color w:val="auto"/>
          <w:szCs w:val="24"/>
          <w:highlight w:val="none"/>
          <w:shd w:val="clear" w:color="auto" w:fill="ffffff"/>
          <w:lang w:val="en-US" w:eastAsia="zh-CN"/>
        </w:rPr>
        <w:t xml:space="preserve">供应商</w:t>
      </w:r>
      <w:r>
        <w:rPr>
          <w:rFonts w:hint="eastAsia" w:ascii="宋体" w:hAnsi="宋体" w:eastAsia="宋体"/>
          <w:color w:val="auto"/>
          <w:szCs w:val="24"/>
          <w:highlight w:val="none"/>
          <w:shd w:val="clear" w:color="auto" w:fill="ffffff"/>
        </w:rPr>
        <w:t xml:space="preserve">承担所有相关责任。</w:t>
      </w:r>
      <w:r/>
    </w:p>
    <w:p>
      <w:pPr>
        <w:pStyle w:val="775"/>
        <w:ind w:left="0"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w:t>
      </w:r>
      <w:r>
        <w:rPr>
          <w:rFonts w:hint="eastAsia" w:ascii="宋体" w:hAnsi="宋体" w:eastAsia="宋体" w:cs="宋体"/>
          <w:b/>
          <w:color w:val="auto"/>
          <w:szCs w:val="24"/>
          <w:highlight w:val="none"/>
          <w:lang w:val="en-US" w:eastAsia="zh-CN"/>
        </w:rPr>
        <w:t xml:space="preserve">磋商文件</w:t>
      </w:r>
      <w:r>
        <w:rPr>
          <w:rFonts w:hint="eastAsia" w:ascii="宋体" w:hAnsi="宋体" w:eastAsia="宋体" w:cs="宋体"/>
          <w:b/>
          <w:color w:val="auto"/>
          <w:szCs w:val="24"/>
          <w:highlight w:val="none"/>
        </w:rPr>
        <w:t xml:space="preserve">的说明</w:t>
      </w:r>
      <w:bookmarkEnd w:id="10"/>
      <w:r/>
      <w:bookmarkEnd w:id="11"/>
      <w:r/>
      <w:r/>
    </w:p>
    <w:p>
      <w:pPr>
        <w:pStyle w:val="775"/>
        <w:ind w:firstLine="482"/>
        <w:jc w:val="both"/>
        <w:spacing w:line="360" w:lineRule="auto"/>
        <w:rPr>
          <w:rFonts w:hint="default" w:ascii="宋体" w:hAnsi="宋体" w:eastAsia="宋体" w:cs="宋体"/>
          <w:b/>
          <w:color w:val="auto"/>
          <w:szCs w:val="24"/>
          <w:highlight w:val="none"/>
          <w:lang w:val="en-US"/>
        </w:rPr>
      </w:pPr>
      <w:r>
        <w:rPr>
          <w:rFonts w:hint="eastAsia" w:ascii="宋体" w:hAnsi="宋体" w:eastAsia="宋体" w:cs="宋体"/>
          <w:b/>
          <w:color w:val="auto"/>
          <w:szCs w:val="24"/>
          <w:highlight w:val="none"/>
        </w:rPr>
        <w:t xml:space="preserve">8</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磋商文件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总目录所列内容组成，</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获取</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后，应仔细检查</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的所有内容</w:t>
      </w:r>
      <w:r>
        <w:rPr>
          <w:rFonts w:ascii="宋体" w:hAnsi="宋体"/>
          <w:color w:val="auto"/>
          <w:sz w:val="24"/>
          <w:highlight w:val="none"/>
        </w:rPr>
        <w:t xml:space="preserve">，如有</w:t>
      </w:r>
      <w:r>
        <w:rPr>
          <w:rFonts w:hint="eastAsia" w:ascii="宋体" w:hAnsi="宋体"/>
          <w:color w:val="auto"/>
          <w:sz w:val="24"/>
          <w:highlight w:val="none"/>
        </w:rPr>
        <w:t xml:space="preserve">缺失</w:t>
      </w:r>
      <w:r>
        <w:rPr>
          <w:rFonts w:ascii="宋体" w:hAnsi="宋体"/>
          <w:color w:val="auto"/>
          <w:sz w:val="24"/>
          <w:highlight w:val="none"/>
        </w:rPr>
        <w:t xml:space="preserve">等问题应在</w:t>
      </w:r>
      <w:r>
        <w:rPr>
          <w:rFonts w:hint="eastAsia" w:ascii="宋体" w:hAnsi="宋体"/>
          <w:color w:val="auto"/>
          <w:sz w:val="24"/>
          <w:highlight w:val="none"/>
        </w:rPr>
        <w:t xml:space="preserve">获取</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后及时</w:t>
      </w:r>
      <w:r>
        <w:rPr>
          <w:rFonts w:ascii="宋体" w:hAnsi="宋体"/>
          <w:color w:val="auto"/>
          <w:sz w:val="24"/>
          <w:highlight w:val="none"/>
        </w:rPr>
        <w:t xml:space="preserve">向</w:t>
      </w:r>
      <w:r>
        <w:rPr>
          <w:rFonts w:hint="eastAsia" w:ascii="宋体" w:hAnsi="宋体"/>
          <w:color w:val="auto"/>
          <w:sz w:val="24"/>
          <w:highlight w:val="none"/>
        </w:rPr>
        <w:t xml:space="preserve">采购代理机构</w:t>
      </w:r>
      <w:r>
        <w:rPr>
          <w:rFonts w:ascii="宋体" w:hAnsi="宋体"/>
          <w:color w:val="auto"/>
          <w:sz w:val="24"/>
          <w:highlight w:val="none"/>
        </w:rPr>
        <w:t xml:space="preserve">提出，否则，由此</w:t>
      </w:r>
      <w:r>
        <w:rPr>
          <w:rFonts w:hint="eastAsia" w:ascii="宋体" w:hAnsi="宋体"/>
          <w:color w:val="auto"/>
          <w:sz w:val="24"/>
          <w:highlight w:val="none"/>
        </w:rPr>
        <w:t xml:space="preserve">产生</w:t>
      </w:r>
      <w:r>
        <w:rPr>
          <w:rFonts w:ascii="宋体" w:hAnsi="宋体"/>
          <w:color w:val="auto"/>
          <w:sz w:val="24"/>
          <w:highlight w:val="none"/>
        </w:rPr>
        <w:t xml:space="preserve">的</w:t>
      </w:r>
      <w:r>
        <w:rPr>
          <w:rFonts w:hint="eastAsia" w:ascii="宋体" w:hAnsi="宋体"/>
          <w:color w:val="auto"/>
          <w:sz w:val="24"/>
          <w:highlight w:val="none"/>
        </w:rPr>
        <w:t xml:space="preserve">影响</w:t>
      </w:r>
      <w:r>
        <w:rPr>
          <w:rFonts w:ascii="宋体" w:hAnsi="宋体"/>
          <w:color w:val="auto"/>
          <w:sz w:val="24"/>
          <w:highlight w:val="none"/>
        </w:rPr>
        <w:t xml:space="preserve">由</w:t>
      </w:r>
      <w:r>
        <w:rPr>
          <w:rFonts w:hint="eastAsia" w:ascii="宋体" w:hAnsi="宋体"/>
          <w:color w:val="auto"/>
          <w:sz w:val="24"/>
          <w:highlight w:val="none"/>
          <w:lang w:val="en-US" w:eastAsia="zh-CN"/>
        </w:rPr>
        <w:t xml:space="preserve">供应商自行</w:t>
      </w:r>
      <w:r>
        <w:rPr>
          <w:rFonts w:ascii="宋体" w:hAnsi="宋体"/>
          <w:color w:val="auto"/>
          <w:sz w:val="24"/>
          <w:highlight w:val="none"/>
        </w:rPr>
        <w:t xml:space="preserve">承担</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同时应认真审阅</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中所有的事项、格式、条款和规范要求等，若</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文件没有按</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要求提交全部资料，或</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文件没有对</w:t>
      </w:r>
      <w:r>
        <w:rPr>
          <w:rFonts w:hint="eastAsia" w:ascii="宋体" w:hAnsi="宋体" w:cs="宋体"/>
          <w:color w:val="auto"/>
          <w:sz w:val="24"/>
          <w:highlight w:val="none"/>
          <w:lang w:val="en-US" w:eastAsia="zh-CN"/>
        </w:rPr>
        <w:t xml:space="preserve">磋商文件作出</w:t>
      </w:r>
      <w:r>
        <w:rPr>
          <w:rFonts w:hint="eastAsia" w:ascii="宋体" w:hAnsi="宋体" w:cs="宋体"/>
          <w:color w:val="auto"/>
          <w:sz w:val="24"/>
          <w:highlight w:val="none"/>
        </w:rPr>
        <w:t xml:space="preserve">实质性</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，其风险由</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自行承担，并根据有关条款规定，</w:t>
      </w:r>
      <w:r>
        <w:rPr>
          <w:rFonts w:ascii="宋体" w:hAnsi="宋体"/>
          <w:b/>
          <w:color w:val="auto"/>
          <w:sz w:val="24"/>
          <w:highlight w:val="none"/>
        </w:rPr>
        <w:t xml:space="preserve">该</w:t>
      </w:r>
      <w:r>
        <w:rPr>
          <w:rFonts w:hint="eastAsia" w:ascii="宋体" w:hAnsi="宋体"/>
          <w:b/>
          <w:color w:val="auto"/>
          <w:sz w:val="24"/>
          <w:highlight w:val="none"/>
          <w:lang w:val="en-US" w:eastAsia="zh-CN"/>
        </w:rPr>
        <w:t xml:space="preserve">响应</w:t>
      </w:r>
      <w:r>
        <w:rPr>
          <w:rFonts w:hint="eastAsia" w:ascii="宋体" w:hAnsi="宋体"/>
          <w:b/>
          <w:color w:val="auto"/>
          <w:sz w:val="24"/>
          <w:highlight w:val="none"/>
        </w:rPr>
        <w:t xml:space="preserve">文件</w:t>
      </w:r>
      <w:r>
        <w:rPr>
          <w:rFonts w:hint="eastAsia" w:ascii="宋体" w:hAnsi="宋体"/>
          <w:b/>
          <w:color w:val="auto"/>
          <w:sz w:val="24"/>
          <w:highlight w:val="none"/>
          <w:lang w:val="en-US" w:eastAsia="zh-CN"/>
        </w:rPr>
        <w:t xml:space="preserve">有可能被拒绝</w:t>
      </w:r>
      <w:r>
        <w:rPr>
          <w:rFonts w:ascii="宋体" w:hAnsi="宋体"/>
          <w:b/>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lang w:bidi="ar"/>
        </w:rPr>
        <w:t xml:space="preserve">及其补充通知（包括更正公告）</w:t>
      </w:r>
      <w:r>
        <w:rPr>
          <w:rFonts w:hint="eastAsia" w:ascii="宋体" w:hAnsi="宋体" w:cs="宋体"/>
          <w:color w:val="auto"/>
          <w:sz w:val="24"/>
          <w:highlight w:val="none"/>
        </w:rPr>
        <w:t xml:space="preserve">不是直接从财政部门指定的政府采购信息发布媒体上下载获得的，采</w:t>
      </w:r>
      <w:r>
        <w:rPr>
          <w:rFonts w:hint="eastAsia" w:ascii="宋体" w:hAnsi="宋体" w:cs="宋体"/>
          <w:color w:val="auto"/>
          <w:sz w:val="24"/>
          <w:highlight w:val="none"/>
          <w:lang w:bidi="ar"/>
        </w:rPr>
        <w:t xml:space="preserve">购人或采购代理机构对</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lang w:bidi="ar"/>
        </w:rPr>
        <w:t xml:space="preserve">及其补充通知（更正公告）</w:t>
      </w:r>
      <w:r>
        <w:rPr>
          <w:rFonts w:hint="eastAsia" w:ascii="宋体" w:hAnsi="宋体" w:cs="宋体"/>
          <w:color w:val="auto"/>
          <w:sz w:val="24"/>
          <w:highlight w:val="none"/>
          <w:lang w:val="en-US" w:eastAsia="zh-CN" w:bidi="ar"/>
        </w:rPr>
        <w:t xml:space="preserve">的</w:t>
      </w:r>
      <w:r>
        <w:rPr>
          <w:rFonts w:hint="eastAsia" w:ascii="宋体" w:hAnsi="宋体" w:cs="宋体"/>
          <w:color w:val="auto"/>
          <w:sz w:val="24"/>
          <w:highlight w:val="none"/>
          <w:lang w:bidi="ar"/>
        </w:rPr>
        <w:t xml:space="preserve">真实性、完整性不承担任何责任。</w:t>
      </w:r>
      <w:r/>
    </w:p>
    <w:p>
      <w:pPr>
        <w:ind w:left="485"/>
        <w:spacing w:line="360" w:lineRule="auto"/>
        <w:tabs>
          <w:tab w:val="left" w:pos="0" w:leader="none"/>
          <w:tab w:val="left" w:pos="600" w:leader="none"/>
        </w:tabs>
        <w:rPr>
          <w:rFonts w:hint="eastAsia" w:ascii="宋体" w:hAnsi="宋体"/>
          <w:b/>
          <w:color w:val="auto"/>
          <w:sz w:val="24"/>
          <w:highlight w:val="none"/>
          <w:shd w:val="clear" w:color="auto" w:fill="ffffff"/>
        </w:rPr>
      </w:pPr>
      <w:r/>
      <w:bookmarkStart w:id="12" w:name="_Toc16745"/>
      <w:r/>
      <w:bookmarkStart w:id="13" w:name="_Toc19463"/>
      <w:r>
        <w:rPr>
          <w:rFonts w:hint="eastAsia" w:ascii="宋体" w:hAnsi="宋体"/>
          <w:b/>
          <w:color w:val="auto"/>
          <w:sz w:val="24"/>
          <w:highlight w:val="none"/>
          <w:shd w:val="clear" w:color="auto" w:fill="ffffff"/>
        </w:rPr>
        <w:t xml:space="preserve">9</w:t>
      </w:r>
      <w:r>
        <w:rPr>
          <w:rFonts w:hint="eastAsia" w:ascii="宋体" w:hAnsi="宋体"/>
          <w:b/>
          <w:color w:val="auto"/>
          <w:sz w:val="24"/>
          <w:highlight w:val="none"/>
          <w:shd w:val="clear" w:color="auto" w:fill="ffffff"/>
          <w:lang w:eastAsia="zh-CN"/>
        </w:rPr>
        <w:t xml:space="preserve">、</w:t>
      </w:r>
      <w:r>
        <w:rPr>
          <w:rFonts w:hint="eastAsia" w:ascii="宋体" w:hAnsi="宋体"/>
          <w:b/>
          <w:color w:val="auto"/>
          <w:sz w:val="24"/>
          <w:highlight w:val="none"/>
          <w:shd w:val="clear" w:color="auto" w:fill="ffffff"/>
          <w:lang w:val="en-US" w:eastAsia="zh-CN"/>
        </w:rPr>
        <w:t xml:space="preserve">磋商文件</w:t>
      </w:r>
      <w:r>
        <w:rPr>
          <w:rFonts w:hint="eastAsia" w:ascii="宋体" w:hAnsi="宋体"/>
          <w:b/>
          <w:color w:val="auto"/>
          <w:sz w:val="24"/>
          <w:highlight w:val="none"/>
          <w:shd w:val="clear" w:color="auto" w:fill="ffffff"/>
        </w:rPr>
        <w:t xml:space="preserve">的询问</w:t>
      </w:r>
      <w:r/>
    </w:p>
    <w:p>
      <w:pPr>
        <w:ind w:firstLine="480"/>
        <w:spacing w:line="360" w:lineRule="auto"/>
        <w:rPr>
          <w:rFonts w:hint="eastAsia" w:ascii="宋体" w:hAnsi="宋体" w:cs="宋体"/>
          <w:b/>
          <w:bCs/>
          <w:color w:val="auto"/>
          <w:sz w:val="24"/>
          <w:highlight w:val="none"/>
        </w:rPr>
      </w:pPr>
      <w:r>
        <w:rPr>
          <w:rFonts w:hint="eastAsia" w:ascii="宋体" w:hAnsi="宋体"/>
          <w:color w:val="auto"/>
          <w:sz w:val="24"/>
          <w:highlight w:val="none"/>
          <w:shd w:val="clear" w:color="auto" w:fill="ffffff"/>
          <w:lang w:val="en-US" w:eastAsia="zh-CN"/>
        </w:rPr>
        <w:t xml:space="preserve">9.1供应商</w:t>
      </w:r>
      <w:r>
        <w:rPr>
          <w:rFonts w:hint="eastAsia" w:ascii="宋体" w:hAnsi="宋体"/>
          <w:color w:val="auto"/>
          <w:sz w:val="24"/>
          <w:highlight w:val="none"/>
          <w:shd w:val="clear" w:color="auto" w:fill="ffffff"/>
        </w:rPr>
        <w:t xml:space="preserve">在收到</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rPr>
        <w:t xml:space="preserve">后，若有问题需要询问，应于下载</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rPr>
        <w:t xml:space="preserve">后，通过公告中的联系方式及时提出，采购人或采购代理机构将予以解答，但答复内容不得涉及商业秘密。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en-US" w:eastAsia="zh-CN"/>
        </w:rPr>
        <w:t xml:space="preserve">磋商文件</w:t>
      </w:r>
      <w:r>
        <w:rPr>
          <w:rFonts w:hint="eastAsia" w:ascii="宋体" w:hAnsi="宋体" w:cs="宋体"/>
          <w:b/>
          <w:bCs/>
          <w:color w:val="auto"/>
          <w:sz w:val="24"/>
          <w:highlight w:val="none"/>
        </w:rPr>
        <w:t xml:space="preserve">的澄清或修改</w:t>
      </w:r>
      <w:r/>
    </w:p>
    <w:p>
      <w:pPr>
        <w:ind w:firstLine="484"/>
        <w:spacing w:line="360" w:lineRule="auto"/>
        <w:tabs>
          <w:tab w:val="left" w:pos="0" w:leader="none"/>
        </w:tabs>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10.1在</w:t>
      </w:r>
      <w:r>
        <w:rPr>
          <w:rFonts w:hint="eastAsia" w:ascii="宋体" w:hAnsi="宋体"/>
          <w:color w:val="auto"/>
          <w:sz w:val="24"/>
          <w:highlight w:val="none"/>
          <w:shd w:val="clear" w:color="auto" w:fill="ffffff"/>
          <w:lang w:val="en-US" w:eastAsia="zh-CN"/>
        </w:rPr>
        <w:t xml:space="preserve">响应</w:t>
      </w:r>
      <w:r>
        <w:rPr>
          <w:rFonts w:hint="eastAsia" w:ascii="宋体" w:hAnsi="宋体"/>
          <w:color w:val="auto"/>
          <w:sz w:val="24"/>
          <w:highlight w:val="none"/>
          <w:shd w:val="clear" w:color="auto" w:fill="ffffff"/>
        </w:rPr>
        <w:t xml:space="preserve">截止时间前，采购人或采购代理机构无论出于自己的考虑，还是出于对供应商提问的澄清，均可对</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rPr>
        <w:t xml:space="preserve">用补充通知（更正公告）的方式进行澄清或者修改，并通过财政部门指定的政府采购信息发布媒体对外进行发布。</w:t>
      </w:r>
      <w:r/>
    </w:p>
    <w:p>
      <w:pPr>
        <w:ind w:firstLine="484"/>
        <w:spacing w:line="360" w:lineRule="auto"/>
        <w:tabs>
          <w:tab w:val="left" w:pos="0" w:leader="none"/>
        </w:tabs>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10.2供应商通过“苏采云”系统自行查看拟参加项目的补充通知（更正公告）。补充通知（更正公告）将作为</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rPr>
        <w:t xml:space="preserve">的组成部分，对所有供应商均具有约束力。</w:t>
      </w:r>
      <w:r/>
    </w:p>
    <w:p>
      <w:pPr>
        <w:ind w:firstLine="480"/>
        <w:spacing w:line="360" w:lineRule="auto"/>
        <w:rPr>
          <w:rFonts w:hint="eastAsia"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rPr>
        <w:t xml:space="preserve">10.3</w:t>
      </w:r>
      <w:r>
        <w:rPr>
          <w:rFonts w:hint="eastAsia" w:ascii="宋体" w:hAnsi="宋体"/>
          <w:color w:val="auto"/>
          <w:sz w:val="24"/>
          <w:highlight w:val="none"/>
          <w:shd w:val="clear" w:color="auto" w:fill="ffffff"/>
          <w:lang w:val="en-US" w:eastAsia="zh-CN"/>
        </w:rPr>
        <w:t xml:space="preserve">为使供应商有足够的时间按</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lang w:val="en-US" w:eastAsia="zh-CN"/>
        </w:rPr>
        <w:t xml:space="preserve">的修改要求考虑修正响应文件，或出于其他原因，采购人或采购代理机构有权推迟截止时间和评审时间，并将此变更通知以补充通知（更正公告）的形式对外发布。</w:t>
      </w:r>
      <w:r/>
    </w:p>
    <w:p>
      <w:pPr>
        <w:ind w:firstLine="480"/>
        <w:spacing w:line="360" w:lineRule="auto"/>
        <w:rPr>
          <w:rFonts w:hint="default"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lang w:val="en-US" w:eastAsia="zh-CN"/>
        </w:rPr>
        <w:t xml:space="preserve">10.4</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shd w:val="clear" w:color="auto" w:fill="ffffff"/>
          <w:lang w:val="en-US" w:eastAsia="zh-CN"/>
        </w:rPr>
        <w:t xml:space="preserve">的澄清、修改、补充等内容均以财政部门指定的政府采购信息发布媒体发布的内容为准。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勘察现场（本项目不组织统一现场踏勘）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11.1根据自身需要，</w:t>
      </w:r>
      <w:r>
        <w:rPr>
          <w:rFonts w:hint="eastAsia" w:ascii="宋体" w:hAnsi="宋体"/>
          <w:color w:val="auto"/>
          <w:sz w:val="24"/>
          <w:highlight w:val="none"/>
          <w:shd w:val="clear" w:color="auto" w:fill="ffffff"/>
        </w:rPr>
        <w:t xml:space="preserve">供应商</w:t>
      </w:r>
      <w:r>
        <w:rPr>
          <w:rFonts w:hint="eastAsia" w:ascii="宋体" w:hAnsi="宋体" w:cs="宋体"/>
          <w:color w:val="auto"/>
          <w:sz w:val="24"/>
          <w:highlight w:val="none"/>
        </w:rPr>
        <w:t xml:space="preserve">可对有关现场和周围环境进行勘察，以获取编制</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文件和签署合同所需的信息。勘察现场所发生的费用由</w:t>
      </w:r>
      <w:r>
        <w:rPr>
          <w:rFonts w:hint="eastAsia" w:ascii="宋体" w:hAnsi="宋体"/>
          <w:color w:val="auto"/>
          <w:sz w:val="24"/>
          <w:highlight w:val="none"/>
          <w:shd w:val="clear" w:color="auto" w:fill="ffffff"/>
        </w:rPr>
        <w:t xml:space="preserve">供应商</w:t>
      </w:r>
      <w:r>
        <w:rPr>
          <w:rFonts w:hint="eastAsia" w:ascii="宋体" w:hAnsi="宋体" w:cs="宋体"/>
          <w:color w:val="auto"/>
          <w:sz w:val="24"/>
          <w:highlight w:val="none"/>
        </w:rPr>
        <w:t xml:space="preserve">自己承担。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11.2采购人或采购代理机构向</w:t>
      </w:r>
      <w:r>
        <w:rPr>
          <w:rFonts w:hint="eastAsia" w:ascii="宋体" w:hAnsi="宋体"/>
          <w:color w:val="auto"/>
          <w:sz w:val="24"/>
          <w:highlight w:val="none"/>
          <w:shd w:val="clear" w:color="auto" w:fill="ffffff"/>
        </w:rPr>
        <w:t xml:space="preserve">供应商</w:t>
      </w:r>
      <w:r>
        <w:rPr>
          <w:rFonts w:hint="eastAsia" w:ascii="宋体" w:hAnsi="宋体" w:cs="宋体"/>
          <w:color w:val="auto"/>
          <w:sz w:val="24"/>
          <w:highlight w:val="none"/>
        </w:rPr>
        <w:t xml:space="preserve">提供的有关现场的资料和数据，是采购人或采购代理机构现有的并认为有可能会被供应商使用的资料。</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由此而</w:t>
      </w:r>
      <w:r>
        <w:rPr>
          <w:rFonts w:hint="eastAsia" w:ascii="宋体" w:hAnsi="宋体" w:cs="宋体"/>
          <w:color w:val="auto"/>
          <w:sz w:val="24"/>
          <w:highlight w:val="none"/>
          <w:lang w:val="en-US" w:eastAsia="zh-CN"/>
        </w:rPr>
        <w:t xml:space="preserve">作出</w:t>
      </w:r>
      <w:r>
        <w:rPr>
          <w:rFonts w:hint="eastAsia" w:ascii="宋体" w:hAnsi="宋体" w:cs="宋体"/>
          <w:color w:val="auto"/>
          <w:sz w:val="24"/>
          <w:highlight w:val="none"/>
        </w:rPr>
        <w:t xml:space="preserve">的推论、理解和结论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采购人或采购代理机构概不负责。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11.3经采购人允许，</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可为勘察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应在现场勘察时，熟悉现场及周围交通道路等情况，以获得一切可能影响其参加采购活动的直接资料。</w:t>
      </w:r>
      <w:r>
        <w:rPr>
          <w:rFonts w:hint="eastAsia" w:ascii="宋体" w:hAnsi="宋体" w:cs="宋体"/>
          <w:color w:val="auto"/>
          <w:sz w:val="24"/>
          <w:highlight w:val="none"/>
          <w:lang w:val="en-US" w:eastAsia="zh-CN"/>
        </w:rPr>
        <w:t xml:space="preserve">供应商成交</w:t>
      </w:r>
      <w:r>
        <w:rPr>
          <w:rFonts w:hint="eastAsia" w:ascii="宋体" w:hAnsi="宋体" w:cs="宋体"/>
          <w:color w:val="auto"/>
          <w:sz w:val="24"/>
          <w:highlight w:val="none"/>
        </w:rPr>
        <w:t xml:space="preserve">后，不得以不完全了解现场情况为理由而向采购人或采购代理机构提出任何索赔的要求，对此采购人或采购代理机构不承担任何责任并将不作任何答复与考虑。</w:t>
      </w:r>
      <w:r/>
    </w:p>
    <w:p>
      <w:pPr>
        <w:pStyle w:val="775"/>
        <w:ind w:left="0"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color w:val="auto"/>
          <w:szCs w:val="24"/>
          <w:highlight w:val="none"/>
          <w:lang w:val="en-US" w:eastAsia="zh-CN"/>
        </w:rPr>
        <w:t xml:space="preserve">响应</w:t>
      </w:r>
      <w:r>
        <w:rPr>
          <w:rFonts w:hint="eastAsia" w:ascii="宋体" w:hAnsi="宋体" w:eastAsia="宋体" w:cs="宋体"/>
          <w:b/>
          <w:color w:val="auto"/>
          <w:szCs w:val="24"/>
          <w:highlight w:val="none"/>
        </w:rPr>
        <w:t xml:space="preserve">文件</w:t>
      </w:r>
      <w:r>
        <w:rPr>
          <w:rFonts w:hint="eastAsia" w:ascii="宋体" w:hAnsi="宋体" w:eastAsia="宋体" w:cs="宋体"/>
          <w:b/>
          <w:color w:val="auto"/>
          <w:szCs w:val="24"/>
          <w:highlight w:val="none"/>
          <w:lang w:val="en-US" w:eastAsia="zh-CN"/>
        </w:rPr>
        <w:t xml:space="preserve">的</w:t>
      </w:r>
      <w:r>
        <w:rPr>
          <w:rFonts w:hint="eastAsia" w:ascii="宋体" w:hAnsi="宋体" w:eastAsia="宋体" w:cs="宋体"/>
          <w:b/>
          <w:color w:val="auto"/>
          <w:szCs w:val="24"/>
          <w:highlight w:val="none"/>
        </w:rPr>
        <w:t xml:space="preserve">说明</w:t>
      </w:r>
      <w:bookmarkEnd w:id="12"/>
      <w:r/>
      <w:bookmarkEnd w:id="13"/>
      <w:r/>
      <w:r/>
    </w:p>
    <w:p>
      <w:pPr>
        <w:pStyle w:val="775"/>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12</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提示与要求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12.1供应商应仔细阅读</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的所有内容，按</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的要求提</w:t>
      </w:r>
      <w:r>
        <w:rPr>
          <w:rFonts w:hint="eastAsia" w:ascii="宋体" w:hAnsi="宋体" w:cs="宋体"/>
          <w:color w:val="auto"/>
          <w:sz w:val="24"/>
          <w:highlight w:val="none"/>
          <w:lang w:val="en-US" w:eastAsia="zh-CN"/>
        </w:rPr>
        <w:t xml:space="preserve">交</w:t>
      </w:r>
      <w:r>
        <w:rPr>
          <w:rFonts w:hint="eastAsia" w:ascii="宋体" w:hAnsi="宋体" w:cs="宋体"/>
          <w:color w:val="auto"/>
          <w:sz w:val="24"/>
          <w:highlight w:val="none"/>
        </w:rPr>
        <w:t xml:space="preserve">（上传）响应文件，并保证所提供的全部资料的真实性，以使其对</w:t>
      </w:r>
      <w:r>
        <w:rPr>
          <w:rFonts w:hint="eastAsia" w:ascii="宋体" w:hAnsi="宋体" w:cs="宋体"/>
          <w:color w:val="auto"/>
          <w:sz w:val="24"/>
          <w:highlight w:val="none"/>
          <w:lang w:val="en-US" w:eastAsia="zh-CN"/>
        </w:rPr>
        <w:t xml:space="preserve">磋商文件作出</w:t>
      </w:r>
      <w:r>
        <w:rPr>
          <w:rFonts w:hint="eastAsia" w:ascii="宋体" w:hAnsi="宋体" w:cs="宋体"/>
          <w:color w:val="auto"/>
          <w:sz w:val="24"/>
          <w:highlight w:val="none"/>
        </w:rPr>
        <w:t xml:space="preserve">实质性响应，否则，其</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rPr>
        <w:t xml:space="preserve">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12.2无论是否提交（上传）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都应将</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及以后的所有通知、文件等视为保密文件。</w:t>
      </w:r>
      <w:r/>
    </w:p>
    <w:p>
      <w:pPr>
        <w:pStyle w:val="775"/>
        <w:ind w:firstLine="482"/>
        <w:jc w:val="both"/>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13</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响应</w:t>
      </w:r>
      <w:r>
        <w:rPr>
          <w:rFonts w:hint="eastAsia" w:ascii="宋体" w:hAnsi="宋体" w:eastAsia="宋体" w:cs="宋体"/>
          <w:b/>
          <w:color w:val="auto"/>
          <w:szCs w:val="24"/>
          <w:highlight w:val="none"/>
        </w:rPr>
        <w:t xml:space="preserve">文件计量单位和使用文字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文件中所使用的计量单位，除</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中有特殊要求外，均应使用中华人民共和国法定计量单位。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13.2</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文件应使用中文编制，</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文件中必须使用其他文字的，必须附有中文译本。对于未附有中文译本和中文译本不准确的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文件可能引起的对</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不利的后果，</w:t>
      </w:r>
      <w:r>
        <w:rPr>
          <w:rFonts w:hint="eastAsia" w:ascii="宋体" w:hAnsi="宋体" w:cs="宋体"/>
          <w:color w:val="auto"/>
          <w:sz w:val="24"/>
          <w:highlight w:val="none"/>
          <w:lang w:val="en-US" w:eastAsia="zh-CN"/>
        </w:rPr>
        <w:t xml:space="preserve">采购人和</w:t>
      </w:r>
      <w:r>
        <w:rPr>
          <w:rFonts w:hint="eastAsia" w:ascii="宋体" w:hAnsi="宋体" w:cs="宋体"/>
          <w:color w:val="auto"/>
          <w:sz w:val="24"/>
          <w:highlight w:val="none"/>
        </w:rPr>
        <w:t xml:space="preserve">采购代理机构概不负责。</w:t>
      </w:r>
      <w:r/>
    </w:p>
    <w:p>
      <w:pPr>
        <w:ind w:firstLine="482"/>
        <w:spacing w:line="360" w:lineRule="auto"/>
        <w:tabs>
          <w:tab w:val="left" w:pos="567" w:leader="none"/>
        </w:tabs>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14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文件的组成（部分格式见第</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章）</w:t>
      </w:r>
      <w:r/>
    </w:p>
    <w:p>
      <w:pPr>
        <w:ind w:firstLine="482"/>
        <w:spacing w:line="360" w:lineRule="auto"/>
        <w:tabs>
          <w:tab w:val="left" w:pos="567" w:leader="none"/>
        </w:tabs>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14.1</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w:t>
      </w:r>
      <w:r>
        <w:rPr>
          <w:rFonts w:hint="eastAsia" w:ascii="宋体" w:hAnsi="宋体" w:cs="宋体"/>
          <w:b/>
          <w:color w:val="auto"/>
          <w:sz w:val="24"/>
          <w:highlight w:val="none"/>
          <w:lang w:val="en-US" w:eastAsia="zh-CN"/>
        </w:rPr>
        <w:t xml:space="preserve">报价部分：</w:t>
      </w:r>
      <w:r/>
    </w:p>
    <w:p>
      <w:pPr>
        <w:ind w:firstLine="482"/>
        <w:spacing w:line="360" w:lineRule="auto"/>
        <w:tabs>
          <w:tab w:val="left" w:pos="567"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rPr>
        <w:t xml:space="preserve">14.1.1封面</w:t>
      </w:r>
      <w:r>
        <w:rPr>
          <w:rFonts w:hint="eastAsia" w:ascii="宋体" w:hAnsi="宋体" w:cs="宋体"/>
          <w:b w:val="0"/>
          <w:bCs/>
          <w:color w:val="auto"/>
          <w:sz w:val="24"/>
          <w:highlight w:val="none"/>
          <w:lang w:eastAsia="zh-CN"/>
        </w:rPr>
        <w:t xml:space="preserve">；</w:t>
      </w:r>
      <w:r/>
    </w:p>
    <w:p>
      <w:pPr>
        <w:ind w:firstLine="482"/>
        <w:spacing w:line="360" w:lineRule="auto"/>
        <w:tabs>
          <w:tab w:val="left" w:pos="567"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rPr>
        <w:t xml:space="preserve">14.1.2磋商响应报价表</w:t>
      </w:r>
      <w:r>
        <w:rPr>
          <w:rFonts w:hint="eastAsia" w:ascii="宋体" w:hAnsi="宋体" w:cs="宋体"/>
          <w:b w:val="0"/>
          <w:bCs/>
          <w:color w:val="auto"/>
          <w:sz w:val="24"/>
          <w:highlight w:val="none"/>
          <w:lang w:eastAsia="zh-CN"/>
        </w:rPr>
        <w:t xml:space="preserve">，具体按照“苏采云”系统要求填报；</w:t>
      </w:r>
      <w:r/>
    </w:p>
    <w:p>
      <w:pPr>
        <w:ind w:firstLine="482"/>
        <w:spacing w:line="360" w:lineRule="auto"/>
        <w:tabs>
          <w:tab w:val="left" w:pos="567" w:leader="none"/>
        </w:tabs>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rPr>
        <w:t xml:space="preserve">14.1.3磋商报价明细表</w:t>
      </w:r>
      <w:r>
        <w:rPr>
          <w:rFonts w:hint="eastAsia" w:ascii="宋体" w:hAnsi="宋体" w:cs="宋体"/>
          <w:b w:val="0"/>
          <w:bCs/>
          <w:color w:val="auto"/>
          <w:sz w:val="24"/>
          <w:highlight w:val="none"/>
          <w:lang w:val="en-US" w:eastAsia="zh-CN"/>
        </w:rPr>
        <w:t xml:space="preserve">。</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14.</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资格审查</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具有独立承担民事责任的能力。</w:t>
      </w:r>
      <w:r>
        <w:rPr>
          <w:rFonts w:hint="eastAsia" w:ascii="宋体" w:hAnsi="宋体" w:cs="宋体"/>
          <w:color w:val="auto"/>
          <w:sz w:val="24"/>
          <w:highlight w:val="none"/>
          <w:lang w:val="en-US" w:eastAsia="zh-CN"/>
        </w:rPr>
        <w:t xml:space="preserve">需提供</w:t>
      </w:r>
      <w:r>
        <w:rPr>
          <w:rFonts w:hint="eastAsia" w:ascii="宋体" w:hAnsi="宋体" w:cs="宋体"/>
          <w:color w:val="auto"/>
          <w:sz w:val="24"/>
          <w:highlight w:val="none"/>
        </w:rPr>
        <w:t xml:space="preserve">包括法人或者其他组织的营业执照等证明文件，自然人的身份证明；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.2具有良好的商业信誉和健全的财务会计制度。</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提供包括但不限于最近一期经审计的财务报告，其他组织、自然人及成立未满一年的法人应提供银行出具的资信证明；</w:t>
      </w:r>
      <w:r/>
    </w:p>
    <w:p>
      <w:pPr>
        <w:ind w:firstLine="480"/>
        <w:spacing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.3具有履行合同所必需的设备和专业技术能力。</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提供具有履行合同所必需的设备和专业技术能力的</w:t>
      </w:r>
      <w:r>
        <w:rPr>
          <w:rFonts w:hint="eastAsia" w:ascii="宋体" w:hAnsi="宋体" w:cs="宋体"/>
          <w:color w:val="auto"/>
          <w:sz w:val="24"/>
          <w:highlight w:val="none"/>
          <w:lang w:val="en-US" w:eastAsia="zh-CN"/>
        </w:rPr>
        <w:t xml:space="preserve">证明材料或承诺函；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.4有依法缴纳税收和社会保障资金的良好记录。</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提供参加本次政府采购活动前</w:t>
      </w:r>
      <w:r>
        <w:rPr>
          <w:rFonts w:hint="eastAsia" w:ascii="宋体" w:hAnsi="宋体" w:cs="宋体"/>
          <w:color w:val="auto"/>
          <w:sz w:val="24"/>
          <w:highlight w:val="none"/>
          <w:lang w:val="en-US" w:eastAsia="zh-CN"/>
        </w:rPr>
        <w:t xml:space="preserve">近一个月</w:t>
      </w:r>
      <w:r>
        <w:rPr>
          <w:rFonts w:hint="eastAsia" w:ascii="宋体" w:hAnsi="宋体" w:cs="宋体"/>
          <w:color w:val="auto"/>
          <w:sz w:val="24"/>
          <w:highlight w:val="none"/>
        </w:rPr>
        <w:t xml:space="preserve">依法缴纳税收和社会保障资金的相关材料，如相关主管部门证明或银行代扣证明。</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如依法享受缓缴、免缴税收、社会保障资金的应提供相关主管部门出具的证明材料；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.5参加政府采购活动前</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在经营活动中没有重大违法记录。</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提供参加政府采购活动前</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法律、行政法规规定的其他条件；</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7本项目的特定资格要求</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14.2.7.1未被“信用中国”网站（www.creditchina.gov.cn）或“中国政府采购网”网站（www.ccgp.gov.cn）列入失信被执行人、重大税收违法案件当事人名单、政府采购严重失信行为记录名单。需提供上述网页下载的信用报告或查询证明材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14.2.7.2单位负责人为同一人或者存在直接控股、管理关系的不同供应商（包含法定代表人为同一个人的两个及两个以上法人，母公司、全资子公司及其控股公司），不得参加同一合同项下的政府采购活动。需提供</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与其他单位存在控股、管理关系情况表；</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14.2.8根据《政府采购促进中小企业发展管理办法》的相关规定，</w:t>
      </w:r>
      <w:r>
        <w:rPr>
          <w:rFonts w:hint="eastAsia" w:ascii="宋体" w:hAnsi="宋体" w:cs="宋体"/>
          <w:b/>
          <w:bCs/>
          <w:color w:val="auto"/>
          <w:sz w:val="24"/>
          <w:highlight w:val="none"/>
          <w:lang w:val="en-US" w:eastAsia="zh-CN"/>
        </w:rPr>
        <w:t xml:space="preserve">本项目非专门面向中小企业采购，所属行业为其他未列明行业。</w:t>
      </w:r>
      <w:r>
        <w:rPr>
          <w:rFonts w:hint="eastAsia" w:ascii="宋体" w:hAnsi="宋体" w:cs="宋体"/>
          <w:color w:val="auto"/>
          <w:sz w:val="24"/>
          <w:highlight w:val="none"/>
          <w:lang w:val="en-US" w:eastAsia="zh-CN"/>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14.2.9</w:t>
      </w:r>
      <w:r>
        <w:rPr>
          <w:rFonts w:hint="eastAsia" w:ascii="宋体" w:hAnsi="宋体" w:cs="宋体"/>
          <w:color w:val="auto"/>
          <w:sz w:val="24"/>
          <w:highlight w:val="none"/>
        </w:rPr>
        <w:t xml:space="preserve">其他有关资格证明的文件（如有）</w:t>
      </w:r>
      <w:r>
        <w:rPr>
          <w:rFonts w:hint="eastAsia" w:ascii="宋体" w:hAnsi="宋体" w:cs="宋体"/>
          <w:color w:val="auto"/>
          <w:sz w:val="24"/>
          <w:highlight w:val="none"/>
          <w:lang w:eastAsia="zh-CN"/>
        </w:rPr>
        <w:t xml:space="preserve">。</w:t>
      </w:r>
      <w:r/>
    </w:p>
    <w:p>
      <w:pPr>
        <w:ind w:firstLine="482"/>
        <w:spacing w:line="360" w:lineRule="auto"/>
        <w:tabs>
          <w:tab w:val="left" w:pos="567" w:leader="none"/>
        </w:tabs>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14.</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符合性审查</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.1响应单位法定代表人身份证</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.2响应单位法定代表人授权委托书（须有法定代表人签字或盖章、代理人签字）（如有授权，格式见第三章）；</w:t>
      </w:r>
      <w:r/>
    </w:p>
    <w:p>
      <w:pPr>
        <w:ind w:firstLine="480"/>
        <w:spacing w:line="360" w:lineRule="auto"/>
        <w:rPr>
          <w:rFonts w:hint="eastAsia"/>
          <w:color w:val="auto"/>
          <w:highlight w:val="none"/>
          <w:lang w:eastAsia="zh-CN"/>
        </w:rPr>
      </w:pPr>
      <w:r/>
      <w:bookmarkStart w:id="14" w:name="OLE_LINK7"/>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w:t>
      </w:r>
      <w:bookmarkEnd w:id="14"/>
      <w:r>
        <w:rPr>
          <w:rFonts w:hint="eastAsia" w:ascii="宋体" w:hAnsi="宋体" w:cs="宋体"/>
          <w:color w:val="auto"/>
          <w:sz w:val="24"/>
          <w:highlight w:val="none"/>
        </w:rPr>
        <w:t xml:space="preserve">响应单位授权代理人身份证</w:t>
      </w:r>
      <w:r>
        <w:rPr>
          <w:rFonts w:hint="eastAsia" w:ascii="宋体" w:hAnsi="宋体" w:cs="宋体"/>
          <w:color w:val="auto"/>
          <w:sz w:val="24"/>
          <w:highlight w:val="none"/>
          <w:lang w:val="en-US" w:eastAsia="zh-CN"/>
        </w:rPr>
        <w:t xml:space="preserve">扫描件以及响应单位为代理人缴纳的最新一期社保证明扫描件</w:t>
      </w:r>
      <w:r>
        <w:rPr>
          <w:rFonts w:hint="eastAsia" w:ascii="宋体" w:hAnsi="宋体" w:cs="宋体"/>
          <w:color w:val="auto"/>
          <w:sz w:val="24"/>
          <w:highlight w:val="none"/>
        </w:rPr>
        <w:t xml:space="preserve">（如有授权）；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磋商响应函</w:t>
      </w:r>
      <w:r>
        <w:rPr>
          <w:rFonts w:hint="eastAsia" w:ascii="宋体" w:hAnsi="宋体" w:cs="宋体"/>
          <w:color w:val="auto"/>
          <w:sz w:val="24"/>
          <w:highlight w:val="none"/>
        </w:rPr>
        <w:t xml:space="preserve">（格式见第三章）；</w:t>
      </w:r>
      <w:r/>
    </w:p>
    <w:p>
      <w:pPr>
        <w:ind w:firstLine="482"/>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.5关于资格文件的声明函（格式见第三章）；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14.3.6</w:t>
      </w: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en-US" w:eastAsia="zh-CN"/>
        </w:rPr>
        <w:t xml:space="preserve">基本</w:t>
      </w:r>
      <w:r>
        <w:rPr>
          <w:rFonts w:hint="eastAsia" w:ascii="宋体" w:hAnsi="宋体" w:cs="宋体"/>
          <w:color w:val="auto"/>
          <w:sz w:val="24"/>
          <w:highlight w:val="none"/>
        </w:rPr>
        <w:t xml:space="preserve">情况表（格式见第三章）；</w:t>
      </w:r>
      <w:r/>
    </w:p>
    <w:p>
      <w:pPr>
        <w:ind w:firstLine="480"/>
        <w:spacing w:line="360" w:lineRule="auto"/>
        <w:rPr>
          <w:rFonts w:hint="eastAsia" w:ascii="宋体" w:hAnsi="宋体" w:cs="宋体"/>
          <w:color w:val="auto"/>
          <w:sz w:val="24"/>
          <w:highlight w:val="none"/>
        </w:rPr>
      </w:pPr>
      <w:r/>
      <w:bookmarkStart w:id="15" w:name="OLE_LINK5"/>
      <w:r>
        <w:rPr>
          <w:rFonts w:hint="eastAsia" w:ascii="宋体" w:hAnsi="宋体" w:cs="宋体"/>
          <w:color w:val="auto"/>
          <w:sz w:val="24"/>
          <w:highlight w:val="none"/>
          <w:lang w:val="en-US" w:eastAsia="zh-CN"/>
        </w:rPr>
        <w:t xml:space="preserve">14.3.7</w:t>
      </w:r>
      <w:r>
        <w:rPr>
          <w:rFonts w:hint="eastAsia" w:ascii="宋体" w:hAnsi="宋体" w:cs="宋体"/>
          <w:color w:val="auto"/>
          <w:sz w:val="24"/>
          <w:highlight w:val="none"/>
        </w:rPr>
        <w:t xml:space="preserve">拟投入本项目人员配备一览表（格式见第三章）</w:t>
      </w:r>
      <w:bookmarkEnd w:id="15"/>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bookmarkStart w:id="16" w:name="OLE_LINK6"/>
      <w:r>
        <w:rPr>
          <w:rFonts w:hint="eastAsia" w:ascii="宋体" w:hAnsi="宋体" w:cs="宋体"/>
          <w:color w:val="auto"/>
          <w:sz w:val="24"/>
          <w:highlight w:val="none"/>
          <w:lang w:val="en-US" w:eastAsia="zh-CN"/>
        </w:rPr>
        <w:t xml:space="preserve">14.3.8</w:t>
      </w:r>
      <w:r>
        <w:rPr>
          <w:rFonts w:hint="eastAsia" w:ascii="宋体" w:hAnsi="宋体" w:cs="宋体"/>
          <w:color w:val="auto"/>
          <w:sz w:val="24"/>
          <w:highlight w:val="none"/>
        </w:rPr>
        <w:t xml:space="preserve">拟投入本项目设施设备一览表</w:t>
      </w:r>
      <w:bookmarkEnd w:id="16"/>
      <w:r>
        <w:rPr>
          <w:rFonts w:hint="eastAsia" w:ascii="宋体" w:hAnsi="宋体" w:cs="宋体"/>
          <w:color w:val="auto"/>
          <w:sz w:val="24"/>
          <w:highlight w:val="none"/>
        </w:rPr>
        <w:t xml:space="preserve">（格式见第三章）</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14.3.9</w:t>
      </w:r>
      <w:r>
        <w:rPr>
          <w:rFonts w:hint="eastAsia" w:ascii="宋体" w:hAnsi="宋体" w:cs="宋体"/>
          <w:color w:val="auto"/>
          <w:sz w:val="24"/>
          <w:highlight w:val="none"/>
        </w:rPr>
        <w:t xml:space="preserve">响应保证承诺书（格式见第三章）</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14.3.10</w:t>
      </w:r>
      <w:r>
        <w:rPr>
          <w:rFonts w:hint="eastAsia" w:ascii="宋体" w:hAnsi="宋体" w:cs="宋体"/>
          <w:color w:val="auto"/>
          <w:sz w:val="24"/>
          <w:highlight w:val="none"/>
        </w:rPr>
        <w:t xml:space="preserve">服务要求偏离表、商务条款偏离表（格式见第三章）；</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14.3.11</w:t>
      </w:r>
      <w:r>
        <w:rPr>
          <w:rFonts w:hint="eastAsia" w:ascii="宋体" w:hAnsi="宋体" w:cs="宋体"/>
          <w:color w:val="auto"/>
          <w:sz w:val="24"/>
          <w:highlight w:val="none"/>
        </w:rPr>
        <w:t xml:space="preserve">其他有关符合性证明的文件（如有）</w:t>
      </w:r>
      <w:r>
        <w:rPr>
          <w:rFonts w:hint="eastAsia" w:ascii="宋体" w:hAnsi="宋体" w:cs="宋体"/>
          <w:color w:val="auto"/>
          <w:sz w:val="24"/>
          <w:highlight w:val="none"/>
          <w:lang w:eastAsia="zh-CN"/>
        </w:rPr>
        <w:t xml:space="preserve">。</w:t>
      </w:r>
      <w:r/>
    </w:p>
    <w:p>
      <w:pPr>
        <w:ind w:firstLine="482"/>
        <w:spacing w:line="360" w:lineRule="auto"/>
        <w:tabs>
          <w:tab w:val="left" w:pos="567" w:leader="none"/>
        </w:tabs>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14.</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综合评审</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文件</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.1针对本项目所制定的服务方案；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.2类似项目业绩一览表及证明资料</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评分标准中所涉及到的其他材料等</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.4其他需供应商对本次响应的详细说明</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pStyle w:val="772"/>
        <w:ind w:firstLine="43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（1）以上</w:t>
      </w:r>
      <w:r>
        <w:rPr>
          <w:rFonts w:hint="eastAsia" w:ascii="宋体" w:hAnsi="宋体" w:eastAsia="宋体"/>
          <w:b/>
          <w:bCs/>
          <w:color w:val="auto"/>
          <w:sz w:val="24"/>
          <w:szCs w:val="24"/>
          <w:highlight w:val="none"/>
          <w:lang w:val="en-US" w:eastAsia="zh-CN"/>
        </w:rPr>
        <w:t xml:space="preserve">14.2</w:t>
      </w:r>
      <w:r>
        <w:rPr>
          <w:rFonts w:hint="eastAsia" w:ascii="宋体" w:hAnsi="宋体" w:eastAsia="宋体"/>
          <w:b/>
          <w:bCs/>
          <w:color w:val="auto"/>
          <w:sz w:val="24"/>
          <w:szCs w:val="24"/>
          <w:highlight w:val="none"/>
        </w:rPr>
        <w:t xml:space="preserve">为资格审查要求提供的材料，是作为对供应商资格审查、质疑身份认定的依据，</w:t>
      </w:r>
      <w:r>
        <w:rPr>
          <w:rFonts w:hint="eastAsia" w:ascii="宋体" w:hAnsi="宋体" w:eastAsia="宋体"/>
          <w:b/>
          <w:bCs/>
          <w:color w:val="auto"/>
          <w:sz w:val="24"/>
          <w:szCs w:val="24"/>
          <w:highlight w:val="none"/>
          <w:lang w:val="en-US" w:eastAsia="zh-CN"/>
        </w:rPr>
        <w:t xml:space="preserve">响应单位</w:t>
      </w:r>
      <w:r>
        <w:rPr>
          <w:rFonts w:hint="eastAsia" w:ascii="宋体" w:hAnsi="宋体" w:eastAsia="宋体"/>
          <w:b/>
          <w:bCs/>
          <w:color w:val="auto"/>
          <w:sz w:val="24"/>
          <w:szCs w:val="24"/>
          <w:highlight w:val="none"/>
        </w:rPr>
        <w:t xml:space="preserve">必须提供并加盖电子公章。否则，</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rPr>
        <w:t xml:space="preserve">文件将被认定为不符合资格审查要求。</w:t>
      </w:r>
      <w:r/>
    </w:p>
    <w:p>
      <w:pPr>
        <w:pStyle w:val="772"/>
        <w:ind w:firstLine="43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（2）以上</w:t>
      </w:r>
      <w:r>
        <w:rPr>
          <w:rFonts w:hint="eastAsia" w:ascii="宋体" w:hAnsi="宋体" w:eastAsia="宋体"/>
          <w:b/>
          <w:bCs/>
          <w:color w:val="auto"/>
          <w:sz w:val="24"/>
          <w:szCs w:val="24"/>
          <w:highlight w:val="none"/>
          <w:lang w:val="en-US" w:eastAsia="zh-CN"/>
        </w:rPr>
        <w:t xml:space="preserve">14.3</w:t>
      </w:r>
      <w:r>
        <w:rPr>
          <w:rFonts w:hint="eastAsia" w:ascii="宋体" w:hAnsi="宋体" w:eastAsia="宋体"/>
          <w:b/>
          <w:bCs/>
          <w:color w:val="auto"/>
          <w:sz w:val="24"/>
          <w:szCs w:val="24"/>
          <w:highlight w:val="none"/>
        </w:rPr>
        <w:t xml:space="preserve">为符合性审查须提供的资料，</w:t>
      </w:r>
      <w:r>
        <w:rPr>
          <w:rFonts w:hint="eastAsia" w:ascii="宋体" w:hAnsi="宋体" w:eastAsia="宋体"/>
          <w:b/>
          <w:bCs/>
          <w:color w:val="auto"/>
          <w:sz w:val="24"/>
          <w:szCs w:val="24"/>
          <w:highlight w:val="none"/>
          <w:lang w:val="en-US" w:eastAsia="zh-CN"/>
        </w:rPr>
        <w:t xml:space="preserve">响应单位</w:t>
      </w:r>
      <w:r>
        <w:rPr>
          <w:rFonts w:hint="eastAsia" w:ascii="宋体" w:hAnsi="宋体" w:eastAsia="宋体"/>
          <w:b/>
          <w:bCs/>
          <w:color w:val="auto"/>
          <w:sz w:val="24"/>
          <w:szCs w:val="24"/>
          <w:highlight w:val="none"/>
        </w:rPr>
        <w:t xml:space="preserve">必须提供并加盖电子公章。否则，</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rPr>
        <w:t xml:space="preserve">文件将被认定为未实质性响应。</w:t>
      </w:r>
      <w:r/>
    </w:p>
    <w:p>
      <w:pPr>
        <w:pStyle w:val="772"/>
        <w:ind w:firstLine="43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（3）开评标过程中如有问题采购代理机构工作人员会及时通过《投标供应商确认函》留存的手机号与供应商联系。请供应商确保该手机号通讯畅通，否则导致的对供应商不利</w:t>
      </w:r>
      <w:r>
        <w:rPr>
          <w:rFonts w:hint="eastAsia" w:ascii="宋体" w:hAnsi="宋体" w:eastAsia="宋体"/>
          <w:b/>
          <w:color w:val="auto"/>
          <w:sz w:val="24"/>
          <w:szCs w:val="24"/>
          <w:highlight w:val="none"/>
          <w:lang w:val="en-US" w:eastAsia="zh-CN"/>
        </w:rPr>
        <w:t xml:space="preserve">的</w:t>
      </w:r>
      <w:r>
        <w:rPr>
          <w:rFonts w:hint="eastAsia" w:ascii="宋体" w:hAnsi="宋体" w:eastAsia="宋体"/>
          <w:b/>
          <w:color w:val="auto"/>
          <w:sz w:val="24"/>
          <w:szCs w:val="24"/>
          <w:highlight w:val="none"/>
        </w:rPr>
        <w:t xml:space="preserve">后果由供应商自行承担。</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w:t>
      </w:r>
      <w:r>
        <w:rPr>
          <w:rFonts w:hint="eastAsia" w:ascii="宋体" w:hAnsi="宋体" w:cs="宋体"/>
          <w:b/>
          <w:color w:val="auto"/>
          <w:sz w:val="24"/>
          <w:highlight w:val="none"/>
          <w:lang w:eastAsia="zh-CN"/>
        </w:rPr>
        <w:t xml:space="preserve">、</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rPr>
        <w:t xml:space="preserve">文件的编制与提交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15.1本项目为网上招投标项目，供应商应使用CA证书登录“苏采云”获取</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color w:val="auto"/>
          <w:sz w:val="24"/>
          <w:highlight w:val="non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b/>
          <w:bCs/>
          <w:color w:val="auto"/>
          <w:sz w:val="24"/>
          <w:highlight w:val="none"/>
        </w:rPr>
      </w:pPr>
      <w:r>
        <w:rPr>
          <w:rFonts w:hint="eastAsia" w:ascii="宋体" w:hAnsi="宋体"/>
          <w:b/>
          <w:bCs/>
          <w:color w:val="auto"/>
          <w:sz w:val="24"/>
          <w:highlight w:val="none"/>
        </w:rPr>
        <w:t xml:space="preserve">15.2制作电子响应文件时必须与响应文件制作软件目录一一对应，将相关资料上传至相应模块。注意不要漏项。如有不确定上传的位置的，可以上传至“响应文件中要求提供的其他证明材料”。</w:t>
      </w:r>
      <w:r/>
    </w:p>
    <w:p>
      <w:pPr>
        <w:ind w:firstLine="480"/>
        <w:jc w:val="left"/>
        <w:spacing w:line="360" w:lineRule="auto"/>
        <w:tabs>
          <w:tab w:val="left" w:pos="142" w:leader="none"/>
          <w:tab w:val="left" w:pos="600" w:leader="none"/>
        </w:tabs>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16、响应文件提交（上传）截止时间</w:t>
      </w:r>
      <w:r/>
    </w:p>
    <w:p>
      <w:pPr>
        <w:ind w:firstLine="480"/>
        <w:jc w:val="left"/>
        <w:spacing w:line="360" w:lineRule="auto"/>
        <w:tabs>
          <w:tab w:val="left" w:pos="142" w:leader="none"/>
          <w:tab w:val="left" w:pos="60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16.1</w:t>
      </w:r>
      <w:r>
        <w:rPr>
          <w:rFonts w:hint="eastAsia" w:ascii="宋体" w:hAnsi="宋体"/>
          <w:color w:val="auto"/>
          <w:sz w:val="24"/>
          <w:highlight w:val="none"/>
        </w:rPr>
        <w:t xml:space="preserve">响应文件必须在</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规定的提交（上传）截止时间前上传“苏采云”系统。</w:t>
      </w:r>
      <w:r/>
    </w:p>
    <w:p>
      <w:pPr>
        <w:ind w:firstLine="480"/>
        <w:jc w:val="left"/>
        <w:spacing w:line="360" w:lineRule="auto"/>
        <w:tabs>
          <w:tab w:val="left" w:pos="142" w:leader="none"/>
          <w:tab w:val="left" w:pos="60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16.2</w:t>
      </w:r>
      <w:r>
        <w:rPr>
          <w:rFonts w:hint="eastAsia" w:ascii="宋体" w:hAnsi="宋体"/>
          <w:color w:val="auto"/>
          <w:sz w:val="24"/>
          <w:highlight w:val="none"/>
        </w:rPr>
        <w:t xml:space="preserve">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p>
    <w:p>
      <w:pPr>
        <w:ind w:firstLine="480"/>
        <w:jc w:val="left"/>
        <w:spacing w:line="360" w:lineRule="auto"/>
        <w:tabs>
          <w:tab w:val="left" w:pos="142" w:leader="none"/>
          <w:tab w:val="left" w:pos="60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16.3</w:t>
      </w:r>
      <w:r>
        <w:rPr>
          <w:rFonts w:hint="eastAsia" w:ascii="宋体" w:hAnsi="宋体"/>
          <w:color w:val="auto"/>
          <w:sz w:val="24"/>
          <w:highlight w:val="none"/>
        </w:rPr>
        <w:t xml:space="preserve">在提交（上传）截止时间以后提交（上传）的响应文件，采购人或采购代理机构将拒绝接收。</w:t>
      </w:r>
      <w:r/>
    </w:p>
    <w:p>
      <w:pPr>
        <w:pStyle w:val="772"/>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17、响应文件的修改和撤回</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17.1供应商在响应文件网上提交截止时间前，可以对其电子文件进行补充、修改，具体操作方法见《苏采云系统供应商操作手册》。在响应文件网上提交截止时间之后，供应商不得对其电子响应文件作任何修改。</w:t>
      </w:r>
      <w:r/>
    </w:p>
    <w:p>
      <w:pPr>
        <w:pStyle w:val="772"/>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17.2供应商在响应文件网上提交截止时间前，可以撤回其电子响应文件，具体操作方法见《苏采云系统供应商操作手册》。供应商撤回电子响应文件，则认为其不再参与本项目采购活动。在截止时间至磋商文件中规定的响应文件有效期满之间的这段时间内，供应商不得撤回其响应。</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投标报价（编制）要求的说明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.1响应报价为综合报价，</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对《</w:t>
      </w:r>
      <w:r>
        <w:rPr>
          <w:rFonts w:hint="eastAsia" w:ascii="宋体" w:hAnsi="宋体" w:cs="宋体"/>
          <w:color w:val="auto"/>
          <w:sz w:val="24"/>
          <w:highlight w:val="none"/>
          <w:lang w:val="en-US" w:eastAsia="zh-CN"/>
        </w:rPr>
        <w:t xml:space="preserve">磋商响应报价表</w:t>
      </w:r>
      <w:r>
        <w:rPr>
          <w:rFonts w:hint="eastAsia" w:ascii="宋体" w:hAnsi="宋体" w:cs="宋体"/>
          <w:color w:val="auto"/>
          <w:sz w:val="24"/>
          <w:highlight w:val="none"/>
        </w:rPr>
        <w:t xml:space="preserve">》中的报价包括完成本项目全部服务内容所需的维修、巡查、零配件、材料、安装、调试、人工（包括工资、社保、保险等）、机械、保险、运输、劳保、各种税费、质保期间全部费用以及响应供应商企业利润、税金和政策性文件规定和合同包含的所有风险、责任等各项应有费用。同时，除非合同条款中另有规定，否则，</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所报价格在合同实施期间不因市场变化因素而变动。</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18.2供应商</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内所要采购的全部内容进行报价，只投其中部分内容者，其</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将被拒绝。</w:t>
      </w:r>
      <w:r>
        <w:rPr>
          <w:rFonts w:hint="eastAsia" w:ascii="宋体" w:hAnsi="宋体" w:eastAsia="宋体"/>
          <w:color w:val="auto"/>
          <w:sz w:val="24"/>
          <w:szCs w:val="24"/>
          <w:highlight w:val="none"/>
          <w:shd w:val="clear" w:color="auto" w:fill="ffffff"/>
        </w:rPr>
        <w:t xml:space="preserve">但如果</w:t>
      </w:r>
      <w:r>
        <w:rPr>
          <w:rFonts w:hint="eastAsia" w:ascii="宋体" w:hAnsi="宋体" w:eastAsia="宋体"/>
          <w:color w:val="auto"/>
          <w:sz w:val="24"/>
          <w:szCs w:val="24"/>
          <w:highlight w:val="none"/>
          <w:shd w:val="clear" w:color="auto" w:fill="ffffff"/>
          <w:lang w:val="en-US" w:eastAsia="zh-CN"/>
        </w:rPr>
        <w:t xml:space="preserve">磋商文件</w:t>
      </w:r>
      <w:r>
        <w:rPr>
          <w:rFonts w:hint="eastAsia" w:ascii="宋体" w:hAnsi="宋体" w:eastAsia="宋体"/>
          <w:color w:val="auto"/>
          <w:sz w:val="24"/>
          <w:szCs w:val="24"/>
          <w:highlight w:val="none"/>
          <w:shd w:val="clear" w:color="auto" w:fill="ffffff"/>
        </w:rPr>
        <w:t xml:space="preserve">要求</w:t>
      </w:r>
      <w:r>
        <w:rPr>
          <w:rFonts w:hint="eastAsia" w:ascii="宋体" w:hAnsi="宋体" w:eastAsia="宋体"/>
          <w:color w:val="auto"/>
          <w:sz w:val="24"/>
          <w:szCs w:val="24"/>
          <w:highlight w:val="none"/>
          <w:shd w:val="clear" w:color="auto" w:fill="ffffff"/>
          <w:lang w:val="en-US" w:eastAsia="zh-CN"/>
        </w:rPr>
        <w:t xml:space="preserve">划分标段的</w:t>
      </w:r>
      <w:r>
        <w:rPr>
          <w:rFonts w:hint="eastAsia" w:ascii="宋体" w:hAnsi="宋体" w:eastAsia="宋体"/>
          <w:color w:val="auto"/>
          <w:sz w:val="24"/>
          <w:szCs w:val="24"/>
          <w:highlight w:val="none"/>
          <w:shd w:val="clear" w:color="auto" w:fill="ffffff"/>
        </w:rPr>
        <w:t xml:space="preserve">，则</w:t>
      </w:r>
      <w:r>
        <w:rPr>
          <w:rFonts w:hint="eastAsia" w:ascii="宋体" w:hAnsi="宋体" w:eastAsia="宋体"/>
          <w:color w:val="auto"/>
          <w:sz w:val="24"/>
          <w:szCs w:val="24"/>
          <w:highlight w:val="none"/>
          <w:shd w:val="clear" w:color="auto" w:fill="ffffff"/>
          <w:lang w:val="en-US" w:eastAsia="zh-CN"/>
        </w:rPr>
        <w:t xml:space="preserve">供应商</w:t>
      </w:r>
      <w:r>
        <w:rPr>
          <w:rFonts w:hint="eastAsia" w:ascii="宋体" w:hAnsi="宋体" w:eastAsia="宋体"/>
          <w:color w:val="auto"/>
          <w:sz w:val="24"/>
          <w:szCs w:val="24"/>
          <w:highlight w:val="none"/>
          <w:shd w:val="clear" w:color="auto" w:fill="ffffff"/>
        </w:rPr>
        <w:t xml:space="preserve">可以按</w:t>
      </w:r>
      <w:r>
        <w:rPr>
          <w:rFonts w:hint="eastAsia" w:ascii="宋体" w:hAnsi="宋体" w:eastAsia="宋体"/>
          <w:color w:val="auto"/>
          <w:sz w:val="24"/>
          <w:szCs w:val="24"/>
          <w:highlight w:val="none"/>
          <w:shd w:val="clear" w:color="auto" w:fill="ffffff"/>
          <w:lang w:val="en-US" w:eastAsia="zh-CN"/>
        </w:rPr>
        <w:t xml:space="preserve">磋商文件</w:t>
      </w:r>
      <w:r>
        <w:rPr>
          <w:rFonts w:hint="eastAsia" w:ascii="宋体" w:hAnsi="宋体" w:eastAsia="宋体"/>
          <w:color w:val="auto"/>
          <w:sz w:val="24"/>
          <w:szCs w:val="24"/>
          <w:highlight w:val="none"/>
          <w:shd w:val="clear" w:color="auto" w:fill="ffffff"/>
        </w:rPr>
        <w:t xml:space="preserve">要求有选择地只投其中一个或几个标段，</w:t>
      </w:r>
      <w:r>
        <w:rPr>
          <w:rFonts w:hint="eastAsia" w:ascii="宋体" w:hAnsi="宋体" w:eastAsia="宋体"/>
          <w:color w:val="auto"/>
          <w:sz w:val="24"/>
          <w:szCs w:val="24"/>
          <w:highlight w:val="none"/>
          <w:shd w:val="clear" w:color="auto" w:fill="ffffff"/>
          <w:lang w:val="en-US" w:eastAsia="zh-CN"/>
        </w:rPr>
        <w:t xml:space="preserve">也可以参加全部标段，</w:t>
      </w:r>
      <w:r>
        <w:rPr>
          <w:rFonts w:hint="eastAsia" w:ascii="宋体" w:hAnsi="宋体" w:eastAsia="宋体"/>
          <w:color w:val="auto"/>
          <w:sz w:val="24"/>
          <w:szCs w:val="24"/>
          <w:highlight w:val="none"/>
          <w:shd w:val="clear" w:color="auto" w:fill="ffffff"/>
        </w:rPr>
        <w:t xml:space="preserve">但各标段应分别计算填写单价和总价。</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一项内容只允许一个报价，</w:t>
      </w:r>
      <w:r>
        <w:rPr>
          <w:rFonts w:hint="eastAsia" w:ascii="宋体" w:hAnsi="宋体" w:eastAsia="宋体"/>
          <w:color w:val="auto"/>
          <w:sz w:val="24"/>
          <w:szCs w:val="24"/>
          <w:highlight w:val="none"/>
          <w:shd w:val="clear" w:color="auto" w:fill="ffffff"/>
        </w:rPr>
        <w:t xml:space="preserve">采购人或采购代理机构</w:t>
      </w:r>
      <w:r>
        <w:rPr>
          <w:rFonts w:hint="eastAsia" w:ascii="宋体" w:hAnsi="宋体" w:eastAsia="宋体" w:cs="宋体"/>
          <w:color w:val="auto"/>
          <w:sz w:val="24"/>
          <w:szCs w:val="24"/>
          <w:highlight w:val="none"/>
        </w:rPr>
        <w:t xml:space="preserve">不接受任何有选择性的报价。</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4响应</w:t>
      </w:r>
      <w:r>
        <w:rPr>
          <w:rFonts w:hint="eastAsia" w:ascii="宋体" w:hAnsi="宋体" w:eastAsia="宋体"/>
          <w:color w:val="auto"/>
          <w:sz w:val="24"/>
          <w:szCs w:val="24"/>
          <w:highlight w:val="none"/>
          <w:shd w:val="clear" w:color="auto" w:fill="ffffff"/>
        </w:rPr>
        <w:t xml:space="preserve">文件报价中的单价和总价全部采用人民币表示，除非合同的特殊条款另有规定。</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保证金</w:t>
      </w:r>
      <w:r/>
    </w:p>
    <w:p>
      <w:pPr>
        <w:pStyle w:val="772"/>
        <w:ind w:firstLine="482"/>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 xml:space="preserve">19.1</w:t>
      </w:r>
      <w:r>
        <w:rPr>
          <w:rFonts w:hint="eastAsia" w:ascii="宋体" w:hAnsi="宋体" w:eastAsia="宋体" w:cs="宋体"/>
          <w:b w:val="0"/>
          <w:bCs/>
          <w:color w:val="auto"/>
          <w:sz w:val="24"/>
          <w:szCs w:val="24"/>
          <w:highlight w:val="none"/>
          <w:lang w:val="en-US"/>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文件的有效期</w:t>
      </w:r>
      <w:r/>
    </w:p>
    <w:p>
      <w:pPr>
        <w:pStyle w:val="77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rPr>
        <w:t xml:space="preserve">自响应文件提交（上传）截止之日起</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天内，响应文件应保持有效。</w:t>
      </w:r>
      <w:r>
        <w:rPr>
          <w:rFonts w:hint="eastAsia" w:ascii="宋体" w:hAnsi="宋体" w:eastAsia="宋体" w:cs="宋体"/>
          <w:b/>
          <w:bCs/>
          <w:color w:val="auto"/>
          <w:sz w:val="24"/>
          <w:szCs w:val="24"/>
          <w:highlight w:val="none"/>
        </w:rPr>
        <w:t xml:space="preserve">有效期短于这个规定期限的响应文件，将被拒绝。</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shd w:val="clear" w:color="auto" w:fill="ffffff"/>
          <w:lang w:val="en-US" w:eastAsia="zh-CN"/>
        </w:rPr>
        <w:t xml:space="preserve">20</w:t>
      </w: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在特殊情况下，采购人或采购代理机构可与供应商协商延长</w:t>
      </w:r>
      <w:r>
        <w:rPr>
          <w:rFonts w:hint="eastAsia" w:ascii="宋体" w:hAnsi="宋体" w:eastAsia="宋体"/>
          <w:color w:val="auto"/>
          <w:sz w:val="24"/>
          <w:szCs w:val="24"/>
          <w:highlight w:val="none"/>
          <w:shd w:val="clear" w:color="auto" w:fill="ffffff"/>
          <w:lang w:val="en-US" w:eastAsia="zh-CN"/>
        </w:rPr>
        <w:t xml:space="preserve">响应文件</w:t>
      </w:r>
      <w:r>
        <w:rPr>
          <w:rFonts w:hint="eastAsia" w:ascii="宋体" w:hAnsi="宋体" w:eastAsia="宋体"/>
          <w:color w:val="auto"/>
          <w:sz w:val="24"/>
          <w:szCs w:val="24"/>
          <w:highlight w:val="none"/>
          <w:shd w:val="clear" w:color="auto" w:fill="ffffff"/>
        </w:rPr>
        <w:t xml:space="preserve">的有效期。这种要求和答复都应以书面形式进行。同意延长有效期的供应商不能修改</w:t>
      </w:r>
      <w:r>
        <w:rPr>
          <w:rFonts w:hint="eastAsia" w:ascii="宋体" w:hAnsi="宋体" w:eastAsia="宋体"/>
          <w:color w:val="auto"/>
          <w:sz w:val="24"/>
          <w:szCs w:val="24"/>
          <w:highlight w:val="none"/>
          <w:shd w:val="clear" w:color="auto" w:fill="ffffff"/>
          <w:lang w:val="en-US" w:eastAsia="zh-CN"/>
        </w:rPr>
        <w:t xml:space="preserve">响应文件</w:t>
      </w:r>
      <w:r>
        <w:rPr>
          <w:rFonts w:hint="eastAsia" w:ascii="宋体" w:hAnsi="宋体" w:eastAsia="宋体"/>
          <w:color w:val="auto"/>
          <w:sz w:val="24"/>
          <w:szCs w:val="24"/>
          <w:highlight w:val="none"/>
          <w:shd w:val="clear" w:color="auto" w:fill="ffffff"/>
        </w:rPr>
        <w:t xml:space="preserve">。拒绝接受延期要求的供应商的</w:t>
      </w:r>
      <w:r>
        <w:rPr>
          <w:rFonts w:hint="eastAsia" w:ascii="宋体" w:hAnsi="宋体" w:eastAsia="宋体"/>
          <w:color w:val="auto"/>
          <w:sz w:val="24"/>
          <w:szCs w:val="24"/>
          <w:highlight w:val="none"/>
          <w:shd w:val="clear" w:color="auto" w:fill="ffffff"/>
          <w:lang w:val="en-US" w:eastAsia="zh-CN"/>
        </w:rPr>
        <w:t xml:space="preserve">响应文件</w:t>
      </w:r>
      <w:r>
        <w:rPr>
          <w:rFonts w:hint="eastAsia" w:ascii="宋体" w:hAnsi="宋体" w:eastAsia="宋体"/>
          <w:color w:val="auto"/>
          <w:sz w:val="24"/>
          <w:szCs w:val="24"/>
          <w:highlight w:val="none"/>
          <w:shd w:val="clear" w:color="auto" w:fill="ffffff"/>
        </w:rPr>
        <w:t xml:space="preserve">将被拒绝。</w:t>
      </w:r>
      <w:r/>
    </w:p>
    <w:p>
      <w:pPr>
        <w:pStyle w:val="772"/>
        <w:ind w:left="0" w:firstLine="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rPr>
        <w:t xml:space="preserve">五、</w:t>
      </w:r>
      <w:r>
        <w:rPr>
          <w:rFonts w:hint="eastAsia" w:ascii="宋体" w:hAnsi="宋体" w:eastAsia="宋体" w:cs="宋体"/>
          <w:b/>
          <w:color w:val="auto"/>
          <w:sz w:val="24"/>
          <w:szCs w:val="24"/>
          <w:highlight w:val="none"/>
          <w:lang w:val="en-US" w:eastAsia="zh-CN"/>
        </w:rPr>
        <w:t xml:space="preserve">磋商与评审</w:t>
      </w:r>
      <w:r/>
    </w:p>
    <w:p>
      <w:pPr>
        <w:pStyle w:val="772"/>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rPr>
        <w:t xml:space="preserve">21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磋商程序</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21.1采购代理机构按</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规定的时间、地点主持磋商采购活动。</w:t>
      </w:r>
      <w:r/>
    </w:p>
    <w:p>
      <w:pPr>
        <w:ind w:firstLine="480"/>
        <w:spacing w:line="360" w:lineRule="auto"/>
        <w:rPr>
          <w:rFonts w:hint="eastAsia" w:ascii="宋体" w:hAnsi="宋体"/>
          <w:color w:val="auto"/>
          <w:sz w:val="24"/>
          <w:highlight w:val="none"/>
        </w:rPr>
      </w:pPr>
      <w:r/>
      <w:bookmarkStart w:id="17" w:name="_Hlk90652960"/>
      <w:r>
        <w:rPr>
          <w:rFonts w:hint="eastAsia" w:ascii="宋体" w:hAnsi="宋体"/>
          <w:color w:val="auto"/>
          <w:sz w:val="24"/>
          <w:highlight w:val="none"/>
        </w:rPr>
        <w:t xml:space="preserve">21.2供应商通过“苏采云”系统在线参与磋商活动。供应商应当按照《苏采云系统供应商操作手册》规定在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w:t>
      </w:r>
      <w:bookmarkEnd w:id="17"/>
      <w:r>
        <w:rPr>
          <w:rFonts w:hint="eastAsia" w:ascii="宋体" w:hAnsi="宋体"/>
          <w:color w:val="auto"/>
          <w:sz w:val="24"/>
          <w:highlight w:val="none"/>
        </w:rPr>
        <w:t xml:space="preserve">在响应文件网上递交截止时间止成功解密的磋商供应商少于三家，则本次采购失败。</w:t>
      </w:r>
      <w:r/>
    </w:p>
    <w:p>
      <w:pPr>
        <w:ind w:firstLine="480"/>
        <w:spacing w:line="360" w:lineRule="auto"/>
        <w:rPr>
          <w:rFonts w:hint="eastAsia" w:ascii="宋体" w:hAnsi="宋体"/>
          <w:color w:val="auto"/>
          <w:sz w:val="24"/>
          <w:highlight w:val="none"/>
        </w:rPr>
      </w:pPr>
      <w:r/>
      <w:bookmarkStart w:id="18" w:name="_Hlk158135485"/>
      <w:r>
        <w:rPr>
          <w:rFonts w:hint="eastAsia" w:ascii="宋体" w:hAnsi="宋体"/>
          <w:color w:val="auto"/>
          <w:sz w:val="24"/>
          <w:highlight w:val="none"/>
        </w:rPr>
        <w:t xml:space="preserve">21.4</w:t>
      </w:r>
      <w:bookmarkEnd w:id="18"/>
      <w:r>
        <w:rPr>
          <w:rFonts w:hint="eastAsia" w:ascii="宋体" w:hAnsi="宋体"/>
          <w:color w:val="auto"/>
          <w:sz w:val="24"/>
          <w:highlight w:val="none"/>
        </w:rPr>
        <w:t xml:space="preserve">由磋商小组审查供应商解密的响应文件。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21.5本项目磋商小组由采购人代表1名和评审专家2名共3人（单数）组成，其中评审专家不少于成员总数的三分之二，由采购人依法组建。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21.6</w:t>
      </w:r>
      <w:r>
        <w:rPr>
          <w:rFonts w:hint="eastAsia"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2"/>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21</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磋商小组要求供应商澄清、说明或者更正响应文件应当以书面形式</w:t>
      </w:r>
      <w:r>
        <w:rPr>
          <w:rFonts w:hint="eastAsia" w:ascii="宋体" w:hAnsi="宋体" w:eastAsia="宋体"/>
          <w:color w:val="auto"/>
          <w:sz w:val="24"/>
          <w:szCs w:val="24"/>
          <w:highlight w:val="none"/>
          <w:lang w:val="en-US" w:eastAsia="zh-CN"/>
        </w:rPr>
        <w:t xml:space="preserve">作出</w:t>
      </w:r>
      <w:r>
        <w:rPr>
          <w:rFonts w:hint="eastAsia" w:ascii="宋体" w:hAnsi="宋体" w:eastAsia="宋体"/>
          <w:color w:val="auto"/>
          <w:sz w:val="24"/>
          <w:szCs w:val="24"/>
          <w:highlight w:val="none"/>
        </w:rPr>
        <w:t xml:space="preserve">。供应商的澄清、说明或者更正应当由其单位加盖电子公章。</w:t>
      </w:r>
      <w:r/>
    </w:p>
    <w:p>
      <w:pPr>
        <w:pStyle w:val="772"/>
        <w:spacing w:line="360" w:lineRule="auto"/>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rPr>
        <w:t xml:space="preserve">本项目供应商的澄清、说明或者补正采用线上澄清</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b/>
          <w:bCs/>
          <w:color w:val="auto"/>
          <w:sz w:val="24"/>
          <w:szCs w:val="24"/>
          <w:highlight w:val="none"/>
          <w:lang w:eastAsia="zh-CN"/>
        </w:rPr>
        <w:t xml:space="preserve">。</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lang w:val="en-US"/>
        </w:rPr>
        <w:t xml:space="preserve">21</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b/>
          <w:bCs/>
          <w:color w:val="auto"/>
          <w:sz w:val="24"/>
          <w:szCs w:val="24"/>
          <w:highlight w:val="none"/>
          <w:lang w:val="en-US" w:eastAsia="zh-CN"/>
        </w:rPr>
        <w:t xml:space="preserve">本项目采用线上磋商：</w:t>
      </w:r>
      <w:r>
        <w:rPr>
          <w:rFonts w:hint="eastAsia" w:ascii="宋体" w:hAnsi="宋体" w:eastAsia="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b/>
          <w:bCs/>
          <w:color w:val="auto"/>
          <w:sz w:val="24"/>
          <w:szCs w:val="24"/>
          <w:highlight w:val="none"/>
        </w:rPr>
        <w:t xml:space="preserve">磋商小组通过“苏采云”系统向供应商发布“磋商函”，供应商可通过查看【磋商响应】菜单中的待办信息</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应当按照要求在“苏采云”系统提交“磋商响应函”并加盖CA电子公章，具体操作方式见《苏采云系统供应商操作手册》。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在磋商过程中，磋商小组可以根据</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和磋商情况实质性变动采购需求中的技术、服务要求以及合同草案条款。对</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做出的实质性变动是</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的有效组成部分，磋商小组将在“苏采云”系统中同时通知所有参加磋商的供应商，供应商应当按照</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的变动情况和磋商小组的要求在“苏采云”系统中重新提交响应文件，并加盖CA电子公章。</w:t>
      </w:r>
      <w:r/>
    </w:p>
    <w:p>
      <w:pPr>
        <w:pStyle w:val="77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rPr>
        <w:t xml:space="preserve">21</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10本项目采用线上最后报价：</w:t>
      </w:r>
      <w:r>
        <w:rPr>
          <w:rFonts w:hint="eastAsia" w:ascii="宋体" w:hAnsi="宋体" w:eastAsia="宋体"/>
          <w:b/>
          <w:bCs/>
          <w:color w:val="auto"/>
          <w:sz w:val="24"/>
          <w:szCs w:val="24"/>
          <w:highlight w:val="none"/>
        </w:rPr>
        <w:t xml:space="preserve">磋商结束后，磋商小组将在“苏采云”系统向所有实质性响应的供应商发布“最后报价要求函”及最后报价格式表</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如有</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，要求所有实质性响应的供应商在规定时间内提交最后报价。</w:t>
      </w:r>
      <w:r>
        <w:rPr>
          <w:rFonts w:hint="eastAsia" w:ascii="宋体" w:hAnsi="宋体" w:eastAsia="宋体"/>
          <w:b w:val="0"/>
          <w:bCs w:val="0"/>
          <w:color w:val="auto"/>
          <w:sz w:val="24"/>
          <w:szCs w:val="24"/>
          <w:highlight w:val="none"/>
        </w:rPr>
        <w:t xml:space="preserve">最后报价作为评审报价</w:t>
      </w:r>
      <w:r>
        <w:rPr>
          <w:rFonts w:hint="eastAsia" w:ascii="宋体" w:hAnsi="宋体" w:eastAsia="宋体"/>
          <w:b/>
          <w:bCs/>
          <w:color w:val="auto"/>
          <w:sz w:val="24"/>
          <w:szCs w:val="24"/>
          <w:highlight w:val="none"/>
        </w:rPr>
        <w:t xml:space="preserve">（除因</w:t>
      </w:r>
      <w:r>
        <w:rPr>
          <w:rFonts w:hint="eastAsia" w:ascii="宋体" w:hAnsi="宋体" w:eastAsia="宋体"/>
          <w:b/>
          <w:bCs/>
          <w:color w:val="auto"/>
          <w:sz w:val="24"/>
          <w:szCs w:val="24"/>
          <w:highlight w:val="none"/>
          <w:lang w:val="en-US" w:eastAsia="zh-CN"/>
        </w:rPr>
        <w:t xml:space="preserve">磋商文件</w:t>
      </w:r>
      <w:r>
        <w:rPr>
          <w:rFonts w:hint="eastAsia" w:ascii="宋体" w:hAnsi="宋体" w:eastAsia="宋体"/>
          <w:b/>
          <w:bCs/>
          <w:color w:val="auto"/>
          <w:sz w:val="24"/>
          <w:szCs w:val="24"/>
          <w:highlight w:val="none"/>
        </w:rPr>
        <w:t xml:space="preserve">修改导致成本增加，二次报价不得超过第一次报价，否则为无效响应报价）</w:t>
      </w:r>
      <w:r>
        <w:rPr>
          <w:rFonts w:hint="eastAsia" w:ascii="宋体" w:hAnsi="宋体" w:eastAsia="宋体"/>
          <w:b w:val="0"/>
          <w:bCs w:val="0"/>
          <w:color w:val="auto"/>
          <w:sz w:val="24"/>
          <w:szCs w:val="24"/>
          <w:highlight w:val="none"/>
        </w:rPr>
        <w:t xml:space="preserve">，若最终报价时未提供明细报价的则合同单价按最终报价与第一次报价总价的下浮比例同比例下浮）。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pStyle w:val="772"/>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21.11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2"/>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已提交响应文件的供应商，在提交最后报价之前，可以根据磋商情况退出磋商，并在“苏采云”系统中提交“退出磋商函”并加盖CA电子公章。</w:t>
      </w:r>
      <w:r/>
    </w:p>
    <w:p>
      <w:pPr>
        <w:pStyle w:val="772"/>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注：磋商过程中如有问题采购代理机构工作人员会及时通过《投标供应商确认函》留存的手机号与供应商联系。请供应商确保该手机号磋商当日通讯畅通，时刻关注不见面开标大厅，不离开不见面开标大厅，否则导致的对供应商不利的后果由供应商自行承担。</w:t>
      </w:r>
      <w:r/>
    </w:p>
    <w:p>
      <w:pPr>
        <w:pStyle w:val="772"/>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21.12经磋商确定最终采购需求和提交最后报价的供应商后，由磋商小组采用综合评分法对提交最后报价的供应商的响应文件和最后报价进行综合评分。</w:t>
      </w:r>
      <w:r/>
    </w:p>
    <w:p>
      <w:pPr>
        <w:pStyle w:val="772"/>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21.13磋商小组根据磋商成交原则确定成交供应商，并将结果通知所有参加磋商的供应商。如磋商过程中出现本磋商文件未尽事宜，由磋商小组根据政府采购有关法律、法规讨论决定。</w:t>
      </w:r>
      <w:r/>
    </w:p>
    <w:p>
      <w:pPr>
        <w:pStyle w:val="77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22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评审内容的保密</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.1评审开始后，直到宣布授予成交单位合同为止，凡属于审查、澄清、评价和比较响应文件的所有资料，有关授予合同的信息都不应向供应商或与评审无关的其他人泄露。</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.2在响应文件的审查、澄清、评价和比较以及授予合同的过程中，供应商对采购人和磋商小组施加影响的任何行为，都将取消其成交资格。</w:t>
      </w:r>
      <w:r/>
    </w:p>
    <w:p>
      <w:pPr>
        <w:pStyle w:val="77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22.3在评审期间，采购人或采购代理机构将通过指定联络人与供应商进行联系，供应商授权代表须保证联系电话通畅。</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23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对响应文件的初审</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.1磋商小组应当依法对响应供应商的资格进行审查。合格供应商不足3家的，本项目采购失败。</w:t>
      </w:r>
      <w:r/>
    </w:p>
    <w:p>
      <w:pPr>
        <w:pStyle w:val="7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rPr>
        <w:t xml:space="preserve">2</w:t>
      </w:r>
      <w:r>
        <w:rPr>
          <w:rFonts w:hint="eastAsia" w:ascii="宋体" w:hAnsi="宋体" w:eastAsia="宋体" w:cs="宋体"/>
          <w:b/>
          <w:bCs/>
          <w:color w:val="auto"/>
          <w:sz w:val="24"/>
          <w:szCs w:val="24"/>
          <w:highlight w:val="none"/>
        </w:rPr>
        <w:t xml:space="preserve">有下列情况之一的响应文件，作无效响应处理：</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.1响应文件未按照本须知规定制作的；</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.2与</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有重大偏离；</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.3报价超过</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中规定的预算金额或最高限价的；</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.4磋商小组认为供应商的报价明显低于其他供应商的报价，有可能影响服务质量或者不能诚信履约的，未在磋商现场合理的时间内提供书面说明或相关证明材料，不能证明其报价合理的；</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.5供应商拒绝修正错误；</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23.2.6供应商的报价是选择性的；</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23.2.7供应商的报价只投了部分内容；</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23.2.8供应商的响应文件出现了磋商小组认为不应当雷同的情况；</w:t>
      </w:r>
      <w:r/>
    </w:p>
    <w:p>
      <w:pPr>
        <w:pStyle w:val="77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23.2.9不同供应商响应文件“机器码一致”；</w:t>
      </w:r>
      <w:r/>
    </w:p>
    <w:p>
      <w:pPr>
        <w:pStyle w:val="77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23.2.10其他磋商小组认定无效的情况。</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在详细评审之前，磋商小组将首先审查每份响应文件是否实质响应了</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的要求。实质上响应的文件应该是与</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的条款、条件和规格相符，没有重大偏离或保留。所谓重大偏离或保留是指在实质上与</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不一致，而且限制了合同中买方的权利或供应商的义务。这些偏离或保留将会对其他实质上响应要求的供应商的竞争地位产生不公正的影响。</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磋商小组将允许修改响应文件中不构成重大偏离的微小的、非正规、不一致或不规则的地方，但这些修改不能影响任何响应供应商的名次相应排列。供应商不得对响应文件进行实质性修改，包括但不限于付款方式、付款条件等条款，否则响应文件将被拒绝。</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23.5磋商小组将拒绝被确定为非实质性响应的文件，供应商不能通过修正或撤销不符之处而使其实质性响应。</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23.6磋商小组将对确定为实质上响应的文件进行审核，看其是否有计算上或累加上的算术错误。响应文件报价出现前后不一致的，除磋商文件另有规定外，按照下列规定进行修正：</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23.6.1响应文件的大写金额与小写金额不一致的，以大写金额为准；</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23.6.2单价金额小数点或百分比有明显错位的，应以开标一览表的总价为准，并修改单价；</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23.6.3总价金额与按单价汇总金额不一致的，以单价金额计算结果为准；</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23.6.4对不同文字文本响应文件的解释发生异议的，以中文文本为准；</w:t>
      </w:r>
      <w:r/>
    </w:p>
    <w:p>
      <w:pPr>
        <w:pStyle w:val="77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23.6.5供应商不同意以上修正，则其响应文件将被拒绝。</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23.7当响应报价出现以下情况时，磋商小组应当启动异常低价投标（响应）审查程序：</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23.7.1投标(响应)报价低于全部通过符合性审查供应商投标(响应)报价平均值50%的，即投标(响应)报价&lt;全部通过符合性审查供应商投标(响应)报价平均值×50%；</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23.7.2投标(响应)报价低于通过符合性审查的次低报价供应商投标(响应)报价50%的，即投标(响应)报价&lt;通过符合性审查的次低报价供应商投标(响应)报价×50%；</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23.7.3投标(响应)报价低于采购项目最高限价45%的，即投标(响应)报价&lt;采购项目最高限价×45%；</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23.7.4评审委员会基于专业判断，认为供应商报价过低，有可能影响产品质量或者不能诚信履约的其他情形。</w:t>
      </w:r>
      <w:r/>
    </w:p>
    <w:p>
      <w:pPr>
        <w:pStyle w:val="7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磋商小组启动异常低价投标(响应)审查后，属于前述第23.7.1项至第23.</w:t>
      </w:r>
      <w:r>
        <w:rPr>
          <w:rFonts w:hint="eastAsia" w:ascii="宋体" w:hAnsi="宋体" w:eastAsia="宋体" w:cs="宋体"/>
          <w:color w:val="auto"/>
          <w:sz w:val="24"/>
          <w:szCs w:val="24"/>
          <w:highlight w:val="none"/>
          <w:lang w:val="en-US" w:eastAsia="zh-CN"/>
        </w:rPr>
        <w:t xml:space="preserve">7.4项情形的，应当要求相关供应商在评审现场30分钟内对投标(响应)价格作出解释，提供项目具体成本测算等与报价合理性相关的书面说明及必要的证明材料（线上开评标项目可通过“苏采云”系统要求其提供），包括但不限于原材料成本、人工成本、制造费用等，其中，属于第23.7.3项情形，供应商已随投标(响应)文件一并提交相关书面说明及必要的证明材料的，在评审现场可不再重复提交。投标（响应）供应商不能提供书面说明、证明材料，或者提供的书面说明、必要的证明材料不能证明其报价合理性的，磋商小组应当将其作为无效投标（响应）处理。</w:t>
      </w:r>
      <w:r/>
    </w:p>
    <w:p>
      <w:pPr>
        <w:pStyle w:val="77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23.8磋商小组评审委员会依据专业经验，参考同类项目中标(成交)价格、类似产品市场价格水平、行业人工费用标准、国家有关部门指导行业协会发布的行业平均成本等情况，对报价合理性进行判断。</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rPr>
        <w:t xml:space="preserve">4</w:t>
      </w:r>
      <w:r>
        <w:rPr>
          <w:rFonts w:hint="eastAsia" w:ascii="宋体" w:hAnsi="宋体" w:eastAsia="宋体" w:cs="宋体"/>
          <w:b/>
          <w:color w:val="auto"/>
          <w:sz w:val="24"/>
          <w:szCs w:val="24"/>
          <w:highlight w:val="none"/>
          <w:lang w:eastAsia="zh-CN"/>
        </w:rPr>
        <w:t xml:space="preserve">、响应文件的评价和比较</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.1磋商小组仅对按照本须知有关规定确定为实质上响应</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要求的响应文件进行评价和比较。</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.2评价和比较采用综合评分法，即指响应文件满足</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全部实质性要求，且按照评审因素的量化指标评审得分最高的供应商为成交供应商的评审方法。磋商小组严格按照</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的要求、条件、评分标准，对供应商所提供的服务进行评价比较。</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.3最低的响应报价或最高的优惠率是成交的重要条件，但不是唯一条件。</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rPr>
        <w:t xml:space="preserve">5</w:t>
      </w:r>
      <w:r>
        <w:rPr>
          <w:rFonts w:hint="eastAsia" w:ascii="宋体" w:hAnsi="宋体" w:eastAsia="宋体" w:cs="宋体"/>
          <w:b/>
          <w:color w:val="auto"/>
          <w:sz w:val="24"/>
          <w:szCs w:val="24"/>
          <w:highlight w:val="none"/>
          <w:lang w:eastAsia="zh-CN"/>
        </w:rPr>
        <w:t xml:space="preserve">、项目的终止</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.1出现下列情形之一的，将终止竞争性磋商采购活动：</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25</w:t>
      </w:r>
      <w:r>
        <w:rPr>
          <w:rFonts w:hint="eastAsia" w:ascii="宋体" w:hAnsi="宋体" w:eastAsia="宋体" w:cs="宋体"/>
          <w:color w:val="auto"/>
          <w:sz w:val="24"/>
          <w:szCs w:val="24"/>
          <w:highlight w:val="none"/>
        </w:rPr>
        <w:t xml:space="preserve">.1.1因情况变化，不再符合规定的竞争性磋商采购方式适用情形的；</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2出现影响采购公正的违法、违规行为的；</w:t>
      </w:r>
      <w:r/>
    </w:p>
    <w:p>
      <w:pPr>
        <w:pStyle w:val="772"/>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3除《政府采购竞争性磋商采购方式管理暂行办法》第二十一条第三款规定的情形外，在采购过程中符合要求的供应商或者报价未超过采购预算的供应商不足3家的；</w:t>
      </w:r>
      <w:r/>
    </w:p>
    <w:p>
      <w:pPr>
        <w:pStyle w:val="772"/>
        <w:spacing w:line="360"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注：采用竞争性磋商采购方式采购的政府购买服务项目，在采购过程中符合要求的供应商只有2家的，竞争性磋商采购活动可以继续进行。</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4在采购活动中因重大变故，采购任务取消的。</w:t>
      </w:r>
      <w:r/>
    </w:p>
    <w:p>
      <w:pPr>
        <w:pStyle w:val="772"/>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、授予合同</w:t>
      </w:r>
      <w:r/>
    </w:p>
    <w:p>
      <w:pPr>
        <w:pStyle w:val="772"/>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26</w:t>
      </w:r>
      <w:r>
        <w:rPr>
          <w:rFonts w:hint="eastAsia" w:ascii="宋体" w:hAnsi="宋体" w:eastAsia="宋体" w:cs="宋体"/>
          <w:b/>
          <w:color w:val="auto"/>
          <w:sz w:val="24"/>
          <w:szCs w:val="24"/>
          <w:highlight w:val="none"/>
          <w:lang w:eastAsia="zh-CN"/>
        </w:rPr>
        <w:t xml:space="preserve">、成交单位的确认</w:t>
      </w:r>
      <w:r/>
    </w:p>
    <w:p>
      <w:pPr>
        <w:pStyle w:val="772"/>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26.1</w:t>
      </w:r>
      <w:r>
        <w:rPr>
          <w:rFonts w:hint="eastAsia" w:ascii="宋体" w:hAnsi="宋体" w:eastAsia="宋体" w:cs="宋体"/>
          <w:b w:val="0"/>
          <w:bCs/>
          <w:color w:val="auto"/>
          <w:sz w:val="24"/>
          <w:szCs w:val="24"/>
          <w:highlight w:val="none"/>
          <w:lang w:eastAsia="zh-CN"/>
        </w:rPr>
        <w:t xml:space="preserve">磋商小组根据供应商资格审查情况，对其响应文件进行评价和比较，按照评审办法和标准进行评审，并按照评审得分由高到低顺序推荐3名成交候选供应商。</w:t>
      </w:r>
      <w:r/>
    </w:p>
    <w:p>
      <w:pPr>
        <w:pStyle w:val="772"/>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26.2</w:t>
      </w:r>
      <w:r>
        <w:rPr>
          <w:rFonts w:hint="eastAsia" w:ascii="宋体" w:hAnsi="宋体" w:eastAsia="宋体" w:cs="宋体"/>
          <w:b w:val="0"/>
          <w:bCs/>
          <w:color w:val="auto"/>
          <w:sz w:val="24"/>
          <w:szCs w:val="24"/>
          <w:highlight w:val="none"/>
          <w:lang w:eastAsia="zh-CN"/>
        </w:rPr>
        <w:t xml:space="preserve">由采购人授权磋商小组在成交候选供应商名单中直接确定成交供应商。</w:t>
      </w:r>
      <w:r/>
    </w:p>
    <w:p>
      <w:pPr>
        <w:pStyle w:val="772"/>
        <w:ind w:firstLine="482"/>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26.3</w:t>
      </w:r>
      <w:r>
        <w:rPr>
          <w:rFonts w:hint="eastAsia" w:ascii="宋体" w:hAnsi="宋体" w:eastAsia="宋体" w:cs="宋体"/>
          <w:b w:val="0"/>
          <w:bCs/>
          <w:color w:val="auto"/>
          <w:sz w:val="24"/>
          <w:szCs w:val="24"/>
          <w:highlight w:val="none"/>
          <w:lang w:eastAsia="zh-CN"/>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27、</w:t>
      </w:r>
      <w:r>
        <w:rPr>
          <w:rFonts w:hint="eastAsia" w:ascii="宋体" w:hAnsi="宋体" w:eastAsia="宋体" w:cs="宋体"/>
          <w:b/>
          <w:color w:val="auto"/>
          <w:sz w:val="24"/>
          <w:szCs w:val="24"/>
          <w:highlight w:val="none"/>
        </w:rPr>
        <w:t xml:space="preserve">合同授予标准</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27.1</w:t>
      </w:r>
      <w:r>
        <w:rPr>
          <w:rFonts w:hint="eastAsia" w:ascii="宋体" w:hAnsi="宋体" w:eastAsia="宋体" w:cs="宋体"/>
          <w:color w:val="auto"/>
          <w:sz w:val="24"/>
          <w:szCs w:val="24"/>
          <w:highlight w:val="none"/>
        </w:rPr>
        <w:t xml:space="preserve">采购人将把合同授予其响应文件在实质上响应</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要求和按本须知规定评选出的供应商。确定为成交的供应商必须具有实施本合同的能力和资源。</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szCs w:val="24"/>
          <w:highlight w:val="none"/>
        </w:rPr>
        <w:t xml:space="preserve">政府采购合同履行中，采购人需追加与合同标的物相同的服务的，在不改变合同其他条款的前提下，可以与成交供应商签订补充合同，但所有补充合同的采购金额不得超过原合同采购金额的百分之十。</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成交通知书</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28.1</w:t>
      </w:r>
      <w:r>
        <w:rPr>
          <w:rFonts w:hint="eastAsia" w:ascii="宋体" w:hAnsi="宋体" w:eastAsia="宋体" w:cs="宋体"/>
          <w:color w:val="auto"/>
          <w:sz w:val="24"/>
          <w:szCs w:val="24"/>
          <w:highlight w:val="none"/>
        </w:rPr>
        <w:t xml:space="preserve">确定出成交供应商后，采购代理机构在法定时间内向成交供应商发出成交通知书。请成交供应商在成交结果公告届满之日起30日内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28.2</w:t>
      </w:r>
      <w:r>
        <w:rPr>
          <w:rFonts w:hint="eastAsia" w:ascii="宋体" w:hAnsi="宋体" w:eastAsia="宋体" w:cs="宋体"/>
          <w:color w:val="auto"/>
          <w:sz w:val="24"/>
          <w:szCs w:val="24"/>
          <w:highlight w:val="none"/>
        </w:rPr>
        <w:t xml:space="preserve">成交通知书将成为合同的组成部分。</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29</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合同的签订</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1成交供应商应按成交通知书中规定的时间和地点，由法定代表人或其授权代表与采购人签订合同。</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.2采购人与成交供应商应当在成交通知书发出之日起三十日内，按照</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及响应文件确定的事项签订政府采购合同。</w:t>
      </w:r>
      <w:r/>
    </w:p>
    <w:p>
      <w:pPr>
        <w:pStyle w:val="7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.3签订合同及合同条款应以</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和成交供应商的响应文件及其澄清文件为依据。</w:t>
      </w:r>
      <w:r/>
    </w:p>
    <w:p>
      <w:pPr>
        <w:pStyle w:val="772"/>
        <w:numPr>
          <w:ilvl w:val="0"/>
          <w:numId w:val="0"/>
        </w:num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30、</w:t>
      </w:r>
      <w:r>
        <w:rPr>
          <w:rFonts w:hint="eastAsia" w:ascii="宋体" w:hAnsi="宋体" w:eastAsia="宋体" w:cs="宋体"/>
          <w:b/>
          <w:bCs/>
          <w:color w:val="auto"/>
          <w:sz w:val="24"/>
          <w:szCs w:val="24"/>
          <w:highlight w:val="none"/>
          <w:lang w:val="en-US" w:eastAsia="zh-CN"/>
        </w:rPr>
        <w:t xml:space="preserve">成交服务费</w:t>
      </w:r>
      <w:r/>
    </w:p>
    <w:p>
      <w:pPr>
        <w:pStyle w:val="772"/>
        <w:numPr>
          <w:ilvl w:val="0"/>
          <w:numId w:val="0"/>
        </w:numPr>
        <w:ind w:firstLine="48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30.1</w:t>
      </w:r>
      <w:r>
        <w:rPr>
          <w:rFonts w:hint="default" w:ascii="宋体" w:hAnsi="宋体" w:eastAsia="宋体" w:cs="宋体"/>
          <w:b w:val="0"/>
          <w:bCs w:val="0"/>
          <w:color w:val="auto"/>
          <w:sz w:val="24"/>
          <w:szCs w:val="24"/>
          <w:highlight w:val="none"/>
          <w:lang w:val="en-US" w:eastAsia="zh-CN"/>
        </w:rPr>
        <w:t xml:space="preserve">成交供应商须按磋商须知前附表的规定按其预算金额计算并支付服务费，该费用应在领取成交通知书时付清。</w:t>
      </w:r>
      <w:r/>
    </w:p>
    <w:p>
      <w:pPr>
        <w:pStyle w:val="772"/>
        <w:numPr>
          <w:ilvl w:val="0"/>
          <w:numId w:val="0"/>
        </w:numPr>
        <w:ind w:firstLine="48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w:t>
      </w:r>
      <w:r>
        <w:rPr>
          <w:rFonts w:hint="default" w:ascii="宋体" w:hAnsi="宋体" w:eastAsia="宋体" w:cs="宋体"/>
          <w:b w:val="0"/>
          <w:bCs w:val="0"/>
          <w:color w:val="auto"/>
          <w:sz w:val="24"/>
          <w:szCs w:val="24"/>
          <w:highlight w:val="none"/>
          <w:lang w:val="en-US" w:eastAsia="zh-CN"/>
        </w:rPr>
        <w:t xml:space="preserve">.2成交供应商如果未按规定缴纳成交服务费，须向采购代理机构支付本</w:t>
      </w:r>
      <w:r>
        <w:rPr>
          <w:rFonts w:hint="eastAsia" w:ascii="宋体" w:hAnsi="宋体" w:eastAsia="宋体" w:cs="宋体"/>
          <w:b w:val="0"/>
          <w:bCs w:val="0"/>
          <w:color w:val="auto"/>
          <w:sz w:val="24"/>
          <w:szCs w:val="24"/>
          <w:highlight w:val="none"/>
          <w:lang w:val="en-US" w:eastAsia="zh-CN"/>
        </w:rPr>
        <w:t xml:space="preserve">磋商文件</w:t>
      </w:r>
      <w:r>
        <w:rPr>
          <w:rFonts w:hint="default" w:ascii="宋体" w:hAnsi="宋体" w:eastAsia="宋体" w:cs="宋体"/>
          <w:b w:val="0"/>
          <w:bCs w:val="0"/>
          <w:color w:val="auto"/>
          <w:sz w:val="24"/>
          <w:szCs w:val="24"/>
          <w:highlight w:val="none"/>
          <w:lang w:val="en-US" w:eastAsia="zh-CN"/>
        </w:rPr>
        <w:t xml:space="preserve">公布的预算金额的2%作为违约赔偿金，同时采购代理机构保留诉讼权利。</w:t>
      </w:r>
      <w:r/>
    </w:p>
    <w:p>
      <w:pPr>
        <w:spacing w:line="360" w:lineRule="auto"/>
        <w:rPr>
          <w:rFonts w:hint="eastAsia" w:ascii="宋体" w:hAnsi="宋体" w:cs="宋体"/>
          <w:b/>
          <w:color w:val="auto"/>
          <w:sz w:val="24"/>
          <w:highlight w:val="none"/>
        </w:rPr>
      </w:pPr>
      <w:r/>
      <w:bookmarkStart w:id="19" w:name="_Toc8186"/>
      <w:r/>
      <w:bookmarkStart w:id="20" w:name="_Toc21029"/>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w:t>
      </w:r>
      <w:bookmarkEnd w:id="19"/>
      <w:r/>
      <w:bookmarkEnd w:id="20"/>
      <w:r>
        <w:rPr>
          <w:rFonts w:hint="eastAsia" w:ascii="宋体" w:hAnsi="宋体" w:cs="宋体"/>
          <w:b/>
          <w:color w:val="auto"/>
          <w:sz w:val="24"/>
          <w:highlight w:val="none"/>
        </w:rPr>
        <w:t xml:space="preserve">质疑</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质疑的提出和答复、投诉的提起和处理须按《政府采购质疑和投诉办法》（中华人民共和国财政部令第94号）相关规定执行。</w:t>
      </w:r>
      <w:r/>
    </w:p>
    <w:p>
      <w:pPr>
        <w:pStyle w:val="775"/>
        <w:ind w:firstLine="480"/>
        <w:jc w:val="both"/>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31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质疑的提出</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.1根据《政府采购质疑和投诉办法》（中华人民共和国财政部令第94号）的规定，供应商认为</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、采购过程、成交结果使自己的权益受到损害的，可以在知道或者应知其权益受到损害之日起7个工作日内，以书面形式向采购人、采购代理机构提出质疑。</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31.2</w:t>
      </w:r>
      <w:r>
        <w:rPr>
          <w:rFonts w:hint="eastAsia" w:ascii="宋体" w:hAnsi="宋体" w:eastAsia="宋体" w:cs="宋体"/>
          <w:color w:val="auto"/>
          <w:szCs w:val="24"/>
          <w:highlight w:val="none"/>
        </w:rPr>
        <w:t xml:space="preserve">提出质疑的供应商应当是参与所质疑项目采购活动的供应商。供应商必须在法定质疑期内一次性提出针对同一采购程序环节的质疑，两次或多次对同一采购程序环节提出的质疑将拒收。</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.3潜在供应商已依法获取其可质疑的</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的，可以对该文件提出质疑（未按本项目采购公告规定获取</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的供应商提出的质疑将不予受理）。对</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提出质疑的，应当在获取</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val="en-US" w:eastAsia="zh-CN"/>
        </w:rPr>
        <w:t xml:space="preserve">磋商文件</w:t>
      </w:r>
      <w:r>
        <w:rPr>
          <w:rFonts w:hint="eastAsia" w:ascii="宋体" w:hAnsi="宋体" w:eastAsia="宋体" w:cs="宋体"/>
          <w:color w:val="auto"/>
          <w:szCs w:val="24"/>
          <w:highlight w:val="none"/>
        </w:rPr>
        <w:t xml:space="preserve">公告期限届满之日起7个工作日内提出。</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.4供应商提出质疑应当提交质疑函、供应商参加投标确认函和必要的证明材料。质疑函应当包括下列内容：</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（1）供应商的姓名或者名称、地址、邮编、联系人及联系电话；</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（2）质疑项目的名称、编号；</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（3）具体、明确的质疑事项和与质疑事项相关的请求；</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（4）事实依据；</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（5）必要的法律依据；</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（6）提出质疑的日期。</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pStyle w:val="775"/>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80"/>
        <w:spacing w:line="360" w:lineRule="auto"/>
        <w:tabs>
          <w:tab w:val="left" w:pos="753"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32、质疑的受理与答复</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.1采购人负责供应商质疑答复。采购人委托采购代理机构采购的，采购代理机构在委托授权范围内作出答复。</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.2接收质疑函的方式及联系方式：</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接收质疑函的方式为当场送达或邮寄。</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质疑联系人：周曦</w:t>
      </w:r>
      <w:r>
        <w:rPr>
          <w:rFonts w:hint="eastAsia" w:ascii="宋体" w:hAnsi="宋体" w:cs="宋体"/>
          <w:color w:val="auto"/>
          <w:sz w:val="24"/>
          <w:highlight w:val="none"/>
        </w:rPr>
        <w:tab/>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联系电话：15962149142</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现场递交地址： 苏州市吴中区金枫路216号东创科技园D栋12楼</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邮寄收取地址： 苏州市吴中区金枫路216号东创科技园D栋12楼</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.3采购人、采购代理机构应当在收到质疑函后7个工作日内作出答复，并以书面形式通知质疑供应商和其他有关供应商。</w:t>
      </w:r>
      <w:r/>
    </w:p>
    <w:p>
      <w:pPr>
        <w:ind w:firstLine="480"/>
        <w:spacing w:line="360" w:lineRule="auto"/>
        <w:tabs>
          <w:tab w:val="left" w:pos="753"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.4采购人、采购代理机构处理质疑的其他要求按《政府采购质疑和投诉办法》（中华人民共和国财政部令第94号）相关规定执行。</w:t>
      </w:r>
      <w:r/>
    </w:p>
    <w:p>
      <w:pPr>
        <w:pStyle w:val="772"/>
        <w:ind w:left="0" w:firstLine="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八、政府采购政策</w:t>
      </w:r>
      <w:r/>
    </w:p>
    <w:p>
      <w:pPr>
        <w:pStyle w:val="772"/>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33、信用查询</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采购代理机构会在接收响应文件截止时间后，登录信用中国网站（</w:t>
      </w:r>
      <w:r>
        <w:rPr>
          <w:rFonts w:hint="default" w:ascii="Calibri" w:hAnsi="Calibri" w:eastAsia="宋体" w:cs="Calibri"/>
          <w:b w:val="0"/>
          <w:bCs/>
          <w:color w:val="auto"/>
          <w:sz w:val="24"/>
          <w:szCs w:val="24"/>
          <w:highlight w:val="none"/>
          <w:lang w:val="en-US" w:eastAsia="zh-CN"/>
        </w:rPr>
        <w:t xml:space="preserve">https://www.creditchina.gov.cn/</w:t>
      </w:r>
      <w:r>
        <w:rPr>
          <w:rFonts w:hint="eastAsia" w:ascii="宋体" w:hAnsi="宋体" w:eastAsia="宋体" w:cs="宋体"/>
          <w:b w:val="0"/>
          <w:bCs/>
          <w:color w:val="auto"/>
          <w:sz w:val="24"/>
          <w:szCs w:val="24"/>
          <w:highlight w:val="none"/>
          <w:lang w:val="en-US" w:eastAsia="zh-CN"/>
        </w:rPr>
        <w:t xml:space="preserve">）或中国政府采购网</w:t>
      </w:r>
      <w:r>
        <w:rPr>
          <w:rFonts w:hint="default" w:ascii="Calibri" w:hAnsi="Calibri" w:eastAsia="宋体" w:cs="Calibri"/>
          <w:b w:val="0"/>
          <w:bCs/>
          <w:color w:val="auto"/>
          <w:sz w:val="24"/>
          <w:szCs w:val="24"/>
          <w:highlight w:val="none"/>
          <w:lang w:val="en-US" w:eastAsia="zh-CN"/>
        </w:rPr>
        <w:t xml:space="preserve">（https://www.ccgp.gov.cn/）</w:t>
      </w:r>
      <w:r>
        <w:rPr>
          <w:rFonts w:hint="eastAsia" w:ascii="宋体" w:hAnsi="宋体" w:eastAsia="宋体" w:cs="宋体"/>
          <w:b w:val="0"/>
          <w:bCs/>
          <w:color w:val="auto"/>
          <w:sz w:val="24"/>
          <w:szCs w:val="24"/>
          <w:highlight w:val="none"/>
          <w:lang w:val="en-US" w:eastAsia="zh-CN"/>
        </w:rPr>
        <w:t xml:space="preserve">查询供应商的信用记录。</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磋商小组对供应商的不良信用记录逐项甄别确认。按照《中华人民共和国政府采购法》第二十二条规定，下列信用记录属于应依法拒绝供应商参加政府采购的失信信息：</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（1）政府采购严重违法记录，即响应单位被全国各级财政部门列入“政府采购严重违法失信行为记录名单”，且在处罚有效期内的。</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（2）财政部门与法院、工商、税务等部门联合惩戒的失信信息，包括：</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1）被列入失信被执行人名单；</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2）被列入重大税收违法案件当事人名单；</w:t>
      </w:r>
      <w:r/>
    </w:p>
    <w:p>
      <w:pPr>
        <w:pStyle w:val="772"/>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pStyle w:val="772"/>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其他有关“供应商信用查询”的规定见苏州市财政局《关于印发苏州市市级政府采购信用记录查询和使用工作试行办法的通知》（苏财购（2017）11号）、《财政部关于&lt;中华人民共和国政府采购法实施条例&gt; 第十九条第一款“较大数额罚款”具体适用问题的意见》（财库〔2022〕3号）文件。</w:t>
      </w:r>
      <w:r/>
    </w:p>
    <w:p>
      <w:pPr>
        <w:pStyle w:val="772"/>
        <w:ind w:left="0" w:firstLine="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九、其他事项</w:t>
      </w:r>
      <w:r/>
    </w:p>
    <w:p>
      <w:pPr>
        <w:pStyle w:val="77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未尽事宜</w:t>
      </w:r>
      <w:r/>
    </w:p>
    <w:p>
      <w:pPr>
        <w:pStyle w:val="772"/>
        <w:spacing w:line="360" w:lineRule="auto"/>
        <w:rPr>
          <w:rFonts w:hint="eastAsia" w:ascii="宋体" w:hAnsi="宋体" w:eastAsia="宋体" w:cs="宋体"/>
          <w:b/>
          <w:color w:val="auto"/>
          <w:sz w:val="24"/>
          <w:szCs w:val="24"/>
          <w:highlight w:val="none"/>
        </w:rPr>
      </w:pPr>
      <w:r>
        <w:rPr>
          <w:rFonts w:hint="eastAsia" w:ascii="宋体" w:hAnsi="宋体" w:eastAsia="宋体"/>
          <w:color w:val="auto"/>
          <w:sz w:val="24"/>
          <w:szCs w:val="24"/>
          <w:highlight w:val="none"/>
          <w:shd w:val="clear" w:color="auto" w:fill="ffffff"/>
        </w:rPr>
        <w:t xml:space="preserve">按《中华人民共和国政府采购法》、《政府采购竞争性磋商采购方式管理暂行办法》及其他有关的法律法规的规定执行。</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eastAsia="宋体" w:cs="宋体"/>
          <w:b/>
          <w:color w:val="auto"/>
          <w:sz w:val="28"/>
          <w:szCs w:val="28"/>
          <w:highlight w:val="none"/>
        </w:rPr>
        <w:outlineLvl w:val="0"/>
      </w:pPr>
      <w:r/>
      <w:bookmarkStart w:id="21" w:name="_Toc4265"/>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pStyle w:val="730"/>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60" w:lineRule="auto"/>
        <w:rPr>
          <w:rFonts w:hint="eastAsia" w:ascii="宋体" w:hAnsi="宋体" w:cs="宋体"/>
          <w:b/>
          <w:bCs/>
          <w:color w:val="auto"/>
          <w:sz w:val="28"/>
          <w:szCs w:val="28"/>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highlight w:val="none"/>
        </w:rPr>
      </w:r>
      <w:r>
        <w:rPr>
          <w:highlight w:val="none"/>
        </w:rPr>
      </w:r>
      <w:r/>
    </w:p>
    <w:p>
      <w:pPr>
        <w:jc w:val="center"/>
        <w:spacing w:line="360" w:lineRule="auto"/>
        <w:rPr>
          <w:highlight w:val="none"/>
        </w:rPr>
        <w:outlineLvl w:val="0"/>
      </w:pPr>
      <w:r>
        <w:rPr>
          <w:rFonts w:hint="eastAsia" w:ascii="宋体" w:hAnsi="宋体" w:cs="宋体"/>
          <w:b/>
          <w:color w:val="auto"/>
          <w:sz w:val="28"/>
          <w:szCs w:val="28"/>
          <w:highlight w:val="none"/>
        </w:rPr>
        <w:t xml:space="preserve">第三章</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磋商响应文件格式</w:t>
      </w:r>
      <w:bookmarkEnd w:id="21"/>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说明：</w:t>
      </w:r>
      <w:r/>
    </w:p>
    <w:p>
      <w:pPr>
        <w:pStyle w:val="77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val="en-US" w:eastAsia="zh-CN"/>
        </w:rPr>
        <w:t xml:space="preserve">磋商供应商</w:t>
      </w:r>
      <w:r>
        <w:rPr>
          <w:rFonts w:hint="eastAsia" w:ascii="宋体" w:hAnsi="宋体" w:eastAsia="宋体" w:cs="宋体"/>
          <w:color w:val="auto"/>
          <w:sz w:val="24"/>
          <w:szCs w:val="24"/>
          <w:highlight w:val="none"/>
        </w:rPr>
        <w:t xml:space="preserve">可根据自身情况进行补充和修改，但补充和修改不得造成与本格式内容有实质性的违背。</w:t>
      </w:r>
      <w:r/>
    </w:p>
    <w:p>
      <w:pPr>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5"/>
        <w:ind w:firstLine="0"/>
        <w:jc w:val="both"/>
        <w:spacing w:line="360" w:lineRule="auto"/>
        <w:rPr>
          <w:rFonts w:hint="eastAsia" w:ascii="宋体" w:hAnsi="宋体" w:eastAsia="宋体"/>
          <w:b/>
          <w:color w:val="auto"/>
          <w:highlight w:val="none"/>
          <w:shd w:val="clear" w:color="auto" w:fill="ffffff"/>
        </w:rPr>
        <w:outlineLvl w:val="1"/>
      </w:pPr>
      <w:r/>
      <w:bookmarkStart w:id="22" w:name="_Toc71810480"/>
      <w:r/>
      <w:bookmarkStart w:id="23" w:name="_Toc17036"/>
      <w:r/>
      <w:bookmarkStart w:id="24" w:name="_Toc3821"/>
      <w:r>
        <w:rPr>
          <w:rFonts w:hint="eastAsia" w:ascii="宋体" w:hAnsi="宋体" w:eastAsia="宋体" w:cs="宋体"/>
          <w:b/>
          <w:color w:val="auto"/>
          <w:szCs w:val="21"/>
          <w:highlight w:val="none"/>
        </w:rPr>
        <w:br w:type="page" w:clear="all"/>
      </w:r>
      <w:bookmarkStart w:id="25" w:name="_Toc12269"/>
      <w:r>
        <w:rPr>
          <w:rFonts w:hint="eastAsia" w:ascii="宋体" w:hAnsi="宋体" w:eastAsia="宋体"/>
          <w:b/>
          <w:color w:val="auto"/>
          <w:highlight w:val="none"/>
          <w:shd w:val="clear" w:color="auto" w:fill="ffffff"/>
        </w:rPr>
        <w:t xml:space="preserve">1、（</w:t>
      </w:r>
      <w:r>
        <w:rPr>
          <w:rFonts w:hint="eastAsia" w:ascii="宋体" w:hAnsi="宋体" w:eastAsia="宋体"/>
          <w:b/>
          <w:color w:val="auto"/>
          <w:highlight w:val="none"/>
          <w:shd w:val="clear" w:color="auto" w:fill="ffffff"/>
          <w:lang w:val="en-US" w:eastAsia="zh-CN"/>
        </w:rPr>
        <w:t xml:space="preserve">供应商</w:t>
      </w:r>
      <w:r>
        <w:rPr>
          <w:rFonts w:hint="eastAsia" w:ascii="宋体" w:hAnsi="宋体" w:eastAsia="宋体"/>
          <w:b/>
          <w:color w:val="auto"/>
          <w:highlight w:val="none"/>
          <w:shd w:val="clear" w:color="auto" w:fill="ffffff"/>
        </w:rPr>
        <w:t xml:space="preserve">）法定代表人授权委托书</w:t>
      </w:r>
      <w:r/>
    </w:p>
    <w:p>
      <w:pPr>
        <w:pStyle w:val="775"/>
        <w:ind w:firstLine="0"/>
        <w:jc w:val="center"/>
        <w:spacing w:line="360" w:lineRule="auto"/>
        <w:rPr>
          <w:rFonts w:hint="eastAsia" w:ascii="宋体" w:hAnsi="宋体" w:eastAsia="宋体"/>
          <w:color w:val="auto"/>
          <w:highlight w:val="none"/>
          <w:shd w:val="clear" w:color="auto" w:fill="ffffff"/>
        </w:rPr>
      </w:pPr>
      <w:r>
        <w:rPr>
          <w:rFonts w:hint="eastAsia" w:ascii="宋体" w:hAnsi="宋体" w:eastAsia="宋体"/>
          <w:color w:val="auto"/>
          <w:highlight w:val="none"/>
          <w:shd w:val="clear" w:color="auto" w:fill="ffffff"/>
        </w:rPr>
      </w:r>
      <w:r/>
    </w:p>
    <w:p>
      <w:pPr>
        <w:pStyle w:val="775"/>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lang w:val="en-US" w:eastAsia="zh-CN"/>
        </w:rPr>
        <w:t xml:space="preserve">法定代表人</w:t>
      </w:r>
      <w:r>
        <w:rPr>
          <w:rFonts w:hint="eastAsia" w:ascii="宋体" w:hAnsi="宋体" w:eastAsia="宋体"/>
          <w:b/>
          <w:bCs/>
          <w:color w:val="auto"/>
          <w:szCs w:val="24"/>
          <w:highlight w:val="none"/>
        </w:rPr>
        <w:t xml:space="preserve">授权委托书</w:t>
      </w:r>
      <w:r/>
    </w:p>
    <w:p>
      <w:pPr>
        <w:pStyle w:val="775"/>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名称）的法定代表人，现授权委托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（姓名）为我公司</w:t>
      </w:r>
      <w:r>
        <w:rPr>
          <w:rFonts w:hint="eastAsia" w:ascii="宋体" w:hAnsi="宋体"/>
          <w:color w:val="auto"/>
          <w:sz w:val="24"/>
          <w:highlight w:val="none"/>
          <w:lang w:val="en-US" w:eastAsia="zh-CN"/>
        </w:rPr>
        <w:t xml:space="preserve">授权代表（即</w:t>
      </w:r>
      <w:r>
        <w:rPr>
          <w:rFonts w:hint="eastAsia" w:ascii="宋体" w:hAnsi="宋体"/>
          <w:color w:val="auto"/>
          <w:sz w:val="24"/>
          <w:highlight w:val="none"/>
        </w:rPr>
        <w:t xml:space="preserve">代理人</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，以本公司的名义参加</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（采购</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）组织实施的编号为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号的</w:t>
      </w:r>
      <w:r>
        <w:rPr>
          <w:rFonts w:hint="eastAsia" w:ascii="宋体" w:hAnsi="宋体"/>
          <w:color w:val="auto"/>
          <w:sz w:val="24"/>
          <w:highlight w:val="none"/>
          <w:lang w:val="en-US" w:eastAsia="zh-CN"/>
        </w:rPr>
        <w:t xml:space="preserve">磋商</w:t>
      </w:r>
      <w:r>
        <w:rPr>
          <w:rFonts w:hint="eastAsia" w:ascii="宋体" w:hAnsi="宋体"/>
          <w:color w:val="auto"/>
          <w:sz w:val="24"/>
          <w:highlight w:val="none"/>
        </w:rPr>
        <w:t xml:space="preserve">活动。授权代表在磋商活动过程中所签署的一切文件和处理与这有关的一切事务，我均予以承认。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授权代表在授权委托书有效期内签署的所有文件不因授权委托的撤销而失效，除非有撤销授权委托的书面通知，本授权委托书自</w:t>
      </w:r>
      <w:r>
        <w:rPr>
          <w:rFonts w:hint="eastAsia" w:ascii="宋体" w:hAnsi="宋体"/>
          <w:color w:val="auto"/>
          <w:sz w:val="24"/>
          <w:highlight w:val="none"/>
          <w:lang w:val="en-US" w:eastAsia="zh-CN"/>
        </w:rPr>
        <w:t xml:space="preserve">磋商活动</w:t>
      </w:r>
      <w:r>
        <w:rPr>
          <w:rFonts w:hint="eastAsia" w:ascii="宋体" w:hAnsi="宋体"/>
          <w:color w:val="auto"/>
          <w:sz w:val="24"/>
          <w:highlight w:val="none"/>
        </w:rPr>
        <w:t xml:space="preserve">开始至合同履行完毕止。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授权代表无转委托权。特此委托。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代理人：（签字或盖章）</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ind w:right="9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right="9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2、</w:t>
      </w:r>
      <w:bookmarkEnd w:id="22"/>
      <w:r/>
      <w:bookmarkEnd w:id="23"/>
      <w:r/>
      <w:bookmarkEnd w:id="24"/>
      <w:r/>
      <w:bookmarkEnd w:id="25"/>
      <w:r>
        <w:rPr>
          <w:rFonts w:hint="eastAsia" w:ascii="宋体" w:hAnsi="宋体" w:cs="宋体"/>
          <w:b/>
          <w:color w:val="auto"/>
          <w:sz w:val="24"/>
          <w:highlight w:val="none"/>
          <w:lang w:val="en-US" w:eastAsia="zh-CN"/>
        </w:rPr>
        <w:t xml:space="preserve">磋商响应函</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磋商响应函</w:t>
      </w:r>
      <w:r/>
    </w:p>
    <w:p>
      <w:pPr>
        <w:ind w:firstLine="4638"/>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（采购代理机构）   </w:t>
      </w:r>
      <w:r>
        <w:rPr>
          <w:rFonts w:hint="eastAsia" w:ascii="宋体" w:hAnsi="宋体" w:cs="宋体"/>
          <w:color w:val="auto"/>
          <w:sz w:val="24"/>
          <w:highlight w:val="none"/>
          <w:u w:val="none"/>
          <w:lang w:val="en-US" w:eastAsia="zh-CN"/>
        </w:rPr>
        <w:t xml:space="preserve">：</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我们收到贵公司</w:t>
      </w:r>
      <w:r>
        <w:rPr>
          <w:rFonts w:hint="eastAsia" w:ascii="宋体" w:hAnsi="宋体" w:cs="宋体"/>
          <w:color w:val="auto"/>
          <w:sz w:val="24"/>
          <w:highlight w:val="none"/>
          <w:u w:val="single"/>
          <w:lang w:val="en-US" w:eastAsia="zh-CN"/>
        </w:rPr>
        <w:t xml:space="preserve">   （采购编号）   </w:t>
      </w:r>
      <w:r>
        <w:rPr>
          <w:rFonts w:hint="eastAsia" w:ascii="宋体" w:hAnsi="宋体" w:cs="宋体"/>
          <w:color w:val="auto"/>
          <w:sz w:val="24"/>
          <w:highlight w:val="none"/>
          <w:u w:val="none"/>
          <w:lang w:val="en-US" w:eastAsia="zh-CN"/>
        </w:rPr>
        <w:t xml:space="preserve">号</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，经仔细阅读和研究，我们决定参加磋商活动。</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1、我们愿意按照</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的一切要求，完成该项目的全部内容。</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2、如果我们的磋商响应文件被接受，我们将严格履行</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中规定的每一项要求，按期、按质、按量履行合同的义务。</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3、我们已详细阅读全部</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，包括更正公告（如有），对</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及更正公告（如有）无任何异议。</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4、我们同意按</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中的规定，本响应文件的有效期限自提交响应文件截止时间之日起</w:t>
      </w:r>
      <w:r>
        <w:rPr>
          <w:rFonts w:hint="eastAsia" w:ascii="宋体" w:hAnsi="宋体" w:cs="宋体"/>
          <w:color w:val="auto"/>
          <w:sz w:val="24"/>
          <w:highlight w:val="none"/>
          <w:u w:val="single"/>
          <w:lang w:val="en-US" w:eastAsia="zh-CN"/>
        </w:rPr>
        <w:t xml:space="preserve"> 90 </w:t>
      </w:r>
      <w:r>
        <w:rPr>
          <w:rFonts w:hint="eastAsia" w:ascii="宋体" w:hAnsi="宋体" w:cs="宋体"/>
          <w:color w:val="auto"/>
          <w:sz w:val="24"/>
          <w:highlight w:val="none"/>
          <w:u w:val="none"/>
          <w:lang w:val="en-US" w:eastAsia="zh-CN"/>
        </w:rPr>
        <w:t xml:space="preserve">天。</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5、我们愿意提供采购人在</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中要求的所有资料。</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6、我们愿意遵守</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中所列的收费标准。</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7、我们承诺该响应文件在磋商开始后的全过程中保持有效，不作任何更改和变动。</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8、我们承诺我公司符合竞争性磋商采购公告中“申请人的资格要求”的要求，若与真实情况不符，本公司愿意承担由此而产生的一切后果。</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9、所有有关</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u w:val="none"/>
          <w:lang w:val="en-US" w:eastAsia="zh-CN"/>
        </w:rPr>
        <w:t xml:space="preserve">的函电，请按下列地址联系：</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单位：                             联系人：</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地址：                             邮政编码：</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联系电话：                         传真：</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供应商：（盖章）</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法定代表人或代理人：（签字或盖章）</w:t>
      </w:r>
      <w:r/>
    </w:p>
    <w:p>
      <w:pPr>
        <w:ind w:firstLine="42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b/>
          <w:color w:val="auto"/>
          <w:sz w:val="24"/>
          <w:highlight w:val="none"/>
        </w:rPr>
      </w:pPr>
      <w:r/>
      <w:bookmarkStart w:id="26" w:name="_Toc7128"/>
      <w:r/>
      <w:bookmarkStart w:id="27" w:name="_Toc71810481"/>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bookmarkEnd w:id="26"/>
      <w:r/>
      <w:bookmarkEnd w:id="27"/>
      <w:r>
        <w:rPr>
          <w:rFonts w:hint="eastAsia" w:ascii="宋体" w:hAnsi="宋体" w:cs="宋体"/>
          <w:b/>
          <w:color w:val="auto"/>
          <w:sz w:val="24"/>
          <w:highlight w:val="none"/>
        </w:rPr>
        <w:t xml:space="preserve">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0"/>
        <w:ind w:firstLine="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磋商响应报价表</w:t>
      </w:r>
      <w:r/>
    </w:p>
    <w:p>
      <w:pPr>
        <w:rPr>
          <w:rFonts w:hint="eastAsia"/>
          <w:color w:val="auto"/>
          <w:highlight w:val="none"/>
        </w:rPr>
      </w:pPr>
      <w:r>
        <w:rPr>
          <w:rFonts w:hint="eastAsia"/>
          <w:color w:val="auto"/>
          <w:highlight w:val="none"/>
        </w:rPr>
      </w:r>
      <w:r/>
    </w:p>
    <w:tbl>
      <w:tblPr>
        <w:tblStyle w:val="698"/>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t xml:space="preserve">采购编号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t xml:space="preserve">响应总报价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t xml:space="preserve">人民币大写：</w:t>
            </w:r>
            <w:r>
              <w:rPr>
                <w:rFonts w:ascii="Times New Roman" w:hAnsi="Times New Roman" w:eastAsia="Arial" w:cs="Times New Roman"/>
                <w:color w:val="auto"/>
                <w:sz w:val="24"/>
                <w:szCs w:val="24"/>
                <w:highlight w:val="none"/>
                <w:u w:val="single"/>
                <w:lang w:val="en-US" w:eastAsia="zh-CN" w:bidi="ar-SA"/>
              </w:rPr>
              <w:t xml:space="preserve"> </w:t>
            </w:r>
            <w:r>
              <w:rPr>
                <w:rFonts w:ascii="Times New Roman" w:hAnsi="Times New Roman" w:eastAsia="宋体" w:cs="Times New Roman"/>
                <w:color w:val="auto"/>
                <w:spacing w:val="20"/>
                <w:sz w:val="24"/>
                <w:highlight w:val="none"/>
                <w:u w:val="single"/>
                <w:lang w:val="en-US" w:eastAsia="zh-CN" w:bidi="ar-SA"/>
              </w:rPr>
              <w:t xml:space="preserve">             </w:t>
            </w:r>
            <w:r>
              <w:rPr>
                <w:rFonts w:ascii="Times New Roman" w:hAnsi="Times New Roman" w:eastAsia="Arial" w:cs="Times New Roman"/>
                <w:color w:val="auto"/>
                <w:sz w:val="24"/>
                <w:szCs w:val="24"/>
                <w:highlight w:val="none"/>
                <w:lang w:val="en-US" w:eastAsia="zh-CN" w:bidi="ar-SA"/>
              </w:rPr>
              <w:t xml:space="preserve">；（小写：</w:t>
            </w:r>
            <w:r>
              <w:rPr>
                <w:rFonts w:ascii="Times New Roman" w:hAnsi="Times New Roman" w:eastAsia="宋体" w:cs="Times New Roman"/>
                <w:color w:val="auto"/>
                <w:spacing w:val="20"/>
                <w:sz w:val="24"/>
                <w:highlight w:val="none"/>
                <w:u w:val="single"/>
                <w:lang w:val="en-US" w:eastAsia="zh-CN" w:bidi="ar-SA"/>
              </w:rPr>
              <w:t xml:space="preserve">￥       </w:t>
            </w:r>
            <w:r>
              <w:rPr>
                <w:rFonts w:ascii="Times New Roman" w:hAnsi="Times New Roman" w:eastAsia="Arial" w:cs="Times New Roman"/>
                <w:color w:val="auto"/>
                <w:sz w:val="24"/>
                <w:szCs w:val="24"/>
                <w:highlight w:val="none"/>
                <w:lang w:val="en-US" w:eastAsia="zh-CN" w:bidi="ar-SA"/>
              </w:rPr>
              <w:t xml:space="preserve">）</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t xml:space="preserve">服务期限</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240" w:lineRule="auto"/>
              <w:widowControl/>
              <w:rPr>
                <w:rFonts w:ascii="Times New Roman" w:hAnsi="Times New Roman" w:eastAsia="Arial" w:cs="Times New Roman"/>
                <w:color w:val="auto"/>
                <w:sz w:val="24"/>
                <w:szCs w:val="24"/>
                <w:highlight w:val="none"/>
                <w:lang w:val="en-US" w:eastAsia="zh-CN" w:bidi="ar-SA"/>
              </w:rPr>
            </w:pPr>
            <w:r>
              <w:rPr>
                <w:rFonts w:ascii="Times New Roman" w:hAnsi="Times New Roman" w:eastAsia="Arial" w:cs="Times New Roman"/>
                <w:color w:val="auto"/>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240" w:lineRule="auto"/>
              <w:widowControl/>
              <w:rPr>
                <w:rFonts w:ascii="Times New Roman" w:hAnsi="Times New Roman" w:eastAsia="Arial" w:cs="Times New Roman"/>
                <w:color w:val="auto"/>
                <w:sz w:val="24"/>
                <w:szCs w:val="24"/>
                <w:highlight w:val="none"/>
                <w:lang w:val="en-US" w:eastAsia="zh-CN" w:bidi="ar-SA"/>
              </w:rPr>
            </w:pPr>
            <w:r>
              <w:rPr>
                <w:rFonts w:hint="eastAsia" w:ascii="Times New Roman" w:hAnsi="Times New Roman" w:eastAsia="Arial" w:cs="Times New Roman"/>
                <w:color w:val="auto"/>
                <w:sz w:val="24"/>
                <w:szCs w:val="24"/>
                <w:highlight w:val="none"/>
                <w:lang w:val="en-US" w:eastAsia="zh-CN" w:bidi="ar-SA"/>
              </w:rPr>
              <w:t xml:space="preserve">是否小微企业</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240" w:lineRule="auto"/>
              <w:widowControl/>
              <w:rPr>
                <w:rFonts w:ascii="Times New Roman" w:hAnsi="Times New Roman" w:eastAsia="Arial" w:cs="Times New Roman"/>
                <w:color w:val="auto"/>
                <w:sz w:val="24"/>
                <w:szCs w:val="24"/>
                <w:highlight w:val="none"/>
                <w:lang w:val="en-US" w:eastAsia="zh-CN" w:bidi="ar-SA"/>
              </w:rPr>
            </w:pPr>
            <w:r>
              <w:rPr>
                <w:rFonts w:ascii="Wingdings" w:hAnsi="Wingdings" w:eastAsia="Wingdings" w:cs="Wingdings"/>
                <w:color w:val="auto"/>
                <w:sz w:val="24"/>
                <w:szCs w:val="24"/>
                <w:highlight w:val="none"/>
                <w:lang w:val="en-US" w:eastAsia="zh-CN" w:bidi="ar-SA"/>
              </w:rPr>
              <w:t xml:space="preserve">¨</w:t>
            </w:r>
            <w:r>
              <w:rPr>
                <w:rFonts w:hint="eastAsia" w:ascii="Times New Roman" w:hAnsi="Times New Roman" w:eastAsia="Arial" w:cs="Times New Roman"/>
                <w:color w:val="auto"/>
                <w:sz w:val="24"/>
                <w:szCs w:val="24"/>
                <w:highlight w:val="none"/>
                <w:lang w:val="en-US" w:eastAsia="zh-CN" w:bidi="ar-SA"/>
              </w:rPr>
              <w:t xml:space="preserve">小型     </w:t>
            </w:r>
            <w:r>
              <w:rPr>
                <w:rFonts w:ascii="Wingdings" w:hAnsi="Wingdings" w:eastAsia="Wingdings" w:cs="Wingdings"/>
                <w:color w:val="auto"/>
                <w:sz w:val="24"/>
                <w:szCs w:val="24"/>
                <w:highlight w:val="none"/>
                <w:lang w:val="en-US" w:eastAsia="zh-CN" w:bidi="ar-SA"/>
              </w:rPr>
              <w:t xml:space="preserve">¨</w:t>
            </w:r>
            <w:r>
              <w:rPr>
                <w:rFonts w:hint="eastAsia" w:ascii="Times New Roman" w:hAnsi="Times New Roman" w:eastAsia="Arial" w:cs="Times New Roman"/>
                <w:color w:val="auto"/>
                <w:sz w:val="24"/>
                <w:szCs w:val="24"/>
                <w:highlight w:val="none"/>
                <w:lang w:val="en-US" w:eastAsia="zh-CN" w:bidi="ar-SA"/>
              </w:rPr>
              <w:t xml:space="preserve">微型     </w:t>
            </w:r>
            <w:r>
              <w:rPr>
                <w:rFonts w:ascii="Wingdings" w:hAnsi="Wingdings" w:eastAsia="Wingdings" w:cs="Wingdings"/>
                <w:color w:val="auto"/>
                <w:sz w:val="24"/>
                <w:szCs w:val="24"/>
                <w:highlight w:val="none"/>
                <w:lang w:val="en-US" w:eastAsia="zh-CN" w:bidi="ar-SA"/>
              </w:rPr>
              <w:t xml:space="preserve">¨</w:t>
            </w:r>
            <w:r>
              <w:rPr>
                <w:rFonts w:hint="eastAsia" w:ascii="Times New Roman" w:hAnsi="Times New Roman" w:eastAsia="Arial" w:cs="Times New Roman"/>
                <w:color w:val="auto"/>
                <w:sz w:val="24"/>
                <w:szCs w:val="24"/>
                <w:highlight w:val="none"/>
                <w:lang w:val="en-US" w:eastAsia="zh-CN" w:bidi="ar-SA"/>
              </w:rPr>
              <w:t xml:space="preserve">残疾人企业     </w:t>
            </w:r>
            <w:r>
              <w:rPr>
                <w:rFonts w:ascii="Wingdings" w:hAnsi="Wingdings" w:eastAsia="Wingdings" w:cs="Wingdings"/>
                <w:color w:val="auto"/>
                <w:sz w:val="24"/>
                <w:szCs w:val="24"/>
                <w:highlight w:val="none"/>
                <w:lang w:val="en-US" w:eastAsia="zh-CN" w:bidi="ar-SA"/>
              </w:rPr>
              <w:t xml:space="preserve">¨</w:t>
            </w:r>
            <w:r>
              <w:rPr>
                <w:rFonts w:hint="eastAsia" w:ascii="Times New Roman" w:hAnsi="Times New Roman" w:eastAsia="Arial" w:cs="Times New Roman"/>
                <w:color w:val="auto"/>
                <w:sz w:val="24"/>
                <w:szCs w:val="24"/>
                <w:highlight w:val="none"/>
                <w:lang w:val="en-US" w:eastAsia="zh-CN" w:bidi="ar-SA"/>
              </w:rPr>
              <w:t xml:space="preserve">监狱企业</w:t>
            </w:r>
            <w:r/>
          </w:p>
        </w:tc>
      </w:tr>
    </w:tbl>
    <w:p>
      <w:pPr>
        <w:pStyle w:val="770"/>
        <w:ind w:firstLine="201"/>
        <w:spacing w:line="360" w:lineRule="auto"/>
        <w:rPr>
          <w:rFonts w:hint="eastAsia" w:ascii="宋体" w:hAnsi="宋体" w:cs="宋体"/>
          <w:b/>
          <w:bCs w:val="0"/>
          <w:color w:val="auto"/>
          <w:sz w:val="10"/>
          <w:szCs w:val="6"/>
          <w:highlight w:val="none"/>
        </w:rPr>
      </w:pPr>
      <w:r>
        <w:rPr>
          <w:rFonts w:hint="eastAsia" w:ascii="宋体" w:hAnsi="宋体" w:cs="宋体"/>
          <w:b/>
          <w:bCs w:val="0"/>
          <w:color w:val="auto"/>
          <w:sz w:val="10"/>
          <w:szCs w:val="6"/>
          <w:highlight w:val="none"/>
        </w:rPr>
      </w:r>
      <w:r/>
    </w:p>
    <w:p>
      <w:pPr>
        <w:pStyle w:val="770"/>
        <w:ind w:firstLine="48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注：</w:t>
      </w:r>
      <w:r/>
    </w:p>
    <w:p>
      <w:pPr>
        <w:pStyle w:val="770"/>
        <w:ind w:firstLine="48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1、响应总报价包括完成本项目全部服务内容所需的维修、巡查、零配件、材料、安装、调试、人工（包括工资、社保、保险等）、机械、保险、运输、劳保、各种税费</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rPr>
        <w:t xml:space="preserve">质保期间全部费用以及响应供应商企业利润、税金和政策性文件规定</w:t>
      </w:r>
      <w:r>
        <w:rPr>
          <w:rFonts w:hint="eastAsia" w:ascii="宋体" w:hAnsi="宋体" w:cs="宋体"/>
          <w:b/>
          <w:bCs w:val="0"/>
          <w:color w:val="auto"/>
          <w:szCs w:val="21"/>
          <w:highlight w:val="none"/>
          <w:lang w:val="en-US" w:eastAsia="zh-CN"/>
        </w:rPr>
        <w:t xml:space="preserve">和</w:t>
      </w:r>
      <w:r>
        <w:rPr>
          <w:rFonts w:hint="eastAsia" w:ascii="宋体" w:hAnsi="宋体" w:cs="宋体"/>
          <w:b/>
          <w:bCs w:val="0"/>
          <w:color w:val="auto"/>
          <w:szCs w:val="21"/>
          <w:highlight w:val="none"/>
        </w:rPr>
        <w:t xml:space="preserve">合同包含的所有风险、责任等各项应有费用。</w:t>
      </w:r>
      <w:r/>
    </w:p>
    <w:p>
      <w:pPr>
        <w:pStyle w:val="770"/>
        <w:ind w:firstLine="48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2、报价金额全部采取人民币表示，响应报价精确到分。</w:t>
      </w:r>
      <w:r/>
    </w:p>
    <w:p>
      <w:pPr>
        <w:pStyle w:val="770"/>
        <w:ind w:firstLine="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供应商：（盖章）</w:t>
      </w:r>
      <w:r/>
    </w:p>
    <w:p>
      <w:pPr>
        <w:ind w:firstLine="42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法定代表人或代理人：（签字或盖章）</w:t>
      </w:r>
      <w:r/>
    </w:p>
    <w:p>
      <w:pPr>
        <w:ind w:firstLine="420"/>
        <w:spacing w:line="360" w:lineRule="auto"/>
        <w:rPr>
          <w:rFonts w:hint="eastAsia" w:ascii="宋体" w:hAnsi="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pStyle w:val="770"/>
        <w:ind w:firstLine="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770"/>
        <w:ind w:firstLine="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rPr>
          <w:rFonts w:hint="eastAsia"/>
          <w:color w:val="auto"/>
          <w:highlight w:val="none"/>
          <w:lang w:val="zh-CN"/>
        </w:rPr>
      </w:pPr>
      <w:r>
        <w:rPr>
          <w:rFonts w:hint="eastAsia"/>
          <w:color w:val="auto"/>
          <w:highlight w:val="none"/>
          <w:lang w:val="zh-CN"/>
        </w:rPr>
      </w:r>
      <w:r/>
    </w:p>
    <w:p>
      <w:pPr>
        <w:pStyle w:val="770"/>
        <w:ind w:firstLine="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b/>
          <w:color w:val="auto"/>
          <w:sz w:val="24"/>
          <w:highlight w:val="none"/>
        </w:rPr>
      </w:pPr>
      <w:r/>
      <w:bookmarkStart w:id="28" w:name="_Toc71810483"/>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4、磋商报价明细表</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zh-CN"/>
        </w:rPr>
        <w:t xml:space="preserve">磋商报价明细表</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价格单位：元</w:t>
      </w:r>
      <w:r/>
    </w:p>
    <w:tbl>
      <w:tblPr>
        <w:tblStyle w:val="698"/>
        <w:tblW w:w="56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865"/>
        <w:gridCol w:w="815"/>
        <w:gridCol w:w="815"/>
        <w:gridCol w:w="1361"/>
        <w:gridCol w:w="1393"/>
        <w:gridCol w:w="1370"/>
      </w:tblGrid>
      <w:tr>
        <w:trPr>
          <w:jc w:val="center"/>
          <w:trHeight w:val="567"/>
          <w:tblHeader/>
        </w:trPr>
        <w:tc>
          <w:tcPr>
            <w:tcW w:w="75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69"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81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1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39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W w:w="13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75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869"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5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869"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5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869"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58"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69" w:type="dxa"/>
            <w:vAlign w:val="center"/>
            <w:textDirection w:val="lrTb"/>
            <w:noWrap/>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758" w:type="dxa"/>
            <w:vAlign w:val="center"/>
            <w:textDirection w:val="lrTb"/>
            <w:noWrap/>
          </w:tcPr>
          <w:p>
            <w:pPr>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响应总价</w:t>
            </w:r>
            <w:r/>
          </w:p>
        </w:tc>
        <w:tc>
          <w:tcPr>
            <w:gridSpan w:val="6"/>
            <w:tcW w:w="8631" w:type="dxa"/>
            <w:vAlign w:val="center"/>
            <w:textDirection w:val="lrTb"/>
            <w:noWrap w:val="false"/>
          </w:tcPr>
          <w:p>
            <w:pPr>
              <w:jc w:val="both"/>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人民币：（大写）                     小写：</w:t>
            </w:r>
            <w:r/>
          </w:p>
        </w:tc>
      </w:tr>
    </w:tbl>
    <w:p>
      <w:pPr>
        <w:ind w:firstLine="480"/>
        <w:spacing w:line="360" w:lineRule="auto"/>
        <w:rPr>
          <w:rFonts w:hint="eastAsia" w:ascii="宋体" w:hAnsi="宋体" w:eastAsia="宋体" w:cs="宋体"/>
          <w:b/>
          <w:bCs/>
          <w:color w:val="auto"/>
          <w:sz w:val="10"/>
          <w:szCs w:val="10"/>
          <w:highlight w:val="none"/>
          <w:lang w:val="en-US" w:eastAsia="zh-CN"/>
        </w:rPr>
      </w:pPr>
      <w:r>
        <w:rPr>
          <w:rFonts w:hint="eastAsia" w:ascii="宋体" w:hAnsi="宋体" w:eastAsia="宋体" w:cs="宋体"/>
          <w:b/>
          <w:bCs/>
          <w:color w:val="auto"/>
          <w:sz w:val="10"/>
          <w:szCs w:val="10"/>
          <w:highlight w:val="none"/>
          <w:lang w:val="en-US" w:eastAsia="zh-CN"/>
        </w:rPr>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注：</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1、磋商响应单位可针对本项目实际情况自行调整报价明细表格式；</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2、此表响应总价与报价表须保持一致，否则以报价表价格为准；</w:t>
      </w:r>
      <w:r/>
    </w:p>
    <w:p>
      <w:pPr>
        <w:ind w:firstLine="481"/>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3、磋商现场最后报价无需提交此明细表，可在领取成交通知书时补交；</w:t>
      </w:r>
      <w:r/>
    </w:p>
    <w:p>
      <w:pPr>
        <w:ind w:firstLine="481"/>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4、磋商响应单位须对全部采购内容进行明细列表报价（包括但不限于各服务内容单价报价）；</w:t>
      </w:r>
      <w:r/>
    </w:p>
    <w:p>
      <w:pPr>
        <w:ind w:firstLine="481"/>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5、报价金额全部采取人民币表示，响应报价精确到分。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pStyle w:val="779"/>
        <w:ind w:left="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9"/>
        <w:ind w:left="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Cs w:val="21"/>
          <w:highlight w:val="none"/>
        </w:rPr>
        <w:br w:type="page" w:clear="all"/>
      </w:r>
      <w:bookmarkStart w:id="29" w:name="_Toc30146"/>
      <w:r/>
      <w:bookmarkStart w:id="30" w:name="_Toc10467"/>
      <w:r>
        <w:rPr>
          <w:rFonts w:hint="eastAsia" w:ascii="宋体" w:hAnsi="宋体" w:cs="宋体"/>
          <w:b/>
          <w:color w:val="auto"/>
          <w:sz w:val="24"/>
          <w:highlight w:val="none"/>
        </w:rPr>
        <w:t xml:space="preserve">5、</w:t>
      </w:r>
      <w:bookmarkEnd w:id="29"/>
      <w:r/>
      <w:bookmarkEnd w:id="30"/>
      <w:r>
        <w:rPr>
          <w:rFonts w:hint="eastAsia" w:ascii="宋体" w:hAnsi="宋体" w:cs="宋体"/>
          <w:b/>
          <w:color w:val="auto"/>
          <w:sz w:val="24"/>
          <w:highlight w:val="none"/>
        </w:rPr>
        <w:t xml:space="preserve">关于资格文件的声明函</w:t>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ind w:firstLine="42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号的</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活动进行</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。本公司所提交的</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rPr>
        <w:t xml:space="preserve">中所有关于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资格的文件、证明和陈述均是真实的、准确的。若与真实情况不符，本公司愿意承担由此而产生的一切后果。</w:t>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ascii="宋体" w:hAnsi="宋体" w:eastAsia="宋体" w:cs="宋体"/>
          <w:color w:val="auto"/>
          <w:sz w:val="24"/>
          <w:highlight w:val="none"/>
        </w:rPr>
        <w:t xml:space="preserve">供应商：（盖章）</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ascii="宋体" w:hAnsi="宋体" w:eastAsia="宋体" w:cs="宋体"/>
          <w:color w:val="auto"/>
          <w:sz w:val="24"/>
          <w:highlight w:val="none"/>
        </w:rPr>
        <w:t xml:space="preserve">法定代表人或代理人：</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签字或盖章</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ascii="宋体" w:hAnsi="宋体" w:cs="宋体"/>
          <w:b/>
          <w:color w:val="auto"/>
          <w:sz w:val="24"/>
          <w:highlight w:val="none"/>
        </w:rPr>
        <w:outlineLvl w:val="0"/>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响应单位</w:t>
      </w:r>
      <w:r>
        <w:rPr>
          <w:rFonts w:hint="eastAsia" w:ascii="宋体" w:hAnsi="宋体" w:cs="宋体"/>
          <w:b/>
          <w:color w:val="auto"/>
          <w:sz w:val="24"/>
          <w:highlight w:val="none"/>
          <w:lang w:val="en-US" w:eastAsia="zh-CN"/>
        </w:rPr>
        <w:t xml:space="preserve">基本</w:t>
      </w:r>
      <w:r>
        <w:rPr>
          <w:rFonts w:hint="eastAsia" w:ascii="宋体" w:hAnsi="宋体" w:cs="宋体"/>
          <w:b/>
          <w:color w:val="auto"/>
          <w:sz w:val="24"/>
          <w:highlight w:val="none"/>
        </w:rPr>
        <w:t xml:space="preserve">情况表</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响应单位</w:t>
      </w:r>
      <w:r>
        <w:rPr>
          <w:rFonts w:hint="eastAsia" w:ascii="宋体" w:hAnsi="宋体" w:cs="宋体"/>
          <w:b/>
          <w:color w:val="auto"/>
          <w:sz w:val="24"/>
          <w:highlight w:val="none"/>
          <w:lang w:val="en-US" w:eastAsia="zh-CN"/>
        </w:rPr>
        <w:t xml:space="preserve">基本</w:t>
      </w:r>
      <w:r>
        <w:rPr>
          <w:rFonts w:hint="eastAsia" w:ascii="宋体" w:hAnsi="宋体" w:cs="宋体"/>
          <w:b/>
          <w:color w:val="auto"/>
          <w:sz w:val="24"/>
          <w:highlight w:val="none"/>
        </w:rPr>
        <w:t xml:space="preserve">情况表</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698"/>
        <w:tblW w:w="8458"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220"/>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2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20" w:type="dxa"/>
            <w:vAlign w:val="center"/>
            <w:textDirection w:val="lrTb"/>
            <w:noWrap w:val="false"/>
          </w:tcPr>
          <w:p>
            <w:pPr>
              <w:ind w:firstLine="2160"/>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2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20" w:type="dxa"/>
            <w:vAlign w:val="center"/>
            <w:textDirection w:val="lrTb"/>
            <w:noWrap w:val="false"/>
          </w:tcPr>
          <w:p>
            <w:pPr>
              <w:jc w:val="both"/>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906"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numPr>
          <w:ilvl w:val="0"/>
          <w:numId w:val="0"/>
        </w:numPr>
        <w:jc w:val="left"/>
        <w:spacing w:line="360" w:lineRule="auto"/>
        <w:rPr>
          <w:rFonts w:hint="eastAsia" w:ascii="宋体" w:hAnsi="宋体" w:cs="宋体"/>
          <w:b/>
          <w:color w:val="auto"/>
          <w:sz w:val="24"/>
          <w:highlight w:val="none"/>
        </w:rPr>
      </w:pPr>
      <w:r>
        <w:rPr>
          <w:rFonts w:hint="eastAsia" w:ascii="宋体" w:hAnsi="宋体" w:cs="宋体"/>
          <w:b/>
          <w:color w:val="auto"/>
          <w:highlight w:val="none"/>
          <w:lang w:val="en-US" w:eastAsia="zh-CN"/>
        </w:rPr>
        <w:t xml:space="preserve">7、</w:t>
      </w:r>
      <w:r>
        <w:rPr>
          <w:rFonts w:hint="eastAsia" w:ascii="宋体" w:hAnsi="宋体" w:cs="宋体"/>
          <w:b/>
          <w:color w:val="auto"/>
          <w:sz w:val="24"/>
          <w:highlight w:val="none"/>
        </w:rPr>
        <w:t xml:space="preserve">拟投入本项目人员配备一览表</w:t>
      </w:r>
      <w:r/>
    </w:p>
    <w:p>
      <w:pPr>
        <w:pStyle w:val="703"/>
        <w:numPr>
          <w:ilvl w:val="0"/>
          <w:numId w:val="0"/>
        </w:numPr>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pacing w:val="-4"/>
          <w:sz w:val="24"/>
          <w:highlight w:val="none"/>
        </w:rPr>
      </w:pPr>
      <w:r>
        <w:rPr>
          <w:rFonts w:hint="eastAsia" w:ascii="宋体" w:hAnsi="宋体" w:cs="宋体"/>
          <w:b/>
          <w:bCs/>
          <w:color w:val="auto"/>
          <w:spacing w:val="-4"/>
          <w:sz w:val="24"/>
          <w:highlight w:val="none"/>
        </w:rPr>
        <w:t xml:space="preserve">拟投入本项目人员配备一览表</w:t>
      </w:r>
      <w:r/>
    </w:p>
    <w:tbl>
      <w:tblPr>
        <w:tblStyle w:val="986"/>
        <w:tblpPr w:horzAnchor="page" w:tblpXSpec="center" w:vertAnchor="text" w:tblpY="244" w:leftFromText="180" w:topFromText="0" w:rightFromText="180" w:bottomFromText="0"/>
        <w:tblW w:w="9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984"/>
        <w:gridCol w:w="1134"/>
        <w:gridCol w:w="1134"/>
        <w:gridCol w:w="1134"/>
        <w:gridCol w:w="1134"/>
        <w:gridCol w:w="1134"/>
        <w:gridCol w:w="1134"/>
      </w:tblGrid>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2"/>
                <w:sz w:val="24"/>
                <w:szCs w:val="24"/>
                <w:highlight w:val="none"/>
              </w:rPr>
              <w:t xml:space="preserve">序号</w:t>
            </w:r>
            <w:r/>
          </w:p>
        </w:tc>
        <w:tc>
          <w:tcPr>
            <w:tcW w:w="198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1"/>
                <w:sz w:val="24"/>
                <w:szCs w:val="24"/>
                <w:highlight w:val="none"/>
              </w:rPr>
              <w:t xml:space="preserve">在本项目中岗位</w:t>
            </w:r>
            <w:r/>
          </w:p>
        </w:tc>
        <w:tc>
          <w:tcPr>
            <w:tcW w:w="113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2"/>
                <w:sz w:val="24"/>
                <w:szCs w:val="24"/>
                <w:highlight w:val="none"/>
              </w:rPr>
              <w:t xml:space="preserve">姓名</w:t>
            </w:r>
            <w:r/>
          </w:p>
        </w:tc>
        <w:tc>
          <w:tcPr>
            <w:tcW w:w="1134" w:type="dxa"/>
            <w:vAlign w:val="center"/>
            <w:textDirection w:val="lrTb"/>
            <w:noWrap w:val="false"/>
          </w:tcPr>
          <w:p>
            <w:pPr>
              <w:pStyle w:val="993"/>
              <w:jc w:val="center"/>
              <w:spacing w:line="240" w:lineRule="auto"/>
              <w:rPr>
                <w:rFonts w:hint="eastAsia" w:eastAsia="宋体"/>
                <w:color w:val="auto"/>
                <w:sz w:val="24"/>
                <w:szCs w:val="24"/>
                <w:highlight w:val="none"/>
                <w:lang w:eastAsia="zh-CN"/>
              </w:rPr>
            </w:pPr>
            <w:r>
              <w:rPr>
                <w:rFonts w:hint="eastAsia"/>
                <w:color w:val="auto"/>
                <w:spacing w:val="-3"/>
                <w:sz w:val="24"/>
                <w:szCs w:val="24"/>
                <w:highlight w:val="none"/>
                <w:lang w:val="en-US" w:eastAsia="zh-CN"/>
              </w:rPr>
              <w:t xml:space="preserve">性别</w:t>
            </w:r>
            <w:r/>
          </w:p>
        </w:tc>
        <w:tc>
          <w:tcPr>
            <w:tcW w:w="113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2"/>
                <w:sz w:val="24"/>
                <w:szCs w:val="24"/>
                <w:highlight w:val="none"/>
              </w:rPr>
              <w:t xml:space="preserve">年龄</w:t>
            </w:r>
            <w:r/>
          </w:p>
        </w:tc>
        <w:tc>
          <w:tcPr>
            <w:tcW w:w="113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3"/>
                <w:sz w:val="24"/>
                <w:szCs w:val="24"/>
                <w:highlight w:val="none"/>
              </w:rPr>
              <w:t xml:space="preserve">学历</w:t>
            </w:r>
            <w:r/>
          </w:p>
        </w:tc>
        <w:tc>
          <w:tcPr>
            <w:tcBorders>
              <w:right w:val="single" w:color="000000" w:sz="4" w:space="0"/>
            </w:tcBorders>
            <w:tcW w:w="113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2"/>
                <w:sz w:val="24"/>
                <w:szCs w:val="24"/>
                <w:highlight w:val="none"/>
              </w:rPr>
              <w:t xml:space="preserve">持证情况</w:t>
            </w:r>
            <w:r/>
          </w:p>
        </w:tc>
        <w:tc>
          <w:tcPr>
            <w:tcBorders>
              <w:left w:val="single" w:color="000000" w:sz="4" w:space="0"/>
            </w:tcBorders>
            <w:tcW w:w="1134"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pacing w:val="-3"/>
                <w:sz w:val="24"/>
                <w:szCs w:val="24"/>
                <w:highlight w:val="none"/>
              </w:rPr>
              <w:t xml:space="preserve">备注</w:t>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1</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2</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3</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4</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5</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6</w:t>
            </w:r>
            <w:r/>
          </w:p>
        </w:tc>
        <w:tc>
          <w:tcPr>
            <w:tcW w:w="198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righ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left w:val="single" w:color="000000" w:sz="4" w:space="0"/>
            </w:tcBorders>
            <w:tcW w:w="113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0" w:type="dxa"/>
            <w:vAlign w:val="center"/>
            <w:textDirection w:val="lrTb"/>
            <w:noWrap w:val="false"/>
          </w:tcPr>
          <w:p>
            <w:pPr>
              <w:pStyle w:val="993"/>
              <w:jc w:val="center"/>
              <w:spacing w:line="240" w:lineRule="auto"/>
              <w:rPr>
                <w:rFonts w:hint="eastAsia"/>
                <w:color w:val="auto"/>
                <w:sz w:val="24"/>
                <w:szCs w:val="24"/>
                <w:highlight w:val="none"/>
              </w:rPr>
            </w:pPr>
            <w:r>
              <w:rPr>
                <w:rFonts w:hint="eastAsia"/>
                <w:color w:val="auto"/>
                <w:sz w:val="24"/>
                <w:szCs w:val="24"/>
                <w:highlight w:val="none"/>
              </w:rPr>
              <w:t xml:space="preserve">7</w:t>
            </w:r>
            <w:r/>
          </w:p>
        </w:tc>
        <w:tc>
          <w:tcPr>
            <w:tcW w:w="1984" w:type="dxa"/>
            <w:vAlign w:val="center"/>
            <w:textDirection w:val="lrTb"/>
            <w:noWrap w:val="false"/>
          </w:tcPr>
          <w:p>
            <w:pPr>
              <w:pStyle w:val="993"/>
              <w:jc w:val="center"/>
              <w:spacing w:line="240" w:lineRule="auto"/>
              <w:rPr>
                <w:rFonts w:hint="eastAsia" w:eastAsia="宋体"/>
                <w:color w:val="auto"/>
                <w:sz w:val="24"/>
                <w:szCs w:val="24"/>
                <w:highlight w:val="none"/>
                <w:lang w:eastAsia="zh-CN"/>
              </w:rPr>
            </w:pPr>
            <w:r>
              <w:rPr>
                <w:rFonts w:hint="eastAsia"/>
                <w:color w:val="auto"/>
                <w:sz w:val="24"/>
                <w:szCs w:val="24"/>
                <w:highlight w:val="none"/>
                <w:lang w:eastAsia="zh-CN"/>
              </w:rPr>
              <w:t xml:space="preserve">……</w:t>
            </w:r>
            <w:r/>
          </w:p>
        </w:tc>
        <w:tc>
          <w:tcPr>
            <w:tcW w:w="1134" w:type="dxa"/>
            <w:vAlign w:val="center"/>
            <w:textDirection w:val="lrTb"/>
            <w:noWrap w:val="false"/>
          </w:tcPr>
          <w:p>
            <w:pPr>
              <w:pStyle w:val="993"/>
              <w:jc w:val="center"/>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134" w:type="dxa"/>
            <w:vAlign w:val="center"/>
            <w:textDirection w:val="lrTb"/>
            <w:noWrap w:val="false"/>
          </w:tcPr>
          <w:p>
            <w:pPr>
              <w:pStyle w:val="993"/>
              <w:jc w:val="center"/>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134" w:type="dxa"/>
            <w:vAlign w:val="center"/>
            <w:textDirection w:val="lrTb"/>
            <w:noWrap w:val="false"/>
          </w:tcPr>
          <w:p>
            <w:pPr>
              <w:pStyle w:val="993"/>
              <w:jc w:val="center"/>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w:t>
            </w:r>
            <w:r/>
          </w:p>
        </w:tc>
        <w:tc>
          <w:tcPr>
            <w:tcW w:w="1134" w:type="dxa"/>
            <w:vAlign w:val="center"/>
            <w:textDirection w:val="lrTb"/>
            <w:noWrap w:val="false"/>
          </w:tcPr>
          <w:p>
            <w:pPr>
              <w:pStyle w:val="993"/>
              <w:jc w:val="center"/>
              <w:spacing w:line="240" w:lineRule="auto"/>
              <w:rPr>
                <w:rFonts w:hint="eastAsia" w:eastAsia="宋体"/>
                <w:color w:val="auto"/>
                <w:sz w:val="24"/>
                <w:szCs w:val="24"/>
                <w:highlight w:val="none"/>
                <w:lang w:eastAsia="zh-CN"/>
              </w:rPr>
            </w:pPr>
            <w:r>
              <w:rPr>
                <w:rFonts w:hint="eastAsia"/>
                <w:color w:val="auto"/>
                <w:sz w:val="24"/>
                <w:szCs w:val="24"/>
                <w:highlight w:val="none"/>
                <w:lang w:eastAsia="zh-CN"/>
              </w:rPr>
              <w:t xml:space="preserve">……</w:t>
            </w:r>
            <w:r/>
          </w:p>
        </w:tc>
        <w:tc>
          <w:tcPr>
            <w:tcBorders>
              <w:right w:val="single" w:color="000000" w:sz="4" w:space="0"/>
            </w:tcBorders>
            <w:tcW w:w="1134" w:type="dxa"/>
            <w:vAlign w:val="center"/>
            <w:textDirection w:val="lrTb"/>
            <w:noWrap w:val="false"/>
          </w:tcPr>
          <w:p>
            <w:pPr>
              <w:pStyle w:val="993"/>
              <w:jc w:val="center"/>
              <w:spacing w:line="240" w:lineRule="auto"/>
              <w:rPr>
                <w:rFonts w:hint="eastAsia" w:eastAsia="宋体"/>
                <w:color w:val="auto"/>
                <w:sz w:val="24"/>
                <w:szCs w:val="24"/>
                <w:highlight w:val="none"/>
                <w:lang w:eastAsia="zh-CN"/>
              </w:rPr>
            </w:pPr>
            <w:r>
              <w:rPr>
                <w:rFonts w:hint="eastAsia"/>
                <w:color w:val="auto"/>
                <w:sz w:val="24"/>
                <w:szCs w:val="24"/>
                <w:highlight w:val="none"/>
                <w:lang w:eastAsia="zh-CN"/>
              </w:rPr>
              <w:t xml:space="preserve">……</w:t>
            </w:r>
            <w:r/>
          </w:p>
        </w:tc>
        <w:tc>
          <w:tcPr>
            <w:tcBorders>
              <w:left w:val="single" w:color="000000" w:sz="4" w:space="0"/>
            </w:tcBorders>
            <w:tcW w:w="1134" w:type="dxa"/>
            <w:vAlign w:val="center"/>
            <w:textDirection w:val="lrTb"/>
            <w:noWrap w:val="false"/>
          </w:tcPr>
          <w:p>
            <w:pPr>
              <w:pStyle w:val="993"/>
              <w:jc w:val="center"/>
              <w:spacing w:line="240" w:lineRule="auto"/>
              <w:rPr>
                <w:rFonts w:hint="eastAsia" w:eastAsia="宋体"/>
                <w:color w:val="auto"/>
                <w:sz w:val="24"/>
                <w:szCs w:val="24"/>
                <w:highlight w:val="none"/>
                <w:lang w:eastAsia="zh-CN"/>
              </w:rPr>
            </w:pPr>
            <w:r>
              <w:rPr>
                <w:rFonts w:hint="eastAsia"/>
                <w:color w:val="auto"/>
                <w:sz w:val="24"/>
                <w:szCs w:val="24"/>
                <w:highlight w:val="none"/>
                <w:lang w:eastAsia="zh-CN"/>
              </w:rPr>
              <w:t xml:space="preserve">……</w:t>
            </w:r>
            <w:r/>
          </w:p>
        </w:tc>
      </w:tr>
    </w:tbl>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color w:val="auto"/>
          <w:highlight w:val="none"/>
        </w:rPr>
      </w:pPr>
      <w:r>
        <w:rPr>
          <w:rFonts w:ascii="宋体" w:hAnsi="宋体" w:eastAsia="宋体" w:cs="宋体"/>
          <w:color w:val="auto"/>
          <w:sz w:val="24"/>
          <w:highlight w:val="none"/>
        </w:rPr>
        <w:t xml:space="preserve">日期：      年    月    日</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pStyle w:val="730"/>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pStyle w:val="730"/>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pStyle w:val="730"/>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lang w:eastAsia="zh-CN"/>
        </w:rPr>
        <w:outlineLvl w:val="1"/>
      </w:pPr>
      <w:r>
        <w:rPr>
          <w:rFonts w:hint="eastAsia" w:ascii="宋体" w:hAnsi="宋体" w:cs="宋体"/>
          <w:b/>
          <w:color w:val="auto"/>
          <w:sz w:val="24"/>
          <w:highlight w:val="none"/>
          <w:lang w:eastAsia="zh-CN"/>
        </w:rPr>
      </w:r>
      <w:r/>
    </w:p>
    <w:p>
      <w:pPr>
        <w:jc w:val="left"/>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8、拟投入本项目设施设备一览表</w:t>
      </w:r>
      <w:r/>
    </w:p>
    <w:p>
      <w:pPr>
        <w:pStyle w:val="704"/>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04"/>
        <w:ind w:left="0" w:firstLine="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(1)拟投入本项目设施设备一览表（现自有或已租赁）</w:t>
      </w:r>
      <w:r/>
    </w:p>
    <w:p>
      <w:pPr>
        <w:pStyle w:val="704"/>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bl>
      <w:tblPr>
        <w:tblStyle w:val="698"/>
        <w:tblW w:w="9338" w:type="dxa"/>
        <w:jc w:val="center"/>
        <w:tblLayout w:type="fixed"/>
        <w:tblCellMar>
          <w:left w:w="108" w:type="dxa"/>
          <w:top w:w="0" w:type="dxa"/>
          <w:right w:w="108" w:type="dxa"/>
          <w:bottom w:w="0" w:type="dxa"/>
        </w:tblCellMar>
        <w:tblLook w:val="04A0" w:firstRow="1" w:lastRow="0" w:firstColumn="1" w:lastColumn="0" w:noHBand="0" w:noVBand="1"/>
      </w:tblPr>
      <w:tblGrid>
        <w:gridCol w:w="1173"/>
        <w:gridCol w:w="2646"/>
        <w:gridCol w:w="1654"/>
        <w:gridCol w:w="1320"/>
        <w:gridCol w:w="2545"/>
      </w:tblGrid>
      <w:tr>
        <w:trPr>
          <w:jc w:val="center"/>
          <w:trHeight w:val="948"/>
          <w:tblHeader/>
        </w:trPr>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704"/>
              <w:ind w:left="0" w:firstLine="0"/>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64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1654"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磋商文件</w:t>
            </w:r>
            <w:r>
              <w:rPr>
                <w:rFonts w:hint="eastAsia" w:ascii="宋体" w:hAnsi="宋体" w:cs="宋体"/>
                <w:b/>
                <w:bCs/>
                <w:color w:val="auto"/>
                <w:sz w:val="24"/>
                <w:highlight w:val="none"/>
              </w:rPr>
              <w:t xml:space="preserve">要求配置数量</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现自有或已租赁</w:t>
            </w:r>
            <w:r/>
          </w:p>
        </w:tc>
        <w:tc>
          <w:tcPr>
            <w:tcBorders>
              <w:top w:val="single" w:color="auto" w:sz="4" w:space="0"/>
              <w:left w:val="none" w:color="000000" w:sz="4" w:space="0"/>
              <w:bottom w:val="single" w:color="auto" w:sz="4" w:space="0"/>
              <w:right w:val="single" w:color="auto" w:sz="4" w:space="0"/>
            </w:tcBorders>
            <w:tcW w:w="254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53"/>
          <w:tblHeader/>
        </w:trPr>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704"/>
              <w:ind w:left="0" w:firstLine="0"/>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646" w:type="dxa"/>
            <w:vAlign w:val="center"/>
            <w:textDirection w:val="lrTb"/>
            <w:noWrap w:val="false"/>
          </w:tcPr>
          <w:p>
            <w:pPr>
              <w:jc w:val="center"/>
              <w:spacing w:line="24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none" w:color="000000" w:sz="4" w:space="0"/>
              <w:bottom w:val="single" w:color="auto" w:sz="4" w:space="0"/>
              <w:right w:val="single" w:color="auto" w:sz="4" w:space="0"/>
            </w:tcBorders>
            <w:tcW w:w="1654"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545"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53"/>
          <w:tblHeader/>
        </w:trPr>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704"/>
              <w:ind w:left="0" w:firstLine="0"/>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2646" w:type="dxa"/>
            <w:vAlign w:val="center"/>
            <w:textDirection w:val="lrTb"/>
            <w:noWrap w:val="false"/>
          </w:tcPr>
          <w:p>
            <w:pPr>
              <w:jc w:val="center"/>
              <w:spacing w:line="24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none" w:color="000000" w:sz="4" w:space="0"/>
              <w:bottom w:val="single" w:color="auto" w:sz="4" w:space="0"/>
              <w:right w:val="single" w:color="auto" w:sz="4" w:space="0"/>
            </w:tcBorders>
            <w:tcW w:w="1654"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545"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3"/>
          <w:tblHeader/>
        </w:trPr>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704"/>
              <w:ind w:left="0" w:firstLine="0"/>
              <w:jc w:val="center"/>
              <w:spacing w:line="24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2646" w:type="dxa"/>
            <w:vAlign w:val="center"/>
            <w:textDirection w:val="lrTb"/>
            <w:noWrap w:val="false"/>
          </w:tcPr>
          <w:p>
            <w:pPr>
              <w:jc w:val="center"/>
              <w:spacing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1654"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bCs/>
                <w:color w:val="auto"/>
                <w:sz w:val="24"/>
                <w:highlight w:val="none"/>
              </w:rPr>
              <w:t xml:space="preserve">...</w:t>
            </w:r>
            <w:r/>
          </w:p>
        </w:tc>
        <w:tc>
          <w:tcPr>
            <w:tcBorders>
              <w:top w:val="single" w:color="auto" w:sz="4" w:space="0"/>
              <w:left w:val="none" w:color="000000" w:sz="4" w:space="0"/>
              <w:bottom w:val="single" w:color="auto" w:sz="4" w:space="0"/>
              <w:right w:val="single" w:color="auto" w:sz="4" w:space="0"/>
            </w:tcBorders>
            <w:tcW w:w="2545"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bCs/>
                <w:color w:val="auto"/>
                <w:sz w:val="24"/>
                <w:highlight w:val="none"/>
              </w:rPr>
              <w:t xml:space="preserve">...</w:t>
            </w:r>
            <w:r/>
          </w:p>
        </w:tc>
      </w:tr>
    </w:tbl>
    <w:p>
      <w:pPr>
        <w:pStyle w:val="703"/>
        <w:ind w:firstLine="184"/>
        <w:jc w:val="left"/>
        <w:spacing w:after="0" w:line="360" w:lineRule="auto"/>
        <w:rPr>
          <w:color w:val="auto"/>
          <w:spacing w:val="-4"/>
          <w:sz w:val="10"/>
          <w:szCs w:val="10"/>
          <w:highlight w:val="none"/>
        </w:rPr>
      </w:pPr>
      <w:r>
        <w:rPr>
          <w:color w:val="auto"/>
          <w:spacing w:val="-4"/>
          <w:sz w:val="10"/>
          <w:szCs w:val="10"/>
          <w:highlight w:val="none"/>
        </w:rPr>
      </w:r>
      <w:r/>
    </w:p>
    <w:p>
      <w:pPr>
        <w:pStyle w:val="703"/>
        <w:ind w:firstLine="466"/>
        <w:jc w:val="left"/>
        <w:spacing w:after="0" w:line="360" w:lineRule="auto"/>
        <w:rPr>
          <w:b/>
          <w:bCs/>
          <w:color w:val="auto"/>
          <w:spacing w:val="-4"/>
          <w:sz w:val="24"/>
          <w:szCs w:val="24"/>
          <w:highlight w:val="none"/>
        </w:rPr>
      </w:pPr>
      <w:r>
        <w:rPr>
          <w:b/>
          <w:bCs/>
          <w:color w:val="auto"/>
          <w:spacing w:val="-4"/>
          <w:sz w:val="24"/>
          <w:szCs w:val="24"/>
          <w:highlight w:val="none"/>
        </w:rPr>
        <w:t xml:space="preserve">注：具体要求详见</w:t>
      </w:r>
      <w:r>
        <w:rPr>
          <w:rFonts w:hint="eastAsia"/>
          <w:b/>
          <w:bCs/>
          <w:color w:val="auto"/>
          <w:spacing w:val="-4"/>
          <w:sz w:val="24"/>
          <w:szCs w:val="24"/>
          <w:highlight w:val="none"/>
          <w:lang w:val="en-US" w:eastAsia="zh-CN"/>
        </w:rPr>
        <w:t xml:space="preserve">磋商需求</w:t>
      </w:r>
      <w:r>
        <w:rPr>
          <w:b/>
          <w:bCs/>
          <w:color w:val="auto"/>
          <w:spacing w:val="-4"/>
          <w:sz w:val="24"/>
          <w:szCs w:val="24"/>
          <w:highlight w:val="none"/>
        </w:rPr>
        <w:t xml:space="preserve">。</w:t>
      </w:r>
      <w:r/>
    </w:p>
    <w:p>
      <w:pPr>
        <w:pStyle w:val="703"/>
        <w:ind w:firstLine="696"/>
        <w:jc w:val="left"/>
        <w:spacing w:after="0" w:line="360" w:lineRule="auto"/>
        <w:rPr>
          <w:color w:val="auto"/>
          <w:spacing w:val="-4"/>
          <w:sz w:val="24"/>
          <w:szCs w:val="24"/>
          <w:highlight w:val="none"/>
        </w:rPr>
      </w:pPr>
      <w:r>
        <w:rPr>
          <w:color w:val="auto"/>
          <w:spacing w:val="-4"/>
          <w:sz w:val="24"/>
          <w:szCs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color w:val="auto"/>
          <w:highlight w:val="none"/>
        </w:rPr>
      </w:pPr>
      <w:r>
        <w:rPr>
          <w:rFonts w:ascii="宋体" w:hAnsi="宋体" w:eastAsia="宋体" w:cs="宋体"/>
          <w:color w:val="auto"/>
          <w:sz w:val="24"/>
          <w:highlight w:val="none"/>
        </w:rPr>
        <w:t xml:space="preserve">日期：      年    月    日</w:t>
      </w:r>
      <w:r/>
    </w:p>
    <w:p>
      <w:pPr>
        <w:pStyle w:val="703"/>
        <w:ind w:firstLine="696"/>
        <w:jc w:val="left"/>
        <w:spacing w:after="0" w:line="360" w:lineRule="auto"/>
        <w:rPr>
          <w:color w:val="auto"/>
          <w:spacing w:val="-4"/>
          <w:sz w:val="24"/>
          <w:szCs w:val="24"/>
          <w:highlight w:val="none"/>
        </w:rPr>
      </w:pPr>
      <w:r>
        <w:rPr>
          <w:color w:val="auto"/>
          <w:spacing w:val="-4"/>
          <w:sz w:val="24"/>
          <w:szCs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0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highlight w:val="none"/>
        </w:rPr>
      </w:pPr>
      <w:r>
        <w:rPr>
          <w:rFonts w:hint="eastAsia"/>
          <w:color w:val="auto"/>
          <w:highlight w:val="none"/>
        </w:rPr>
      </w:r>
      <w:r/>
    </w:p>
    <w:p>
      <w:pPr>
        <w:pStyle w:val="704"/>
        <w:ind w:left="0" w:firstLine="0"/>
        <w:jc w:val="cente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(2)拟投入本项目设施设备一览表(承诺购买或承诺租赁)</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04"/>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04"/>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30"/>
        <w:rPr>
          <w:rFonts w:hint="eastAsia" w:ascii="宋体" w:hAnsi="宋体" w:cs="宋体"/>
          <w:color w:val="auto"/>
          <w:sz w:val="24"/>
          <w:highlight w:val="none"/>
        </w:rPr>
      </w:pPr>
      <w:r>
        <w:rPr>
          <w:rFonts w:hint="eastAsia" w:ascii="宋体" w:hAnsi="宋体" w:cs="宋体"/>
          <w:color w:val="auto"/>
          <w:sz w:val="24"/>
          <w:highlight w:val="none"/>
        </w:rPr>
      </w:r>
      <w:r/>
    </w:p>
    <w:p>
      <w:pPr>
        <w:pStyle w:val="70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、响应保证承诺书</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tabs>
          <w:tab w:val="left" w:pos="8930" w:leader="none"/>
          <w:tab w:val="left" w:pos="9306"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响应保证承诺书</w:t>
      </w:r>
      <w:r/>
    </w:p>
    <w:p>
      <w:pPr>
        <w:jc w:val="center"/>
        <w:spacing w:line="360" w:lineRule="auto"/>
        <w:tabs>
          <w:tab w:val="left" w:pos="8930" w:leader="none"/>
          <w:tab w:val="left" w:pos="9306"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cs/>
        </w:rPr>
        <w:t xml:space="preserve"> </w:t>
      </w:r>
      <w:r>
        <w:rPr>
          <w:rFonts w:hint="eastAsia" w:ascii="宋体" w:hAnsi="宋体" w:cs="宋体"/>
          <w:color w:val="auto"/>
          <w:sz w:val="24"/>
          <w:highlight w:val="none"/>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（项目名称和采购编号）</w:t>
      </w:r>
      <w:r>
        <w:rPr>
          <w:rFonts w:hint="eastAsia" w:ascii="宋体" w:hAnsi="宋体" w:cs="宋体"/>
          <w:color w:val="auto"/>
          <w:sz w:val="24"/>
          <w:highlight w:val="none"/>
        </w:rPr>
        <w:t xml:space="preserve">的响应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w:t>
      </w:r>
      <w:r>
        <w:rPr>
          <w:rFonts w:hint="eastAsia" w:ascii="宋体" w:hAnsi="宋体" w:cs="宋体"/>
          <w:color w:val="auto"/>
          <w:sz w:val="24"/>
          <w:highlight w:val="none"/>
          <w:lang w:val="en-US" w:eastAsia="zh-CN"/>
        </w:rPr>
        <w:t xml:space="preserve">作</w:t>
      </w:r>
      <w:r>
        <w:rPr>
          <w:rFonts w:hint="eastAsia" w:ascii="宋体" w:hAnsi="宋体" w:cs="宋体"/>
          <w:color w:val="auto"/>
          <w:sz w:val="24"/>
          <w:highlight w:val="none"/>
        </w:rPr>
        <w:t xml:space="preserve">出如下承诺：</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1、自响应截止时间至本项目发布中标（</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）公告为止，撤销响应；</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2、中标（</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）后不按本</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规定向采购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提交履约保证金（如有）</w:t>
      </w:r>
      <w:r>
        <w:rPr>
          <w:rFonts w:hint="eastAsia" w:ascii="宋体" w:hAnsi="宋体" w:cs="宋体"/>
          <w:color w:val="auto"/>
          <w:sz w:val="24"/>
          <w:highlight w:val="none"/>
          <w:lang w:eastAsia="zh-CN"/>
        </w:rPr>
        <w:t xml:space="preserve">；</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中标（</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）后不按本</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规定向贵方缴纳采购代理费。</w:t>
      </w:r>
      <w:r/>
    </w:p>
    <w:p>
      <w:pPr>
        <w:ind w:firstLine="420"/>
        <w:jc w:val="left"/>
        <w:spacing w:line="360" w:lineRule="auto"/>
        <w:tabs>
          <w:tab w:val="left" w:pos="8930" w:leader="none"/>
          <w:tab w:val="left" w:pos="9306" w:leader="none"/>
        </w:tabs>
        <w:rPr>
          <w:rFonts w:hint="eastAsia"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响应人</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盖章</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电子邮件：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邮编：</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日期：</w:t>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b/>
          <w:bCs/>
          <w:color w:val="auto"/>
          <w:spacing w:val="-4"/>
          <w:sz w:val="24"/>
          <w:highlight w:val="none"/>
        </w:rPr>
      </w:pPr>
      <w:r>
        <w:rPr>
          <w:rFonts w:hint="eastAsia"/>
          <w:b/>
          <w:bCs/>
          <w:color w:val="auto"/>
          <w:spacing w:val="-4"/>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pacing w:val="-4"/>
          <w:sz w:val="24"/>
          <w:highlight w:val="none"/>
          <w:lang w:val="en-US" w:eastAsia="zh-CN"/>
        </w:rPr>
        <w:t xml:space="preserve">10、</w:t>
      </w:r>
      <w:r>
        <w:rPr>
          <w:rFonts w:hint="eastAsia" w:ascii="宋体" w:hAnsi="宋体" w:eastAsia="宋体" w:cs="宋体"/>
          <w:b/>
          <w:bCs/>
          <w:color w:val="auto"/>
          <w:spacing w:val="-4"/>
          <w:sz w:val="24"/>
          <w:highlight w:val="none"/>
        </w:rPr>
        <w:t xml:space="preserve">服务要求偏离表</w:t>
      </w:r>
      <w:r/>
    </w:p>
    <w:p>
      <w:pPr>
        <w:jc w:val="center"/>
        <w:spacing w:before="100" w:beforeAutospacing="1" w:after="100" w:afterAutospacing="1" w:line="360" w:lineRule="auto"/>
        <w:rPr>
          <w:rFonts w:cs="宋体"/>
          <w:color w:val="auto"/>
          <w:highlight w:val="none"/>
        </w:rPr>
      </w:pPr>
      <w:r>
        <w:rPr>
          <w:b/>
          <w:bCs/>
          <w:color w:val="auto"/>
          <w:spacing w:val="-4"/>
          <w:sz w:val="24"/>
          <w:highlight w:val="none"/>
        </w:rPr>
        <w:t xml:space="preserve">服务</w:t>
      </w:r>
      <w:r>
        <w:rPr>
          <w:rFonts w:hint="eastAsia" w:ascii="宋体" w:hAnsi="宋体" w:cs="宋体"/>
          <w:b/>
          <w:color w:val="auto"/>
          <w:sz w:val="24"/>
          <w:highlight w:val="none"/>
        </w:rPr>
        <w:t xml:space="preserve">要求偏离表</w:t>
      </w:r>
      <w:r/>
    </w:p>
    <w:tbl>
      <w:tblPr>
        <w:tblStyle w:val="698"/>
        <w:tblW w:w="93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0"/>
        <w:gridCol w:w="1701"/>
        <w:gridCol w:w="1701"/>
        <w:gridCol w:w="1701"/>
        <w:gridCol w:w="1701"/>
        <w:gridCol w:w="1701"/>
      </w:tblGrid>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序号</w:t>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项目名称</w:t>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采购要求</w:t>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响应要求</w:t>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偏离/响应</w:t>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说明</w:t>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01" w:type="dxa"/>
            <w:vAlign w:val="center"/>
            <w:textDirection w:val="lrTb"/>
            <w:noWrap w:val="false"/>
          </w:tcPr>
          <w:p>
            <w:pPr>
              <w:jc w:val="center"/>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20"/>
        <w:spacing w:line="360" w:lineRule="auto"/>
        <w:rPr>
          <w:rFonts w:hint="eastAsia" w:ascii="宋体" w:hAnsi="宋体" w:eastAsia="宋体" w:cs="宋体"/>
          <w:b/>
          <w:bCs/>
          <w:color w:val="auto"/>
          <w:sz w:val="10"/>
          <w:szCs w:val="13"/>
          <w:highlight w:val="none"/>
        </w:rPr>
      </w:pPr>
      <w:r>
        <w:rPr>
          <w:rFonts w:hint="eastAsia" w:ascii="宋体" w:hAnsi="宋体" w:eastAsia="宋体" w:cs="宋体"/>
          <w:b/>
          <w:bCs/>
          <w:color w:val="auto"/>
          <w:sz w:val="10"/>
          <w:szCs w:val="13"/>
          <w:highlight w:val="none"/>
        </w:rPr>
      </w:r>
      <w:r/>
    </w:p>
    <w:p>
      <w:pPr>
        <w:ind w:firstLine="42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注：</w:t>
      </w:r>
      <w:r/>
    </w:p>
    <w:p>
      <w:pPr>
        <w:ind w:firstLine="42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1、</w:t>
      </w:r>
      <w:r>
        <w:rPr>
          <w:rFonts w:hint="eastAsia" w:ascii="宋体" w:hAnsi="宋体" w:cs="宋体"/>
          <w:b/>
          <w:bCs/>
          <w:color w:val="auto"/>
          <w:sz w:val="24"/>
          <w:szCs w:val="32"/>
          <w:highlight w:val="none"/>
          <w:lang w:val="en-US" w:eastAsia="zh-CN"/>
        </w:rPr>
        <w:t xml:space="preserve">磋商响应单位</w:t>
      </w:r>
      <w:r>
        <w:rPr>
          <w:rFonts w:hint="eastAsia" w:ascii="宋体" w:hAnsi="宋体" w:eastAsia="宋体" w:cs="宋体"/>
          <w:b/>
          <w:bCs/>
          <w:color w:val="auto"/>
          <w:sz w:val="24"/>
          <w:szCs w:val="32"/>
          <w:highlight w:val="none"/>
        </w:rPr>
        <w:t xml:space="preserve">应对照磋商文件服务要求等要求，所响应标的物与磋商文件的规定有偏离的，应在此表中申明与服务要求条文的偏差和例外。</w:t>
      </w:r>
      <w:r/>
    </w:p>
    <w:p>
      <w:pPr>
        <w:ind w:firstLine="420"/>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2、未在上表中说明的，如在</w:t>
      </w:r>
      <w:r>
        <w:rPr>
          <w:rFonts w:hint="eastAsia" w:ascii="宋体" w:hAnsi="宋体" w:cs="宋体"/>
          <w:b/>
          <w:bCs/>
          <w:color w:val="auto"/>
          <w:sz w:val="24"/>
          <w:szCs w:val="32"/>
          <w:highlight w:val="none"/>
          <w:lang w:val="en-US" w:eastAsia="zh-CN"/>
        </w:rPr>
        <w:t xml:space="preserve">响应</w:t>
      </w:r>
      <w:r>
        <w:rPr>
          <w:rFonts w:hint="eastAsia" w:ascii="宋体" w:hAnsi="宋体" w:eastAsia="宋体" w:cs="宋体"/>
          <w:b/>
          <w:bCs/>
          <w:color w:val="auto"/>
          <w:sz w:val="24"/>
          <w:szCs w:val="32"/>
          <w:highlight w:val="none"/>
        </w:rPr>
        <w:t xml:space="preserve">文件其他内容中已有文字说明的，则以已有文字说明为准，否则，将被认为完全响应</w:t>
      </w:r>
      <w:r>
        <w:rPr>
          <w:rFonts w:hint="eastAsia" w:ascii="宋体" w:hAnsi="宋体" w:cs="宋体"/>
          <w:b/>
          <w:bCs/>
          <w:color w:val="auto"/>
          <w:sz w:val="24"/>
          <w:szCs w:val="32"/>
          <w:highlight w:val="none"/>
          <w:lang w:val="en-US" w:eastAsia="zh-CN"/>
        </w:rPr>
        <w:t xml:space="preserve">磋商文件</w:t>
      </w:r>
      <w:r>
        <w:rPr>
          <w:rFonts w:hint="eastAsia" w:ascii="宋体" w:hAnsi="宋体" w:eastAsia="宋体" w:cs="宋体"/>
          <w:b/>
          <w:bCs/>
          <w:color w:val="auto"/>
          <w:sz w:val="24"/>
          <w:szCs w:val="32"/>
          <w:highlight w:val="none"/>
        </w:rPr>
        <w:t xml:space="preserve">的规定。但该表不作为</w:t>
      </w:r>
      <w:r>
        <w:rPr>
          <w:rFonts w:hint="eastAsia" w:ascii="宋体" w:hAnsi="宋体" w:cs="宋体"/>
          <w:b/>
          <w:bCs/>
          <w:color w:val="auto"/>
          <w:sz w:val="24"/>
          <w:szCs w:val="32"/>
          <w:highlight w:val="none"/>
          <w:lang w:val="en-US" w:eastAsia="zh-CN"/>
        </w:rPr>
        <w:t xml:space="preserve">磋商响应单位</w:t>
      </w:r>
      <w:r>
        <w:rPr>
          <w:rFonts w:hint="eastAsia" w:ascii="宋体" w:hAnsi="宋体" w:eastAsia="宋体" w:cs="宋体"/>
          <w:b/>
          <w:bCs/>
          <w:color w:val="auto"/>
          <w:sz w:val="24"/>
          <w:szCs w:val="32"/>
          <w:highlight w:val="none"/>
        </w:rPr>
        <w:t xml:space="preserve">对所投标的物关于</w:t>
      </w:r>
      <w:r>
        <w:rPr>
          <w:rFonts w:hint="eastAsia" w:ascii="宋体" w:hAnsi="宋体" w:cs="宋体"/>
          <w:b/>
          <w:bCs/>
          <w:color w:val="auto"/>
          <w:sz w:val="24"/>
          <w:szCs w:val="32"/>
          <w:highlight w:val="none"/>
          <w:lang w:val="en-US" w:eastAsia="zh-CN"/>
        </w:rPr>
        <w:t xml:space="preserve">服务</w:t>
      </w:r>
      <w:r>
        <w:rPr>
          <w:rFonts w:hint="eastAsia" w:ascii="宋体" w:hAnsi="宋体" w:eastAsia="宋体" w:cs="宋体"/>
          <w:b/>
          <w:bCs/>
          <w:color w:val="auto"/>
          <w:sz w:val="24"/>
          <w:szCs w:val="32"/>
          <w:highlight w:val="none"/>
        </w:rPr>
        <w:t xml:space="preserve">要求等详细描述和说明的替代。</w:t>
      </w:r>
      <w:r/>
    </w:p>
    <w:p>
      <w:pPr>
        <w:pStyle w:val="73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eastAsia="宋体" w:cs="宋体"/>
          <w:color w:val="auto"/>
          <w:sz w:val="24"/>
          <w:szCs w:val="32"/>
          <w:highlight w:val="none"/>
        </w:rPr>
      </w:pPr>
      <w:r>
        <w:rPr>
          <w:rFonts w:ascii="宋体" w:hAnsi="宋体" w:eastAsia="宋体" w:cs="宋体"/>
          <w:color w:val="auto"/>
          <w:sz w:val="24"/>
          <w:highlight w:val="none"/>
        </w:rPr>
        <w:t xml:space="preserve">日期：      年    月    日</w:t>
      </w:r>
      <w:r/>
    </w:p>
    <w:p>
      <w:pPr>
        <w:jc w:val="left"/>
        <w:spacing w:line="360" w:lineRule="auto"/>
        <w:rPr>
          <w:rFonts w:hint="eastAsia" w:ascii="宋体" w:hAnsi="宋体" w:cs="宋体"/>
          <w:color w:val="auto"/>
          <w:highlight w:val="none"/>
        </w:rPr>
      </w:pPr>
      <w:r>
        <w:rPr>
          <w:rFonts w:hint="eastAsia" w:ascii="宋体" w:hAnsi="宋体" w:cs="宋体"/>
          <w:b/>
          <w:color w:val="auto"/>
          <w:sz w:val="24"/>
          <w:highlight w:val="none"/>
          <w:lang w:val="en-US" w:eastAsia="zh-CN"/>
        </w:rPr>
        <w:t xml:space="preserve">11</w:t>
      </w:r>
      <w:r>
        <w:rPr>
          <w:rFonts w:hint="eastAsia" w:ascii="宋体" w:hAnsi="宋体" w:cs="宋体"/>
          <w:b/>
          <w:color w:val="auto"/>
          <w:sz w:val="24"/>
          <w:highlight w:val="none"/>
        </w:rPr>
        <w:t xml:space="preserve">、商务条款偏离表</w:t>
      </w:r>
      <w:r/>
    </w:p>
    <w:p>
      <w:pPr>
        <w:jc w:val="center"/>
        <w:spacing w:before="100" w:beforeAutospacing="1" w:after="100" w:afterAutospacing="1" w:line="360" w:lineRule="auto"/>
        <w:rPr>
          <w:rFonts w:cs="宋体"/>
          <w:color w:val="auto"/>
          <w:highlight w:val="none"/>
        </w:rPr>
      </w:pPr>
      <w:r>
        <w:rPr>
          <w:rFonts w:hint="eastAsia" w:ascii="宋体" w:hAnsi="宋体" w:cs="宋体"/>
          <w:b/>
          <w:color w:val="auto"/>
          <w:sz w:val="24"/>
          <w:highlight w:val="none"/>
        </w:rPr>
        <w:t xml:space="preserve">商务条款偏离表</w:t>
      </w:r>
      <w:r/>
    </w:p>
    <w:tbl>
      <w:tblPr>
        <w:tblStyle w:val="698"/>
        <w:tblW w:w="878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0"/>
        <w:gridCol w:w="2268"/>
        <w:gridCol w:w="2268"/>
        <w:gridCol w:w="2268"/>
        <w:gridCol w:w="1134"/>
      </w:tblGrid>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序号</w:t>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磋商文件条目号</w:t>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磋商文件的商务条款</w:t>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响应文件的商务条款</w:t>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Style w:val="996"/>
                <w:rFonts w:ascii="宋体" w:hAnsi="宋体" w:eastAsia="宋体" w:cs="宋体"/>
                <w:color w:val="auto"/>
                <w:sz w:val="24"/>
                <w:szCs w:val="22"/>
                <w:highlight w:val="none"/>
                <w:lang w:val="en-US" w:eastAsia="en-US" w:bidi="ar-SA"/>
              </w:rPr>
              <w:t xml:space="preserve">说明</w:t>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Height w:val="850"/>
        </w:trPr>
        <w:tc>
          <w:tcPr>
            <w:tcW w:w="850"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268"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34" w:type="dxa"/>
            <w:vAlign w:val="center"/>
            <w:textDirection w:val="lrTb"/>
            <w:noWrap w:val="false"/>
          </w:tcPr>
          <w:p>
            <w:pPr>
              <w:jc w:val="center"/>
              <w:spacing w:before="240" w:after="240"/>
              <w:widowControl w:val="off"/>
              <w:rPr>
                <w:rStyle w:val="996"/>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20"/>
        <w:spacing w:line="360" w:lineRule="auto"/>
        <w:rPr>
          <w:rFonts w:hint="eastAsia" w:cs="宋体"/>
          <w:b/>
          <w:bCs/>
          <w:color w:val="auto"/>
          <w:sz w:val="10"/>
          <w:szCs w:val="13"/>
          <w:highlight w:val="none"/>
        </w:rPr>
      </w:pPr>
      <w:r>
        <w:rPr>
          <w:rFonts w:hint="eastAsia" w:cs="宋体"/>
          <w:b/>
          <w:bCs/>
          <w:color w:val="auto"/>
          <w:sz w:val="10"/>
          <w:szCs w:val="13"/>
          <w:highlight w:val="none"/>
        </w:rPr>
      </w:r>
      <w:r/>
    </w:p>
    <w:p>
      <w:pPr>
        <w:ind w:firstLine="420"/>
        <w:spacing w:line="360" w:lineRule="auto"/>
        <w:rPr>
          <w:rFonts w:hint="eastAsia" w:cs="宋体"/>
          <w:b/>
          <w:bCs/>
          <w:color w:val="auto"/>
          <w:sz w:val="24"/>
          <w:szCs w:val="32"/>
          <w:highlight w:val="none"/>
        </w:rPr>
      </w:pPr>
      <w:r>
        <w:rPr>
          <w:rFonts w:hint="eastAsia" w:cs="宋体"/>
          <w:b/>
          <w:bCs/>
          <w:color w:val="auto"/>
          <w:sz w:val="24"/>
          <w:szCs w:val="32"/>
          <w:highlight w:val="none"/>
        </w:rPr>
        <w:t xml:space="preserve">注：</w:t>
      </w:r>
      <w:r>
        <w:rPr>
          <w:rFonts w:hint="eastAsia" w:cs="宋体"/>
          <w:b/>
          <w:bCs/>
          <w:color w:val="auto"/>
          <w:sz w:val="24"/>
          <w:szCs w:val="32"/>
          <w:highlight w:val="none"/>
          <w:lang w:val="en-US" w:eastAsia="zh-CN"/>
        </w:rPr>
        <w:t xml:space="preserve">磋商响应单位</w:t>
      </w:r>
      <w:r>
        <w:rPr>
          <w:rFonts w:hint="eastAsia" w:cs="宋体"/>
          <w:b/>
          <w:bCs/>
          <w:color w:val="auto"/>
          <w:sz w:val="24"/>
          <w:szCs w:val="32"/>
          <w:highlight w:val="none"/>
        </w:rPr>
        <w:t xml:space="preserve">的</w:t>
      </w:r>
      <w:r>
        <w:rPr>
          <w:rFonts w:hint="eastAsia" w:cs="宋体"/>
          <w:b/>
          <w:bCs/>
          <w:color w:val="auto"/>
          <w:sz w:val="24"/>
          <w:szCs w:val="32"/>
          <w:highlight w:val="none"/>
          <w:lang w:val="en-US" w:eastAsia="zh-CN"/>
        </w:rPr>
        <w:t xml:space="preserve">响应</w:t>
      </w:r>
      <w:r>
        <w:rPr>
          <w:rFonts w:hint="eastAsia" w:cs="宋体"/>
          <w:b/>
          <w:bCs/>
          <w:color w:val="auto"/>
          <w:sz w:val="24"/>
          <w:szCs w:val="32"/>
          <w:highlight w:val="none"/>
        </w:rPr>
        <w:t xml:space="preserve">文件与</w:t>
      </w:r>
      <w:r>
        <w:rPr>
          <w:rFonts w:hint="eastAsia" w:cs="宋体"/>
          <w:b/>
          <w:bCs/>
          <w:color w:val="auto"/>
          <w:sz w:val="24"/>
          <w:szCs w:val="32"/>
          <w:highlight w:val="none"/>
          <w:lang w:val="en-US" w:eastAsia="zh-CN"/>
        </w:rPr>
        <w:t xml:space="preserve">磋商文件</w:t>
      </w:r>
      <w:r>
        <w:rPr>
          <w:rFonts w:hint="eastAsia" w:cs="宋体"/>
          <w:b/>
          <w:bCs/>
          <w:color w:val="auto"/>
          <w:sz w:val="24"/>
          <w:szCs w:val="32"/>
          <w:highlight w:val="none"/>
        </w:rPr>
        <w:t xml:space="preserve">规定的有偏离的，应在此表中说明。未在上表中说明的，如在</w:t>
      </w:r>
      <w:r>
        <w:rPr>
          <w:rFonts w:hint="eastAsia" w:cs="宋体"/>
          <w:b/>
          <w:bCs/>
          <w:color w:val="auto"/>
          <w:sz w:val="24"/>
          <w:szCs w:val="32"/>
          <w:highlight w:val="none"/>
          <w:lang w:val="en-US" w:eastAsia="zh-CN"/>
        </w:rPr>
        <w:t xml:space="preserve">响应</w:t>
      </w:r>
      <w:r>
        <w:rPr>
          <w:rFonts w:hint="eastAsia" w:cs="宋体"/>
          <w:b/>
          <w:bCs/>
          <w:color w:val="auto"/>
          <w:sz w:val="24"/>
          <w:szCs w:val="32"/>
          <w:highlight w:val="none"/>
        </w:rPr>
        <w:t xml:space="preserve">文件其他内容中已有文字说明的，则以已有文字说明为准，否则，将被认为完全响应</w:t>
      </w:r>
      <w:r>
        <w:rPr>
          <w:rFonts w:hint="eastAsia" w:cs="宋体"/>
          <w:b/>
          <w:bCs/>
          <w:color w:val="auto"/>
          <w:sz w:val="24"/>
          <w:szCs w:val="32"/>
          <w:highlight w:val="none"/>
          <w:lang w:val="en-US" w:eastAsia="zh-CN"/>
        </w:rPr>
        <w:t xml:space="preserve">磋商文件</w:t>
      </w:r>
      <w:r>
        <w:rPr>
          <w:rFonts w:hint="eastAsia" w:cs="宋体"/>
          <w:b/>
          <w:bCs/>
          <w:color w:val="auto"/>
          <w:sz w:val="24"/>
          <w:szCs w:val="32"/>
          <w:highlight w:val="none"/>
        </w:rPr>
        <w:t xml:space="preserve">的规定。但该表不作为</w:t>
      </w:r>
      <w:r>
        <w:rPr>
          <w:rFonts w:hint="eastAsia" w:cs="宋体"/>
          <w:b/>
          <w:bCs/>
          <w:color w:val="auto"/>
          <w:sz w:val="24"/>
          <w:szCs w:val="32"/>
          <w:highlight w:val="none"/>
          <w:lang w:val="en-US" w:eastAsia="zh-CN"/>
        </w:rPr>
        <w:t xml:space="preserve">磋商响应单位</w:t>
      </w:r>
      <w:r>
        <w:rPr>
          <w:rFonts w:hint="eastAsia" w:cs="宋体"/>
          <w:b/>
          <w:bCs/>
          <w:color w:val="auto"/>
          <w:sz w:val="24"/>
          <w:szCs w:val="32"/>
          <w:highlight w:val="none"/>
        </w:rPr>
        <w:t xml:space="preserve">对所投标的物关于商务条款等详细描述和说明的替代。</w:t>
      </w:r>
      <w:r/>
    </w:p>
    <w:p>
      <w:pPr>
        <w:pStyle w:val="730"/>
        <w:rPr>
          <w:rFonts w:hint="eastAsia" w:cs="宋体"/>
          <w:b/>
          <w:bCs/>
          <w:color w:val="auto"/>
          <w:sz w:val="24"/>
          <w:szCs w:val="32"/>
          <w:highlight w:val="none"/>
        </w:rPr>
      </w:pPr>
      <w:r>
        <w:rPr>
          <w:rFonts w:hint="eastAsia" w:cs="宋体"/>
          <w:b/>
          <w:bCs/>
          <w:color w:val="auto"/>
          <w:sz w:val="24"/>
          <w:szCs w:val="32"/>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eastAsia="宋体" w:cs="宋体"/>
          <w:color w:val="auto"/>
          <w:sz w:val="24"/>
          <w:szCs w:val="32"/>
          <w:highlight w:val="none"/>
        </w:rPr>
      </w:pPr>
      <w:r>
        <w:rPr>
          <w:rFonts w:ascii="宋体" w:hAnsi="宋体" w:eastAsia="宋体" w:cs="宋体"/>
          <w:color w:val="auto"/>
          <w:sz w:val="24"/>
          <w:highlight w:val="none"/>
        </w:rPr>
        <w:t xml:space="preserve">日期：      年    月    日</w:t>
      </w:r>
      <w:r/>
    </w:p>
    <w:p>
      <w:pPr>
        <w:pStyle w:val="730"/>
        <w:rPr>
          <w:rFonts w:hint="eastAsia" w:cs="宋体"/>
          <w:b/>
          <w:bCs/>
          <w:color w:val="auto"/>
          <w:sz w:val="24"/>
          <w:szCs w:val="32"/>
          <w:highlight w:val="none"/>
        </w:rPr>
      </w:pPr>
      <w:r>
        <w:rPr>
          <w:rFonts w:hint="eastAsia" w:cs="宋体"/>
          <w:b/>
          <w:bCs/>
          <w:color w:val="auto"/>
          <w:sz w:val="24"/>
          <w:szCs w:val="32"/>
          <w:highlight w:val="none"/>
        </w:rPr>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12、针对本项目所制定的服务方案</w:t>
      </w:r>
      <w:r/>
    </w:p>
    <w:p>
      <w:pPr>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tbl>
      <w:tblPr>
        <w:tblStyle w:val="698"/>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ind w:left="57" w:right="57"/>
              <w:jc w:val="left"/>
              <w:keepLines w:val="0"/>
              <w:keepNext w:val="0"/>
              <w:pageBreakBefore w:val="0"/>
              <w:spacing w:before="37" w:after="37" w:line="360" w:lineRule="auto"/>
              <w:widowControl w:val="off"/>
              <w:tabs>
                <w:tab w:val="left" w:pos="13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提示：</w:t>
            </w:r>
            <w:r/>
          </w:p>
          <w:p>
            <w:pPr>
              <w:numPr>
                <w:ilvl w:val="12"/>
                <w:numId w:val="0"/>
              </w:numPr>
              <w:ind w:left="57" w:right="57" w:firstLine="0"/>
              <w:jc w:val="left"/>
              <w:keepLines w:val="0"/>
              <w:keepNext w:val="0"/>
              <w:pageBreakBefore w:val="0"/>
              <w:spacing w:before="37" w:after="37" w:line="360" w:lineRule="auto"/>
              <w:widowControl w:val="off"/>
              <w:tabs>
                <w:tab w:val="left" w:pos="13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1、供应商应根据本次采购项目要求，编制服务方案及详细的说明与描述；</w:t>
            </w:r>
            <w:r/>
          </w:p>
          <w:p>
            <w:pPr>
              <w:ind w:left="57" w:right="57"/>
              <w:jc w:val="left"/>
              <w:keepLines w:val="0"/>
              <w:keepNext w:val="0"/>
              <w:pageBreakBefore w:val="0"/>
              <w:spacing w:before="37" w:after="37"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left="57" w:right="57" w:firstLine="210"/>
              <w:jc w:val="center"/>
              <w:keepLines w:val="0"/>
              <w:keepNext w:val="0"/>
              <w:pageBreakBefore w:val="0"/>
              <w:spacing w:before="37" w:after="37" w:line="360" w:lineRule="auto"/>
              <w:widowControl w:val="off"/>
              <w:tabs>
                <w:tab w:val="left" w:pos="1320"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单位名称（盖章）：                  </w:t>
            </w:r>
            <w:r/>
          </w:p>
        </w:tc>
      </w:tr>
    </w:tbl>
    <w:p>
      <w:pPr>
        <w:jc w:val="left"/>
        <w:spacing w:line="360" w:lineRule="auto"/>
        <w:rPr>
          <w:rFonts w:hint="eastAsia" w:ascii="宋体" w:hAnsi="宋体" w:cs="宋体"/>
          <w:b/>
          <w:color w:val="auto"/>
          <w:sz w:val="24"/>
          <w:highlight w:val="none"/>
        </w:rPr>
      </w:pPr>
      <w:r>
        <w:rPr>
          <w:rFonts w:hint="eastAsia" w:ascii="宋体" w:hAnsi="宋体" w:cs="宋体"/>
          <w:b/>
          <w:color w:val="auto"/>
          <w:highlight w:val="none"/>
        </w:rPr>
        <w:br w:type="page" w:clear="all"/>
      </w:r>
      <w:bookmarkStart w:id="31" w:name="_Toc16843"/>
      <w:r/>
      <w:bookmarkStart w:id="32" w:name="_Toc4371"/>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13</w:t>
      </w:r>
      <w:r>
        <w:rPr>
          <w:rFonts w:hint="eastAsia" w:ascii="宋体" w:hAnsi="宋体" w:cs="宋体"/>
          <w:b/>
          <w:color w:val="auto"/>
          <w:sz w:val="24"/>
          <w:highlight w:val="none"/>
        </w:rPr>
        <w:t xml:space="preserve">、类似项目业绩一览表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03"/>
        <w:jc w:val="center"/>
        <w:spacing w:after="0" w:line="360" w:lineRule="auto"/>
        <w:rPr>
          <w:rFonts w:hint="eastAsia"/>
          <w:b/>
          <w:bCs/>
          <w:color w:val="auto"/>
          <w:spacing w:val="-4"/>
          <w:sz w:val="24"/>
          <w:szCs w:val="24"/>
          <w:highlight w:val="none"/>
        </w:rPr>
      </w:pPr>
      <w:r>
        <w:rPr>
          <w:rFonts w:hint="eastAsia"/>
          <w:b/>
          <w:bCs/>
          <w:color w:val="auto"/>
          <w:spacing w:val="-4"/>
          <w:sz w:val="24"/>
          <w:szCs w:val="24"/>
          <w:highlight w:val="none"/>
        </w:rPr>
        <w:t xml:space="preserve">类似项目业绩一览表</w:t>
      </w:r>
      <w:r/>
    </w:p>
    <w:p>
      <w:pPr>
        <w:pStyle w:val="703"/>
        <w:jc w:val="center"/>
        <w:spacing w:after="0" w:line="360" w:lineRule="auto"/>
        <w:rPr>
          <w:rFonts w:hint="eastAsia"/>
          <w:b/>
          <w:bCs/>
          <w:color w:val="auto"/>
          <w:spacing w:val="-4"/>
          <w:sz w:val="24"/>
          <w:szCs w:val="24"/>
          <w:highlight w:val="none"/>
        </w:rPr>
      </w:pPr>
      <w:r>
        <w:rPr>
          <w:rFonts w:hint="eastAsia"/>
          <w:b/>
          <w:bCs/>
          <w:color w:val="auto"/>
          <w:spacing w:val="-4"/>
          <w:sz w:val="24"/>
          <w:szCs w:val="24"/>
          <w:highlight w:val="none"/>
        </w:rPr>
      </w:r>
      <w:r/>
    </w:p>
    <w:tbl>
      <w:tblPr>
        <w:tblStyle w:val="698"/>
        <w:tblW w:w="91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835"/>
        <w:gridCol w:w="2154"/>
        <w:gridCol w:w="2154"/>
        <w:gridCol w:w="1134"/>
      </w:tblGrid>
      <w:tr>
        <w:trPr>
          <w:jc w:val="center"/>
          <w:trHeight w:val="567"/>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2154" w:type="dxa"/>
            <w:vAlign w:val="center"/>
            <w:textDirection w:val="lrTb"/>
            <w:noWrap/>
          </w:tcPr>
          <w:p>
            <w:pPr>
              <w:jc w:val="center"/>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签订时间</w:t>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合同金额（万元）</w:t>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W w:w="850"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35"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15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10"/>
          <w:szCs w:val="10"/>
          <w:highlight w:val="none"/>
        </w:rPr>
      </w:pPr>
      <w:r>
        <w:rPr>
          <w:rFonts w:hint="eastAsia" w:ascii="宋体" w:hAnsi="宋体" w:cs="宋体"/>
          <w:color w:val="auto"/>
          <w:sz w:val="10"/>
          <w:szCs w:val="10"/>
          <w:highlight w:val="none"/>
        </w:rPr>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注：按</w:t>
      </w:r>
      <w:r>
        <w:rPr>
          <w:rFonts w:hint="eastAsia" w:ascii="宋体" w:hAnsi="宋体" w:cs="宋体"/>
          <w:b/>
          <w:bCs/>
          <w:color w:val="auto"/>
          <w:sz w:val="24"/>
          <w:highlight w:val="none"/>
          <w:lang w:val="en-US" w:eastAsia="zh-CN"/>
        </w:rPr>
        <w:t xml:space="preserve">磋商文件</w:t>
      </w:r>
      <w:r>
        <w:rPr>
          <w:rFonts w:hint="eastAsia" w:ascii="宋体" w:hAnsi="宋体" w:cs="宋体"/>
          <w:b/>
          <w:bCs/>
          <w:color w:val="auto"/>
          <w:sz w:val="24"/>
          <w:highlight w:val="none"/>
        </w:rPr>
        <w:t xml:space="preserve">要求附相关证明材料。</w:t>
      </w:r>
      <w:r/>
    </w:p>
    <w:p>
      <w:pPr>
        <w:pStyle w:val="730"/>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color w:val="auto"/>
          <w:highlight w:val="none"/>
        </w:rPr>
      </w:pPr>
      <w:r>
        <w:rPr>
          <w:rFonts w:ascii="宋体" w:hAnsi="宋体" w:eastAsia="宋体" w:cs="宋体"/>
          <w:color w:val="auto"/>
          <w:sz w:val="24"/>
          <w:highlight w:val="none"/>
        </w:rPr>
        <w:t xml:space="preserve">日期：      年    月    日</w:t>
      </w:r>
      <w:r/>
    </w:p>
    <w:p>
      <w:pPr>
        <w:pStyle w:val="730"/>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bookmarkEnd w:id="28"/>
      <w:r/>
      <w:bookmarkEnd w:id="31"/>
      <w:r/>
      <w:bookmarkEnd w:id="32"/>
      <w:r/>
      <w:r/>
    </w:p>
    <w:p>
      <w:pPr>
        <w:jc w:val="left"/>
        <w:spacing w:line="360" w:lineRule="auto"/>
        <w:rPr>
          <w:rFonts w:hint="eastAsia" w:ascii="宋体" w:hAnsi="宋体" w:eastAsia="宋体" w:cs="宋体"/>
          <w:b/>
          <w:bCs/>
          <w:color w:val="auto"/>
          <w:sz w:val="24"/>
          <w:highlight w:val="none"/>
          <w:lang w:val="zh-CN"/>
        </w:rPr>
      </w:pPr>
      <w:r/>
      <w:bookmarkStart w:id="33" w:name="_Toc21574"/>
      <w:r/>
      <w:bookmarkStart w:id="34" w:name="_Toc71810484"/>
      <w:r/>
      <w:bookmarkStart w:id="35" w:name="_Toc19621"/>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lang w:val="zh-CN"/>
        </w:rPr>
        <w:t xml:space="preserve">与其他单位存在控股、管理关系情况表</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供应商</w:t>
      </w:r>
      <w:r>
        <w:rPr>
          <w:rFonts w:hint="eastAsia" w:ascii="宋体" w:hAnsi="宋体" w:cs="宋体"/>
          <w:b/>
          <w:bCs/>
          <w:color w:val="auto"/>
          <w:sz w:val="24"/>
          <w:highlight w:val="none"/>
          <w:lang w:val="zh-CN"/>
        </w:rPr>
        <w:t xml:space="preserve">与其他单位存在控股、管理关系情况表</w:t>
      </w:r>
      <w:r/>
    </w:p>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tbl>
      <w:tblPr>
        <w:tblStyle w:val="698"/>
        <w:tblW w:w="0" w:type="auto"/>
        <w:jc w:val="center"/>
        <w:tblLayout w:type="fixed"/>
        <w:tblCellMar>
          <w:left w:w="108" w:type="dxa"/>
          <w:top w:w="0" w:type="dxa"/>
          <w:right w:w="108" w:type="dxa"/>
          <w:bottom w:w="0" w:type="dxa"/>
        </w:tblCellMar>
        <w:tblLook w:val="04A0" w:firstRow="1" w:lastRow="0" w:firstColumn="1" w:lastColumn="0" w:noHBand="0" w:noVBand="1"/>
      </w:tblPr>
      <w:tblGrid>
        <w:gridCol w:w="5103"/>
        <w:gridCol w:w="3260"/>
      </w:tblGrid>
      <w:tr>
        <w:trPr>
          <w:jc w:val="center"/>
          <w:trHeight w:val="637"/>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firstLine="0"/>
              <w:jc w:val="center"/>
              <w:keepLines w:val="0"/>
              <w:keepNext/>
              <w:pageBreakBefore w:val="0"/>
              <w:spacing w:line="240" w:lineRule="auto"/>
              <w:shd w:val="clear" w:color="auto" w:fill="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eastAsia="zh-CN"/>
              </w:rPr>
              <w:t xml:space="preserve">与</w:t>
            </w:r>
            <w:r>
              <w:rPr>
                <w:rFonts w:hint="eastAsia" w:ascii="宋体" w:hAnsi="宋体" w:eastAsia="宋体" w:cs="宋体"/>
                <w:b/>
                <w:bCs/>
                <w:color w:val="auto"/>
                <w:sz w:val="24"/>
                <w:szCs w:val="24"/>
                <w:highlight w:val="none"/>
                <w:lang w:val="en-US" w:eastAsia="zh-CN"/>
              </w:rPr>
              <w:t xml:space="preserve">其他单位</w:t>
            </w:r>
            <w:r>
              <w:rPr>
                <w:rFonts w:hint="eastAsia" w:ascii="宋体" w:hAnsi="宋体" w:eastAsia="宋体" w:cs="宋体"/>
                <w:b/>
                <w:bCs/>
                <w:color w:val="auto"/>
                <w:sz w:val="24"/>
                <w:szCs w:val="24"/>
                <w:highlight w:val="none"/>
                <w:lang w:eastAsia="zh-CN"/>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ind w:firstLine="0"/>
              <w:jc w:val="center"/>
              <w:keepLines w:val="0"/>
              <w:keepNext/>
              <w:pageBreakBefore w:val="0"/>
              <w:spacing w:line="240" w:lineRule="auto"/>
              <w:shd w:val="clear" w:color="auto" w:fill="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val="false"/>
          </w:tcPr>
          <w:p>
            <w:pPr>
              <w:jc w:val="center"/>
              <w:keepLines w:val="0"/>
              <w:keepNext/>
              <w:pageBreakBefore w:val="0"/>
              <w:spacing w:line="240" w:lineRule="auto"/>
              <w:shd w:val="clear" w:color="auto" w:fill="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r>
    </w:tbl>
    <w:p>
      <w:pPr>
        <w:ind w:firstLine="482"/>
        <w:spacing w:line="360" w:lineRule="auto"/>
        <w:rPr>
          <w:rFonts w:hint="eastAsia" w:ascii="宋体" w:hAnsi="宋体" w:cs="宋体"/>
          <w:b/>
          <w:color w:val="auto"/>
          <w:sz w:val="10"/>
          <w:szCs w:val="10"/>
          <w:highlight w:val="none"/>
          <w:shd w:val="clear" w:color="auto" w:fill="ffffff"/>
        </w:rPr>
      </w:pPr>
      <w:r>
        <w:rPr>
          <w:rFonts w:hint="eastAsia" w:ascii="宋体" w:hAnsi="宋体" w:cs="宋体"/>
          <w:b/>
          <w:color w:val="auto"/>
          <w:sz w:val="10"/>
          <w:szCs w:val="10"/>
          <w:highlight w:val="none"/>
          <w:shd w:val="clear" w:color="auto" w:fill="ffffff"/>
        </w:rPr>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shd w:val="clear" w:color="auto" w:fill="ffffff"/>
        </w:rPr>
        <w:t xml:space="preserve">注</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cs="宋体"/>
          <w:b/>
          <w:color w:val="auto"/>
          <w:sz w:val="24"/>
          <w:szCs w:val="24"/>
          <w:highlight w:val="none"/>
          <w:shd w:val="clear" w:color="auto" w:fill="ffffff"/>
          <w:lang w:val="en-US" w:eastAsia="zh-CN"/>
        </w:rPr>
        <w:t xml:space="preserve">供应商应当按实填写所有与之有控股、管理关系的情况。</w:t>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highlight w:val="none"/>
        </w:rPr>
      </w:r>
      <w:r>
        <w:rPr>
          <w:rFonts w:ascii="宋体" w:hAnsi="宋体" w:eastAsia="宋体" w:cs="宋体"/>
          <w:color w:val="auto"/>
          <w:sz w:val="24"/>
          <w:highlight w:val="none"/>
        </w:rPr>
        <w:t xml:space="preserve">日期：      年    月    日</w:t>
      </w:r>
      <w:r>
        <w:rPr>
          <w:rFonts w:ascii="宋体" w:hAnsi="宋体" w:eastAsia="宋体" w:cs="宋体"/>
          <w:color w:val="auto"/>
          <w:sz w:val="24"/>
          <w:highlight w:val="none"/>
        </w:rPr>
      </w:r>
      <w:r/>
    </w:p>
    <w:p>
      <w:pPr>
        <w:ind w:firstLine="480"/>
        <w:spacing w:line="360" w:lineRule="auto"/>
        <w:rPr>
          <w:rFonts w:hint="eastAsia" w:ascii="宋体" w:hAnsi="宋体" w:cs="宋体"/>
          <w:b/>
          <w:bCs/>
          <w:color w:val="auto"/>
          <w:sz w:val="24"/>
          <w:szCs w:val="24"/>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highlight w:val="none"/>
        </w:rPr>
      </w:r>
      <w:r>
        <w:rPr>
          <w:highlight w:val="none"/>
        </w:rPr>
      </w:r>
      <w:r/>
    </w:p>
    <w:p>
      <w:pPr>
        <w:ind w:firstLine="480"/>
        <w:spacing w:line="360" w:lineRule="auto"/>
        <w:rPr>
          <w:highlight w:val="none"/>
        </w:rPr>
      </w:pPr>
      <w:r>
        <w:rPr>
          <w:rFonts w:ascii="宋体" w:hAnsi="宋体" w:eastAsia="宋体" w:cs="宋体"/>
          <w:color w:val="auto"/>
          <w:sz w:val="24"/>
          <w:highlight w:val="none"/>
        </w:rPr>
      </w:r>
      <w:bookmarkStart w:id="36" w:name="_Toc14253"/>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、中小企业声明函</w:t>
      </w:r>
      <w:bookmarkEnd w:id="33"/>
      <w:r/>
      <w:bookmarkEnd w:id="34"/>
      <w:r/>
      <w:bookmarkEnd w:id="35"/>
      <w:r/>
      <w:bookmarkEnd w:id="36"/>
      <w:r/>
      <w:r/>
    </w:p>
    <w:p>
      <w:pPr>
        <w:jc w:val="center"/>
        <w:spacing w:line="360" w:lineRule="auto"/>
        <w:rPr>
          <w:rFonts w:hint="eastAsia" w:ascii="宋体" w:hAnsi="宋体" w:cs="宋体"/>
          <w:b/>
          <w:bCs/>
          <w:color w:val="auto"/>
          <w:sz w:val="24"/>
          <w:highlight w:val="none"/>
        </w:rPr>
        <w:outlineLvl w:val="0"/>
      </w:pPr>
      <w:r/>
      <w:bookmarkStart w:id="37" w:name="_Toc71810485"/>
      <w:r>
        <w:rPr>
          <w:rFonts w:ascii="宋体" w:hAnsi="宋体" w:cs="宋体"/>
          <w:b/>
          <w:bCs/>
          <w:color w:val="auto"/>
          <w:sz w:val="24"/>
          <w:highlight w:val="none"/>
        </w:rPr>
        <w:t xml:space="preserve">中小企业声明函(</w:t>
      </w:r>
      <w:r>
        <w:rPr>
          <w:rFonts w:hint="eastAsia" w:ascii="宋体" w:hAnsi="宋体" w:cs="宋体"/>
          <w:b/>
          <w:bCs/>
          <w:color w:val="auto"/>
          <w:sz w:val="24"/>
          <w:highlight w:val="none"/>
        </w:rPr>
        <w:t xml:space="preserve">服务</w:t>
      </w:r>
      <w:r>
        <w:rPr>
          <w:rFonts w:ascii="宋体" w:hAnsi="宋体" w:cs="宋体"/>
          <w:b/>
          <w:bCs/>
          <w:color w:val="auto"/>
          <w:sz w:val="24"/>
          <w:highlight w:val="none"/>
        </w:rPr>
        <w:t xml:space="preserve">)</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u w:val="single"/>
          <w:cs/>
        </w:rPr>
        <w:t xml:space="preserve"> </w:t>
      </w:r>
      <w:r>
        <w:rPr>
          <w:rFonts w:hint="eastAsia" w:ascii="宋体" w:hAnsi="宋体" w:cs="宋体"/>
          <w:color w:val="auto"/>
          <w:sz w:val="24"/>
          <w:highlight w:val="none"/>
          <w:u w:val="single"/>
        </w:rPr>
        <w:t xml:space="preserve">（采购代理机构名称）</w:t>
      </w:r>
      <w:r>
        <w:rPr>
          <w:rFonts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本公司郑重声明，根据《政府采购促进中小企业发展管理办法》(财库[2020]46号)的规定，本公司参加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采购活动，服务全部由符合政策要求的中小企业承接。相关企业的具体情况如下：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行业；承接企业为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rPr>
        <w:t xml:space="preserve">为【】</w:t>
      </w:r>
      <w:r>
        <w:rPr>
          <w:rFonts w:ascii="宋体" w:hAnsi="宋体" w:cs="宋体"/>
          <w:color w:val="auto"/>
          <w:sz w:val="24"/>
          <w:highlight w:val="none"/>
        </w:rPr>
        <w:t xml:space="preserve">人，营业收入为</w:t>
      </w:r>
      <w:r>
        <w:rPr>
          <w:rFonts w:hint="eastAsia" w:ascii="宋体" w:hAnsi="宋体" w:cs="宋体"/>
          <w:color w:val="auto"/>
          <w:sz w:val="24"/>
          <w:highlight w:val="none"/>
        </w:rPr>
        <w:t xml:space="preserve">【】</w:t>
      </w:r>
      <w:r>
        <w:rPr>
          <w:rFonts w:ascii="宋体" w:hAnsi="宋体" w:cs="宋体"/>
          <w:color w:val="auto"/>
          <w:sz w:val="24"/>
          <w:highlight w:val="none"/>
        </w:rPr>
        <w:t xml:space="preserve">万元，资产总额为</w:t>
      </w:r>
      <w:r>
        <w:rPr>
          <w:rFonts w:hint="eastAsia" w:ascii="宋体" w:hAnsi="宋体" w:cs="宋体"/>
          <w:color w:val="auto"/>
          <w:sz w:val="24"/>
          <w:highlight w:val="none"/>
        </w:rPr>
        <w:t xml:space="preserve">【】</w:t>
      </w:r>
      <w:r>
        <w:rPr>
          <w:rFonts w:ascii="宋体" w:hAnsi="宋体" w:cs="宋体"/>
          <w:color w:val="auto"/>
          <w:sz w:val="24"/>
          <w:highlight w:val="none"/>
        </w:rPr>
        <w:t xml:space="preserve">万元，属于</w:t>
      </w:r>
      <w:r>
        <w:rPr>
          <w:rFonts w:ascii="Times New Roman" w:hAnsi="Times New Roman" w:cs="Times New Roman"/>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ascii="Times New Roman" w:hAnsi="Times New Roman" w:cs="Times New Roman"/>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ascii="Times New Roman" w:hAnsi="Times New Roman" w:cs="Times New Roman"/>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ascii="Times New Roman" w:hAnsi="Times New Roman" w:cs="Times New Roman"/>
          <w:color w:val="auto"/>
          <w:sz w:val="24"/>
          <w:szCs w:val="24"/>
          <w:highlight w:val="none"/>
          <w:u w:val="single"/>
        </w:rPr>
        <w:t xml:space="preserve">微型企业）</w:t>
      </w:r>
      <w:r>
        <w:rPr>
          <w:rFonts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企业名称：(</w:t>
      </w:r>
      <w:r>
        <w:rPr>
          <w:rFonts w:hint="eastAsia" w:ascii="宋体" w:hAnsi="宋体" w:cs="宋体"/>
          <w:color w:val="auto"/>
          <w:sz w:val="24"/>
          <w:highlight w:val="none"/>
          <w:lang w:val="en-US" w:eastAsia="zh-CN"/>
        </w:rPr>
        <w:t xml:space="preserve">盖章</w:t>
      </w:r>
      <w:r>
        <w:rPr>
          <w:rFonts w:ascii="宋体" w:hAnsi="宋体" w:cs="宋体"/>
          <w:color w:val="auto"/>
          <w:sz w:val="24"/>
          <w:highlight w:val="none"/>
        </w:rPr>
        <w:t xml:space="preserve">)</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日期：</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ascii="宋体" w:hAnsi="宋体" w:cs="宋体"/>
          <w:b/>
          <w:bCs/>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ascii="宋体" w:hAnsi="宋体" w:cs="宋体"/>
          <w:b/>
          <w:bCs/>
          <w:color w:val="auto"/>
          <w:sz w:val="24"/>
          <w:highlight w:val="none"/>
        </w:rPr>
        <w:t xml:space="preserve">1、从业人员、营业收入、资产总额填报上一年度数据，无上一年度数据的新成立企业可不填报。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2</w:t>
      </w:r>
      <w:r>
        <w:rPr>
          <w:rFonts w:ascii="宋体" w:hAnsi="宋体" w:cs="宋体"/>
          <w:b/>
          <w:bCs/>
          <w:color w:val="auto"/>
          <w:sz w:val="24"/>
          <w:highlight w:val="none"/>
          <w:lang w:bidi="ar"/>
        </w:rPr>
        <w:t xml:space="preserve">、中小企业划分标准详见“工信部联企业〔2011〕300号通知中的《中小企业划型标准规定》”。</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3</w:t>
      </w:r>
      <w:r>
        <w:rPr>
          <w:rFonts w:ascii="宋体" w:hAnsi="宋体" w:cs="宋体"/>
          <w:b/>
          <w:bCs/>
          <w:color w:val="auto"/>
          <w:sz w:val="24"/>
          <w:highlight w:val="none"/>
          <w:lang w:bidi="ar"/>
        </w:rPr>
        <w:t xml:space="preserve">、《中小企业声明函》中所填的行业应与本采购标的对应的中小企业划分标准所属行业一致，不一致的不可享受相应政策优惠。</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4</w:t>
      </w:r>
      <w:r>
        <w:rPr>
          <w:rFonts w:ascii="宋体" w:hAnsi="宋体" w:cs="宋体"/>
          <w:b/>
          <w:bCs/>
          <w:color w:val="auto"/>
          <w:sz w:val="24"/>
          <w:highlight w:val="none"/>
          <w:lang w:bidi="ar"/>
        </w:rPr>
        <w:t xml:space="preserve">、如未对（中型企业、小型企业、微型企业）进行勾选，视同非中小微企业，不可享受相应扶持政策。</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5</w:t>
      </w:r>
      <w:r>
        <w:rPr>
          <w:rFonts w:ascii="宋体" w:hAnsi="宋体" w:cs="宋体"/>
          <w:b/>
          <w:bCs/>
          <w:color w:val="auto"/>
          <w:sz w:val="24"/>
          <w:highlight w:val="none"/>
          <w:lang w:bidi="ar"/>
        </w:rPr>
        <w:t xml:space="preserve">、</w:t>
      </w:r>
      <w:r>
        <w:rPr>
          <w:rFonts w:hint="eastAsia" w:ascii="宋体" w:hAnsi="宋体" w:cs="宋体"/>
          <w:b/>
          <w:bCs/>
          <w:color w:val="auto"/>
          <w:sz w:val="24"/>
          <w:highlight w:val="none"/>
          <w:lang w:bidi="ar"/>
        </w:rPr>
        <w:t xml:space="preserve">中标单位</w:t>
      </w:r>
      <w:r>
        <w:rPr>
          <w:rFonts w:ascii="宋体" w:hAnsi="宋体" w:cs="宋体"/>
          <w:b/>
          <w:bCs/>
          <w:color w:val="auto"/>
          <w:sz w:val="24"/>
          <w:highlight w:val="none"/>
          <w:lang w:bidi="ar"/>
        </w:rPr>
        <w:t xml:space="preserve">为中小微企业的，《中小企业声明函》将随</w:t>
      </w:r>
      <w:r>
        <w:rPr>
          <w:rFonts w:hint="eastAsia" w:ascii="宋体" w:hAnsi="宋体" w:cs="宋体"/>
          <w:b/>
          <w:bCs/>
          <w:color w:val="auto"/>
          <w:sz w:val="24"/>
          <w:highlight w:val="none"/>
          <w:lang w:bidi="ar"/>
        </w:rPr>
        <w:t xml:space="preserve">中标</w:t>
      </w:r>
      <w:r>
        <w:rPr>
          <w:rFonts w:ascii="宋体" w:hAnsi="宋体" w:cs="宋体"/>
          <w:b/>
          <w:bCs/>
          <w:color w:val="auto"/>
          <w:sz w:val="24"/>
          <w:highlight w:val="none"/>
          <w:lang w:bidi="ar"/>
        </w:rPr>
        <w:t xml:space="preserve">结果同时公告。</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6</w:t>
      </w:r>
      <w:r>
        <w:rPr>
          <w:rFonts w:ascii="宋体" w:hAnsi="宋体" w:cs="宋体"/>
          <w:b/>
          <w:bCs/>
          <w:color w:val="auto"/>
          <w:sz w:val="24"/>
          <w:highlight w:val="none"/>
          <w:lang w:bidi="ar"/>
        </w:rPr>
        <w:t xml:space="preserve">、若供应商提供的“中小企业声明函”内容不实的，属于提供虚假材料谋取中标、成交，依照《中华人民共和国政府采购法》等国家有关规定追究相应责任。</w:t>
      </w:r>
      <w:r/>
    </w:p>
    <w:p>
      <w:pPr>
        <w:keepLines w:val="0"/>
        <w:keepNext w:val="0"/>
        <w:pageBreakBefore w:val="0"/>
        <w:spacing w:line="400" w:lineRule="exact"/>
        <w:widowControl w:val="off"/>
        <w:rPr>
          <w:rFonts w:hint="eastAsia" w:ascii="宋体" w:hAnsi="宋体" w:cs="宋体"/>
          <w:b/>
          <w:color w:val="auto"/>
          <w:sz w:val="24"/>
          <w:szCs w:val="32"/>
          <w:highlight w:val="none"/>
        </w:rPr>
      </w:pPr>
      <w:r>
        <w:rPr>
          <w:rFonts w:hint="eastAsia" w:ascii="宋体" w:hAnsi="宋体" w:cs="宋体"/>
          <w:b/>
          <w:color w:val="auto"/>
          <w:sz w:val="24"/>
          <w:szCs w:val="32"/>
          <w:highlight w:val="none"/>
        </w:rPr>
        <w:t xml:space="preserve">附：中小企业划型标准规定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（一）农、林、牧、渔业。</w:t>
      </w:r>
      <w:r>
        <w:rPr>
          <w:rFonts w:hint="eastAsia" w:ascii="宋体" w:hAnsi="宋体" w:cs="宋体"/>
          <w:b w:val="0"/>
          <w:bCs/>
          <w:color w:val="auto"/>
          <w:sz w:val="24"/>
          <w:szCs w:val="32"/>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（二）工业。</w:t>
      </w:r>
      <w:r>
        <w:rPr>
          <w:rFonts w:hint="eastAsia" w:ascii="宋体" w:hAnsi="宋体" w:cs="宋体"/>
          <w:b w:val="0"/>
          <w:bCs/>
          <w:color w:val="auto"/>
          <w:sz w:val="24"/>
          <w:szCs w:val="32"/>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（三）建筑业。</w:t>
      </w:r>
      <w:r>
        <w:rPr>
          <w:rFonts w:hint="eastAsia" w:ascii="宋体" w:hAnsi="宋体" w:cs="宋体"/>
          <w:b w:val="0"/>
          <w:bCs/>
          <w:color w:val="auto"/>
          <w:sz w:val="24"/>
          <w:szCs w:val="32"/>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（四）批发业。</w:t>
      </w:r>
      <w:r>
        <w:rPr>
          <w:rFonts w:hint="eastAsia" w:ascii="宋体" w:hAnsi="宋体" w:cs="宋体"/>
          <w:b w:val="0"/>
          <w:bCs/>
          <w:color w:val="auto"/>
          <w:sz w:val="24"/>
          <w:szCs w:val="3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（五）零售业。</w:t>
      </w:r>
      <w:r>
        <w:rPr>
          <w:rFonts w:hint="eastAsia" w:ascii="宋体" w:hAnsi="宋体" w:cs="宋体"/>
          <w:b w:val="0"/>
          <w:bCs/>
          <w:color w:val="auto"/>
          <w:sz w:val="24"/>
          <w:szCs w:val="32"/>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（六）交通运输业。</w:t>
      </w:r>
      <w:r>
        <w:rPr>
          <w:rFonts w:hint="eastAsia" w:ascii="宋体" w:hAnsi="宋体" w:cs="宋体"/>
          <w:b w:val="0"/>
          <w:bCs/>
          <w:color w:val="auto"/>
          <w:sz w:val="24"/>
          <w:szCs w:val="32"/>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（七）仓储业。</w:t>
      </w:r>
      <w:r>
        <w:rPr>
          <w:rFonts w:hint="eastAsia" w:ascii="宋体" w:hAnsi="宋体" w:cs="宋体"/>
          <w:b w:val="0"/>
          <w:bCs/>
          <w:color w:val="auto"/>
          <w:sz w:val="24"/>
          <w:szCs w:val="32"/>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（八）邮政业。</w:t>
      </w:r>
      <w:r>
        <w:rPr>
          <w:rFonts w:hint="eastAsia" w:ascii="宋体" w:hAnsi="宋体" w:cs="宋体"/>
          <w:b w:val="0"/>
          <w:bCs/>
          <w:color w:val="auto"/>
          <w:sz w:val="24"/>
          <w:szCs w:val="32"/>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（九）住宿业。</w:t>
      </w:r>
      <w:r>
        <w:rPr>
          <w:rFonts w:hint="eastAsia" w:ascii="宋体" w:hAnsi="宋体" w:cs="宋体"/>
          <w:b w:val="0"/>
          <w:bCs/>
          <w:color w:val="auto"/>
          <w:sz w:val="24"/>
          <w:szCs w:val="3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（十）餐饮业。</w:t>
      </w:r>
      <w:r>
        <w:rPr>
          <w:rFonts w:hint="eastAsia" w:ascii="宋体" w:hAnsi="宋体" w:cs="宋体"/>
          <w:b w:val="0"/>
          <w:bCs/>
          <w:color w:val="auto"/>
          <w:sz w:val="24"/>
          <w:szCs w:val="3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（十一）信息传输业。</w:t>
      </w:r>
      <w:r>
        <w:rPr>
          <w:rFonts w:hint="eastAsia" w:ascii="宋体" w:hAnsi="宋体" w:cs="宋体"/>
          <w:b w:val="0"/>
          <w:bCs/>
          <w:color w:val="auto"/>
          <w:sz w:val="24"/>
          <w:szCs w:val="32"/>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（十二）软件和信息技术服务业。</w:t>
      </w:r>
      <w:r>
        <w:rPr>
          <w:rFonts w:hint="eastAsia" w:ascii="宋体" w:hAnsi="宋体" w:cs="宋体"/>
          <w:b w:val="0"/>
          <w:bCs/>
          <w:color w:val="auto"/>
          <w:sz w:val="24"/>
          <w:szCs w:val="32"/>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（十三）房地产开发经营。</w:t>
      </w:r>
      <w:r>
        <w:rPr>
          <w:rFonts w:hint="eastAsia" w:ascii="宋体" w:hAnsi="宋体" w:cs="宋体"/>
          <w:b w:val="0"/>
          <w:bCs/>
          <w:color w:val="auto"/>
          <w:sz w:val="24"/>
          <w:szCs w:val="32"/>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（十四）物业管理。</w:t>
      </w:r>
      <w:r>
        <w:rPr>
          <w:rFonts w:hint="eastAsia" w:ascii="宋体" w:hAnsi="宋体" w:cs="宋体"/>
          <w:b w:val="0"/>
          <w:bCs/>
          <w:color w:val="auto"/>
          <w:sz w:val="24"/>
          <w:szCs w:val="32"/>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（十五）租赁和商务服务业。</w:t>
      </w:r>
      <w:r>
        <w:rPr>
          <w:rFonts w:hint="eastAsia" w:ascii="宋体" w:hAnsi="宋体" w:cs="宋体"/>
          <w:b w:val="0"/>
          <w:bCs/>
          <w:color w:val="auto"/>
          <w:sz w:val="24"/>
          <w:szCs w:val="32"/>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keepLines w:val="0"/>
        <w:keepNext w:val="0"/>
        <w:pageBreakBefore w:val="0"/>
        <w:spacing w:line="400" w:lineRule="exact"/>
        <w:widowControl w:val="off"/>
        <w:rPr>
          <w:rFonts w:hint="eastAsia" w:ascii="宋体" w:hAnsi="宋体" w:cs="宋体"/>
          <w:b w:val="0"/>
          <w:bCs/>
          <w:color w:val="auto"/>
          <w:sz w:val="24"/>
          <w:szCs w:val="32"/>
          <w:highlight w:val="none"/>
        </w:rPr>
      </w:pPr>
      <w:r>
        <w:rPr>
          <w:rFonts w:hint="eastAsia" w:ascii="宋体" w:hAnsi="宋体" w:cs="宋体"/>
          <w:b/>
          <w:bCs w:val="0"/>
          <w:color w:val="auto"/>
          <w:sz w:val="24"/>
          <w:szCs w:val="32"/>
          <w:highlight w:val="none"/>
        </w:rPr>
        <w:t xml:space="preserve">（十六）其他未列明行业。</w:t>
      </w:r>
      <w:r>
        <w:rPr>
          <w:rFonts w:hint="eastAsia" w:ascii="宋体" w:hAnsi="宋体" w:cs="宋体"/>
          <w:b w:val="0"/>
          <w:bCs/>
          <w:color w:val="auto"/>
          <w:sz w:val="24"/>
          <w:szCs w:val="32"/>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lang w:val="zh-CN"/>
        </w:rPr>
      </w:pPr>
      <w:r>
        <w:rPr>
          <w:rFonts w:ascii="宋体" w:hAnsi="宋体" w:cs="宋体"/>
          <w:color w:val="auto"/>
          <w:sz w:val="24"/>
          <w:highlight w:val="none"/>
        </w:rPr>
        <w:br w:type="page" w:clear="all"/>
      </w:r>
      <w:r/>
    </w:p>
    <w:p>
      <w:pPr>
        <w:jc w:val="left"/>
        <w:spacing w:line="360" w:lineRule="auto"/>
        <w:rPr>
          <w:rFonts w:hint="eastAsia" w:ascii="宋体" w:hAnsi="宋体" w:cs="宋体"/>
          <w:b/>
          <w:bCs/>
          <w:color w:val="auto"/>
          <w:sz w:val="24"/>
          <w:highlight w:val="none"/>
        </w:rPr>
      </w:pPr>
      <w:r/>
      <w:bookmarkStart w:id="38" w:name="_Toc31059"/>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、残疾人福利性单位声明函</w:t>
      </w:r>
      <w:bookmarkEnd w:id="37"/>
      <w:r/>
      <w:bookmarkEnd w:id="38"/>
      <w:r>
        <w:rPr>
          <w:rFonts w:hint="eastAsia" w:ascii="宋体" w:hAnsi="宋体" w:cs="宋体"/>
          <w:b/>
          <w:color w:val="auto"/>
          <w:sz w:val="24"/>
          <w:highlight w:val="none"/>
        </w:rPr>
        <w:t xml:space="preserve">(如属)</w:t>
      </w:r>
      <w:r/>
    </w:p>
    <w:p>
      <w:pPr>
        <w:jc w:val="center"/>
        <w:spacing w:before="100" w:beforeAutospacing="1" w:after="100" w:afterAutospacing="1"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残疾人福利性单位声明函(如属)</w:t>
      </w:r>
      <w:r/>
    </w:p>
    <w:p>
      <w:pPr>
        <w:spacing w:line="360" w:lineRule="auto"/>
        <w:rPr>
          <w:rFonts w:hint="eastAsia" w:ascii="宋体" w:hAnsi="宋体" w:cs="宋体"/>
          <w:color w:val="auto"/>
          <w:sz w:val="24"/>
          <w:highlight w:val="none"/>
          <w:lang w:val="zh-CN"/>
        </w:rPr>
      </w:pPr>
      <w:r/>
      <w:bookmarkStart w:id="39" w:name="_Toc15378"/>
      <w:r/>
      <w:bookmarkStart w:id="40" w:name="_Toc32206"/>
      <w:r/>
      <w:bookmarkStart w:id="41" w:name="_Toc3869"/>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w:t>
      </w:r>
      <w:bookmarkEnd w:id="39"/>
      <w:r/>
      <w:bookmarkEnd w:id="40"/>
      <w:r/>
      <w:bookmarkEnd w:id="4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民政部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val="en-US" w:eastAsia="zh-CN"/>
        </w:rPr>
        <w:t xml:space="preserve">      （采购单位）</w:t>
      </w:r>
      <w:r>
        <w:rPr>
          <w:rFonts w:hint="eastAsia" w:ascii="宋体" w:hAnsi="宋体" w:cs="宋体"/>
          <w:color w:val="auto"/>
          <w:sz w:val="24"/>
          <w:highlight w:val="none"/>
          <w:lang w:val="zh-CN"/>
        </w:rPr>
        <w:t xml:space="preserve">组织实施的编号为</w:t>
      </w:r>
      <w:r>
        <w:rPr>
          <w:rFonts w:hint="eastAsia" w:ascii="宋体" w:hAnsi="宋体" w:cs="宋体"/>
          <w:color w:val="auto"/>
          <w:sz w:val="24"/>
          <w:highlight w:val="none"/>
          <w:u w:val="single"/>
          <w:lang w:val="en-US" w:eastAsia="zh-CN"/>
        </w:rPr>
        <w:t xml:space="preserve">          （采购编号）</w:t>
      </w:r>
      <w:r>
        <w:rPr>
          <w:rFonts w:hint="eastAsia" w:ascii="宋体" w:hAnsi="宋体" w:cs="宋体"/>
          <w:color w:val="auto"/>
          <w:sz w:val="24"/>
          <w:highlight w:val="none"/>
          <w:lang w:val="zh-CN"/>
        </w:rPr>
        <w:t xml:space="preserve">号的</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lang w:val="zh-CN"/>
        </w:rPr>
        <w:t xml:space="preserve">活动</w:t>
      </w:r>
      <w:r>
        <w:rPr>
          <w:rFonts w:hint="eastAsia" w:ascii="宋体" w:hAnsi="宋体" w:cs="宋体"/>
          <w:color w:val="auto"/>
          <w:sz w:val="24"/>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957"/>
        <w:ind w:firstLine="480"/>
        <w:spacing w:beforeAutospacing="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val="en-US" w:eastAsia="zh-CN"/>
        </w:rPr>
        <w:t xml:space="preserve">响应单位</w:t>
      </w:r>
      <w:r>
        <w:rPr>
          <w:rFonts w:hint="eastAsia" w:ascii="宋体" w:hAnsi="宋体" w:cs="宋体"/>
          <w:color w:val="auto"/>
          <w:highlight w:val="none"/>
          <w:shd w:val="clear" w:color="auto" w:fill="ffffff"/>
        </w:rPr>
        <w:t xml:space="preserve">：（盖章）</w:t>
      </w:r>
      <w:r/>
    </w:p>
    <w:p>
      <w:pPr>
        <w:pStyle w:val="957"/>
        <w:ind w:firstLine="480"/>
        <w:spacing w:beforeAutospacing="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日期：</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br w:type="page" w:clear="all"/>
      </w:r>
      <w:r/>
    </w:p>
    <w:p>
      <w:pPr>
        <w:jc w:val="center"/>
        <w:spacing w:line="360" w:lineRule="auto"/>
        <w:rPr>
          <w:rFonts w:hint="default" w:ascii="宋体" w:hAnsi="宋体" w:cs="宋体"/>
          <w:b/>
          <w:color w:val="auto"/>
          <w:sz w:val="28"/>
          <w:szCs w:val="28"/>
          <w:highlight w:val="none"/>
          <w:lang w:val="en-US" w:eastAsia="zh-CN"/>
        </w:rPr>
        <w:outlineLvl w:val="0"/>
      </w:pPr>
      <w:r/>
      <w:bookmarkStart w:id="42" w:name="_Toc1342"/>
      <w:r>
        <w:rPr>
          <w:rFonts w:hint="eastAsia" w:ascii="宋体" w:hAnsi="宋体" w:cs="宋体"/>
          <w:b/>
          <w:color w:val="auto"/>
          <w:sz w:val="28"/>
          <w:szCs w:val="28"/>
          <w:highlight w:val="none"/>
        </w:rPr>
        <w:t xml:space="preserve">第四章 </w:t>
      </w:r>
      <w:bookmarkEnd w:id="42"/>
      <w:r>
        <w:rPr>
          <w:rFonts w:hint="eastAsia" w:ascii="宋体" w:hAnsi="宋体" w:cs="宋体"/>
          <w:b/>
          <w:color w:val="auto"/>
          <w:sz w:val="28"/>
          <w:szCs w:val="28"/>
          <w:highlight w:val="none"/>
          <w:lang w:val="en-US" w:eastAsia="zh-CN"/>
        </w:rPr>
        <w:t xml:space="preserve">磋商需求</w:t>
      </w:r>
      <w:r/>
    </w:p>
    <w:p>
      <w:pPr>
        <w:ind w:firstLine="480"/>
        <w:spacing w:line="360" w:lineRule="auto"/>
        <w:widowControl/>
        <w:tabs>
          <w:tab w:val="left" w:pos="420" w:leader="none"/>
          <w:tab w:val="left" w:pos="540" w:leader="none"/>
        </w:tabs>
        <w:rPr>
          <w:rFonts w:hint="eastAsia" w:ascii="宋体" w:hAnsi="宋体" w:cs="宋体"/>
          <w:color w:val="auto"/>
          <w:sz w:val="24"/>
          <w:highlight w:val="none"/>
        </w:rPr>
      </w:pPr>
      <w:r>
        <w:rPr>
          <w:rFonts w:hint="eastAsia" w:ascii="宋体" w:hAnsi="宋体" w:cs="宋体"/>
          <w:color w:val="auto"/>
          <w:sz w:val="24"/>
          <w:highlight w:val="none"/>
        </w:rPr>
        <w:t xml:space="preserve">苏州苏兮创建设咨询有限公司受苏州浒墅关经济技术开发区集成指挥中心的委托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就其所需</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2026-2029年安防视频监控新建项目维保</w:t>
      </w:r>
      <w:r>
        <w:rPr>
          <w:rFonts w:hint="eastAsia" w:ascii="宋体" w:hAnsi="宋体" w:cs="宋体"/>
          <w:color w:val="auto"/>
          <w:sz w:val="24"/>
          <w:highlight w:val="none"/>
          <w:lang w:val="en-US" w:eastAsia="zh-CN"/>
        </w:rPr>
        <w:t xml:space="preserve">采用竞争性磋商方式进行采购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欢迎符合磋商文件资格条件的供应商前来参加磋商。</w:t>
      </w:r>
      <w:r/>
    </w:p>
    <w:p>
      <w:pPr>
        <w:ind w:firstLine="480"/>
        <w:jc w:val="left"/>
        <w:spacing w:line="360" w:lineRule="auto"/>
        <w:rPr>
          <w:rFonts w:hint="eastAsia" w:ascii="宋体" w:hAnsi="宋体"/>
          <w:color w:val="auto"/>
          <w:sz w:val="24"/>
          <w:highlight w:val="none"/>
          <w:shd w:val="clear" w:color="auto" w:fill="ffffff"/>
        </w:rPr>
        <w:outlineLvl w:val="1"/>
      </w:pPr>
      <w:r>
        <w:rPr>
          <w:rFonts w:hint="eastAsia" w:ascii="宋体" w:hAnsi="宋体"/>
          <w:color w:val="auto"/>
          <w:sz w:val="24"/>
          <w:highlight w:val="none"/>
          <w:shd w:val="clear" w:color="auto" w:fill="ffffff"/>
        </w:rPr>
        <w:t xml:space="preserve">一、</w:t>
      </w:r>
      <w:r>
        <w:rPr>
          <w:rFonts w:hint="eastAsia" w:ascii="宋体" w:hAnsi="宋体"/>
          <w:b/>
          <w:color w:val="auto"/>
          <w:sz w:val="24"/>
          <w:highlight w:val="none"/>
          <w:shd w:val="clear" w:color="auto" w:fill="ffffff"/>
          <w:lang w:val="en-US" w:eastAsia="zh-CN"/>
        </w:rPr>
        <w:t xml:space="preserve">采购</w:t>
      </w:r>
      <w:r>
        <w:rPr>
          <w:rFonts w:hint="eastAsia" w:ascii="宋体" w:hAnsi="宋体"/>
          <w:b/>
          <w:color w:val="auto"/>
          <w:sz w:val="24"/>
          <w:highlight w:val="none"/>
          <w:shd w:val="clear" w:color="auto" w:fill="ffffff"/>
        </w:rPr>
        <w:t xml:space="preserve">编号：JSZC-320505-SSXC-C2026-0001</w:t>
      </w:r>
      <w:r/>
    </w:p>
    <w:p>
      <w:pPr>
        <w:ind w:firstLine="482"/>
        <w:jc w:val="left"/>
        <w:spacing w:line="360" w:lineRule="auto"/>
        <w:rPr>
          <w:rFonts w:hint="eastAsia" w:ascii="宋体" w:hAnsi="宋体" w:eastAsia="宋体" w:cs="宋体"/>
          <w:color w:val="auto"/>
          <w:sz w:val="24"/>
          <w:highlight w:val="none"/>
          <w:lang w:eastAsia="zh-CN"/>
        </w:rPr>
        <w:outlineLvl w:val="1"/>
      </w:pPr>
      <w:r>
        <w:rPr>
          <w:rFonts w:hint="eastAsia" w:ascii="宋体" w:hAnsi="宋体"/>
          <w:b/>
          <w:color w:val="auto"/>
          <w:sz w:val="24"/>
          <w:szCs w:val="22"/>
          <w:highlight w:val="none"/>
          <w:shd w:val="clear" w:color="auto" w:fill="ffffff"/>
        </w:rPr>
        <w:t xml:space="preserve">二、</w:t>
      </w:r>
      <w:r>
        <w:rPr>
          <w:rFonts w:hint="eastAsia" w:ascii="宋体" w:hAnsi="宋体" w:cs="宋体"/>
          <w:b/>
          <w:color w:val="auto"/>
          <w:sz w:val="24"/>
          <w:highlight w:val="none"/>
          <w:shd w:val="clear" w:color="auto" w:fill="ffffff"/>
        </w:rPr>
        <w:t xml:space="preserve">项目名称：</w:t>
      </w:r>
      <w:r>
        <w:rPr>
          <w:rFonts w:hint="eastAsia" w:ascii="宋体" w:hAnsi="宋体" w:cs="宋体"/>
          <w:b/>
          <w:bCs/>
          <w:color w:val="auto"/>
          <w:sz w:val="24"/>
          <w:highlight w:val="none"/>
          <w:lang w:eastAsia="zh-CN"/>
        </w:rPr>
        <w:t xml:space="preserve">2026-2029年安防视频监控新建项目维保</w:t>
      </w:r>
      <w:r/>
    </w:p>
    <w:p>
      <w:pPr>
        <w:ind w:firstLine="482"/>
        <w:jc w:val="left"/>
        <w:spacing w:line="360" w:lineRule="auto"/>
        <w:rPr>
          <w:rFonts w:hint="eastAsia" w:ascii="宋体" w:hAnsi="宋体" w:cs="宋体"/>
          <w:b/>
          <w:bCs/>
          <w:color w:val="auto"/>
          <w:sz w:val="24"/>
          <w:highlight w:val="none"/>
          <w:lang w:val="en-US" w:eastAsia="zh-CN"/>
        </w:rPr>
        <w:outlineLvl w:val="1"/>
      </w:pPr>
      <w:r>
        <w:rPr>
          <w:rFonts w:hint="eastAsia" w:ascii="宋体" w:hAnsi="宋体" w:cs="宋体"/>
          <w:b/>
          <w:bCs/>
          <w:color w:val="auto"/>
          <w:sz w:val="24"/>
          <w:highlight w:val="none"/>
        </w:rPr>
        <w:t xml:space="preserve">三、</w:t>
      </w:r>
      <w:r>
        <w:rPr>
          <w:rFonts w:hint="eastAsia" w:ascii="宋体" w:hAnsi="宋体" w:cs="宋体"/>
          <w:b/>
          <w:bCs/>
          <w:color w:val="auto"/>
          <w:sz w:val="24"/>
          <w:highlight w:val="none"/>
          <w:lang w:val="en-US" w:eastAsia="zh-CN"/>
        </w:rPr>
        <w:t xml:space="preserve">采购预算及最高限价：</w:t>
      </w:r>
      <w:r/>
    </w:p>
    <w:p>
      <w:pPr>
        <w:ind w:firstLine="482"/>
        <w:jc w:val="left"/>
        <w:spacing w:line="360" w:lineRule="auto"/>
        <w:rPr>
          <w:rFonts w:hint="eastAsia" w:ascii="宋体" w:hAnsi="宋体" w:cs="宋体"/>
          <w:b/>
          <w:bCs/>
          <w:color w:val="auto"/>
          <w:sz w:val="24"/>
          <w:highlight w:val="none"/>
          <w:lang w:val="en-US" w:eastAsia="zh-CN"/>
        </w:rPr>
        <w:outlineLvl w:val="1"/>
      </w:pPr>
      <w:r>
        <w:rPr>
          <w:rFonts w:hint="eastAsia" w:ascii="宋体" w:hAnsi="宋体" w:cs="宋体"/>
          <w:b/>
          <w:bCs/>
          <w:color w:val="auto"/>
          <w:sz w:val="24"/>
          <w:highlight w:val="none"/>
          <w:lang w:val="en-US" w:eastAsia="zh-CN"/>
        </w:rPr>
        <w:t xml:space="preserve">采购预算：2532630.00 元</w:t>
      </w:r>
      <w:r/>
    </w:p>
    <w:p>
      <w:pPr>
        <w:ind w:firstLine="482"/>
        <w:jc w:val="left"/>
        <w:spacing w:line="360" w:lineRule="auto"/>
        <w:rPr>
          <w:rFonts w:hint="default" w:ascii="宋体" w:hAnsi="宋体" w:cs="宋体"/>
          <w:b/>
          <w:bCs/>
          <w:color w:val="auto"/>
          <w:sz w:val="24"/>
          <w:highlight w:val="none"/>
          <w:lang w:val="en-US" w:eastAsia="zh-CN"/>
        </w:rPr>
        <w:outlineLvl w:val="1"/>
      </w:pPr>
      <w:r>
        <w:rPr>
          <w:rFonts w:hint="eastAsia" w:ascii="宋体" w:hAnsi="宋体" w:cs="宋体"/>
          <w:b/>
          <w:bCs/>
          <w:color w:val="auto"/>
          <w:sz w:val="24"/>
          <w:highlight w:val="none"/>
          <w:lang w:val="en-US" w:eastAsia="zh-CN"/>
        </w:rPr>
        <w:t xml:space="preserve">最高限价：2532630.00 元</w:t>
      </w:r>
      <w:r/>
    </w:p>
    <w:p>
      <w:pPr>
        <w:ind w:firstLine="482"/>
        <w:jc w:val="left"/>
        <w:spacing w:line="360" w:lineRule="auto"/>
        <w:rPr>
          <w:rFonts w:hint="default" w:ascii="宋体" w:hAnsi="宋体" w:cs="宋体"/>
          <w:b/>
          <w:bCs/>
          <w:color w:val="auto"/>
          <w:sz w:val="24"/>
          <w:highlight w:val="none"/>
          <w:lang w:val="en-US" w:eastAsia="zh-CN"/>
        </w:rPr>
        <w:outlineLvl w:val="1"/>
      </w:pPr>
      <w:r>
        <w:rPr>
          <w:rFonts w:hint="eastAsia" w:ascii="宋体" w:hAnsi="宋体" w:cs="宋体"/>
          <w:b/>
          <w:bCs/>
          <w:color w:val="auto"/>
          <w:sz w:val="24"/>
          <w:highlight w:val="none"/>
          <w:lang w:val="en-US" w:eastAsia="zh-CN"/>
        </w:rPr>
        <w:t xml:space="preserve">四、服务期限：叁年（具体开始时间以采购人通知为准）。</w:t>
      </w:r>
      <w:r/>
    </w:p>
    <w:p>
      <w:pPr>
        <w:ind w:firstLine="482"/>
        <w:jc w:val="left"/>
        <w:spacing w:line="360" w:lineRule="auto"/>
        <w:rPr>
          <w:rFonts w:hint="eastAsia" w:ascii="宋体" w:hAnsi="宋体" w:eastAsia="宋体" w:cs="宋体"/>
          <w:b/>
          <w:bCs/>
          <w:color w:val="auto"/>
          <w:sz w:val="24"/>
          <w:highlight w:val="none"/>
          <w:lang w:eastAsia="zh-CN"/>
        </w:rPr>
        <w:outlineLvl w:val="1"/>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采购需求</w:t>
      </w:r>
      <w:r>
        <w:rPr>
          <w:rFonts w:hint="eastAsia" w:ascii="宋体" w:hAnsi="宋体" w:cs="宋体"/>
          <w:b/>
          <w:bCs/>
          <w:color w:val="auto"/>
          <w:sz w:val="24"/>
          <w:highlight w:val="none"/>
          <w:lang w:eastAsia="zh-CN"/>
        </w:rPr>
        <w:t xml:space="preserve">：</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（一）服务点位：</w:t>
      </w:r>
      <w:r/>
    </w:p>
    <w:tbl>
      <w:tblPr>
        <w:tblStyle w:val="698"/>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163"/>
        <w:gridCol w:w="1655"/>
        <w:gridCol w:w="1279"/>
        <w:gridCol w:w="1480"/>
        <w:gridCol w:w="1620"/>
      </w:tblGrid>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16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小区名称</w:t>
            </w:r>
            <w:r/>
          </w:p>
        </w:tc>
        <w:tc>
          <w:tcPr>
            <w:tcW w:w="1655"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维保内容</w:t>
            </w:r>
            <w:r/>
          </w:p>
        </w:tc>
        <w:tc>
          <w:tcPr>
            <w:tcW w:w="0" w:type="auto"/>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维保方案监控数量</w:t>
            </w:r>
            <w:r/>
          </w:p>
        </w:tc>
        <w:tc>
          <w:tcPr>
            <w:tcW w:w="0" w:type="auto"/>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维保服务期（月）</w:t>
            </w:r>
            <w:r/>
          </w:p>
        </w:tc>
        <w:tc>
          <w:tcPr>
            <w:tcW w:w="1620"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项目建设时间</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新浒花园一</w:t>
            </w:r>
            <w:r>
              <w:rPr>
                <w:rFonts w:hint="eastAsia" w:ascii="宋体" w:hAnsi="宋体" w:eastAsia="宋体" w:cs="宋体"/>
                <w:color w:val="auto"/>
                <w:sz w:val="24"/>
                <w:szCs w:val="24"/>
                <w:highlight w:val="none"/>
                <w:lang w:val="en-US" w:eastAsia="zh-CN"/>
              </w:rPr>
              <w:t xml:space="preserve">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新浒花园</w:t>
            </w:r>
            <w:r>
              <w:rPr>
                <w:rFonts w:hint="eastAsia" w:ascii="宋体" w:hAnsi="宋体" w:eastAsia="宋体" w:cs="宋体"/>
                <w:color w:val="auto"/>
                <w:sz w:val="24"/>
                <w:szCs w:val="24"/>
                <w:highlight w:val="none"/>
                <w:lang w:val="en-US" w:eastAsia="zh-CN"/>
              </w:rPr>
              <w:t xml:space="preserve">二区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新浒花园</w:t>
            </w:r>
            <w:r>
              <w:rPr>
                <w:rFonts w:hint="eastAsia" w:ascii="宋体" w:hAnsi="宋体" w:eastAsia="宋体" w:cs="宋体"/>
                <w:color w:val="auto"/>
                <w:sz w:val="24"/>
                <w:szCs w:val="24"/>
                <w:highlight w:val="none"/>
                <w:lang w:val="en-US" w:eastAsia="zh-CN"/>
              </w:rPr>
              <w:t xml:space="preserve">三区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惠丰花园二区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保卫新村</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浒墅人家一区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阳山花苑</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阳山花苑二、三区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阳山花苑四、五、六区</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长江花园</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小区监控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运东道路</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109</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r>
        <w:trPr>
          <w:jc w:val="center"/>
          <w:trHeight w:val="567"/>
        </w:trPr>
        <w:tc>
          <w:tcPr>
            <w:tcW w:w="77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216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运西道路</w:t>
            </w:r>
            <w:r/>
          </w:p>
        </w:tc>
        <w:tc>
          <w:tcPr>
            <w:tcW w:w="16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道路监控</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w:t>
            </w:r>
            <w:r/>
          </w:p>
        </w:tc>
        <w:tc>
          <w:tcPr>
            <w:tcW w:w="0" w:type="auto"/>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p>
        </w:tc>
        <w:tc>
          <w:tcPr>
            <w:tcW w:w="162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2024-2026</w:t>
            </w:r>
            <w:r/>
          </w:p>
        </w:tc>
      </w:tr>
    </w:tbl>
    <w:p>
      <w:pPr>
        <w:ind w:firstLine="482"/>
        <w:jc w:val="left"/>
        <w:spacing w:line="360" w:lineRule="auto"/>
        <w:rPr>
          <w:rFonts w:hint="eastAsia" w:ascii="宋体" w:hAnsi="宋体" w:cs="宋体"/>
          <w:b/>
          <w:color w:val="auto"/>
          <w:sz w:val="10"/>
          <w:szCs w:val="10"/>
          <w:highlight w:val="none"/>
        </w:rPr>
      </w:pPr>
      <w:r>
        <w:rPr>
          <w:rFonts w:hint="eastAsia" w:ascii="宋体" w:hAnsi="宋体" w:cs="宋体"/>
          <w:b/>
          <w:color w:val="auto"/>
          <w:sz w:val="10"/>
          <w:szCs w:val="10"/>
          <w:highlight w:val="none"/>
        </w:rPr>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（二）详细设备维保清单：</w:t>
      </w:r>
      <w:r/>
    </w:p>
    <w:tbl>
      <w:tblPr>
        <w:tblStyle w:val="698"/>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9"/>
        <w:gridCol w:w="2511"/>
        <w:gridCol w:w="1497"/>
        <w:gridCol w:w="2403"/>
        <w:gridCol w:w="810"/>
        <w:gridCol w:w="1305"/>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400万室外球型摄像机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IPC445-F233-N-XG</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高清高速球吊装支架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NS-USP201EP</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摄像机立杆II（含基础、接地）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立杆高度6米，横臂3米以内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415mm*315mm*170mm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工业级4口ONU</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NS-M5G4P1-IZ</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四芯、满配耦合器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11414.39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3458.63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超五类屏蔽双绞线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HDPE40/33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7101.44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DN503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窨井</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内径400mm*400mm*350mm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r>
      <w:tr>
        <w:trPr>
          <w:jc w:val="center"/>
          <w:trHeight w:val="567"/>
        </w:trPr>
        <w:tc>
          <w:tcPr>
            <w:gridSpan w:val="6"/>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小区监控</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400W室外枪机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IPC143-Fi9NT-DX</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DC12V/3A</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400W室内枪机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IPC2552-FN-SN</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12V DC</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室内枪机支架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NVR2882-16032A-NY</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东芝</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6T企业级硬盘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NS-H3580-6TS</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NS-H3580-10TS</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NS-H7781-28SC-DS</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NS-SFP-10G-SL20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NS-SFP-1.25G-SL20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室外抱杆箱（含空开、插座、接地）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300mm*400mm*150mm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396</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NS-USP201EP</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15576.81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12126.3</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超五类屏蔽双绞线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18513.8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室外光交防水箱</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72芯光交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2357.68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20893.87</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SC，2米</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熔接盒</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四芯、满配耦合器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监控立杆（含基础及防雷地）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3米高，壁厚3.03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窨井</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内径400mm*600mm*700mm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PE波纹管，Φ32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2082.19</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14500</w:t>
            </w:r>
            <w:r/>
          </w:p>
        </w:tc>
      </w:tr>
      <w:tr>
        <w:trPr>
          <w:jc w:val="center"/>
          <w:trHeight w:val="567"/>
        </w:trPr>
        <w:tc>
          <w:tcPr>
            <w:gridSpan w:val="6"/>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人员卡口</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人卡相机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IPC186-Fi4cNT-SD</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AC24V电源变换器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NS-USP201EP</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F式立杆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高3.5米，臂长1-2米</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工业级4口ONU</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奈斯华曼</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NS-M5G4P1-IZ</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600mm*450mm*300mm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超五类屏蔽双绞线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BV-1*10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DN503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HDPE40/33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1350</w:t>
            </w:r>
            <w:r/>
          </w:p>
        </w:tc>
      </w:tr>
      <w:tr>
        <w:trPr>
          <w:jc w:val="center"/>
          <w:trHeight w:val="567"/>
        </w:trPr>
        <w:tc>
          <w:tcPr>
            <w:gridSpan w:val="6"/>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中心及网络</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分局小区网平台授权扩容</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KDM2800-LIC</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分局存储扩容</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KCloudStor2100-SGA</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KS4804-F-SW</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智能故障诊断一体机</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赛同</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ST-2000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光纤链路</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电信</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三年裸光纤链路费用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网络链路</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电信</w:t>
            </w:r>
            <w:r/>
          </w:p>
        </w:tc>
        <w:tc>
          <w:tcPr>
            <w:shd w:val="clear" w:color="auto" w:fill="auto"/>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三年100M运营商网络链路费用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r>
    </w:tbl>
    <w:p>
      <w:pPr>
        <w:ind w:firstLine="482"/>
        <w:jc w:val="left"/>
        <w:spacing w:line="360" w:lineRule="auto"/>
        <w:rPr>
          <w:rFonts w:hint="eastAsia" w:ascii="宋体" w:hAnsi="宋体" w:eastAsia="宋体" w:cs="宋体"/>
          <w:b/>
          <w:color w:val="auto"/>
          <w:sz w:val="10"/>
          <w:szCs w:val="10"/>
          <w:highlight w:val="none"/>
        </w:rPr>
      </w:pPr>
      <w:r>
        <w:rPr>
          <w:rFonts w:hint="eastAsia" w:ascii="宋体" w:hAnsi="宋体" w:eastAsia="宋体" w:cs="宋体"/>
          <w:b/>
          <w:color w:val="auto"/>
          <w:sz w:val="10"/>
          <w:szCs w:val="10"/>
          <w:highlight w:val="none"/>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（三）维保内容及要求：</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1、维保内容</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（1）本项目为全包式维保，维保内容包括：前端监控摄像机及相应的网络传输设备、存储设备（含硬盘等）、后端中心平台、管线、立杆防雷等配套设备等。</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采购人不保证在中标单位接手维护时所有设备运行完好，中标单位需确保在维保期内所有设备的正常运行，所需的维修保养、坏损设备更换、备品备件的采购、更换零部件、管线、辅材及专业技术服务等所发生的一切费用，均由中标单位承担，对于因第三方原因造成的损坏，由中标维护单位负责追偿，并要求在维护响应时间内先行恢复，在追偿过程中采购人可给予协助</w:t>
      </w:r>
      <w:r>
        <w:rPr>
          <w:rFonts w:hint="eastAsia" w:ascii="宋体" w:hAnsi="宋体" w:cs="宋体"/>
          <w:b/>
          <w:bCs/>
          <w:color w:val="auto"/>
          <w:sz w:val="24"/>
          <w:szCs w:val="24"/>
          <w:highlight w:val="none"/>
          <w:lang w:eastAsia="zh-CN"/>
        </w:rPr>
        <w:t xml:space="preserve">（响应文件内提供相关承诺书）</w:t>
      </w:r>
      <w:r>
        <w:rPr>
          <w:rFonts w:hint="eastAsia" w:ascii="宋体" w:hAnsi="宋体" w:cs="宋体"/>
          <w:color w:val="auto"/>
          <w:sz w:val="24"/>
          <w:szCs w:val="24"/>
          <w:highlight w:val="none"/>
          <w:lang w:eastAsia="zh-CN"/>
        </w:rPr>
        <w:t xml:space="preserve">。</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2、维保要求：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保证驻场技术人员可以提供长期的技术服务支持。本项目技术复杂、涉及面较大，为能保证在规定时间内完成项目建设，要求</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针对本项目配备实施团队，具体要求如下：项目团队实施人员不得少于10人，需指定1名项目负责人，负责跟踪推进项目工作和问题的协调落实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要求具备</w:t>
      </w:r>
      <w:r>
        <w:rPr>
          <w:rFonts w:hint="eastAsia" w:ascii="宋体" w:hAnsi="宋体" w:cs="宋体"/>
          <w:color w:val="auto"/>
          <w:sz w:val="24"/>
          <w:szCs w:val="24"/>
          <w:highlight w:val="none"/>
          <w:lang w:val="en-US" w:eastAsia="zh-CN"/>
        </w:rPr>
        <w:t xml:space="preserve">与本项目相关的</w:t>
      </w:r>
      <w:r>
        <w:rPr>
          <w:rFonts w:hint="eastAsia" w:ascii="宋体" w:hAnsi="宋体" w:eastAsia="宋体" w:cs="宋体"/>
          <w:color w:val="auto"/>
          <w:sz w:val="24"/>
          <w:szCs w:val="24"/>
          <w:highlight w:val="none"/>
        </w:rPr>
        <w:t xml:space="preserve">技术专业，</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具有相关工作管理经验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指定1名技术负责人，负责项目具体实施技术方面工作；</w:t>
      </w: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名系统维护人员，负责系统维护工作；</w:t>
      </w:r>
      <w:r>
        <w:rPr>
          <w:rFonts w:hint="eastAsia" w:ascii="宋体" w:hAnsi="宋体" w:eastAsia="宋体" w:cs="宋体"/>
          <w:color w:val="auto"/>
          <w:sz w:val="24"/>
          <w:szCs w:val="24"/>
          <w:highlight w:val="none"/>
        </w:rPr>
        <w:t xml:space="preserve">1名工程师对监控中心设备、前端设备进行日常巡检，及时发现并迅速排除设备故障，保障系统的正常运行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rPr>
        <w:t xml:space="preserve">相关专业维护人员进行维保服务并配备必要的专业交通工具及维修装备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维护人员中至少1人具备高处安装、维护、拆除作业证书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维护人员中至少1人具备低压电工作业证书</w:t>
      </w:r>
      <w:r>
        <w:rPr>
          <w:rFonts w:hint="eastAsia" w:ascii="宋体" w:hAnsi="宋体" w:cs="宋体"/>
          <w:color w:val="auto"/>
          <w:sz w:val="24"/>
          <w:szCs w:val="24"/>
          <w:highlight w:val="none"/>
          <w:lang w:eastAsia="zh-CN"/>
        </w:rPr>
        <w:t xml:space="preserve">；本次维保服务供应商须在本项目服务期内派驻至少1名驻场服务人员，驻场人员须具备与本项目相匹配的专业技术能力及系统运维经验，能够独立承担日常巡检、故障受理与响应、现场紧急处置及与采购人的现场协调等工作。本项目团队实施人员需具备相应专业技术能力，能够顺利开展项目实施及服务工作。</w:t>
      </w:r>
      <w:r>
        <w:rPr>
          <w:rFonts w:hint="eastAsia" w:ascii="宋体" w:hAnsi="宋体" w:cs="宋体"/>
          <w:b/>
          <w:bCs/>
          <w:color w:val="auto"/>
          <w:sz w:val="24"/>
          <w:szCs w:val="24"/>
          <w:highlight w:val="none"/>
          <w:lang w:eastAsia="zh-CN"/>
        </w:rPr>
        <w:t xml:space="preserve">不满足的视为未实质性响应</w:t>
      </w:r>
      <w:r>
        <w:rPr>
          <w:rFonts w:hint="eastAsia" w:ascii="宋体" w:hAnsi="宋体" w:cs="宋体"/>
          <w:b/>
          <w:bCs/>
          <w:color w:val="auto"/>
          <w:sz w:val="24"/>
          <w:szCs w:val="24"/>
          <w:highlight w:val="none"/>
          <w:lang w:val="en-US" w:eastAsia="zh-CN"/>
        </w:rPr>
        <w:t xml:space="preserve">采购</w:t>
      </w:r>
      <w:r>
        <w:rPr>
          <w:rFonts w:hint="eastAsia" w:ascii="宋体" w:hAnsi="宋体" w:cs="宋体"/>
          <w:b/>
          <w:bCs/>
          <w:color w:val="auto"/>
          <w:sz w:val="24"/>
          <w:szCs w:val="24"/>
          <w:highlight w:val="none"/>
          <w:lang w:eastAsia="zh-CN"/>
        </w:rPr>
        <w:t xml:space="preserve">要求，作无效标处理</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至少配置一辆登高车，驾驶人员持证驾驶。一辆巡检专用车辆进行监控系统外场巡查服务，驾驶人员持证驾驶。</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时车辆设备可现自有或已租赁，也可以承诺中标后购买或租赁，</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中需提供车辆设备的清单，格式详见第三章《拟投入本项目设施设备一览表》。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①车辆设备为现自有的，需在表后附上车辆行驶证（包括行驶证上车辆照片）、机动车登记证书、车辆购买发票、交强险保单的彩色扫描件，</w:t>
      </w:r>
      <w:r>
        <w:rPr>
          <w:rFonts w:hint="eastAsia" w:ascii="宋体" w:hAnsi="宋体" w:eastAsia="宋体" w:cs="宋体"/>
          <w:b/>
          <w:bCs/>
          <w:color w:val="auto"/>
          <w:sz w:val="24"/>
          <w:szCs w:val="24"/>
          <w:highlight w:val="none"/>
        </w:rPr>
        <w:t xml:space="preserve">不满足的视为未实质性响应</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要求，作无效标处理。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②车辆设备为已租赁的，需在表后附上投标人的租赁协议、车辆行驶证（包括行驶证上车辆照片）、机动车登记证书、车辆购买发票、租赁费用发票、交强险保单的彩色扫描件，</w:t>
      </w:r>
      <w:r>
        <w:rPr>
          <w:rFonts w:hint="eastAsia" w:ascii="宋体" w:hAnsi="宋体" w:eastAsia="宋体" w:cs="宋体"/>
          <w:b/>
          <w:bCs/>
          <w:color w:val="auto"/>
          <w:sz w:val="24"/>
          <w:szCs w:val="24"/>
          <w:highlight w:val="none"/>
        </w:rPr>
        <w:t xml:space="preserve">不满足的视为未实质性响应</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要求，作无效标处理。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③承诺中标后购买或中标后租赁的，</w:t>
      </w:r>
      <w:r>
        <w:rPr>
          <w:rFonts w:hint="eastAsia" w:ascii="宋体" w:hAnsi="宋体" w:eastAsia="宋体" w:cs="宋体"/>
          <w:b/>
          <w:bCs/>
          <w:color w:val="auto"/>
          <w:sz w:val="24"/>
          <w:szCs w:val="24"/>
          <w:highlight w:val="none"/>
        </w:rPr>
        <w:t xml:space="preserve">需提供承诺书，不提供的视为未实质性响应</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要求，作无效标处理。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提供同一车辆设备的或租赁设备的期限无法覆盖本项目服务期的，则该设备视为无效，不计入有效数量。所列证明材料均需完整提供，否则，相应车辆视为无效，不计入有效数量。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）供应商需免费提供前端点位数的1%的点位迁移费用</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需提供承诺书，不提供的视为未实质性响应</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要求，作无效标处理。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如采购人要求维保范围内的系统接入其他平台，</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应配合完成，对系统软件和接口进行调整，采购人不再承担任何软件和接口费用</w:t>
      </w:r>
      <w:r>
        <w:rPr>
          <w:rFonts w:hint="eastAsia" w:ascii="宋体" w:hAnsi="宋体" w:cs="宋体"/>
          <w:color w:val="auto"/>
          <w:sz w:val="24"/>
          <w:szCs w:val="24"/>
          <w:highlight w:val="none"/>
          <w:lang w:eastAsia="zh-CN"/>
        </w:rPr>
        <w:t xml:space="preserve">，因此供应商的服务团队需提供具备软件平台及数据库等相应专业的技术人员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（5）在服务期内，系统内各类软、硬件因生产厂家停产、升级导致的无法使用原有型号设备进行维修或更换的，经采购人确认后，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可使用不低于原有型号设备性能的替代产品或使用升级后的产品进行替换并应符合节能环保政策要求。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（6）针对本项目内容中的视频监控数量多、类型多、分布范围广、网络结构复杂等特征，</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在视频监控维护管理、点位巡查巡更、维修派单等方面应具备一定的信息化管理工具及能力，以响应采购人的维护响应时间、维护质量的相关要求。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应对服务期限范围内所有设备进行定期巡检供应，及时发现设备的损坏或系统的功能异常。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对服务期限范围内所有设备进行必要的定期保养供应。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对采购方的重大事件和重大活动提供技术支持和现场保障</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（10）所有的保障任务及服务期间软硬件故障所涉及的维修更换费用均已包含在本次报价中，采购人不再支付相关费用。对于本次监控维保项目中所涉及部分归属不明的事项，中标人应配合采购方进行相关处理。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（11）因建设需要迁移或拆除的，供应商应积极配合采购人进行修复。供应商不得擅自拆除、迁移维护设施。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、维修响应及恢复时间要求，当设备及其承载的系统发生故障，</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需2小时内响应，同时需满足下列要求：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（1）故障导致系统不能运行，供应商应在4小时内恢复；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（2）故障发生在室外，供应商应在48小时内恢复系统；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（3）故障不影响系统运行，供应商应在96小时内恢复系统；</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（4）故障点在室外并且是由于电力供应或光缆引起的故障，对供应商响应时间从电力供应或光缆修复后开始计算。</w:t>
      </w:r>
      <w:r/>
    </w:p>
    <w:p>
      <w:pPr>
        <w:ind w:firstLine="482"/>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、日常巡检和保养</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（1）每半年对维保期限范围内设备的网络、硬件设备、软件系统、存储数据进行巡检、保养；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（2）每季度定期对所有外场设备进行巡检、保养；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（3）每次巡检、保养必须进行详细记录并经使用方确认，每月向采购人报送巡检、保养报表；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（4）平时按需进行摄像机清洁；每个季度或重大活动和重要节日前，对所有摄像机清洁一次</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（5）为了保证维保工作按时按质完成，采购人制定考核制度，对维保工作未达标的评分情况予以扣除相应比例的维保费，具体考核内容详见合同附件。</w:t>
      </w:r>
      <w:r/>
    </w:p>
    <w:p>
      <w:pPr>
        <w:ind w:firstLine="482"/>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、备品备件</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需提供不低于前端点位总数2%的备品备件，保证系统的不间断运行，若</w:t>
      </w:r>
      <w:r>
        <w:rPr>
          <w:rFonts w:hint="eastAsia" w:ascii="宋体" w:hAnsi="宋体" w:cs="宋体"/>
          <w:color w:val="auto"/>
          <w:sz w:val="24"/>
          <w:szCs w:val="24"/>
          <w:highlight w:val="none"/>
          <w:lang w:val="en-US" w:eastAsia="zh-CN"/>
        </w:rPr>
        <w:t xml:space="preserve">中标方</w:t>
      </w:r>
      <w:r>
        <w:rPr>
          <w:rFonts w:hint="eastAsia" w:ascii="宋体" w:hAnsi="宋体" w:eastAsia="宋体" w:cs="宋体"/>
          <w:color w:val="auto"/>
          <w:sz w:val="24"/>
          <w:szCs w:val="24"/>
          <w:highlight w:val="none"/>
        </w:rPr>
        <w:t xml:space="preserve">在故障维修中用备品备件顶替原设备运行，其中所发生的一切费用由</w:t>
      </w:r>
      <w:r>
        <w:rPr>
          <w:rFonts w:hint="eastAsia" w:ascii="宋体" w:hAnsi="宋体" w:cs="宋体"/>
          <w:color w:val="auto"/>
          <w:sz w:val="24"/>
          <w:szCs w:val="24"/>
          <w:highlight w:val="none"/>
          <w:lang w:val="en-US" w:eastAsia="zh-CN"/>
        </w:rPr>
        <w:t xml:space="preserve">中标方</w:t>
      </w:r>
      <w:r>
        <w:rPr>
          <w:rFonts w:hint="eastAsia" w:ascii="宋体" w:hAnsi="宋体" w:eastAsia="宋体" w:cs="宋体"/>
          <w:color w:val="auto"/>
          <w:sz w:val="24"/>
          <w:szCs w:val="24"/>
          <w:highlight w:val="none"/>
        </w:rPr>
        <w:t xml:space="preserve">承担。</w:t>
      </w:r>
      <w:r/>
    </w:p>
    <w:p>
      <w:pPr>
        <w:ind w:firstLine="482"/>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运维</w:t>
      </w:r>
      <w:r>
        <w:rPr>
          <w:rFonts w:hint="eastAsia" w:ascii="宋体" w:hAnsi="宋体" w:eastAsia="宋体" w:cs="宋体"/>
          <w:b/>
          <w:bCs/>
          <w:color w:val="auto"/>
          <w:sz w:val="24"/>
          <w:szCs w:val="24"/>
          <w:highlight w:val="none"/>
        </w:rPr>
        <w:t xml:space="preserve">保障要求</w:t>
      </w:r>
      <w:r>
        <w:rPr>
          <w:rFonts w:hint="eastAsia" w:ascii="宋体" w:hAnsi="宋体" w:cs="宋体"/>
          <w:b/>
          <w:bCs/>
          <w:color w:val="auto"/>
          <w:sz w:val="24"/>
          <w:szCs w:val="24"/>
          <w:highlight w:val="none"/>
          <w:lang w:eastAsia="zh-CN"/>
        </w:rPr>
        <w:t xml:space="preserve">：</w:t>
      </w:r>
      <w:r/>
    </w:p>
    <w:p>
      <w:pPr>
        <w:ind w:firstLine="456"/>
        <w:spacing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rPr>
        <w:t xml:space="preserve">（1）整体运维服务体系遵循</w:t>
      </w:r>
      <w:r>
        <w:rPr>
          <w:rFonts w:hint="eastAsia" w:ascii="宋体" w:hAnsi="宋体" w:cs="宋体"/>
          <w:color w:val="auto"/>
          <w:spacing w:val="-6"/>
          <w:sz w:val="24"/>
          <w:szCs w:val="24"/>
          <w:highlight w:val="none"/>
          <w:lang w:val="en-US" w:eastAsia="zh-CN"/>
        </w:rPr>
        <w:t xml:space="preserve">相关</w:t>
      </w:r>
      <w:r>
        <w:rPr>
          <w:rFonts w:hint="eastAsia" w:ascii="宋体" w:hAnsi="宋体" w:eastAsia="宋体" w:cs="宋体"/>
          <w:color w:val="auto"/>
          <w:spacing w:val="-6"/>
          <w:sz w:val="24"/>
          <w:szCs w:val="24"/>
          <w:highlight w:val="none"/>
        </w:rPr>
        <w:t xml:space="preserve">运行维护标准，</w:t>
      </w:r>
      <w:r>
        <w:rPr>
          <w:rFonts w:hint="eastAsia" w:ascii="宋体" w:hAnsi="宋体" w:eastAsia="宋体" w:cs="宋体"/>
          <w:color w:val="auto"/>
          <w:spacing w:val="-7"/>
          <w:sz w:val="24"/>
          <w:szCs w:val="24"/>
          <w:highlight w:val="none"/>
        </w:rPr>
        <w:t xml:space="preserve">通过对系统及基础设施的高效、</w:t>
      </w:r>
      <w:r>
        <w:rPr>
          <w:rFonts w:hint="eastAsia" w:ascii="宋体" w:hAnsi="宋体" w:eastAsia="宋体" w:cs="宋体"/>
          <w:color w:val="auto"/>
          <w:spacing w:val="-3"/>
          <w:sz w:val="24"/>
          <w:szCs w:val="24"/>
          <w:highlight w:val="none"/>
        </w:rPr>
        <w:t xml:space="preserve">高安全维护来保障整个</w:t>
      </w:r>
      <w:r>
        <w:rPr>
          <w:rFonts w:hint="eastAsia" w:ascii="宋体" w:hAnsi="宋体" w:cs="宋体"/>
          <w:color w:val="auto"/>
          <w:spacing w:val="-3"/>
          <w:sz w:val="24"/>
          <w:szCs w:val="24"/>
          <w:highlight w:val="none"/>
          <w:lang w:val="en-US" w:eastAsia="zh-CN"/>
        </w:rPr>
        <w:t xml:space="preserve">系</w:t>
      </w:r>
      <w:r>
        <w:rPr>
          <w:rFonts w:hint="eastAsia" w:ascii="宋体" w:hAnsi="宋体" w:eastAsia="宋体" w:cs="宋体"/>
          <w:color w:val="auto"/>
          <w:spacing w:val="-3"/>
          <w:sz w:val="24"/>
          <w:szCs w:val="24"/>
          <w:highlight w:val="none"/>
        </w:rPr>
        <w:t xml:space="preserve">统的稳定运行。</w:t>
      </w:r>
      <w:r/>
    </w:p>
    <w:p>
      <w:pPr>
        <w:ind w:firstLine="456"/>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6"/>
          <w:sz w:val="24"/>
          <w:szCs w:val="24"/>
          <w:highlight w:val="none"/>
        </w:rPr>
        <w:t xml:space="preserve">（2）为了维护工作的平稳过渡，要求安排对现有设施设备</w:t>
      </w:r>
      <w:r>
        <w:rPr>
          <w:rFonts w:hint="eastAsia" w:ascii="宋体" w:hAnsi="宋体" w:eastAsia="宋体" w:cs="宋体"/>
          <w:color w:val="auto"/>
          <w:spacing w:val="-7"/>
          <w:sz w:val="24"/>
          <w:szCs w:val="24"/>
          <w:highlight w:val="none"/>
        </w:rPr>
        <w:t xml:space="preserve">较为熟悉的人员进入维护团队。</w:t>
      </w:r>
      <w:r>
        <w:rPr>
          <w:rFonts w:hint="eastAsia" w:ascii="宋体" w:hAnsi="宋体" w:eastAsia="宋体" w:cs="宋体"/>
          <w:color w:val="auto"/>
          <w:spacing w:val="-2"/>
          <w:sz w:val="24"/>
          <w:szCs w:val="24"/>
          <w:highlight w:val="none"/>
        </w:rPr>
        <w:t xml:space="preserve">服务人员应保持相对稳定，如有人员变更，应及时通知采购方。</w:t>
      </w:r>
      <w:r/>
    </w:p>
    <w:p>
      <w:pPr>
        <w:ind w:firstLine="476"/>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（3）严格遵循保密协议，凡涉及客户的应用系统、数据、机型配置、IP地址、软件配</w:t>
      </w:r>
      <w:r>
        <w:rPr>
          <w:rFonts w:hint="eastAsia" w:ascii="宋体" w:hAnsi="宋体" w:eastAsia="宋体" w:cs="宋体"/>
          <w:color w:val="auto"/>
          <w:sz w:val="24"/>
          <w:szCs w:val="24"/>
          <w:highlight w:val="none"/>
        </w:rPr>
        <w:t xml:space="preserve">置等信息不得向第三方泄露，维护过程中如需涉及客户系统的数据信息</w:t>
      </w:r>
      <w:r>
        <w:rPr>
          <w:rFonts w:hint="eastAsia" w:ascii="宋体" w:hAnsi="宋体" w:eastAsia="宋体" w:cs="宋体"/>
          <w:color w:val="auto"/>
          <w:spacing w:val="-1"/>
          <w:sz w:val="24"/>
          <w:szCs w:val="24"/>
          <w:highlight w:val="none"/>
        </w:rPr>
        <w:t xml:space="preserve">，必须先通过客户方认可，维护工作的数据信息（无论是打印或介质上的数据信息）不得带离客户工</w:t>
      </w:r>
      <w:r>
        <w:rPr>
          <w:rFonts w:hint="eastAsia" w:ascii="宋体" w:hAnsi="宋体" w:eastAsia="宋体" w:cs="宋体"/>
          <w:color w:val="auto"/>
          <w:spacing w:val="-2"/>
          <w:sz w:val="24"/>
          <w:szCs w:val="24"/>
          <w:highlight w:val="none"/>
        </w:rPr>
        <w:t xml:space="preserve">作现场。</w:t>
      </w:r>
      <w:r/>
    </w:p>
    <w:p>
      <w:pPr>
        <w:ind w:firstLine="472"/>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cs="宋体"/>
          <w:color w:val="auto"/>
          <w:spacing w:val="-2"/>
          <w:sz w:val="24"/>
          <w:szCs w:val="24"/>
          <w:highlight w:val="none"/>
          <w:lang w:val="en-US" w:eastAsia="zh-CN"/>
        </w:rPr>
        <w:t xml:space="preserve">供应商</w:t>
      </w:r>
      <w:r>
        <w:rPr>
          <w:rFonts w:hint="eastAsia" w:ascii="宋体" w:hAnsi="宋体" w:eastAsia="宋体" w:cs="宋体"/>
          <w:color w:val="auto"/>
          <w:spacing w:val="-2"/>
          <w:sz w:val="24"/>
          <w:szCs w:val="24"/>
          <w:highlight w:val="none"/>
        </w:rPr>
        <w:t xml:space="preserve">在进行维保活动时，在未经采购</w:t>
      </w:r>
      <w:r>
        <w:rPr>
          <w:rFonts w:hint="eastAsia" w:ascii="宋体" w:hAnsi="宋体" w:eastAsia="宋体" w:cs="宋体"/>
          <w:color w:val="auto"/>
          <w:spacing w:val="-3"/>
          <w:sz w:val="24"/>
          <w:szCs w:val="24"/>
          <w:highlight w:val="none"/>
        </w:rPr>
        <w:t xml:space="preserve">人允许的情况下，需要保证采购人核心网络</w:t>
      </w:r>
      <w:r>
        <w:rPr>
          <w:rFonts w:hint="eastAsia" w:ascii="宋体" w:hAnsi="宋体" w:eastAsia="宋体" w:cs="宋体"/>
          <w:color w:val="auto"/>
          <w:spacing w:val="-2"/>
          <w:sz w:val="24"/>
          <w:szCs w:val="24"/>
          <w:highlight w:val="none"/>
        </w:rPr>
        <w:t xml:space="preserve">不间断运行，不得影响采购人所有业务系统的正常运行。</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维护具体内容</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1）前端监控系统</w:t>
      </w:r>
      <w:r/>
    </w:p>
    <w:tbl>
      <w:tblPr>
        <w:tblStyle w:val="698"/>
        <w:tblW w:w="85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82"/>
        <w:gridCol w:w="5129"/>
      </w:tblGrid>
      <w:tr>
        <w:trPr>
          <w:jc w:val="center"/>
          <w:trHeight w:val="233"/>
        </w:trPr>
        <w:tc>
          <w:tcPr>
            <w:tcW w:w="3382" w:type="dxa"/>
            <w:vAlign w:val="center"/>
            <w:textDirection w:val="lrTb"/>
            <w:noWrap w:val="false"/>
          </w:tcPr>
          <w:p>
            <w:pPr>
              <w:pStyle w:val="993"/>
              <w:jc w:val="center"/>
              <w:spacing w:before="147" w:line="360" w:lineRule="auto"/>
              <w:rPr>
                <w:rFonts w:hint="eastAsia"/>
                <w:color w:val="auto"/>
                <w:sz w:val="24"/>
                <w:szCs w:val="24"/>
                <w:highlight w:val="none"/>
              </w:rPr>
            </w:pPr>
            <w:r>
              <w:rPr>
                <w:color w:val="auto"/>
                <w:spacing w:val="-4"/>
                <w:sz w:val="24"/>
                <w:szCs w:val="24"/>
                <w:highlight w:val="none"/>
              </w:rPr>
              <w:t xml:space="preserve">设备名称</w:t>
            </w:r>
            <w:r/>
          </w:p>
        </w:tc>
        <w:tc>
          <w:tcPr>
            <w:tcW w:w="5129" w:type="dxa"/>
            <w:vAlign w:val="center"/>
            <w:textDirection w:val="lrTb"/>
            <w:noWrap w:val="false"/>
          </w:tcPr>
          <w:p>
            <w:pPr>
              <w:pStyle w:val="993"/>
              <w:jc w:val="center"/>
              <w:spacing w:before="147" w:line="360" w:lineRule="auto"/>
              <w:rPr>
                <w:rFonts w:hint="eastAsia"/>
                <w:color w:val="auto"/>
                <w:sz w:val="24"/>
                <w:szCs w:val="24"/>
                <w:highlight w:val="none"/>
              </w:rPr>
            </w:pPr>
            <w:r>
              <w:rPr>
                <w:color w:val="auto"/>
                <w:spacing w:val="-6"/>
                <w:sz w:val="24"/>
                <w:szCs w:val="24"/>
                <w:highlight w:val="none"/>
              </w:rPr>
              <w:t xml:space="preserve">标准</w:t>
            </w:r>
            <w:r/>
          </w:p>
        </w:tc>
      </w:tr>
      <w:tr>
        <w:trPr>
          <w:jc w:val="center"/>
          <w:trHeight w:val="319"/>
        </w:trPr>
        <w:tc>
          <w:tcPr>
            <w:tcW w:w="3382" w:type="dxa"/>
            <w:vAlign w:val="center"/>
            <w:textDirection w:val="lrTb"/>
            <w:noWrap w:val="false"/>
          </w:tcPr>
          <w:p>
            <w:pPr>
              <w:pStyle w:val="993"/>
              <w:jc w:val="center"/>
              <w:spacing w:before="143" w:line="360" w:lineRule="auto"/>
              <w:rPr>
                <w:rFonts w:hint="eastAsia"/>
                <w:color w:val="auto"/>
                <w:sz w:val="24"/>
                <w:szCs w:val="24"/>
                <w:highlight w:val="none"/>
              </w:rPr>
            </w:pPr>
            <w:r>
              <w:rPr>
                <w:color w:val="auto"/>
                <w:spacing w:val="-2"/>
                <w:sz w:val="24"/>
                <w:szCs w:val="24"/>
                <w:highlight w:val="none"/>
              </w:rPr>
              <w:t xml:space="preserve">摄像机、抓拍设备</w:t>
            </w:r>
            <w:r/>
          </w:p>
        </w:tc>
        <w:tc>
          <w:tcPr>
            <w:tcW w:w="5129" w:type="dxa"/>
            <w:vAlign w:val="center"/>
            <w:textDirection w:val="lrTb"/>
            <w:noWrap w:val="false"/>
          </w:tcPr>
          <w:p>
            <w:pPr>
              <w:pStyle w:val="993"/>
              <w:jc w:val="center"/>
              <w:spacing w:before="142" w:line="360" w:lineRule="auto"/>
              <w:rPr>
                <w:rFonts w:hint="eastAsia"/>
                <w:color w:val="auto"/>
                <w:sz w:val="24"/>
                <w:szCs w:val="24"/>
                <w:highlight w:val="none"/>
                <w:lang w:eastAsia="zh-CN"/>
              </w:rPr>
            </w:pPr>
            <w:r>
              <w:rPr>
                <w:color w:val="auto"/>
                <w:spacing w:val="-1"/>
                <w:sz w:val="24"/>
                <w:szCs w:val="24"/>
                <w:highlight w:val="none"/>
                <w:lang w:eastAsia="zh-CN"/>
              </w:rPr>
              <w:t xml:space="preserve">清洁无灰尘、连接正常</w:t>
            </w:r>
            <w:r/>
          </w:p>
        </w:tc>
      </w:tr>
      <w:tr>
        <w:trPr>
          <w:jc w:val="center"/>
          <w:trHeight w:val="528"/>
        </w:trPr>
        <w:tc>
          <w:tcPr>
            <w:tcW w:w="3382" w:type="dxa"/>
            <w:vAlign w:val="center"/>
            <w:textDirection w:val="lrTb"/>
            <w:noWrap w:val="false"/>
          </w:tcPr>
          <w:p>
            <w:pPr>
              <w:pStyle w:val="993"/>
              <w:jc w:val="center"/>
              <w:spacing w:before="145" w:line="360" w:lineRule="auto"/>
              <w:rPr>
                <w:rFonts w:hint="eastAsia"/>
                <w:color w:val="auto"/>
                <w:sz w:val="24"/>
                <w:szCs w:val="24"/>
                <w:highlight w:val="none"/>
              </w:rPr>
            </w:pPr>
            <w:r>
              <w:rPr>
                <w:color w:val="auto"/>
                <w:spacing w:val="-2"/>
                <w:sz w:val="24"/>
                <w:szCs w:val="24"/>
                <w:highlight w:val="none"/>
              </w:rPr>
              <w:t xml:space="preserve">补光灯、闪光灯</w:t>
            </w:r>
            <w:r/>
          </w:p>
        </w:tc>
        <w:tc>
          <w:tcPr>
            <w:tcW w:w="5129" w:type="dxa"/>
            <w:vAlign w:val="center"/>
            <w:textDirection w:val="lrTb"/>
            <w:noWrap w:val="false"/>
          </w:tcPr>
          <w:p>
            <w:pPr>
              <w:pStyle w:val="993"/>
              <w:jc w:val="center"/>
              <w:spacing w:before="145" w:line="360" w:lineRule="auto"/>
              <w:rPr>
                <w:rFonts w:hint="eastAsia"/>
                <w:color w:val="auto"/>
                <w:sz w:val="24"/>
                <w:szCs w:val="24"/>
                <w:highlight w:val="none"/>
              </w:rPr>
            </w:pPr>
            <w:r>
              <w:rPr>
                <w:color w:val="auto"/>
                <w:spacing w:val="-1"/>
                <w:sz w:val="24"/>
                <w:szCs w:val="24"/>
                <w:highlight w:val="none"/>
              </w:rPr>
              <w:t xml:space="preserve">亮度合理、控制正常</w:t>
            </w:r>
            <w:r/>
          </w:p>
        </w:tc>
      </w:tr>
      <w:tr>
        <w:trPr>
          <w:jc w:val="center"/>
          <w:trHeight w:val="528"/>
        </w:trPr>
        <w:tc>
          <w:tcPr>
            <w:tcW w:w="3382" w:type="dxa"/>
            <w:vAlign w:val="center"/>
            <w:textDirection w:val="lrTb"/>
            <w:noWrap w:val="false"/>
          </w:tcPr>
          <w:p>
            <w:pPr>
              <w:pStyle w:val="993"/>
              <w:jc w:val="center"/>
              <w:spacing w:before="144" w:line="360" w:lineRule="auto"/>
              <w:rPr>
                <w:rFonts w:hint="eastAsia"/>
                <w:color w:val="auto"/>
                <w:sz w:val="24"/>
                <w:szCs w:val="24"/>
                <w:highlight w:val="none"/>
              </w:rPr>
            </w:pPr>
            <w:r>
              <w:rPr>
                <w:color w:val="auto"/>
                <w:spacing w:val="-3"/>
                <w:sz w:val="24"/>
                <w:szCs w:val="24"/>
                <w:highlight w:val="none"/>
              </w:rPr>
              <w:t xml:space="preserve">配套设施</w:t>
            </w:r>
            <w:r/>
          </w:p>
        </w:tc>
        <w:tc>
          <w:tcPr>
            <w:tcW w:w="5129" w:type="dxa"/>
            <w:vAlign w:val="center"/>
            <w:textDirection w:val="lrTb"/>
            <w:noWrap w:val="false"/>
          </w:tcPr>
          <w:p>
            <w:pPr>
              <w:pStyle w:val="993"/>
              <w:jc w:val="center"/>
              <w:spacing w:before="144" w:line="360" w:lineRule="auto"/>
              <w:rPr>
                <w:rFonts w:hint="eastAsia"/>
                <w:color w:val="auto"/>
                <w:sz w:val="24"/>
                <w:szCs w:val="24"/>
                <w:highlight w:val="none"/>
              </w:rPr>
            </w:pPr>
            <w:r>
              <w:rPr>
                <w:color w:val="auto"/>
                <w:spacing w:val="-2"/>
                <w:sz w:val="24"/>
                <w:szCs w:val="24"/>
                <w:highlight w:val="none"/>
              </w:rPr>
              <w:t xml:space="preserve">清洁、环境达标</w:t>
            </w:r>
            <w:r/>
          </w:p>
        </w:tc>
      </w:tr>
      <w:tr>
        <w:trPr>
          <w:jc w:val="center"/>
          <w:trHeight w:val="528"/>
        </w:trPr>
        <w:tc>
          <w:tcPr>
            <w:tcW w:w="3382" w:type="dxa"/>
            <w:vAlign w:val="center"/>
            <w:textDirection w:val="lrTb"/>
            <w:noWrap w:val="false"/>
          </w:tcPr>
          <w:p>
            <w:pPr>
              <w:pStyle w:val="993"/>
              <w:jc w:val="center"/>
              <w:spacing w:before="147" w:line="360" w:lineRule="auto"/>
              <w:rPr>
                <w:rFonts w:hint="eastAsia"/>
                <w:color w:val="auto"/>
                <w:sz w:val="24"/>
                <w:szCs w:val="24"/>
                <w:highlight w:val="none"/>
              </w:rPr>
            </w:pPr>
            <w:r>
              <w:rPr>
                <w:color w:val="auto"/>
                <w:spacing w:val="-2"/>
                <w:sz w:val="24"/>
                <w:szCs w:val="24"/>
                <w:highlight w:val="none"/>
              </w:rPr>
              <w:t xml:space="preserve">传输设备</w:t>
            </w:r>
            <w:r/>
          </w:p>
        </w:tc>
        <w:tc>
          <w:tcPr>
            <w:tcW w:w="5129" w:type="dxa"/>
            <w:vAlign w:val="center"/>
            <w:textDirection w:val="lrTb"/>
            <w:noWrap w:val="false"/>
          </w:tcPr>
          <w:p>
            <w:pPr>
              <w:pStyle w:val="993"/>
              <w:jc w:val="center"/>
              <w:spacing w:before="147" w:line="360" w:lineRule="auto"/>
              <w:rPr>
                <w:rFonts w:hint="eastAsia"/>
                <w:color w:val="auto"/>
                <w:sz w:val="24"/>
                <w:szCs w:val="24"/>
                <w:highlight w:val="none"/>
              </w:rPr>
            </w:pPr>
            <w:r>
              <w:rPr>
                <w:color w:val="auto"/>
                <w:spacing w:val="-1"/>
                <w:sz w:val="24"/>
                <w:szCs w:val="24"/>
                <w:highlight w:val="none"/>
              </w:rPr>
              <w:t xml:space="preserve">传输正常、外观整洁</w:t>
            </w:r>
            <w:r/>
          </w:p>
        </w:tc>
      </w:tr>
      <w:tr>
        <w:trPr>
          <w:jc w:val="center"/>
          <w:trHeight w:val="542"/>
        </w:trPr>
        <w:tc>
          <w:tcPr>
            <w:tcW w:w="3382" w:type="dxa"/>
            <w:vAlign w:val="center"/>
            <w:textDirection w:val="lrTb"/>
            <w:noWrap w:val="false"/>
          </w:tcPr>
          <w:p>
            <w:pPr>
              <w:pStyle w:val="993"/>
              <w:jc w:val="center"/>
              <w:spacing w:before="151" w:line="360" w:lineRule="auto"/>
              <w:rPr>
                <w:rFonts w:hint="eastAsia"/>
                <w:color w:val="auto"/>
                <w:sz w:val="24"/>
                <w:szCs w:val="24"/>
                <w:highlight w:val="none"/>
              </w:rPr>
            </w:pPr>
            <w:r>
              <w:rPr>
                <w:color w:val="auto"/>
                <w:spacing w:val="-4"/>
                <w:sz w:val="24"/>
                <w:szCs w:val="24"/>
                <w:highlight w:val="none"/>
              </w:rPr>
              <w:t xml:space="preserve">取电管路</w:t>
            </w:r>
            <w:r/>
          </w:p>
        </w:tc>
        <w:tc>
          <w:tcPr>
            <w:tcW w:w="5129" w:type="dxa"/>
            <w:vAlign w:val="center"/>
            <w:textDirection w:val="lrTb"/>
            <w:noWrap w:val="false"/>
          </w:tcPr>
          <w:p>
            <w:pPr>
              <w:pStyle w:val="993"/>
              <w:jc w:val="center"/>
              <w:spacing w:before="152" w:line="360" w:lineRule="auto"/>
              <w:rPr>
                <w:rFonts w:hint="eastAsia"/>
                <w:color w:val="auto"/>
                <w:sz w:val="24"/>
                <w:szCs w:val="24"/>
                <w:highlight w:val="none"/>
                <w:lang w:eastAsia="zh-CN"/>
              </w:rPr>
            </w:pPr>
            <w:r>
              <w:rPr>
                <w:color w:val="auto"/>
                <w:spacing w:val="-4"/>
                <w:sz w:val="24"/>
                <w:szCs w:val="24"/>
                <w:highlight w:val="none"/>
                <w:lang w:eastAsia="zh-CN"/>
              </w:rPr>
              <w:t xml:space="preserve">电源供应稳定、管路无损坏</w:t>
            </w:r>
            <w:r/>
          </w:p>
        </w:tc>
      </w:tr>
    </w:tbl>
    <w:p>
      <w:pPr>
        <w:spacing w:line="360" w:lineRule="auto"/>
        <w:rPr>
          <w:rFonts w:ascii="宋体" w:hAnsi="宋体" w:cs="宋体"/>
          <w:b/>
          <w:bCs/>
          <w:color w:val="auto"/>
          <w:sz w:val="11"/>
          <w:szCs w:val="11"/>
          <w:highlight w:val="none"/>
        </w:rPr>
      </w:pPr>
      <w:r>
        <w:rPr>
          <w:rFonts w:ascii="宋体" w:hAnsi="宋体" w:cs="宋体"/>
          <w:b/>
          <w:bCs/>
          <w:color w:val="auto"/>
          <w:sz w:val="11"/>
          <w:szCs w:val="11"/>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2）中心端服务器、工作站、存储设备</w:t>
      </w:r>
      <w:r/>
    </w:p>
    <w:tbl>
      <w:tblPr>
        <w:tblStyle w:val="698"/>
        <w:tblW w:w="8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58"/>
        <w:gridCol w:w="1217"/>
        <w:gridCol w:w="5988"/>
      </w:tblGrid>
      <w:tr>
        <w:trPr>
          <w:jc w:val="center"/>
          <w:trHeight w:val="366"/>
        </w:trPr>
        <w:tc>
          <w:tcPr>
            <w:gridSpan w:val="2"/>
            <w:tcW w:w="2475"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设备名称</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标准</w:t>
            </w:r>
            <w:r/>
          </w:p>
        </w:tc>
      </w:tr>
      <w:tr>
        <w:trPr>
          <w:jc w:val="center"/>
          <w:trHeight w:val="578"/>
        </w:trPr>
        <w:tc>
          <w:tcPr>
            <w:tcW w:w="1258" w:type="dxa"/>
            <w:vAlign w:val="center"/>
            <w:vMerge w:val="restart"/>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服务器</w:t>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硬件</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完好无破损，清洁无灰尘</w:t>
            </w:r>
            <w:r/>
          </w:p>
        </w:tc>
      </w:tr>
      <w:tr>
        <w:trPr>
          <w:jc w:val="center"/>
          <w:trHeight w:val="806"/>
        </w:trPr>
        <w:tc>
          <w:tcPr>
            <w:tcW w:w="1258" w:type="dxa"/>
            <w:vAlign w:val="center"/>
            <w:vMerge w:val="continue"/>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系统</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数值显示完好，速度恢复正常</w:t>
            </w:r>
            <w:r/>
          </w:p>
        </w:tc>
      </w:tr>
      <w:tr>
        <w:trPr>
          <w:jc w:val="center"/>
          <w:trHeight w:val="452"/>
        </w:trPr>
        <w:tc>
          <w:tcPr>
            <w:tcW w:w="1258" w:type="dxa"/>
            <w:vAlign w:val="center"/>
            <w:vMerge w:val="continue"/>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数据库</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运行正常，数据正确，数值显示完好</w:t>
            </w:r>
            <w:r/>
          </w:p>
        </w:tc>
      </w:tr>
      <w:tr>
        <w:trPr>
          <w:jc w:val="center"/>
          <w:trHeight w:val="482"/>
        </w:trPr>
        <w:tc>
          <w:tcPr>
            <w:tcW w:w="1258" w:type="dxa"/>
            <w:vAlign w:val="center"/>
            <w:vMerge w:val="continue"/>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应用程序</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数值显示完好，运行正常</w:t>
            </w:r>
            <w:r/>
          </w:p>
        </w:tc>
      </w:tr>
      <w:tr>
        <w:trPr>
          <w:jc w:val="center"/>
          <w:trHeight w:val="458"/>
        </w:trPr>
        <w:tc>
          <w:tcPr>
            <w:gridSpan w:val="2"/>
            <w:tcW w:w="2475"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存储设备</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清洁无灰尘，数值显示完好</w:t>
            </w:r>
            <w:r/>
          </w:p>
        </w:tc>
      </w:tr>
      <w:tr>
        <w:trPr>
          <w:jc w:val="center"/>
          <w:trHeight w:val="511"/>
        </w:trPr>
        <w:tc>
          <w:tcPr>
            <w:tcW w:w="1258" w:type="dxa"/>
            <w:vAlign w:val="center"/>
            <w:vMerge w:val="restart"/>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工作站</w:t>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硬件</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完好无破损，清洁无灰尘</w:t>
            </w:r>
            <w:r/>
          </w:p>
        </w:tc>
      </w:tr>
      <w:tr>
        <w:trPr>
          <w:jc w:val="center"/>
          <w:trHeight w:val="473"/>
        </w:trPr>
        <w:tc>
          <w:tcPr>
            <w:tcW w:w="1258" w:type="dxa"/>
            <w:vAlign w:val="center"/>
            <w:vMerge w:val="continue"/>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系统</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数值显示完好，速度恢复正常</w:t>
            </w:r>
            <w:r/>
          </w:p>
        </w:tc>
      </w:tr>
      <w:tr>
        <w:trPr>
          <w:jc w:val="center"/>
          <w:trHeight w:val="363"/>
        </w:trPr>
        <w:tc>
          <w:tcPr>
            <w:tcW w:w="1258" w:type="dxa"/>
            <w:vAlign w:val="center"/>
            <w:vMerge w:val="continue"/>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tc>
        <w:tc>
          <w:tcPr>
            <w:tcW w:w="1217"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监控软件</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正常运行</w:t>
            </w:r>
            <w:r/>
          </w:p>
        </w:tc>
      </w:tr>
      <w:tr>
        <w:trPr>
          <w:jc w:val="center"/>
          <w:trHeight w:val="184"/>
        </w:trPr>
        <w:tc>
          <w:tcPr>
            <w:gridSpan w:val="2"/>
            <w:tcW w:w="2475"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网络传输设备</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数值显示完好</w:t>
            </w:r>
            <w:r/>
          </w:p>
        </w:tc>
      </w:tr>
      <w:tr>
        <w:trPr>
          <w:jc w:val="center"/>
          <w:trHeight w:val="344"/>
        </w:trPr>
        <w:tc>
          <w:tcPr>
            <w:gridSpan w:val="2"/>
            <w:tcW w:w="2475"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UPS不间断电源</w:t>
            </w:r>
            <w:r/>
          </w:p>
        </w:tc>
        <w:tc>
          <w:tcPr>
            <w:tcW w:w="5988" w:type="dxa"/>
            <w:vAlign w:val="center"/>
            <w:textDirection w:val="lrTb"/>
            <w:noWrap w:val="false"/>
          </w:tcPr>
          <w:p>
            <w:pPr>
              <w:pStyle w:val="993"/>
              <w:jc w:val="center"/>
              <w:spacing w:before="147"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牢固无破损，数值显示完好，功能正常/测试报告</w:t>
            </w:r>
            <w:r/>
          </w:p>
        </w:tc>
      </w:tr>
    </w:tbl>
    <w:p>
      <w:pPr>
        <w:ind w:firstLine="221"/>
        <w:spacing w:line="360" w:lineRule="auto"/>
        <w:rPr>
          <w:rFonts w:ascii="宋体" w:hAnsi="宋体" w:cs="宋体"/>
          <w:b/>
          <w:bCs/>
          <w:color w:val="auto"/>
          <w:sz w:val="11"/>
          <w:szCs w:val="11"/>
          <w:highlight w:val="none"/>
        </w:rPr>
      </w:pPr>
      <w:r>
        <w:rPr>
          <w:rFonts w:ascii="宋体" w:hAnsi="宋体" w:cs="宋体"/>
          <w:b/>
          <w:bCs/>
          <w:color w:val="auto"/>
          <w:sz w:val="11"/>
          <w:szCs w:val="11"/>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3）网络系统</w:t>
      </w:r>
      <w:r/>
    </w:p>
    <w:tbl>
      <w:tblPr>
        <w:tblStyle w:val="698"/>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66"/>
        <w:gridCol w:w="2412"/>
        <w:gridCol w:w="4545"/>
      </w:tblGrid>
      <w:tr>
        <w:trPr>
          <w:jc w:val="center"/>
          <w:trHeight w:val="670"/>
        </w:trPr>
        <w:tc>
          <w:tcPr>
            <w:gridSpan w:val="2"/>
            <w:tcW w:w="3978" w:type="dxa"/>
            <w:vAlign w:val="center"/>
            <w:textDirection w:val="lrTb"/>
            <w:noWrap w:val="false"/>
          </w:tcPr>
          <w:p>
            <w:pPr>
              <w:pStyle w:val="993"/>
              <w:jc w:val="center"/>
              <w:spacing w:before="214" w:line="360" w:lineRule="auto"/>
              <w:rPr>
                <w:rFonts w:hint="eastAsia"/>
                <w:color w:val="auto"/>
                <w:sz w:val="24"/>
                <w:szCs w:val="24"/>
                <w:highlight w:val="none"/>
              </w:rPr>
            </w:pPr>
            <w:r>
              <w:rPr>
                <w:color w:val="auto"/>
                <w:spacing w:val="-4"/>
                <w:sz w:val="24"/>
                <w:szCs w:val="24"/>
                <w:highlight w:val="none"/>
              </w:rPr>
              <w:t xml:space="preserve">设备名称</w:t>
            </w:r>
            <w:r/>
          </w:p>
        </w:tc>
        <w:tc>
          <w:tcPr>
            <w:tcW w:w="4545" w:type="dxa"/>
            <w:vAlign w:val="center"/>
            <w:textDirection w:val="lrTb"/>
            <w:noWrap w:val="false"/>
          </w:tcPr>
          <w:p>
            <w:pPr>
              <w:pStyle w:val="993"/>
              <w:jc w:val="center"/>
              <w:spacing w:before="215" w:line="360" w:lineRule="auto"/>
              <w:rPr>
                <w:rFonts w:hint="eastAsia"/>
                <w:color w:val="auto"/>
                <w:sz w:val="24"/>
                <w:szCs w:val="24"/>
                <w:highlight w:val="none"/>
              </w:rPr>
            </w:pPr>
            <w:r>
              <w:rPr>
                <w:color w:val="auto"/>
                <w:spacing w:val="-6"/>
                <w:sz w:val="24"/>
                <w:szCs w:val="24"/>
                <w:highlight w:val="none"/>
              </w:rPr>
              <w:t xml:space="preserve">标准</w:t>
            </w:r>
            <w:r/>
          </w:p>
        </w:tc>
      </w:tr>
      <w:tr>
        <w:trPr>
          <w:jc w:val="center"/>
          <w:trHeight w:val="669"/>
        </w:trPr>
        <w:tc>
          <w:tcPr>
            <w:tcW w:w="1566" w:type="dxa"/>
            <w:vAlign w:val="center"/>
            <w:vMerge w:val="restart"/>
            <w:textDirection w:val="lrTb"/>
            <w:noWrap w:val="false"/>
          </w:tcPr>
          <w:p>
            <w:pPr>
              <w:pStyle w:val="993"/>
              <w:jc w:val="center"/>
              <w:spacing w:before="78" w:line="360" w:lineRule="auto"/>
              <w:rPr>
                <w:rFonts w:hint="eastAsia"/>
                <w:color w:val="auto"/>
                <w:sz w:val="24"/>
                <w:szCs w:val="24"/>
                <w:highlight w:val="none"/>
              </w:rPr>
            </w:pPr>
            <w:r>
              <w:rPr>
                <w:color w:val="auto"/>
                <w:spacing w:val="-4"/>
                <w:sz w:val="24"/>
                <w:szCs w:val="24"/>
                <w:highlight w:val="none"/>
              </w:rPr>
              <w:t xml:space="preserve">服务器</w:t>
            </w:r>
            <w:r/>
          </w:p>
        </w:tc>
        <w:tc>
          <w:tcPr>
            <w:tcW w:w="2412" w:type="dxa"/>
            <w:vAlign w:val="center"/>
            <w:textDirection w:val="lrTb"/>
            <w:noWrap w:val="false"/>
          </w:tcPr>
          <w:p>
            <w:pPr>
              <w:pStyle w:val="993"/>
              <w:jc w:val="center"/>
              <w:spacing w:before="214" w:line="360" w:lineRule="auto"/>
              <w:rPr>
                <w:rFonts w:hint="eastAsia"/>
                <w:color w:val="auto"/>
                <w:sz w:val="24"/>
                <w:szCs w:val="24"/>
                <w:highlight w:val="none"/>
              </w:rPr>
            </w:pPr>
            <w:r>
              <w:rPr>
                <w:color w:val="auto"/>
                <w:spacing w:val="-5"/>
                <w:sz w:val="24"/>
                <w:szCs w:val="24"/>
                <w:highlight w:val="none"/>
              </w:rPr>
              <w:t xml:space="preserve">硬件</w:t>
            </w:r>
            <w:r/>
          </w:p>
        </w:tc>
        <w:tc>
          <w:tcPr>
            <w:tcW w:w="4545" w:type="dxa"/>
            <w:vAlign w:val="center"/>
            <w:textDirection w:val="lrTb"/>
            <w:noWrap w:val="false"/>
          </w:tcPr>
          <w:p>
            <w:pPr>
              <w:pStyle w:val="993"/>
              <w:jc w:val="center"/>
              <w:spacing w:before="272" w:line="360" w:lineRule="auto"/>
              <w:rPr>
                <w:rFonts w:hint="eastAsia"/>
                <w:color w:val="auto"/>
                <w:sz w:val="24"/>
                <w:szCs w:val="24"/>
                <w:highlight w:val="none"/>
                <w:lang w:eastAsia="zh-CN"/>
              </w:rPr>
            </w:pPr>
            <w:r>
              <w:rPr>
                <w:color w:val="auto"/>
                <w:spacing w:val="-2"/>
                <w:sz w:val="24"/>
                <w:szCs w:val="24"/>
                <w:highlight w:val="none"/>
                <w:lang w:eastAsia="zh-CN"/>
              </w:rPr>
              <w:t xml:space="preserve">完好无破损，清洁无灰尘</w:t>
            </w:r>
            <w:r/>
          </w:p>
        </w:tc>
      </w:tr>
      <w:tr>
        <w:trPr>
          <w:jc w:val="center"/>
          <w:trHeight w:val="665"/>
        </w:trPr>
        <w:tc>
          <w:tcPr>
            <w:tcW w:w="1566" w:type="dxa"/>
            <w:vMerge w:val="continue"/>
            <w:textDirection w:val="lrTb"/>
            <w:noWrap w:val="false"/>
          </w:tcPr>
          <w:p>
            <w:pPr>
              <w:spacing w:line="360" w:lineRule="auto"/>
              <w:rPr>
                <w:rFonts w:ascii="Arial"/>
                <w:color w:val="auto"/>
                <w:sz w:val="24"/>
                <w:szCs w:val="24"/>
                <w:highlight w:val="none"/>
              </w:rPr>
            </w:pPr>
            <w:r>
              <w:rPr>
                <w:rFonts w:ascii="Arial"/>
                <w:color w:val="auto"/>
                <w:sz w:val="24"/>
                <w:szCs w:val="24"/>
                <w:highlight w:val="none"/>
              </w:rPr>
            </w:r>
            <w:r/>
          </w:p>
        </w:tc>
        <w:tc>
          <w:tcPr>
            <w:tcW w:w="2412" w:type="dxa"/>
            <w:vAlign w:val="center"/>
            <w:textDirection w:val="lrTb"/>
            <w:noWrap w:val="false"/>
          </w:tcPr>
          <w:p>
            <w:pPr>
              <w:pStyle w:val="993"/>
              <w:jc w:val="center"/>
              <w:spacing w:before="212" w:line="360" w:lineRule="auto"/>
              <w:rPr>
                <w:rFonts w:hint="eastAsia"/>
                <w:color w:val="auto"/>
                <w:sz w:val="24"/>
                <w:szCs w:val="24"/>
                <w:highlight w:val="none"/>
              </w:rPr>
            </w:pPr>
            <w:r>
              <w:rPr>
                <w:color w:val="auto"/>
                <w:spacing w:val="-4"/>
                <w:sz w:val="24"/>
                <w:szCs w:val="24"/>
                <w:highlight w:val="none"/>
              </w:rPr>
              <w:t xml:space="preserve">系统软件</w:t>
            </w:r>
            <w:r/>
          </w:p>
        </w:tc>
        <w:tc>
          <w:tcPr>
            <w:tcW w:w="4545" w:type="dxa"/>
            <w:vAlign w:val="center"/>
            <w:textDirection w:val="lrTb"/>
            <w:noWrap w:val="false"/>
          </w:tcPr>
          <w:p>
            <w:pPr>
              <w:pStyle w:val="993"/>
              <w:jc w:val="center"/>
              <w:spacing w:before="212" w:line="360" w:lineRule="auto"/>
              <w:rPr>
                <w:rFonts w:hint="eastAsia"/>
                <w:color w:val="auto"/>
                <w:sz w:val="24"/>
                <w:szCs w:val="24"/>
                <w:highlight w:val="none"/>
                <w:lang w:eastAsia="zh-CN"/>
              </w:rPr>
            </w:pPr>
            <w:r>
              <w:rPr>
                <w:color w:val="auto"/>
                <w:spacing w:val="-1"/>
                <w:sz w:val="24"/>
                <w:szCs w:val="24"/>
                <w:highlight w:val="none"/>
                <w:lang w:eastAsia="zh-CN"/>
              </w:rPr>
              <w:t xml:space="preserve">数值显示完好，速度恢复正常</w:t>
            </w:r>
            <w:r/>
          </w:p>
        </w:tc>
      </w:tr>
      <w:tr>
        <w:trPr>
          <w:jc w:val="center"/>
          <w:trHeight w:val="666"/>
        </w:trPr>
        <w:tc>
          <w:tcPr>
            <w:tcW w:w="1566" w:type="dxa"/>
            <w:vMerge w:val="continue"/>
            <w:textDirection w:val="lrTb"/>
            <w:noWrap w:val="false"/>
          </w:tcPr>
          <w:p>
            <w:pPr>
              <w:spacing w:line="360" w:lineRule="auto"/>
              <w:rPr>
                <w:rFonts w:ascii="Arial"/>
                <w:color w:val="auto"/>
                <w:sz w:val="24"/>
                <w:szCs w:val="24"/>
                <w:highlight w:val="none"/>
              </w:rPr>
            </w:pPr>
            <w:r>
              <w:rPr>
                <w:rFonts w:ascii="Arial"/>
                <w:color w:val="auto"/>
                <w:sz w:val="24"/>
                <w:szCs w:val="24"/>
                <w:highlight w:val="none"/>
              </w:rPr>
            </w:r>
            <w:r/>
          </w:p>
        </w:tc>
        <w:tc>
          <w:tcPr>
            <w:tcW w:w="2412" w:type="dxa"/>
            <w:vAlign w:val="center"/>
            <w:textDirection w:val="lrTb"/>
            <w:noWrap w:val="false"/>
          </w:tcPr>
          <w:p>
            <w:pPr>
              <w:pStyle w:val="993"/>
              <w:jc w:val="center"/>
              <w:spacing w:before="214" w:line="360" w:lineRule="auto"/>
              <w:rPr>
                <w:rFonts w:hint="eastAsia"/>
                <w:color w:val="auto"/>
                <w:sz w:val="24"/>
                <w:szCs w:val="24"/>
                <w:highlight w:val="none"/>
              </w:rPr>
            </w:pPr>
            <w:r>
              <w:rPr>
                <w:color w:val="auto"/>
                <w:spacing w:val="-8"/>
                <w:sz w:val="24"/>
                <w:szCs w:val="24"/>
                <w:highlight w:val="none"/>
              </w:rPr>
              <w:t xml:space="preserve">网管软件</w:t>
            </w:r>
            <w:r/>
          </w:p>
        </w:tc>
        <w:tc>
          <w:tcPr>
            <w:tcW w:w="4545" w:type="dxa"/>
            <w:vAlign w:val="center"/>
            <w:textDirection w:val="lrTb"/>
            <w:noWrap w:val="false"/>
          </w:tcPr>
          <w:p>
            <w:pPr>
              <w:pStyle w:val="993"/>
              <w:jc w:val="center"/>
              <w:spacing w:before="214" w:line="360" w:lineRule="auto"/>
              <w:rPr>
                <w:rFonts w:hint="eastAsia"/>
                <w:color w:val="auto"/>
                <w:sz w:val="24"/>
                <w:szCs w:val="24"/>
                <w:highlight w:val="none"/>
              </w:rPr>
            </w:pPr>
            <w:r>
              <w:rPr>
                <w:color w:val="auto"/>
                <w:spacing w:val="-4"/>
                <w:sz w:val="24"/>
                <w:szCs w:val="24"/>
                <w:highlight w:val="none"/>
              </w:rPr>
              <w:t xml:space="preserve">正常运行</w:t>
            </w:r>
            <w:r/>
          </w:p>
        </w:tc>
      </w:tr>
      <w:tr>
        <w:trPr>
          <w:jc w:val="center"/>
          <w:trHeight w:val="668"/>
        </w:trPr>
        <w:tc>
          <w:tcPr>
            <w:tcW w:w="1566" w:type="dxa"/>
            <w:vAlign w:val="center"/>
            <w:vMerge w:val="restart"/>
            <w:textDirection w:val="lrTb"/>
            <w:noWrap w:val="false"/>
          </w:tcPr>
          <w:p>
            <w:pPr>
              <w:pStyle w:val="993"/>
              <w:jc w:val="center"/>
              <w:spacing w:before="78" w:line="360" w:lineRule="auto"/>
              <w:rPr>
                <w:rFonts w:hint="eastAsia"/>
                <w:color w:val="auto"/>
                <w:sz w:val="24"/>
                <w:szCs w:val="24"/>
                <w:highlight w:val="none"/>
              </w:rPr>
            </w:pPr>
            <w:r>
              <w:rPr>
                <w:color w:val="auto"/>
                <w:spacing w:val="-5"/>
                <w:sz w:val="24"/>
                <w:szCs w:val="24"/>
                <w:highlight w:val="none"/>
              </w:rPr>
              <w:t xml:space="preserve">交换机</w:t>
            </w:r>
            <w:r/>
          </w:p>
        </w:tc>
        <w:tc>
          <w:tcPr>
            <w:tcW w:w="2412" w:type="dxa"/>
            <w:vAlign w:val="center"/>
            <w:textDirection w:val="lrTb"/>
            <w:noWrap w:val="false"/>
          </w:tcPr>
          <w:p>
            <w:pPr>
              <w:pStyle w:val="993"/>
              <w:jc w:val="center"/>
              <w:spacing w:before="215" w:line="360" w:lineRule="auto"/>
              <w:rPr>
                <w:rFonts w:hint="eastAsia"/>
                <w:color w:val="auto"/>
                <w:sz w:val="24"/>
                <w:szCs w:val="24"/>
                <w:highlight w:val="none"/>
              </w:rPr>
            </w:pPr>
            <w:r>
              <w:rPr>
                <w:color w:val="auto"/>
                <w:spacing w:val="-5"/>
                <w:sz w:val="24"/>
                <w:szCs w:val="24"/>
                <w:highlight w:val="none"/>
              </w:rPr>
              <w:t xml:space="preserve">硬件</w:t>
            </w:r>
            <w:r/>
          </w:p>
        </w:tc>
        <w:tc>
          <w:tcPr>
            <w:tcW w:w="4545" w:type="dxa"/>
            <w:vAlign w:val="center"/>
            <w:textDirection w:val="lrTb"/>
            <w:noWrap w:val="false"/>
          </w:tcPr>
          <w:p>
            <w:pPr>
              <w:pStyle w:val="993"/>
              <w:jc w:val="center"/>
              <w:spacing w:before="273" w:line="360" w:lineRule="auto"/>
              <w:rPr>
                <w:rFonts w:hint="eastAsia"/>
                <w:color w:val="auto"/>
                <w:sz w:val="24"/>
                <w:szCs w:val="24"/>
                <w:highlight w:val="none"/>
                <w:lang w:eastAsia="zh-CN"/>
              </w:rPr>
            </w:pPr>
            <w:r>
              <w:rPr>
                <w:color w:val="auto"/>
                <w:spacing w:val="-2"/>
                <w:sz w:val="24"/>
                <w:szCs w:val="24"/>
                <w:highlight w:val="none"/>
                <w:lang w:eastAsia="zh-CN"/>
              </w:rPr>
              <w:t xml:space="preserve">完好无破损，清洁无灰尘</w:t>
            </w:r>
            <w:r/>
          </w:p>
        </w:tc>
      </w:tr>
      <w:tr>
        <w:trPr>
          <w:jc w:val="center"/>
          <w:trHeight w:val="668"/>
        </w:trPr>
        <w:tc>
          <w:tcPr>
            <w:tcW w:w="1566" w:type="dxa"/>
            <w:vMerge w:val="continue"/>
            <w:textDirection w:val="lrTb"/>
            <w:noWrap w:val="false"/>
          </w:tcPr>
          <w:p>
            <w:pPr>
              <w:spacing w:line="360" w:lineRule="auto"/>
              <w:rPr>
                <w:rFonts w:ascii="Arial"/>
                <w:color w:val="auto"/>
                <w:sz w:val="24"/>
                <w:szCs w:val="24"/>
                <w:highlight w:val="none"/>
              </w:rPr>
            </w:pPr>
            <w:r>
              <w:rPr>
                <w:rFonts w:ascii="Arial"/>
                <w:color w:val="auto"/>
                <w:sz w:val="24"/>
                <w:szCs w:val="24"/>
                <w:highlight w:val="none"/>
              </w:rPr>
            </w:r>
            <w:r/>
          </w:p>
        </w:tc>
        <w:tc>
          <w:tcPr>
            <w:tcW w:w="2412" w:type="dxa"/>
            <w:vAlign w:val="center"/>
            <w:textDirection w:val="lrTb"/>
            <w:noWrap w:val="false"/>
          </w:tcPr>
          <w:p>
            <w:pPr>
              <w:pStyle w:val="993"/>
              <w:jc w:val="center"/>
              <w:spacing w:before="217" w:line="360" w:lineRule="auto"/>
              <w:rPr>
                <w:rFonts w:hint="eastAsia"/>
                <w:color w:val="auto"/>
                <w:sz w:val="24"/>
                <w:szCs w:val="24"/>
                <w:highlight w:val="none"/>
              </w:rPr>
            </w:pPr>
            <w:r>
              <w:rPr>
                <w:color w:val="auto"/>
                <w:spacing w:val="-3"/>
                <w:sz w:val="24"/>
                <w:szCs w:val="24"/>
                <w:highlight w:val="none"/>
              </w:rPr>
              <w:t xml:space="preserve">配置参数</w:t>
            </w:r>
            <w:r/>
          </w:p>
        </w:tc>
        <w:tc>
          <w:tcPr>
            <w:tcW w:w="4545" w:type="dxa"/>
            <w:vAlign w:val="center"/>
            <w:textDirection w:val="lrTb"/>
            <w:noWrap w:val="false"/>
          </w:tcPr>
          <w:p>
            <w:pPr>
              <w:pStyle w:val="993"/>
              <w:jc w:val="center"/>
              <w:spacing w:before="274" w:line="360" w:lineRule="auto"/>
              <w:rPr>
                <w:rFonts w:hint="eastAsia"/>
                <w:color w:val="auto"/>
                <w:sz w:val="24"/>
                <w:szCs w:val="24"/>
                <w:highlight w:val="none"/>
              </w:rPr>
            </w:pPr>
            <w:r>
              <w:rPr>
                <w:color w:val="auto"/>
                <w:spacing w:val="-2"/>
                <w:sz w:val="24"/>
                <w:szCs w:val="24"/>
                <w:highlight w:val="none"/>
              </w:rPr>
              <w:t xml:space="preserve">数值显示完好</w:t>
            </w:r>
            <w:r/>
          </w:p>
        </w:tc>
      </w:tr>
      <w:tr>
        <w:trPr>
          <w:jc w:val="center"/>
          <w:trHeight w:val="292"/>
        </w:trPr>
        <w:tc>
          <w:tcPr>
            <w:gridSpan w:val="2"/>
            <w:tcW w:w="3978"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光缆、双绞线</w:t>
            </w:r>
            <w:r/>
          </w:p>
        </w:tc>
        <w:tc>
          <w:tcPr>
            <w:tcW w:w="454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正常通讯/测试报告</w:t>
            </w:r>
            <w:r/>
          </w:p>
        </w:tc>
      </w:tr>
    </w:tbl>
    <w:p>
      <w:pPr>
        <w:ind w:firstLine="221"/>
        <w:spacing w:line="360" w:lineRule="auto"/>
        <w:rPr>
          <w:rFonts w:ascii="宋体" w:hAnsi="宋体" w:cs="宋体"/>
          <w:b/>
          <w:bCs/>
          <w:color w:val="auto"/>
          <w:sz w:val="11"/>
          <w:szCs w:val="11"/>
          <w:highlight w:val="none"/>
        </w:rPr>
      </w:pPr>
      <w:r>
        <w:rPr>
          <w:rFonts w:ascii="宋体" w:hAnsi="宋体" w:cs="宋体"/>
          <w:b/>
          <w:bCs/>
          <w:color w:val="auto"/>
          <w:sz w:val="11"/>
          <w:szCs w:val="11"/>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4）显示系统</w:t>
      </w:r>
      <w:r/>
    </w:p>
    <w:tbl>
      <w:tblPr>
        <w:tblStyle w:val="698"/>
        <w:tblW w:w="85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72"/>
        <w:gridCol w:w="4267"/>
      </w:tblGrid>
      <w:tr>
        <w:trPr>
          <w:jc w:val="center"/>
          <w:trHeight w:val="568"/>
        </w:trPr>
        <w:tc>
          <w:tcPr>
            <w:tcW w:w="4272"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设备名称</w:t>
            </w:r>
            <w:r/>
          </w:p>
        </w:tc>
        <w:tc>
          <w:tcPr>
            <w:tcW w:w="4267"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标准</w:t>
            </w:r>
            <w:r/>
          </w:p>
        </w:tc>
      </w:tr>
      <w:tr>
        <w:trPr>
          <w:jc w:val="center"/>
          <w:trHeight w:val="587"/>
        </w:trPr>
        <w:tc>
          <w:tcPr>
            <w:tcW w:w="4272"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显示单元</w:t>
            </w:r>
            <w:r/>
          </w:p>
        </w:tc>
        <w:tc>
          <w:tcPr>
            <w:tcW w:w="4267"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正常</w:t>
            </w:r>
            <w:r/>
          </w:p>
        </w:tc>
      </w:tr>
      <w:tr>
        <w:trPr>
          <w:jc w:val="center"/>
          <w:trHeight w:val="563"/>
        </w:trPr>
        <w:tc>
          <w:tcPr>
            <w:tcW w:w="4272"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图像处理器</w:t>
            </w:r>
            <w:r/>
          </w:p>
        </w:tc>
        <w:tc>
          <w:tcPr>
            <w:tcW w:w="4267"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数值显示完好</w:t>
            </w:r>
            <w:r/>
          </w:p>
        </w:tc>
      </w:tr>
      <w:tr>
        <w:trPr>
          <w:jc w:val="center"/>
          <w:trHeight w:val="563"/>
        </w:trPr>
        <w:tc>
          <w:tcPr>
            <w:tcW w:w="4272"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显示管理软件</w:t>
            </w:r>
            <w:r/>
          </w:p>
        </w:tc>
        <w:tc>
          <w:tcPr>
            <w:tcW w:w="4267"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数值显示完好</w:t>
            </w:r>
            <w:r/>
          </w:p>
        </w:tc>
      </w:tr>
      <w:tr>
        <w:trPr>
          <w:jc w:val="center"/>
          <w:trHeight w:val="591"/>
        </w:trPr>
        <w:tc>
          <w:tcPr>
            <w:tcW w:w="4272"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功能完整性测试</w:t>
            </w:r>
            <w:r/>
          </w:p>
        </w:tc>
        <w:tc>
          <w:tcPr>
            <w:tcW w:w="4267"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数值显示完好</w:t>
            </w:r>
            <w:r/>
          </w:p>
        </w:tc>
      </w:tr>
    </w:tbl>
    <w:p>
      <w:pPr>
        <w:ind w:firstLine="221"/>
        <w:spacing w:line="360" w:lineRule="auto"/>
        <w:rPr>
          <w:rFonts w:ascii="宋体" w:hAnsi="宋体" w:cs="宋体"/>
          <w:b/>
          <w:bCs/>
          <w:color w:val="auto"/>
          <w:sz w:val="11"/>
          <w:szCs w:val="11"/>
          <w:highlight w:val="none"/>
        </w:rPr>
      </w:pPr>
      <w:r>
        <w:rPr>
          <w:rFonts w:ascii="宋体" w:hAnsi="宋体" w:cs="宋体"/>
          <w:b/>
          <w:bCs/>
          <w:color w:val="auto"/>
          <w:sz w:val="11"/>
          <w:szCs w:val="11"/>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5）管理平台</w:t>
      </w:r>
      <w:r/>
    </w:p>
    <w:tbl>
      <w:tblPr>
        <w:tblStyle w:val="698"/>
        <w:tblW w:w="85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51"/>
        <w:gridCol w:w="4335"/>
      </w:tblGrid>
      <w:tr>
        <w:trPr>
          <w:jc w:val="center"/>
          <w:trHeight w:val="576"/>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模块名称</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标准</w:t>
            </w:r>
            <w:r/>
          </w:p>
        </w:tc>
      </w:tr>
      <w:tr>
        <w:trPr>
          <w:jc w:val="center"/>
          <w:trHeight w:val="571"/>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应用管理服务</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功能正常</w:t>
            </w:r>
            <w:r/>
          </w:p>
        </w:tc>
      </w:tr>
      <w:tr>
        <w:trPr>
          <w:jc w:val="center"/>
          <w:trHeight w:val="571"/>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数据库服务</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数据库运行正常</w:t>
            </w:r>
            <w:r/>
          </w:p>
        </w:tc>
      </w:tr>
      <w:tr>
        <w:trPr>
          <w:jc w:val="center"/>
          <w:trHeight w:val="571"/>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视频应用服务</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各服务功能运行正常</w:t>
            </w:r>
            <w:r/>
          </w:p>
        </w:tc>
      </w:tr>
      <w:tr>
        <w:trPr>
          <w:jc w:val="center"/>
          <w:trHeight w:val="571"/>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应用功能模块</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各应用功能运行正常</w:t>
            </w:r>
            <w:r/>
          </w:p>
        </w:tc>
      </w:tr>
      <w:tr>
        <w:trPr>
          <w:jc w:val="center"/>
          <w:trHeight w:val="576"/>
        </w:trPr>
        <w:tc>
          <w:tcPr>
            <w:tcW w:w="4251"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配置管理模块</w:t>
            </w:r>
            <w:r/>
          </w:p>
        </w:tc>
        <w:tc>
          <w:tcPr>
            <w:tcW w:w="4335" w:type="dxa"/>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配置管理功能正常</w:t>
            </w:r>
            <w:r/>
          </w:p>
        </w:tc>
      </w:tr>
    </w:tbl>
    <w:p>
      <w:pPr>
        <w:ind w:firstLine="221"/>
        <w:spacing w:line="360" w:lineRule="auto"/>
        <w:rPr>
          <w:rFonts w:ascii="宋体" w:hAnsi="宋体" w:cs="宋体"/>
          <w:b/>
          <w:bCs/>
          <w:color w:val="auto"/>
          <w:sz w:val="11"/>
          <w:szCs w:val="11"/>
          <w:highlight w:val="none"/>
        </w:rPr>
      </w:pPr>
      <w:r>
        <w:rPr>
          <w:rFonts w:ascii="宋体" w:hAnsi="宋体" w:cs="宋体"/>
          <w:b/>
          <w:bCs/>
          <w:color w:val="auto"/>
          <w:sz w:val="11"/>
          <w:szCs w:val="11"/>
          <w:highlight w:val="none"/>
        </w:rPr>
      </w:r>
      <w:r/>
    </w:p>
    <w:p>
      <w:pPr>
        <w:ind w:firstLine="482"/>
        <w:spacing w:line="360" w:lineRule="auto"/>
        <w:rPr>
          <w:rFonts w:hint="eastAsia" w:ascii="宋体" w:hAnsi="宋体" w:cs="宋体"/>
          <w:b/>
          <w:bCs/>
          <w:color w:val="auto"/>
          <w:sz w:val="24"/>
          <w:highlight w:val="none"/>
        </w:rPr>
      </w:pPr>
      <w:r>
        <w:rPr>
          <w:rFonts w:ascii="宋体" w:hAnsi="宋体" w:cs="宋体"/>
          <w:b/>
          <w:bCs/>
          <w:color w:val="auto"/>
          <w:sz w:val="24"/>
          <w:highlight w:val="none"/>
        </w:rPr>
        <w:t xml:space="preserve">6）传输专网要求</w:t>
      </w:r>
      <w:r/>
    </w:p>
    <w:tbl>
      <w:tblPr>
        <w:tblStyle w:val="698"/>
        <w:tblW w:w="86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35"/>
        <w:gridCol w:w="6215"/>
      </w:tblGrid>
      <w:tr>
        <w:trPr>
          <w:jc w:val="center"/>
          <w:trHeight w:val="523"/>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项目</w:t>
            </w:r>
            <w:r/>
          </w:p>
        </w:tc>
        <w:tc>
          <w:tcPr>
            <w:tcW w:w="621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建设需求</w:t>
            </w:r>
            <w:r/>
          </w:p>
        </w:tc>
      </w:tr>
      <w:tr>
        <w:trPr>
          <w:jc w:val="center"/>
          <w:trHeight w:val="1013"/>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电路类型和带宽需求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基于SDH/MSTP/OTN技术，提供安全、稳定、带宽独享的数字电路组网方式，与互联网物理隔离</w:t>
            </w:r>
            <w:r>
              <w:rPr>
                <w:rFonts w:hint="eastAsia" w:cs="宋体"/>
                <w:color w:val="auto"/>
                <w:spacing w:val="-4"/>
                <w:sz w:val="24"/>
                <w:szCs w:val="24"/>
                <w:highlight w:val="none"/>
                <w:lang w:eastAsia="zh-CN"/>
              </w:rPr>
              <w:t xml:space="preserve">。</w:t>
            </w:r>
            <w:r/>
          </w:p>
        </w:tc>
      </w:tr>
      <w:tr>
        <w:trPr>
          <w:jc w:val="center"/>
          <w:trHeight w:val="1013"/>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电路接入要求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提供双路由光缆的接入，并保证在主用路由发生障碍时能够自动切换到备用路由</w:t>
            </w:r>
            <w:r>
              <w:rPr>
                <w:rFonts w:hint="eastAsia" w:cs="宋体"/>
                <w:color w:val="auto"/>
                <w:spacing w:val="-4"/>
                <w:sz w:val="24"/>
                <w:szCs w:val="24"/>
                <w:highlight w:val="none"/>
                <w:lang w:eastAsia="zh-CN"/>
              </w:rPr>
              <w:t xml:space="preserve">。</w:t>
            </w:r>
            <w:r/>
          </w:p>
        </w:tc>
      </w:tr>
      <w:tr>
        <w:trPr>
          <w:jc w:val="center"/>
          <w:trHeight w:val="1888"/>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电路监管要求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p>
        </w:tc>
      </w:tr>
      <w:tr>
        <w:trPr>
          <w:jc w:val="center"/>
          <w:trHeight w:val="1509"/>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误码率及时延要求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符合GB/T 51242</w:t>
            </w:r>
            <w:r>
              <w:rPr>
                <w:rFonts w:hint="eastAsia"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eastAsia="zh-CN"/>
              </w:rPr>
              <w:t xml:space="preserve">2017《同步数字体系</w:t>
            </w:r>
            <w:r>
              <w:rPr>
                <w:rFonts w:hint="eastAsia" w:cs="宋体"/>
                <w:color w:val="auto"/>
                <w:spacing w:val="-4"/>
                <w:sz w:val="24"/>
                <w:szCs w:val="24"/>
                <w:highlight w:val="none"/>
                <w:lang w:eastAsia="zh-CN"/>
              </w:rPr>
              <w:t xml:space="preserve">（SDH）</w:t>
            </w:r>
            <w:r>
              <w:rPr>
                <w:rFonts w:hint="eastAsia" w:ascii="宋体" w:hAnsi="宋体" w:eastAsia="宋体" w:cs="宋体"/>
                <w:color w:val="auto"/>
                <w:spacing w:val="-4"/>
                <w:sz w:val="24"/>
                <w:szCs w:val="24"/>
                <w:highlight w:val="none"/>
                <w:lang w:eastAsia="zh-CN"/>
              </w:rPr>
              <w:t xml:space="preserve">光纤传输系统工程设计规范》的相关规定，误</w:t>
            </w:r>
            <w:bookmarkStart w:id="45" w:name="_GoBack"/>
            <w:r/>
            <w:bookmarkEnd w:id="45"/>
            <w:r>
              <w:rPr>
                <w:rFonts w:hint="eastAsia" w:ascii="宋体" w:hAnsi="宋体" w:eastAsia="宋体" w:cs="宋体"/>
                <w:color w:val="auto"/>
                <w:spacing w:val="-4"/>
                <w:sz w:val="24"/>
                <w:szCs w:val="24"/>
                <w:highlight w:val="none"/>
                <w:lang w:eastAsia="zh-CN"/>
              </w:rPr>
              <w:t xml:space="preserve">码性能：SDH/PDH支路接口24h测试误码率BER≤1×10⁻⁷；时延：端到端单向传输时延 ≤10ms（不含用户侧设备），双向≤20ms；保护倒换：传输层保护倒换时间≤50ms，端到端业务中断时间≤100ms。</w:t>
            </w:r>
            <w:r/>
          </w:p>
        </w:tc>
      </w:tr>
      <w:tr>
        <w:trPr>
          <w:jc w:val="center"/>
          <w:trHeight w:val="519"/>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可用率要求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电路通路全年可用率平均达到99.9</w:t>
            </w:r>
            <w:r>
              <w:rPr>
                <w:rFonts w:hint="eastAsia" w:ascii="宋体" w:hAnsi="宋体" w:eastAsia="宋体" w:cs="宋体"/>
                <w:color w:val="auto"/>
                <w:spacing w:val="-4"/>
                <w:sz w:val="24"/>
                <w:szCs w:val="24"/>
                <w:highlight w:val="none"/>
                <w:lang w:val="en-US" w:eastAsia="zh-CN"/>
              </w:rPr>
              <w:t xml:space="preserve">%</w:t>
            </w:r>
            <w:r>
              <w:rPr>
                <w:rFonts w:ascii="宋体" w:hAnsi="宋体" w:eastAsia="宋体" w:cs="宋体"/>
                <w:color w:val="auto"/>
                <w:spacing w:val="-4"/>
                <w:sz w:val="24"/>
                <w:szCs w:val="24"/>
                <w:highlight w:val="none"/>
                <w:lang w:eastAsia="zh-CN"/>
              </w:rPr>
              <w:t xml:space="preserve">。</w:t>
            </w:r>
            <w:r/>
          </w:p>
        </w:tc>
      </w:tr>
      <w:tr>
        <w:trPr>
          <w:jc w:val="center"/>
          <w:trHeight w:val="546"/>
        </w:trPr>
        <w:tc>
          <w:tcPr>
            <w:tcW w:w="2435" w:type="dxa"/>
            <w:vAlign w:val="center"/>
            <w:textDirection w:val="lrTb"/>
            <w:noWrap w:val="false"/>
          </w:tcPr>
          <w:p>
            <w:pPr>
              <w:pStyle w:val="993"/>
              <w:jc w:val="center"/>
              <w:spacing w:before="214" w:line="360" w:lineRule="auto"/>
              <w:rPr>
                <w:rFonts w:hint="eastAsia"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 xml:space="preserve">线路资源要求</w:t>
            </w:r>
            <w:r/>
          </w:p>
        </w:tc>
        <w:tc>
          <w:tcPr>
            <w:tcW w:w="6215" w:type="dxa"/>
            <w:vAlign w:val="center"/>
            <w:textDirection w:val="lrTb"/>
            <w:noWrap w:val="false"/>
          </w:tcPr>
          <w:p>
            <w:pPr>
              <w:pStyle w:val="993"/>
              <w:jc w:val="both"/>
              <w:spacing w:before="214" w:line="360" w:lineRule="auto"/>
              <w:rPr>
                <w:rFonts w:hint="eastAsia" w:ascii="宋体" w:hAnsi="宋体" w:eastAsia="宋体" w:cs="宋体"/>
                <w:color w:val="auto"/>
                <w:spacing w:val="-4"/>
                <w:sz w:val="24"/>
                <w:szCs w:val="24"/>
                <w:highlight w:val="none"/>
                <w:lang w:eastAsia="zh-CN"/>
              </w:rPr>
            </w:pPr>
            <w:r>
              <w:rPr>
                <w:rFonts w:hint="eastAsia" w:cs="宋体"/>
                <w:color w:val="auto"/>
                <w:spacing w:val="-4"/>
                <w:sz w:val="24"/>
                <w:szCs w:val="24"/>
                <w:highlight w:val="none"/>
                <w:lang w:val="en-US" w:eastAsia="zh-CN"/>
              </w:rPr>
              <w:t xml:space="preserve">中标单位</w:t>
            </w:r>
            <w:r>
              <w:rPr>
                <w:rFonts w:ascii="宋体" w:hAnsi="宋体" w:eastAsia="宋体" w:cs="宋体"/>
                <w:color w:val="auto"/>
                <w:spacing w:val="-4"/>
                <w:sz w:val="24"/>
                <w:szCs w:val="24"/>
                <w:highlight w:val="none"/>
                <w:lang w:eastAsia="zh-CN"/>
              </w:rPr>
              <w:t xml:space="preserve">需对应线路清单逐条列出现有线路资源的列表。</w:t>
            </w:r>
            <w:r/>
          </w:p>
        </w:tc>
      </w:tr>
    </w:tbl>
    <w:p>
      <w:pPr>
        <w:ind w:firstLine="221"/>
        <w:jc w:val="left"/>
        <w:spacing w:line="360" w:lineRule="auto"/>
        <w:rPr>
          <w:rFonts w:hint="eastAsia" w:ascii="宋体" w:hAnsi="宋体" w:cs="宋体"/>
          <w:b/>
          <w:bCs/>
          <w:color w:val="auto"/>
          <w:sz w:val="10"/>
          <w:szCs w:val="10"/>
          <w:highlight w:val="none"/>
        </w:rPr>
        <w:outlineLvl w:val="1"/>
      </w:pPr>
      <w:r>
        <w:rPr>
          <w:rFonts w:hint="eastAsia" w:ascii="宋体" w:hAnsi="宋体" w:cs="宋体"/>
          <w:b/>
          <w:bCs/>
          <w:color w:val="auto"/>
          <w:sz w:val="10"/>
          <w:szCs w:val="10"/>
          <w:highlight w:val="none"/>
        </w:rPr>
      </w:r>
      <w:r/>
    </w:p>
    <w:p>
      <w:pPr>
        <w:ind w:firstLine="482"/>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、综合说明及其他要求：</w:t>
      </w:r>
      <w:r/>
    </w:p>
    <w:p>
      <w:pPr>
        <w:ind w:firstLine="482"/>
        <w:jc w:val="left"/>
        <w:spacing w:line="360" w:lineRule="auto"/>
        <w:rPr>
          <w:rFonts w:hint="eastAsia" w:ascii="宋体" w:hAnsi="宋体" w:cs="宋体"/>
          <w:b w:val="0"/>
          <w:bCs w:val="0"/>
          <w:color w:val="auto"/>
          <w:sz w:val="24"/>
          <w:szCs w:val="24"/>
          <w:highlight w:val="none"/>
        </w:rPr>
        <w:outlineLvl w:val="1"/>
      </w:pP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供应商</w:t>
      </w:r>
      <w:r>
        <w:rPr>
          <w:rFonts w:hint="eastAsia" w:ascii="宋体" w:hAnsi="宋体" w:cs="宋体"/>
          <w:b w:val="0"/>
          <w:bCs w:val="0"/>
          <w:color w:val="auto"/>
          <w:sz w:val="24"/>
          <w:szCs w:val="24"/>
          <w:highlight w:val="none"/>
        </w:rPr>
        <w:t xml:space="preserve">提供的服务能够至少达到以上要求，同时明确详细的服务方案。</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必须承诺</w:t>
      </w:r>
      <w:r>
        <w:rPr>
          <w:rFonts w:hint="eastAsia" w:ascii="宋体" w:hAnsi="宋体" w:cs="宋体"/>
          <w:color w:val="auto"/>
          <w:sz w:val="24"/>
          <w:szCs w:val="24"/>
          <w:highlight w:val="none"/>
          <w:lang w:val="en-US" w:eastAsia="zh-CN"/>
        </w:rPr>
        <w:t xml:space="preserve">磋商文件</w:t>
      </w:r>
      <w:r>
        <w:rPr>
          <w:rFonts w:hint="eastAsia" w:ascii="宋体" w:hAnsi="宋体" w:cs="宋体"/>
          <w:color w:val="auto"/>
          <w:sz w:val="24"/>
          <w:szCs w:val="24"/>
          <w:highlight w:val="none"/>
        </w:rPr>
        <w:t xml:space="preserve">中提出的全部要求，如果其中某些条款不响应时，应在文件中逐条列出，未列出的视同响应。</w:t>
      </w:r>
      <w:r/>
    </w:p>
    <w:p>
      <w:pPr>
        <w:ind w:firstLine="480"/>
        <w:jc w:val="left"/>
        <w:spacing w:line="360" w:lineRule="auto"/>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4、供应商应对所投项目的全部内容进行报价，只投其中部分内容者，其响应文件将被拒绝</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、成交后，本项目服务人员在服务期间原则上不允许更换，如确实需要更换的，必须至少提前一个月向采购人报备，更换后的人员同样须在本单位缴纳社保，否则采购人有权终止合同。</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6、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80"/>
        <w:jc w:val="lef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7、付款方式：详见合同主要条款。</w:t>
      </w:r>
      <w:r/>
    </w:p>
    <w:p>
      <w:pPr>
        <w:ind w:firstLine="480"/>
        <w:jc w:val="lef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8、响应报价为综合报价，响应报价包括完成本项目全部服务内容所需的维修、巡查、零配件、材料、安装、调试、人工（包括工资、社保、保险等）、机械、保险、运输、劳保、各种税费、质保期间全部费用以及响应供应商企业利润、税金和政策性文件规定和合同包含的所有风险、责任等各项应有费用。同时，除非合同条款中另有规定，否则，供应商所报价格在合同实施期间不因市场变化因素而变动。响应报价内如有漏项，视同已包含在其它项目中，合同总价和单价不做调整。</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9、政府采购合同履行中，采购人需追加与合同标的物相同的服务的，在不改变合同其他条款的前提下，采购人可以与供应商签订补充合同，但所有补充合同的采购金额不得超过原合同采购金额的百分之十。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10、若成交供应商在服务期间，违反下列规定将被解除服务合同，并扣除剩余待支付费用：</w:t>
      </w:r>
      <w:r/>
    </w:p>
    <w:p>
      <w:pPr>
        <w:ind w:firstLine="480"/>
        <w:jc w:val="left"/>
        <w:spacing w:line="360" w:lineRule="auto"/>
        <w:rPr>
          <w:rFonts w:hint="default"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严禁将服务转包他人</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default"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出现重大责任问题</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default"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泄露相关保密信息。</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11、成交供应商对服务缺陷不予更正，甲方有权另请其他单位更正，所发生的费用由成交供应商承担。</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12、成交供应商工作人员在岗履行职责期间（包括上下班途中），发生自身的人身伤害、伤亡，均由成交单位负责处理并承担经济和道义上的责任，采购单位不承担任何责任。</w:t>
      </w:r>
      <w:r/>
    </w:p>
    <w:p>
      <w:pPr>
        <w:ind w:firstLine="480"/>
        <w:jc w:val="left"/>
        <w:spacing w:line="360" w:lineRule="auto"/>
        <w:rPr>
          <w:rFonts w:hint="eastAsia" w:ascii="宋体" w:hAnsi="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13、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80"/>
        <w:jc w:val="left"/>
        <w:spacing w:line="360" w:lineRule="auto"/>
        <w:rPr>
          <w:rFonts w:hint="eastAsia" w:ascii="宋体" w:hAnsi="宋体" w:cs="宋体"/>
          <w:color w:val="auto"/>
          <w:sz w:val="24"/>
          <w:szCs w:val="24"/>
          <w:highlight w:val="none"/>
          <w:lang w:eastAsia="zh-CN"/>
        </w:rPr>
        <w:outlineLvl w:val="1"/>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履约验收</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（1）履约验收组织形式：采购人自行组织验收。</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（2）验收的方式：每季度末由采购人组织验收。</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（3）验收内容：服务质量、服务进度、人员/设备配备情况、行业/安全标准、项目需求、服务承诺、合同履约时间、地点、方式等。</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（4）验收标准：符合中华人民共和国相关行业标准、专业标准及相应的技术规范、</w:t>
      </w:r>
      <w:r>
        <w:rPr>
          <w:rFonts w:hint="eastAsia" w:ascii="宋体" w:hAnsi="宋体" w:cs="宋体"/>
          <w:color w:val="auto"/>
          <w:sz w:val="24"/>
          <w:szCs w:val="24"/>
          <w:highlight w:val="none"/>
          <w:lang w:val="en-US" w:eastAsia="zh-CN"/>
        </w:rPr>
        <w:t xml:space="preserve">磋商文件</w:t>
      </w:r>
      <w:r>
        <w:rPr>
          <w:rFonts w:hint="eastAsia" w:ascii="宋体" w:hAnsi="宋体" w:cs="宋体"/>
          <w:color w:val="auto"/>
          <w:sz w:val="24"/>
          <w:szCs w:val="24"/>
          <w:highlight w:val="none"/>
        </w:rPr>
        <w:t xml:space="preserve">及合同中的全部相关要求。</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未尽事宜按照《江苏省政府采购履约验收管理办法》（苏财规【2024】7号文）执行。</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、凡涉及</w:t>
      </w:r>
      <w:r>
        <w:rPr>
          <w:rFonts w:hint="eastAsia" w:ascii="宋体" w:hAnsi="宋体" w:cs="宋体"/>
          <w:color w:val="auto"/>
          <w:sz w:val="24"/>
          <w:szCs w:val="24"/>
          <w:highlight w:val="none"/>
          <w:lang w:val="en-US" w:eastAsia="zh-CN"/>
        </w:rPr>
        <w:t xml:space="preserve">磋商文件</w:t>
      </w:r>
      <w:r>
        <w:rPr>
          <w:rFonts w:hint="eastAsia" w:ascii="宋体" w:hAnsi="宋体" w:cs="宋体"/>
          <w:color w:val="auto"/>
          <w:sz w:val="24"/>
          <w:szCs w:val="24"/>
          <w:highlight w:val="none"/>
        </w:rPr>
        <w:t xml:space="preserve">的补充说明和修改，均以苏州市政府采购网发布的内容为准。</w:t>
      </w:r>
      <w:r/>
    </w:p>
    <w:p>
      <w:pPr>
        <w:ind w:firstLine="482"/>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、政府采购政策：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（一）中小企业相关政策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cs="宋体"/>
          <w:b/>
          <w:bCs/>
          <w:color w:val="auto"/>
          <w:sz w:val="24"/>
          <w:szCs w:val="24"/>
          <w:highlight w:val="none"/>
        </w:rPr>
        <w:t xml:space="preserve">本采购标的对应的中小企业划分标准所属行业为：其他未列明行业。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8、残疾人福利性单位</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9、监狱企业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10、若为专门面向中小企业采购的项目或者采购包，不再执行价格评审优惠的扶持政策。</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（二）节能产品和环境标志产品（本项目不涉及）</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jc w:val="left"/>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rPr>
          <w:rStyle w:val="960"/>
          <w:rFonts w:hint="eastAsia" w:ascii="宋体" w:hAnsi="宋体" w:cs="宋体"/>
          <w:color w:val="auto"/>
          <w:sz w:val="32"/>
          <w:szCs w:val="32"/>
          <w:highlight w:val="none"/>
        </w:rPr>
      </w:pPr>
      <w:r>
        <w:rPr>
          <w:rStyle w:val="960"/>
          <w:rFonts w:hint="eastAsia" w:ascii="宋体" w:hAnsi="宋体" w:cs="宋体"/>
          <w:color w:val="auto"/>
          <w:sz w:val="32"/>
          <w:szCs w:val="32"/>
          <w:highlight w:val="none"/>
        </w:rPr>
        <w:br w:type="page" w:clear="all"/>
      </w:r>
      <w:r/>
    </w:p>
    <w:p>
      <w:pPr>
        <w:jc w:val="center"/>
        <w:spacing w:line="360" w:lineRule="auto"/>
        <w:rPr>
          <w:rFonts w:hint="eastAsia" w:ascii="宋体" w:hAnsi="宋体" w:cs="宋体"/>
          <w:b/>
          <w:color w:val="auto"/>
          <w:sz w:val="28"/>
          <w:szCs w:val="28"/>
          <w:highlight w:val="none"/>
        </w:rPr>
        <w:outlineLvl w:val="0"/>
      </w:pPr>
      <w:r/>
      <w:bookmarkStart w:id="43" w:name="_Toc20798"/>
      <w:r>
        <w:rPr>
          <w:rFonts w:hint="eastAsia" w:ascii="宋体" w:hAnsi="宋体" w:cs="宋体"/>
          <w:b/>
          <w:color w:val="auto"/>
          <w:sz w:val="28"/>
          <w:szCs w:val="28"/>
          <w:highlight w:val="none"/>
        </w:rPr>
        <w:t xml:space="preserve">第五章 合同主要条款</w:t>
      </w:r>
      <w:bookmarkEnd w:id="43"/>
      <w:r/>
      <w:r/>
    </w:p>
    <w:p>
      <w:pPr>
        <w:pStyle w:val="707"/>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甲方：</w:t>
      </w:r>
      <w:r/>
    </w:p>
    <w:p>
      <w:pPr>
        <w:pStyle w:val="707"/>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地址：</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联系人：</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电话：</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乙方：</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地址：</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联系人：</w:t>
      </w:r>
      <w:r/>
    </w:p>
    <w:p>
      <w:pPr>
        <w:pStyle w:val="707"/>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联系电话：</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contextualSpacing/>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一、合同内容</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1、乙方负责</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服务工作。</w:t>
      </w:r>
      <w:r/>
    </w:p>
    <w:p>
      <w:pPr>
        <w:contextualSpacing/>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服务时间：年月日－年月日（暂定，具体进场日期按甲方书面通知）</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2、下列文件为本合同不可分割部分：</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及其附件；</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（2）乙方的</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（3）乙方在招投标过程中所做的其他承诺、声明、书面澄清等；</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（4）中标通知书；</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（5）合同附件。</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甲方如有本合同之外的委托，双方另行协商签订补充协议或另行签订合同，费用参照本合同标准执行，补充协议或另行签订合同的合计金额不超过本合同金额的10%。</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双方有关本项目的洽商、变更等书面协议或文件视为本合同协议条款的组成部分。组成本合同的文件均为本合同不可分割的组成部分，与本合同具有同等法律效力。</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3、服务内容及要求：详见</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第四章。</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4、本项目乙方委派的项目组人员：项目负责人：。</w:t>
      </w:r>
      <w:r/>
    </w:p>
    <w:p>
      <w:pPr>
        <w:contextualSpacing/>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二、合同价款及付款</w:t>
      </w:r>
      <w:r>
        <w:rPr>
          <w:rFonts w:hint="eastAsia" w:ascii="宋体" w:hAnsi="宋体" w:cs="宋体"/>
          <w:b/>
          <w:bCs/>
          <w:color w:val="auto"/>
          <w:sz w:val="24"/>
          <w:highlight w:val="none"/>
          <w:lang w:val="en-US" w:eastAsia="zh-CN"/>
        </w:rPr>
        <w:t xml:space="preserve">方式</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（一）合同价款：人民币（大写）</w:t>
      </w:r>
      <w:r>
        <w:rPr>
          <w:rFonts w:hint="eastAsia" w:ascii="宋体" w:hAnsi="宋体" w:cs="宋体"/>
          <w:color w:val="auto"/>
          <w:sz w:val="24"/>
          <w:highlight w:val="none"/>
          <w:lang w:val="en-US" w:eastAsia="zh-CN"/>
        </w:rPr>
        <w:t xml:space="preserve">元整</w:t>
      </w:r>
      <w:r>
        <w:rPr>
          <w:rFonts w:hint="eastAsia" w:ascii="宋体" w:hAnsi="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rPr>
        <w:t xml:space="preserve">)。</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金额包括完成本项目全部服务内容所需的维修、巡查、零配件、材料、安装、调试、人工（包括工资、社保、保险等）、机械、保险、运输、劳保、各种税费、质保期间全部费用以及响应供应商企业利润、税金和政策性文件规定和合同包含的所有风险、责任等</w:t>
      </w:r>
      <w:r>
        <w:rPr>
          <w:rFonts w:hint="eastAsia" w:ascii="宋体" w:hAnsi="宋体" w:cs="宋体"/>
          <w:color w:val="auto"/>
          <w:sz w:val="24"/>
          <w:highlight w:val="none"/>
          <w:lang w:val="en-US" w:eastAsia="zh-CN"/>
        </w:rPr>
        <w:t xml:space="preserve">各项应有</w:t>
      </w:r>
      <w:r>
        <w:rPr>
          <w:rFonts w:hint="eastAsia" w:ascii="宋体" w:hAnsi="宋体" w:cs="宋体"/>
          <w:color w:val="auto"/>
          <w:sz w:val="24"/>
          <w:highlight w:val="none"/>
        </w:rPr>
        <w:t xml:space="preserve">费用。</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（二）甲方根据乙方在本合同中所提供银行开户信息转账支付。</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乙方开户名称：</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数字钱包ID：</w:t>
      </w:r>
      <w:r/>
    </w:p>
    <w:p>
      <w:pPr>
        <w:contextualSpacing/>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（三）付款</w:t>
      </w:r>
      <w:r>
        <w:rPr>
          <w:rFonts w:hint="eastAsia" w:ascii="宋体" w:hAnsi="宋体" w:cs="宋体"/>
          <w:color w:val="auto"/>
          <w:sz w:val="24"/>
          <w:highlight w:val="none"/>
          <w:lang w:val="en-US" w:eastAsia="zh-CN"/>
        </w:rPr>
        <w:t xml:space="preserve">方式</w:t>
      </w:r>
      <w:r>
        <w:rPr>
          <w:rFonts w:hint="eastAsia" w:ascii="宋体" w:hAnsi="宋体" w:cs="宋体"/>
          <w:color w:val="auto"/>
          <w:sz w:val="24"/>
          <w:highlight w:val="none"/>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预付款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待合同签订生效后，甲方支付合同金额的30%的预付款。</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维保费用</w:t>
      </w:r>
      <w:r>
        <w:rPr>
          <w:rFonts w:hint="eastAsia" w:ascii="宋体" w:hAnsi="宋体" w:cs="宋体"/>
          <w:color w:val="auto"/>
          <w:sz w:val="24"/>
          <w:highlight w:val="none"/>
          <w:lang w:eastAsia="zh-CN"/>
        </w:rPr>
        <w:t xml:space="preserve">：</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维保费用按季度支付，每季度应支付维保费用=合同金额/12个季度，每季度实际支付维保费用=每季度应支付维保费用*当季度考核得分的百分比，第一个到第三个季度的实际支付维保费用在考核结束后直接从预付款中扣除，甲方不再支付，第四个季度的实际支付维保费用，在考核结束后从剩余预付款中扣除，不足部分由甲方支付，其他季度的实际支付维保费用在考核结束后，由甲方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如在签订合同时，乙方明确表示无需预付款或者主动要求降低预付款比例的，甲方可不适用上述关于预付款的规定。</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三、进场核验要求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进场核验，系为实现合同目的，甲方组织乙方项目负责人等相关人员，按照</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的要求与乙方</w:t>
      </w:r>
      <w:r>
        <w:rPr>
          <w:rFonts w:hint="eastAsia" w:ascii="宋体" w:hAnsi="宋体" w:cs="宋体"/>
          <w:color w:val="auto"/>
          <w:sz w:val="24"/>
          <w:highlight w:val="none"/>
          <w:lang w:val="en-US" w:eastAsia="zh-CN"/>
        </w:rPr>
        <w:t xml:space="preserve">的响应</w:t>
      </w:r>
      <w:r>
        <w:rPr>
          <w:rFonts w:hint="eastAsia" w:ascii="宋体" w:hAnsi="宋体" w:cs="宋体"/>
          <w:color w:val="auto"/>
          <w:sz w:val="24"/>
          <w:highlight w:val="none"/>
        </w:rPr>
        <w:t xml:space="preserve">承诺，对乙方投入本项目的人员、车辆、设备、工具、保险、服装、办公场所、营业场所等是否到位的情况，进行现场比对，由甲方出具进场核验报告，认定是否达到相关要求，评定合格或不合格的行为。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进场核验的时间期间为中标通知书发出之日起，至合同计划履行起始日前，由乙方报请甲方进行核验（一般应于收到中标通知书之后20天内进行，并不晚于计划进场服务日期前10天）。现场核验符合</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要求与乙方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承诺的，由甲方出具“合格”的进场核验报告；现场核验不符合</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要求或乙方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承诺的，由甲方依照现场核验的实际情况，在进场核验报告中明确不符合事项，载明双方约定的整改期限（整改期限，不得晚于合同计划履行起始日），出具相应的进场核验报告。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计划合同履行起始之日起，乙方未持有甲方出具“合格”进场核验报告的，视为乙方未按照合同约定履约，甲方按合同金额的万分之四/日向乙方收取违约金；未持有甲方出具“合格”进场核验报告的状态满15日的，甲方有权随时解除合同；合同解除的，乙方将自合同解除之日起，三年内不得参加甲方所有的招标项目。</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四、服务工作管理、检查考核：详见第四章</w:t>
      </w:r>
      <w:r>
        <w:rPr>
          <w:rFonts w:hint="eastAsia" w:ascii="宋体" w:hAnsi="宋体" w:cs="宋体"/>
          <w:b/>
          <w:bCs/>
          <w:color w:val="auto"/>
          <w:sz w:val="24"/>
          <w:highlight w:val="none"/>
          <w:lang w:val="en-US" w:eastAsia="zh-CN"/>
        </w:rPr>
        <w:t xml:space="preserve">磋商需求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五、不可抗力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1、因不可抗力不能履行本合同的，根据不可抗力的影响，部分或者全部免除责任。但合同一方迟延履行合同义务后发生不可抗力的，违约方不能免除责任。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2、合同一方因不可抗力不能履行本合同的，应当及时通知对方，以减轻可能给对方造成的损失，并应当在不可抗力发生之日起15日内提供权威部门出具的认定不可抗力的证明。</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六、合同的解除和转让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1、甲方和乙方协商一致，可以解除合同，并报政府采购监管部门审查备案。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2、乙方提交的</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rPr>
        <w:t xml:space="preserve">虚假，或者乙方故意隐瞒足以导致不能中标的事实被发现，或者乙方违反本合同或</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任一约定，经甲方通知后拒不改正的，甲方可以单方</w:t>
      </w:r>
      <w:r>
        <w:rPr>
          <w:rFonts w:hint="eastAsia" w:ascii="宋体" w:hAnsi="宋体" w:cs="宋体"/>
          <w:color w:val="auto"/>
          <w:sz w:val="24"/>
          <w:highlight w:val="none"/>
          <w:lang w:val="en-US" w:eastAsia="zh-CN"/>
        </w:rPr>
        <w:t xml:space="preserve">面</w:t>
      </w:r>
      <w:r>
        <w:rPr>
          <w:rFonts w:hint="eastAsia" w:ascii="宋体" w:hAnsi="宋体" w:cs="宋体"/>
          <w:color w:val="auto"/>
          <w:sz w:val="24"/>
          <w:highlight w:val="none"/>
        </w:rPr>
        <w:t xml:space="preserve">解除本合同，由此造成</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甲方的损失由乙方承担赔偿（包括但不限于诉讼费、合理律师费等）。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3、本合同不得以任何形式转让（包括但不限于部分或全部转让，拆分转让，变相转让等形式），否则视为乙方违约，甲方可以单方</w:t>
      </w:r>
      <w:r>
        <w:rPr>
          <w:rFonts w:hint="eastAsia" w:ascii="宋体" w:hAnsi="宋体" w:cs="宋体"/>
          <w:color w:val="auto"/>
          <w:sz w:val="24"/>
          <w:highlight w:val="none"/>
          <w:lang w:val="en-US" w:eastAsia="zh-CN"/>
        </w:rPr>
        <w:t xml:space="preserve">面</w:t>
      </w:r>
      <w:r>
        <w:rPr>
          <w:rFonts w:hint="eastAsia" w:ascii="宋体" w:hAnsi="宋体" w:cs="宋体"/>
          <w:color w:val="auto"/>
          <w:sz w:val="24"/>
          <w:highlight w:val="none"/>
        </w:rPr>
        <w:t xml:space="preserve">解除本合同，由此造成</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甲方的损失由乙方承担赔偿（包括但不限于诉讼费、合理律师费等）。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4、本合同未经甲方书面同意不得以任何形式进行分包，否则视为乙方违约，甲方可以单方</w:t>
      </w:r>
      <w:r>
        <w:rPr>
          <w:rFonts w:hint="eastAsia" w:ascii="宋体" w:hAnsi="宋体" w:cs="宋体"/>
          <w:color w:val="auto"/>
          <w:sz w:val="24"/>
          <w:highlight w:val="none"/>
          <w:lang w:val="en-US" w:eastAsia="zh-CN"/>
        </w:rPr>
        <w:t xml:space="preserve">面</w:t>
      </w:r>
      <w:r>
        <w:rPr>
          <w:rFonts w:hint="eastAsia" w:ascii="宋体" w:hAnsi="宋体" w:cs="宋体"/>
          <w:color w:val="auto"/>
          <w:sz w:val="24"/>
          <w:highlight w:val="none"/>
        </w:rPr>
        <w:t xml:space="preserve">解除本合同，由此造成</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甲方的损失由乙方承担赔偿（包括但不限于诉讼费、合理律师费等）。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5、中小企业依据价格扣除等优惠政策获取政府采购合同后，小型、微型企业不得分包或转包给大型、中型企业，中型企业不得分包或转包给大型企业。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6、有权解除合同的一方，应当在其知道或者应当知道解除事由之日起一年内书面通知对方提出解除合同；另一方如有异议，应当在解除合同通知到达之日起7日内提出异议，否则视为无异议。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7、如本项目政府采购合同继续履行将损害国家利益和社会公共利益，采购人有权变更、中止或者终止、解除合同。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8、本协议因乙方原因解除的，乙方应当赔偿甲方因重新招标所发生的所有相关费用。</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2、甲方违约责任。甲方未按照约定时间支付合同价款的，应当承担逾期付款违约责任。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3.1甲方有权按照本合同（含附件）及</w:t>
      </w:r>
      <w:r>
        <w:rPr>
          <w:rFonts w:hint="eastAsia" w:ascii="宋体" w:hAnsi="宋体" w:cs="宋体"/>
          <w:color w:val="auto"/>
          <w:sz w:val="24"/>
          <w:highlight w:val="none"/>
          <w:lang w:val="en-US" w:eastAsia="zh-CN"/>
        </w:rPr>
        <w:t xml:space="preserve">采购文件</w:t>
      </w:r>
      <w:r>
        <w:rPr>
          <w:rFonts w:hint="eastAsia" w:ascii="宋体" w:hAnsi="宋体" w:cs="宋体"/>
          <w:color w:val="auto"/>
          <w:sz w:val="24"/>
          <w:highlight w:val="none"/>
        </w:rPr>
        <w:t xml:space="preserve">规定对乙方进行考核，并按照甲方考核办法的规定要求乙方承担相应责任。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3.2乙方承担的违约金不足以赔偿甲方实际损失的，甲方有权要求乙方继续赔偿。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3.3乙方履行合同不符合合同要求的，甲方有权责令乙方立即改正，乙方拒不改正或已经造成不良社会影响的，甲方有权解除合同并要求乙方承担责任。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八、合同生效、争议解决及其他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1、本合同在双方签字或盖章后生效，并按照相关规定及时至政府采购网备案。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（1）乙方保证以下通讯方式为本单位各类文书送达地址，如发生变化，乙方应提前3日书面加盖公章通知甲方。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地址：__________________邮政编码：__________________</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联系人：_______________</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联系电话号码：______________</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（2）甲方可选择邮寄（包括特快专递、平信邮寄、挂号邮寄）、传真、电子通讯方式或专人送达等任一方式送达乙方。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（4）如甲乙之间因合同纠纷发生争议诉至法院，乙方确认本合同载明的上述地址为人民法院司法文书的送达地址。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3、乙方除应做好职工的安全生产教育外，还应为养护人员提供必要的劳动保护条件，为养护人员办理作业时的人身安全保险和意外伤害险。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4、一切安全责任事故均由乙方负责。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5、本合同附件与本合同具有同等法律效力。合同一式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份，甲方及相关部门执</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份，乙方执</w:t>
      </w:r>
      <w:r>
        <w:rPr>
          <w:rFonts w:hint="eastAsia" w:ascii="宋体" w:hAnsi="宋体" w:cs="宋体"/>
          <w:color w:val="auto"/>
          <w:sz w:val="24"/>
          <w:highlight w:val="none"/>
          <w:lang w:val="en-US" w:eastAsia="zh-CN"/>
        </w:rPr>
        <w:t xml:space="preserve">壹</w:t>
      </w:r>
      <w:r>
        <w:rPr>
          <w:rFonts w:hint="eastAsia"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执壹</w:t>
      </w:r>
      <w:r>
        <w:rPr>
          <w:rFonts w:hint="eastAsia" w:ascii="宋体" w:hAnsi="宋体" w:cs="宋体"/>
          <w:color w:val="auto"/>
          <w:sz w:val="24"/>
          <w:highlight w:val="none"/>
        </w:rPr>
        <w:t xml:space="preserve">份，各份具有同等法律效力。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6、本合同未尽事宜应按《中华人民共和国民法典》、《中华人民共和国政府采购法》以及其他相关法律、法规之规定解释。</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九、附则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1、本合同文件使用中文书写、解释和说明。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2、本合同履行过程中产生的纪要、协议以及中标通知书、</w:t>
      </w:r>
      <w:r>
        <w:rPr>
          <w:rFonts w:hint="eastAsia" w:ascii="宋体" w:hAnsi="宋体" w:cs="宋体"/>
          <w:color w:val="auto"/>
          <w:sz w:val="24"/>
          <w:highlight w:val="none"/>
          <w:lang w:val="en-US" w:eastAsia="zh-CN"/>
        </w:rPr>
        <w:t xml:space="preserve">响应文件</w:t>
      </w:r>
      <w:r>
        <w:rPr>
          <w:rFonts w:hint="eastAsia" w:ascii="宋体" w:hAnsi="宋体" w:cs="宋体"/>
          <w:color w:val="auto"/>
          <w:sz w:val="24"/>
          <w:highlight w:val="none"/>
        </w:rPr>
        <w:t xml:space="preserve">和采购文件为本合同的附件，与合同具有同等效力。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乙方：（盖章） </w:t>
      </w:r>
      <w:r>
        <w:rPr>
          <w:rFonts w:ascii="宋体" w:hAnsi="宋体" w:eastAsia="宋体" w:cs="宋体"/>
          <w:color w:val="auto"/>
          <w:sz w:val="24"/>
          <w:szCs w:val="24"/>
          <w:highlight w:val="none"/>
        </w:rPr>
        <w:t xml:space="preserve">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代理人</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rPr>
        <w:t xml:space="preserve">     年    月   日</w:t>
      </w:r>
      <w:r/>
    </w:p>
    <w:p>
      <w:pPr>
        <w:pStyle w:val="772"/>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附件：</w:t>
      </w:r>
      <w:r/>
    </w:p>
    <w:tbl>
      <w:tblPr>
        <w:tblStyle w:val="698"/>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723"/>
              <w:ind w:left="0"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政府采购合同信用融资政策告知函</w:t>
            </w:r>
            <w:r/>
          </w:p>
          <w:p>
            <w:pPr>
              <w:pStyle w:val="723"/>
              <w:ind w:left="0" w:firstLine="0"/>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各政府采购投标人</w:t>
            </w:r>
            <w:r>
              <w:rPr>
                <w:rFonts w:hint="eastAsia" w:ascii="宋体" w:hAnsi="宋体" w:cs="宋体"/>
                <w:b/>
                <w:color w:val="auto"/>
                <w:sz w:val="24"/>
                <w:highlight w:val="none"/>
                <w:lang w:eastAsia="zh-CN"/>
              </w:rPr>
              <w:t xml:space="preserve">：</w:t>
            </w:r>
            <w:r/>
          </w:p>
          <w:p>
            <w:pPr>
              <w:pStyle w:val="723"/>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欢迎贵公司参加苏州市政府采购活动！</w:t>
            </w:r>
            <w:r/>
          </w:p>
          <w:p>
            <w:pPr>
              <w:pStyle w:val="723"/>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合同信用融资是江苏省、苏州市为支持中小企业发展，缓解中小企业融资难题推出的一项融资服务举措。若贵公司经评审最终成为本次政府采购项目的合格中标(成交)投标人，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附件：考核标准</w:t>
      </w:r>
      <w:r/>
    </w:p>
    <w:p>
      <w:pPr>
        <w:pStyle w:val="772"/>
        <w:ind w:firstLine="0"/>
        <w:jc w:val="center"/>
        <w:spacing w:line="360" w:lineRule="auto"/>
        <w:rPr>
          <w:rFonts w:ascii="宋体" w:hAnsi="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考核得分表</w:t>
      </w:r>
      <w:r/>
    </w:p>
    <w:tbl>
      <w:tblPr>
        <w:tblStyle w:val="698"/>
        <w:tblW w:w="9710" w:type="dxa"/>
        <w:jc w:val="center"/>
        <w:tblLayout w:type="autofit"/>
        <w:tblCellMar>
          <w:left w:w="96" w:type="dxa"/>
          <w:top w:w="45" w:type="dxa"/>
          <w:right w:w="96" w:type="dxa"/>
          <w:bottom w:w="45" w:type="dxa"/>
        </w:tblCellMar>
        <w:tblLook w:val="04A0" w:firstRow="1" w:lastRow="0" w:firstColumn="1" w:lastColumn="0" w:noHBand="0" w:noVBand="1"/>
      </w:tblPr>
      <w:tblGrid>
        <w:gridCol w:w="1254"/>
        <w:gridCol w:w="2170"/>
        <w:gridCol w:w="1035"/>
        <w:gridCol w:w="5251"/>
      </w:tblGrid>
      <w:tr>
        <w:trPr>
          <w:jc w:val="center"/>
          <w:trHeight w:val="283"/>
          <w:tblHeader/>
        </w:trPr>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40" w:lineRule="auto"/>
              <w:widowControl/>
              <w:rPr>
                <w:rFonts w:hint="eastAsia" w:ascii="宋体" w:hAnsi="宋体" w:cs="宋体"/>
                <w:b/>
                <w:bCs/>
                <w:color w:val="auto"/>
                <w:sz w:val="24"/>
                <w:highlight w:val="none"/>
              </w:rPr>
            </w:pPr>
            <w:r/>
            <w:bookmarkStart w:id="44" w:name="_Toc15282"/>
            <w:r>
              <w:rPr>
                <w:rFonts w:hint="eastAsia" w:ascii="宋体" w:hAnsi="宋体" w:cs="宋体"/>
                <w:b/>
                <w:bCs/>
                <w:color w:val="auto"/>
                <w:sz w:val="24"/>
                <w:highlight w:val="none"/>
              </w:rPr>
              <w:t xml:space="preserve">项目</w:t>
            </w:r>
            <w:r/>
          </w:p>
        </w:tc>
        <w:tc>
          <w:tcPr>
            <w:tcBorders>
              <w:top w:val="single" w:color="auto"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考核分</w:t>
            </w:r>
            <w:r/>
          </w:p>
        </w:tc>
        <w:tc>
          <w:tcPr>
            <w:tcBorders>
              <w:top w:val="single" w:color="auto" w:sz="4" w:space="0"/>
              <w:left w:val="none" w:color="000000" w:sz="4" w:space="0"/>
              <w:bottom w:val="single" w:color="auto" w:sz="4" w:space="0"/>
              <w:right w:val="single" w:color="auto" w:sz="4" w:space="0"/>
            </w:tcBorders>
            <w:tcW w:w="5251" w:type="dxa"/>
            <w:vAlign w:val="center"/>
            <w:textDirection w:val="lrTb"/>
            <w:noWrap w:val="false"/>
          </w:tcPr>
          <w:p>
            <w:pPr>
              <w:jc w:val="center"/>
              <w:spacing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评分说明</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restart"/>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基础管理（50分）</w:t>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满意度打分</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按季度</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集成指挥中心</w:t>
            </w:r>
            <w:r>
              <w:rPr>
                <w:rFonts w:hint="eastAsia" w:ascii="宋体" w:hAnsi="宋体" w:cs="宋体"/>
                <w:color w:val="auto"/>
                <w:sz w:val="24"/>
                <w:highlight w:val="none"/>
              </w:rPr>
              <w:t xml:space="preserve">根据日常使用情况的满意度给予主观打分。</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日常维护及巡检报告</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每季度提供日常维护及巡检相关报告给中心。</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提交月度故障保修、维护记录及原因说明</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每月提交一份月度故障保修、维护记录及原因说</w:t>
            </w:r>
            <w:r>
              <w:rPr>
                <w:rFonts w:hint="eastAsia" w:ascii="宋体" w:hAnsi="宋体" w:cs="宋体"/>
                <w:color w:val="auto"/>
                <w:sz w:val="24"/>
                <w:highlight w:val="none"/>
                <w:lang w:val="en-US" w:eastAsia="zh-CN"/>
              </w:rPr>
              <w:t xml:space="preserve">明。</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派驻人员、车辆以及备件情况</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派驻人员、车辆以及备件不得低于维护要求，由</w:t>
            </w:r>
            <w:r>
              <w:rPr>
                <w:rFonts w:hint="eastAsia" w:ascii="宋体" w:hAnsi="宋体" w:cs="宋体"/>
                <w:color w:val="auto"/>
                <w:sz w:val="24"/>
                <w:highlight w:val="none"/>
                <w:lang w:val="en-US" w:eastAsia="zh-CN"/>
              </w:rPr>
              <w:t xml:space="preserve">集成指挥中心</w:t>
            </w:r>
            <w:r>
              <w:rPr>
                <w:rFonts w:hint="eastAsia" w:ascii="宋体" w:hAnsi="宋体" w:cs="宋体"/>
                <w:color w:val="auto"/>
                <w:sz w:val="24"/>
                <w:highlight w:val="none"/>
              </w:rPr>
              <w:t xml:space="preserve">根据日常派驻人员工作情况以及车辆使用情况给予主观打分。</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24小时保障维护平台及系统</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提供24小时应急保障电话，保证及时响应，由</w:t>
            </w:r>
            <w:r>
              <w:rPr>
                <w:rFonts w:hint="eastAsia" w:ascii="宋体" w:hAnsi="宋体" w:cs="宋体"/>
                <w:color w:val="auto"/>
                <w:sz w:val="24"/>
                <w:highlight w:val="none"/>
                <w:lang w:val="en-US" w:eastAsia="zh-CN"/>
              </w:rPr>
              <w:t xml:space="preserve">集成指挥中心</w:t>
            </w:r>
            <w:r>
              <w:rPr>
                <w:rFonts w:hint="eastAsia" w:ascii="宋体" w:hAnsi="宋体" w:cs="宋体"/>
                <w:color w:val="auto"/>
                <w:sz w:val="24"/>
                <w:highlight w:val="none"/>
              </w:rPr>
              <w:t xml:space="preserve">根据保障电话的接通情况给予主观打分。</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restart"/>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质量管理（50分）</w:t>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系统设备完好率</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日常系统设备完好率应达到90%，每低1%扣5分（无法接电、道路施工、点位迁移等因素除外）。</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故障修复时间</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未按响应时间要求修复，每发生一次扣1分，扣完为止，特殊情况需向</w:t>
            </w:r>
            <w:r>
              <w:rPr>
                <w:rFonts w:hint="eastAsia" w:ascii="宋体" w:hAnsi="宋体" w:cs="宋体"/>
                <w:color w:val="auto"/>
                <w:sz w:val="24"/>
                <w:highlight w:val="none"/>
                <w:lang w:val="en-US" w:eastAsia="zh-CN"/>
              </w:rPr>
              <w:t xml:space="preserve">中心</w:t>
            </w:r>
            <w:r>
              <w:rPr>
                <w:rFonts w:hint="eastAsia" w:ascii="宋体" w:hAnsi="宋体" w:cs="宋体"/>
                <w:color w:val="auto"/>
                <w:sz w:val="24"/>
                <w:highlight w:val="none"/>
              </w:rPr>
              <w:t xml:space="preserve">报备。</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故障响应速度</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2小时内到达故障点位，未到达的每发生一次扣1分，扣完为止，特殊情况需向中心报备。</w:t>
            </w:r>
            <w:r/>
          </w:p>
        </w:tc>
      </w:tr>
      <w:tr>
        <w:trPr>
          <w:jc w:val="center"/>
          <w:trHeight w:val="283"/>
        </w:trPr>
        <w:tc>
          <w:tcPr>
            <w:tcBorders>
              <w:top w:val="none" w:color="000000" w:sz="4" w:space="0"/>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170"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对重大事件、活动的现场保障</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Borders>
              <w:top w:val="none" w:color="000000" w:sz="4" w:space="0"/>
              <w:left w:val="none" w:color="000000" w:sz="4" w:space="0"/>
              <w:bottom w:val="single" w:color="auto" w:sz="4" w:space="0"/>
              <w:right w:val="single" w:color="auto" w:sz="4" w:space="0"/>
            </w:tcBorders>
            <w:tcW w:w="5251" w:type="dxa"/>
            <w:vAlign w:val="center"/>
            <w:textDirection w:val="lrTb"/>
            <w:noWrap w:val="false"/>
          </w:tcPr>
          <w:p>
            <w:pPr>
              <w:jc w:val="both"/>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重大活动保障，及重要监控图像保障，如因维护问题出现的监控图像丢失产生严重后果的，直接扣10分。</w:t>
            </w:r>
            <w:r/>
          </w:p>
        </w:tc>
      </w:tr>
      <w:tr>
        <w:trPr>
          <w:jc w:val="center"/>
          <w:trHeight w:val="283"/>
        </w:trPr>
        <w:tc>
          <w:tcPr>
            <w:gridSpan w:val="2"/>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spacing w:line="240" w:lineRule="auto"/>
              <w:widowControl/>
              <w:rPr>
                <w:rFonts w:hint="eastAsia" w:ascii="宋体" w:hAnsi="宋体" w:cs="宋体"/>
                <w:color w:val="auto"/>
                <w:sz w:val="24"/>
                <w:highlight w:val="none"/>
              </w:rPr>
            </w:pPr>
            <w:r>
              <w:rPr>
                <w:rFonts w:hint="eastAsia" w:ascii="宋体" w:hAnsi="宋体" w:cs="宋体"/>
                <w:b/>
                <w:bCs/>
                <w:color w:val="auto"/>
                <w:sz w:val="24"/>
                <w:highlight w:val="none"/>
                <w:lang w:bidi="ar"/>
              </w:rPr>
              <w:t xml:space="preserve">总得分：</w:t>
            </w:r>
            <w:r/>
          </w:p>
        </w:tc>
        <w:tc>
          <w:tcPr>
            <w:gridSpan w:val="2"/>
            <w:tcBorders>
              <w:top w:val="single" w:color="auto" w:sz="4" w:space="0"/>
              <w:left w:val="single" w:color="auto" w:sz="4" w:space="0"/>
              <w:bottom w:val="single" w:color="auto" w:sz="4" w:space="0"/>
              <w:right w:val="single" w:color="auto" w:sz="4" w:space="0"/>
            </w:tcBorders>
            <w:tcW w:w="6286" w:type="dxa"/>
            <w:vAlign w:val="center"/>
            <w:textDirection w:val="lrTb"/>
            <w:noWrap w:val="false"/>
          </w:tcPr>
          <w:p>
            <w:pPr>
              <w:pStyle w:val="703"/>
              <w:jc w:val="both"/>
              <w:spacing w:line="240" w:lineRule="auto"/>
              <w:rPr>
                <w:color w:val="auto"/>
                <w:highlight w:val="none"/>
              </w:rPr>
            </w:pPr>
            <w:r>
              <w:rPr>
                <w:color w:val="auto"/>
                <w:highlight w:val="none"/>
              </w:rPr>
            </w:r>
            <w:r/>
          </w:p>
        </w:tc>
      </w:tr>
      <w:tr>
        <w:trPr>
          <w:jc w:val="center"/>
          <w:trHeight w:val="340"/>
        </w:trPr>
        <w:tc>
          <w:tcPr>
            <w:gridSpan w:val="4"/>
            <w:tcBorders>
              <w:top w:val="single" w:color="auto" w:sz="4" w:space="0"/>
              <w:left w:val="single" w:color="auto" w:sz="4" w:space="0"/>
              <w:bottom w:val="single" w:color="auto" w:sz="4" w:space="0"/>
              <w:right w:val="single" w:color="auto" w:sz="4" w:space="0"/>
            </w:tcBorders>
            <w:tcW w:w="9710" w:type="dxa"/>
            <w:vAlign w:val="center"/>
            <w:textDirection w:val="lrTb"/>
            <w:noWrap w:val="false"/>
          </w:tcPr>
          <w:p>
            <w:pPr>
              <w:jc w:val="both"/>
              <w:keepLines w:val="0"/>
              <w:keepNext w:val="0"/>
              <w:pageBreakBefore w:val="0"/>
              <w:spacing w:line="40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考核部门签字：</w:t>
            </w:r>
            <w:r/>
          </w:p>
          <w:p>
            <w:pPr>
              <w:pStyle w:val="703"/>
              <w:jc w:val="both"/>
              <w:keepLines w:val="0"/>
              <w:keepNext w:val="0"/>
              <w:pageBreakBefore w:val="0"/>
              <w:spacing w:line="400" w:lineRule="exact"/>
              <w:rPr>
                <w:color w:val="auto"/>
                <w:highlight w:val="none"/>
              </w:rPr>
            </w:pPr>
            <w:r>
              <w:rPr>
                <w:rFonts w:hint="eastAsia" w:ascii="宋体" w:hAnsi="宋体" w:cs="宋体"/>
                <w:color w:val="auto"/>
                <w:sz w:val="24"/>
                <w:szCs w:val="24"/>
                <w:highlight w:val="none"/>
                <w:lang w:bidi="ar"/>
              </w:rPr>
              <w:t xml:space="preserve">乙方签字：</w:t>
            </w:r>
            <w:r/>
          </w:p>
        </w:tc>
      </w:tr>
    </w:tbl>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考评结果≥95分，每季度实际付款金额=应付金额*100%</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低于95分，实际付款金额=应付金额*得分百分比；</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每季度进行打分一次，每季度计算(中标金额/12*得分)，每季度财务每次付款前需附上甲方提交的打分情况表，甲方有权根据项目的实际情况对考核内容进行调整。</w:t>
      </w:r>
      <w:bookmarkEnd w:id="44"/>
      <w:r/>
      <w:r/>
    </w:p>
    <w:p>
      <w:pPr>
        <w:jc w:val="center"/>
        <w:spacing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第六章 评审方法和评分标准</w:t>
      </w:r>
      <w:r/>
    </w:p>
    <w:p>
      <w:pPr>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一、评审方法：</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本次磋商</w:t>
      </w: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u w:val="single"/>
        </w:rPr>
        <w:t xml:space="preserve">综合评分法</w:t>
      </w:r>
      <w:r>
        <w:rPr>
          <w:rFonts w:hint="eastAsia" w:ascii="宋体" w:hAnsi="宋体" w:eastAsia="宋体" w:cs="宋体"/>
          <w:color w:val="auto"/>
          <w:sz w:val="24"/>
          <w:highlight w:val="none"/>
        </w:rPr>
        <w:t xml:space="preserve">，即指</w:t>
      </w:r>
      <w:r>
        <w:rPr>
          <w:rFonts w:hint="eastAsia" w:ascii="宋体" w:hAnsi="宋体" w:cs="宋体"/>
          <w:color w:val="auto"/>
          <w:sz w:val="24"/>
          <w:highlight w:val="none"/>
          <w:lang w:val="en-US" w:eastAsia="zh-CN"/>
        </w:rPr>
        <w:t xml:space="preserve">响应文件</w:t>
      </w:r>
      <w:r>
        <w:rPr>
          <w:rFonts w:hint="eastAsia" w:ascii="宋体" w:hAnsi="宋体" w:eastAsia="宋体" w:cs="宋体"/>
          <w:color w:val="auto"/>
          <w:sz w:val="24"/>
          <w:highlight w:val="none"/>
        </w:rPr>
        <w:t xml:space="preserve">满足</w:t>
      </w:r>
      <w:r>
        <w:rPr>
          <w:rFonts w:hint="eastAsia" w:ascii="宋体" w:hAnsi="宋体" w:cs="宋体"/>
          <w:color w:val="auto"/>
          <w:sz w:val="24"/>
          <w:highlight w:val="none"/>
          <w:lang w:val="en-US" w:eastAsia="zh-CN"/>
        </w:rPr>
        <w:t xml:space="preserve">磋商文件</w:t>
      </w:r>
      <w:r>
        <w:rPr>
          <w:rFonts w:hint="eastAsia" w:ascii="宋体" w:hAnsi="宋体" w:eastAsia="宋体" w:cs="宋体"/>
          <w:color w:val="auto"/>
          <w:sz w:val="24"/>
          <w:highlight w:val="none"/>
        </w:rPr>
        <w:t xml:space="preserve">全部实质性要求且按评审因素的量化指标评审得分最高的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采购人授权磋商小组直接确定成交供应商。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w:t>
      </w:r>
      <w:r>
        <w:rPr>
          <w:rFonts w:hint="eastAsia" w:ascii="宋体" w:hAnsi="宋体" w:cs="宋体"/>
          <w:color w:val="auto"/>
          <w:sz w:val="24"/>
          <w:highlight w:val="none"/>
          <w:lang w:val="en-US" w:eastAsia="zh-CN"/>
        </w:rPr>
        <w:t xml:space="preserve">磋商供应商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val="en-US" w:eastAsia="zh-CN"/>
        </w:rPr>
        <w:t xml:space="preserve">响应文件</w:t>
      </w:r>
      <w:r>
        <w:rPr>
          <w:rFonts w:hint="eastAsia" w:ascii="宋体" w:hAnsi="宋体" w:eastAsia="宋体" w:cs="宋体"/>
          <w:color w:val="auto"/>
          <w:sz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3、对评委的评分(除价格分外)进行统计汇总，直接算术平均，计算出每个</w:t>
      </w:r>
      <w:r>
        <w:rPr>
          <w:rFonts w:hint="eastAsia" w:ascii="宋体" w:hAnsi="宋体" w:cs="宋体"/>
          <w:color w:val="auto"/>
          <w:sz w:val="24"/>
          <w:highlight w:val="none"/>
          <w:lang w:val="en-US" w:eastAsia="zh-CN"/>
        </w:rPr>
        <w:t xml:space="preserve">磋商供应商</w:t>
      </w:r>
      <w:r>
        <w:rPr>
          <w:rFonts w:hint="eastAsia" w:ascii="宋体" w:hAnsi="宋体" w:eastAsia="宋体" w:cs="宋体"/>
          <w:color w:val="auto"/>
          <w:sz w:val="24"/>
          <w:highlight w:val="none"/>
        </w:rPr>
        <w:t xml:space="preserve">的得分，加上价格得分即为每个</w:t>
      </w:r>
      <w:r>
        <w:rPr>
          <w:rFonts w:hint="eastAsia" w:ascii="宋体" w:hAnsi="宋体" w:cs="宋体"/>
          <w:color w:val="auto"/>
          <w:sz w:val="24"/>
          <w:highlight w:val="none"/>
          <w:lang w:val="en-US" w:eastAsia="zh-CN"/>
        </w:rPr>
        <w:t xml:space="preserve">磋商供应商</w:t>
      </w:r>
      <w:r>
        <w:rPr>
          <w:rFonts w:hint="eastAsia" w:ascii="宋体" w:hAnsi="宋体" w:eastAsia="宋体" w:cs="宋体"/>
          <w:color w:val="auto"/>
          <w:sz w:val="24"/>
          <w:highlight w:val="none"/>
        </w:rPr>
        <w:t xml:space="preserve">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5、评审过程中出现下列情形之一的，评标委员会应当启动异常低价投标（响应）审查程序：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（1）查询时间：响应文件递交截止时间。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（4）信用记录使用规则：评审小组在对供应商进行资格性审查时，应根据查询结果对供应商的不良信用记录逐项甄别确认。</w:t>
      </w:r>
      <w:r/>
    </w:p>
    <w:p>
      <w:pPr>
        <w:contextualSpacing/>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二、评分标准</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（一）价格基准分：10分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第一步：磋商报价低于或等于</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或最高限价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的，为有效磋商报价。超过</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预算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或最高限价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的磋商报价为无效磋商报价。无效磋商报价的磋商响应文件不进行评审，也不得成交。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第二步：在所有有效磋商报价中满足采购文件要求，且经磋商后最终总评审价格最低的磋商报价为评标基准价，其价格分为10分，其他磋商供应商的价格分按照下列公式计算（计算结果四舍五入保留两位小数）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磋商报价得分＝（评标基准价/磋商报价）×</w:t>
      </w:r>
      <w:r>
        <w:rPr>
          <w:rFonts w:hint="eastAsia" w:ascii="宋体" w:hAnsi="宋体" w:cs="宋体"/>
          <w:color w:val="auto"/>
          <w:sz w:val="24"/>
          <w:highlight w:val="none"/>
          <w:lang w:val="en-US" w:eastAsia="zh-CN"/>
        </w:rPr>
        <w:t xml:space="preserve">价格权值</w:t>
      </w:r>
      <w:r>
        <w:rPr>
          <w:rFonts w:hint="eastAsia" w:ascii="宋体" w:hAnsi="宋体" w:eastAsia="宋体" w:cs="宋体"/>
          <w:color w:val="auto"/>
          <w:sz w:val="24"/>
          <w:highlight w:val="none"/>
        </w:rPr>
        <w:t xml:space="preserve">×100（价格权值为10%）</w:t>
      </w:r>
      <w:r/>
    </w:p>
    <w:p>
      <w:pPr>
        <w:ind w:firstLine="48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（二）服务方案</w:t>
      </w:r>
      <w:r>
        <w:rPr>
          <w:rFonts w:hint="eastAsia" w:ascii="宋体" w:hAnsi="宋体" w:cs="宋体"/>
          <w:b/>
          <w:color w:val="auto"/>
          <w:sz w:val="24"/>
          <w:highlight w:val="none"/>
          <w:lang w:val="en-US" w:eastAsia="zh-CN"/>
        </w:rPr>
        <w:t xml:space="preserve">比较：65分</w:t>
      </w:r>
      <w:r/>
    </w:p>
    <w:p>
      <w:pPr>
        <w:ind w:firstLine="482"/>
        <w:spacing w:line="360" w:lineRule="auto"/>
        <w:rPr>
          <w:rFonts w:hint="eastAsia" w:ascii="宋体" w:hAnsi="宋体" w:eastAsia="宋体" w:cs="宋体"/>
          <w:b/>
          <w:color w:val="auto"/>
          <w:sz w:val="24"/>
          <w:highlight w:val="none"/>
        </w:rPr>
      </w:pPr>
      <w:r>
        <w:rPr>
          <w:rFonts w:hint="default" w:ascii="宋体" w:hAnsi="宋体" w:eastAsia="宋体" w:cs="宋体"/>
          <w:b/>
          <w:bCs/>
          <w:color w:val="auto"/>
          <w:sz w:val="24"/>
          <w:szCs w:val="24"/>
          <w:highlight w:val="none"/>
          <w:lang w:val="en-US" w:eastAsia="zh-CN" w:bidi="ar-SA"/>
        </w:rPr>
        <w:t xml:space="preserve">1、针对本项目总体需求理解方案比较</w:t>
      </w:r>
      <w:r>
        <w:rPr>
          <w:rFonts w:hint="eastAsia" w:ascii="宋体" w:hAnsi="宋体" w:cs="宋体"/>
          <w:b/>
          <w:bCs/>
          <w:color w:val="auto"/>
          <w:sz w:val="24"/>
          <w:szCs w:val="24"/>
          <w:highlight w:val="none"/>
          <w:lang w:val="en-US" w:eastAsia="zh-CN" w:bidi="ar-SA"/>
        </w:rPr>
        <w:t xml:space="preserve">：9</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基于对本项目背景、运维服务目标及实际情况的理解，充分理解本项目的特点和需求，详细阐述对项目需求的理解和分析。包含每个小区前端点位分布及性状分析、链路结构及供电情况分析、终端及配套设施性状分析等三个方面的方案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理解和分析内容完整、理解程度透彻、分析准确程度高的得</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理解和分析内容较完整、理解程度较透彻、分析准确程度较高的得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理解和分析内容基本完整、理解程度和分析准确程度欠缺的得1分；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numPr>
          <w:ilvl w:val="1"/>
          <w:numId w:val="0"/>
        </w:numPr>
        <w:ind w:left="0" w:firstLine="482"/>
        <w:spacing w:line="360" w:lineRule="auto"/>
        <w:tabs>
          <w:tab w:val="left" w:pos="0" w:leader="none"/>
        </w:tabs>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2、维护服务方案比较</w:t>
      </w:r>
      <w:r>
        <w:rPr>
          <w:rFonts w:hint="eastAsia" w:ascii="宋体" w:hAnsi="宋体" w:cs="宋体"/>
          <w:b/>
          <w:bCs/>
          <w:color w:val="auto"/>
          <w:sz w:val="24"/>
          <w:szCs w:val="24"/>
          <w:highlight w:val="none"/>
          <w:lang w:val="en-US" w:eastAsia="zh-CN" w:bidi="ar-SA"/>
        </w:rPr>
        <w:t xml:space="preserve">：9</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供应商针对本项目提出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售后服务及应急保障方案，包括但不限于售后服务、保障人员及保障团队、保障内容（网络保障、系统保障）等的描述和说明</w:t>
      </w:r>
      <w:r>
        <w:rPr>
          <w:rFonts w:hint="eastAsia" w:ascii="宋体" w:hAnsi="宋体" w:cs="宋体"/>
          <w:color w:val="auto"/>
          <w:sz w:val="24"/>
          <w:highlight w:val="none"/>
          <w:lang w:val="en-US" w:eastAsia="zh-CN"/>
        </w:rPr>
        <w:t xml:space="preserve">进行比较，</w:t>
      </w:r>
      <w:r>
        <w:rPr>
          <w:rFonts w:hint="eastAsia" w:ascii="宋体" w:hAnsi="宋体" w:eastAsia="宋体" w:cs="宋体"/>
          <w:color w:val="auto"/>
          <w:sz w:val="24"/>
          <w:highlight w:val="none"/>
        </w:rPr>
        <w:t xml:space="preserve">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方案合理、专业性强、可操作性高、与用户需求贴合度高的得</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方案较合理、专业性较强、可操作性较高、与用户需求贴合度较高的得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方案基本合理、专业性欠缺、</w:t>
      </w:r>
      <w:r>
        <w:rPr>
          <w:rFonts w:hint="eastAsia" w:ascii="宋体" w:hAnsi="宋体" w:cs="宋体"/>
          <w:color w:val="auto"/>
          <w:sz w:val="24"/>
          <w:highlight w:val="none"/>
          <w:lang w:val="en-US" w:eastAsia="zh-CN"/>
        </w:rPr>
        <w:t xml:space="preserve">可</w:t>
      </w:r>
      <w:r>
        <w:rPr>
          <w:rFonts w:hint="eastAsia" w:ascii="宋体" w:hAnsi="宋体" w:eastAsia="宋体" w:cs="宋体"/>
          <w:color w:val="auto"/>
          <w:sz w:val="24"/>
          <w:highlight w:val="none"/>
        </w:rPr>
        <w:t xml:space="preserve">操作</w:t>
      </w:r>
      <w:r>
        <w:rPr>
          <w:rFonts w:hint="eastAsia" w:ascii="宋体" w:hAnsi="宋体" w:cs="宋体"/>
          <w:color w:val="auto"/>
          <w:sz w:val="24"/>
          <w:highlight w:val="none"/>
          <w:lang w:val="en-US" w:eastAsia="zh-CN"/>
        </w:rPr>
        <w:t xml:space="preserve">性较差</w:t>
      </w:r>
      <w:r>
        <w:rPr>
          <w:rFonts w:hint="eastAsia" w:ascii="宋体" w:hAnsi="宋体" w:eastAsia="宋体" w:cs="宋体"/>
          <w:color w:val="auto"/>
          <w:sz w:val="24"/>
          <w:highlight w:val="none"/>
        </w:rPr>
        <w:t xml:space="preserve">、与用户需求贴合度欠缺的得1分；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numPr>
          <w:ilvl w:val="1"/>
          <w:numId w:val="0"/>
        </w:numPr>
        <w:ind w:left="0" w:firstLine="482"/>
        <w:spacing w:line="360" w:lineRule="auto"/>
        <w:tabs>
          <w:tab w:val="left" w:pos="0" w:leader="none"/>
        </w:tabs>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3、综合调度支持方案比较</w:t>
      </w:r>
      <w:r>
        <w:rPr>
          <w:rFonts w:hint="eastAsia" w:ascii="宋体" w:hAnsi="宋体" w:cs="宋体"/>
          <w:b/>
          <w:bCs/>
          <w:color w:val="auto"/>
          <w:sz w:val="24"/>
          <w:szCs w:val="24"/>
          <w:highlight w:val="none"/>
          <w:lang w:val="en-US" w:eastAsia="zh-CN" w:bidi="ar-SA"/>
        </w:rPr>
        <w:t xml:space="preserve">：9</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本项目制定的综合调度支持方案，包括但不限于综合调度系统构架及调度系统的功能、流程化对接方案（对接设备的组成、对接功能目标、统计报表）、维护值班管理、调度系统相关界面图等的描述和说明</w:t>
      </w:r>
      <w:r>
        <w:rPr>
          <w:rFonts w:hint="eastAsia" w:ascii="宋体" w:hAnsi="宋体" w:cs="宋体"/>
          <w:color w:val="auto"/>
          <w:sz w:val="24"/>
          <w:highlight w:val="none"/>
          <w:lang w:val="en-US" w:eastAsia="zh-CN"/>
        </w:rPr>
        <w:t xml:space="preserve">进行比较，</w:t>
      </w:r>
      <w:r>
        <w:rPr>
          <w:rFonts w:hint="eastAsia" w:ascii="宋体" w:hAnsi="宋体" w:eastAsia="宋体" w:cs="宋体"/>
          <w:color w:val="auto"/>
          <w:sz w:val="24"/>
          <w:highlight w:val="none"/>
        </w:rPr>
        <w:t xml:space="preserve">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方案合理、专业性强、可操作性高、与用户需求贴合度高的得</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方案较合理、专业性较强、可操作性较高、与用户需求贴合度较高的得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方案基本合理、专业性欠缺、</w:t>
      </w:r>
      <w:r>
        <w:rPr>
          <w:rFonts w:hint="eastAsia" w:ascii="宋体" w:hAnsi="宋体" w:cs="宋体"/>
          <w:color w:val="auto"/>
          <w:sz w:val="24"/>
          <w:highlight w:val="none"/>
          <w:lang w:val="en-US" w:eastAsia="zh-CN"/>
        </w:rPr>
        <w:t xml:space="preserve">可操作性较差</w:t>
      </w:r>
      <w:r>
        <w:rPr>
          <w:rFonts w:hint="eastAsia" w:ascii="宋体" w:hAnsi="宋体" w:eastAsia="宋体" w:cs="宋体"/>
          <w:color w:val="auto"/>
          <w:sz w:val="24"/>
          <w:highlight w:val="none"/>
        </w:rPr>
        <w:t xml:space="preserve">、与用户需求贴合度欠缺的得1分；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numPr>
          <w:ilvl w:val="0"/>
          <w:numId w:val="0"/>
        </w:numPr>
        <w:ind w:left="426" w:hanging="2"/>
        <w:spacing w:line="360" w:lineRule="auto"/>
        <w:tabs>
          <w:tab w:val="left" w:pos="0" w:leader="none"/>
        </w:tabs>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4、日常巡检方案比较</w:t>
      </w:r>
      <w:r>
        <w:rPr>
          <w:rFonts w:hint="eastAsia" w:ascii="宋体" w:hAnsi="宋体" w:cs="宋体"/>
          <w:b/>
          <w:bCs/>
          <w:color w:val="auto"/>
          <w:sz w:val="24"/>
          <w:szCs w:val="24"/>
          <w:highlight w:val="none"/>
          <w:lang w:val="en-US" w:eastAsia="zh-CN" w:bidi="ar-SA"/>
        </w:rPr>
        <w:t xml:space="preserve">：7</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供应商针对本项目制定的系统巡检方案，包括但不限于定期巡检服务内容、巡检维护、巡检专用工具和专用车辆、依托于GPS或北斗的巡检方案等的描述和说明</w:t>
      </w:r>
      <w:r>
        <w:rPr>
          <w:rFonts w:hint="eastAsia" w:ascii="宋体" w:hAnsi="宋体" w:cs="宋体"/>
          <w:color w:val="auto"/>
          <w:sz w:val="24"/>
          <w:highlight w:val="none"/>
          <w:lang w:val="en-US" w:eastAsia="zh-CN"/>
        </w:rPr>
        <w:t xml:space="preserve">进行比较，</w:t>
      </w:r>
      <w:r>
        <w:rPr>
          <w:rFonts w:hint="eastAsia" w:ascii="宋体" w:hAnsi="宋体" w:eastAsia="宋体" w:cs="宋体"/>
          <w:color w:val="auto"/>
          <w:sz w:val="24"/>
          <w:highlight w:val="none"/>
        </w:rPr>
        <w:t xml:space="preserve">由评委综合评审：</w:t>
      </w:r>
      <w:r/>
    </w:p>
    <w:p>
      <w:pPr>
        <w:numPr>
          <w:ilvl w:val="0"/>
          <w:numId w:val="0"/>
        </w:num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方案合理、专业性强、可操作性高、与用户需求贴合度高的得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numPr>
          <w:ilvl w:val="0"/>
          <w:numId w:val="0"/>
        </w:num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方案较合理、专业性较强、可操作性较高、与用户需求贴合度较高的得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numPr>
          <w:ilvl w:val="0"/>
          <w:numId w:val="0"/>
        </w:num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方案基本合理、专业性欠缺、</w:t>
      </w:r>
      <w:r>
        <w:rPr>
          <w:rFonts w:hint="eastAsia" w:ascii="宋体" w:hAnsi="宋体" w:cs="宋体"/>
          <w:color w:val="auto"/>
          <w:sz w:val="24"/>
          <w:highlight w:val="none"/>
          <w:lang w:val="en-US" w:eastAsia="zh-CN"/>
        </w:rPr>
        <w:t xml:space="preserve">可操作性较差</w:t>
      </w:r>
      <w:r>
        <w:rPr>
          <w:rFonts w:hint="eastAsia" w:ascii="宋体" w:hAnsi="宋体" w:eastAsia="宋体" w:cs="宋体"/>
          <w:color w:val="auto"/>
          <w:sz w:val="24"/>
          <w:highlight w:val="none"/>
        </w:rPr>
        <w:t xml:space="preserve">、与用户需求贴合度欠缺的得1分；</w:t>
      </w:r>
      <w:r/>
    </w:p>
    <w:p>
      <w:pPr>
        <w:numPr>
          <w:ilvl w:val="0"/>
          <w:numId w:val="0"/>
        </w:num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5、内部管理制度比较</w:t>
      </w:r>
      <w:r>
        <w:rPr>
          <w:rFonts w:hint="eastAsia" w:ascii="宋体" w:hAnsi="宋体" w:cs="宋体"/>
          <w:b/>
          <w:bCs/>
          <w:color w:val="auto"/>
          <w:sz w:val="24"/>
          <w:szCs w:val="24"/>
          <w:highlight w:val="none"/>
          <w:lang w:val="en-US" w:eastAsia="zh-CN" w:bidi="ar-SA"/>
        </w:rPr>
        <w:t xml:space="preserve">：7</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供应商针对本项目提出切实可行的管理制度，包括但不限于管理规范、业务管理制度、保密管理制度等的描述和说明进行比较，由评委综合评审：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制度完善合理、专业性强、可操作性强、与用户需求贴合度高的得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制度较合理、专业性较强、可操作性较强、与用户需求贴合度较高的得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制度基本合理、专业性欠缺、可操作</w:t>
      </w:r>
      <w:r>
        <w:rPr>
          <w:rFonts w:hint="eastAsia" w:ascii="宋体" w:hAnsi="宋体" w:cs="宋体"/>
          <w:color w:val="auto"/>
          <w:sz w:val="24"/>
          <w:highlight w:val="none"/>
          <w:lang w:val="en-US" w:eastAsia="zh-CN"/>
        </w:rPr>
        <w:t xml:space="preserve">性较差</w:t>
      </w:r>
      <w:r>
        <w:rPr>
          <w:rFonts w:hint="eastAsia" w:ascii="宋体" w:hAnsi="宋体" w:eastAsia="宋体" w:cs="宋体"/>
          <w:color w:val="auto"/>
          <w:sz w:val="24"/>
          <w:highlight w:val="none"/>
        </w:rPr>
        <w:t xml:space="preserve">、与用户需求贴合度欠缺的得1分；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6、维护档案管理服务方案比较</w:t>
      </w:r>
      <w:r>
        <w:rPr>
          <w:rFonts w:hint="eastAsia" w:ascii="宋体" w:hAnsi="宋体" w:cs="宋体"/>
          <w:b/>
          <w:bCs/>
          <w:color w:val="auto"/>
          <w:sz w:val="24"/>
          <w:szCs w:val="24"/>
          <w:highlight w:val="none"/>
          <w:lang w:val="en-US" w:eastAsia="zh-CN" w:bidi="ar-SA"/>
        </w:rPr>
        <w:t xml:space="preserve">：7</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供应商针对本项目提出</w:t>
      </w:r>
      <w:r>
        <w:rPr>
          <w:rFonts w:hint="eastAsia" w:ascii="宋体" w:hAnsi="宋体" w:eastAsia="宋体" w:cs="宋体"/>
          <w:color w:val="auto"/>
          <w:sz w:val="24"/>
          <w:highlight w:val="none"/>
          <w:lang w:val="en-US" w:eastAsia="zh-CN"/>
        </w:rPr>
        <w:t xml:space="preserve">维</w:t>
      </w:r>
      <w:r>
        <w:rPr>
          <w:rFonts w:hint="eastAsia" w:ascii="宋体" w:hAnsi="宋体" w:eastAsia="宋体" w:cs="宋体"/>
          <w:color w:val="auto"/>
          <w:sz w:val="24"/>
          <w:highlight w:val="none"/>
        </w:rPr>
        <w:t xml:space="preserve">护档案管理服务方案进行比较，由评委综合评审：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方案考虑全面、科学合理、操作性强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方案较为科学合理，操作性较强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方案基本科学合理，</w:t>
      </w:r>
      <w:r>
        <w:rPr>
          <w:rFonts w:hint="eastAsia" w:ascii="宋体" w:hAnsi="宋体" w:cs="宋体"/>
          <w:color w:val="auto"/>
          <w:sz w:val="24"/>
          <w:highlight w:val="none"/>
          <w:lang w:val="en-US" w:eastAsia="zh-CN"/>
        </w:rPr>
        <w:t xml:space="preserve">操作性较差的</w:t>
      </w:r>
      <w:r>
        <w:rPr>
          <w:rFonts w:hint="eastAsia" w:ascii="宋体" w:hAnsi="宋体" w:eastAsia="宋体" w:cs="宋体"/>
          <w:color w:val="auto"/>
          <w:sz w:val="24"/>
          <w:highlight w:val="none"/>
        </w:rPr>
        <w:t xml:space="preserve">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7、培训方案比较</w:t>
      </w:r>
      <w:r>
        <w:rPr>
          <w:rFonts w:hint="eastAsia" w:ascii="宋体" w:hAnsi="宋体" w:cs="宋体"/>
          <w:b/>
          <w:bCs/>
          <w:color w:val="auto"/>
          <w:sz w:val="24"/>
          <w:szCs w:val="24"/>
          <w:highlight w:val="none"/>
          <w:lang w:val="en-US" w:eastAsia="zh-CN" w:bidi="ar-SA"/>
        </w:rPr>
        <w:t xml:space="preserve">：7</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val="en-US" w:eastAsia="zh-CN"/>
        </w:rPr>
        <w:t xml:space="preserve">本</w:t>
      </w:r>
      <w:r>
        <w:rPr>
          <w:rFonts w:hint="eastAsia" w:ascii="宋体" w:hAnsi="宋体" w:eastAsia="宋体" w:cs="宋体"/>
          <w:color w:val="auto"/>
          <w:sz w:val="24"/>
          <w:highlight w:val="none"/>
        </w:rPr>
        <w:t xml:space="preserve">项目制定的培训方案进行比较，由评委综合评审：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培训方案健全完整的得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培训方案较健全完整的得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培训方案不够</w:t>
      </w:r>
      <w:r>
        <w:rPr>
          <w:rFonts w:hint="eastAsia" w:ascii="宋体" w:hAnsi="宋体" w:cs="宋体"/>
          <w:color w:val="auto"/>
          <w:sz w:val="24"/>
          <w:highlight w:val="none"/>
          <w:lang w:val="en-US" w:eastAsia="zh-CN"/>
        </w:rPr>
        <w:t xml:space="preserve">健全</w:t>
      </w:r>
      <w:r>
        <w:rPr>
          <w:rFonts w:hint="eastAsia" w:ascii="宋体" w:hAnsi="宋体" w:eastAsia="宋体" w:cs="宋体"/>
          <w:color w:val="auto"/>
          <w:sz w:val="24"/>
          <w:highlight w:val="none"/>
        </w:rPr>
        <w:t xml:space="preserve">完整的得1分；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8、拟投入本项目人员安排比较</w:t>
      </w:r>
      <w:r>
        <w:rPr>
          <w:rFonts w:hint="eastAsia" w:ascii="宋体" w:hAnsi="宋体" w:cs="宋体"/>
          <w:b/>
          <w:bCs/>
          <w:color w:val="auto"/>
          <w:sz w:val="24"/>
          <w:szCs w:val="24"/>
          <w:highlight w:val="none"/>
          <w:lang w:val="en-US" w:eastAsia="zh-CN" w:bidi="ar-SA"/>
        </w:rPr>
        <w:t xml:space="preserve">：</w:t>
      </w:r>
      <w:r>
        <w:rPr>
          <w:rFonts w:hint="default" w:ascii="宋体" w:hAnsi="宋体" w:eastAsia="宋体" w:cs="宋体"/>
          <w:b/>
          <w:bCs/>
          <w:color w:val="auto"/>
          <w:sz w:val="24"/>
          <w:szCs w:val="24"/>
          <w:highlight w:val="none"/>
          <w:lang w:val="en-US" w:eastAsia="zh-CN" w:bidi="ar-SA"/>
        </w:rPr>
        <w:t xml:space="preserve">5分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val="en-US" w:eastAsia="zh-CN"/>
        </w:rPr>
        <w:t xml:space="preserve">本</w:t>
      </w:r>
      <w:r>
        <w:rPr>
          <w:rFonts w:hint="eastAsia" w:ascii="宋体" w:hAnsi="宋体" w:eastAsia="宋体" w:cs="宋体"/>
          <w:color w:val="auto"/>
          <w:sz w:val="24"/>
          <w:highlight w:val="none"/>
        </w:rPr>
        <w:t xml:space="preserve">项目拟投入</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人员安排</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包括但不限于项目团队架构、岗位设置等的</w:t>
      </w:r>
      <w:r>
        <w:rPr>
          <w:rFonts w:hint="eastAsia" w:ascii="宋体" w:hAnsi="宋体" w:eastAsia="宋体" w:cs="宋体"/>
          <w:color w:val="auto"/>
          <w:sz w:val="24"/>
          <w:highlight w:val="none"/>
        </w:rPr>
        <w:t xml:space="preserve">描述和说明进行比较，由评委综合评审：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项目团队架构清晰，设置合理，工作人员岗位、职责明确的得5分；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项目团队架构较清晰，设置较合理，人员岗位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职责划分合理的得3分；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团队架构简单，设置基本合理，人员岗位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职责划分可行的得1分；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9、应急方案</w:t>
      </w:r>
      <w:r>
        <w:rPr>
          <w:rFonts w:hint="eastAsia" w:ascii="宋体" w:hAnsi="宋体" w:cs="宋体"/>
          <w:b/>
          <w:bCs/>
          <w:color w:val="auto"/>
          <w:sz w:val="24"/>
          <w:szCs w:val="24"/>
          <w:highlight w:val="none"/>
          <w:lang w:val="en-US" w:eastAsia="zh-CN" w:bidi="ar-SA"/>
        </w:rPr>
        <w:t xml:space="preserve">比较：</w:t>
      </w:r>
      <w:r>
        <w:rPr>
          <w:rFonts w:hint="default" w:ascii="宋体" w:hAnsi="宋体" w:eastAsia="宋体" w:cs="宋体"/>
          <w:b/>
          <w:bCs/>
          <w:color w:val="auto"/>
          <w:sz w:val="24"/>
          <w:szCs w:val="24"/>
          <w:highlight w:val="none"/>
          <w:lang w:val="en-US" w:eastAsia="zh-CN" w:bidi="ar-SA"/>
        </w:rPr>
        <w:t xml:space="preserve">5分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val="en-US" w:eastAsia="zh-CN"/>
        </w:rPr>
        <w:t xml:space="preserve">本</w:t>
      </w:r>
      <w:r>
        <w:rPr>
          <w:rFonts w:hint="eastAsia" w:ascii="宋体" w:hAnsi="宋体" w:eastAsia="宋体" w:cs="宋体"/>
          <w:color w:val="auto"/>
          <w:sz w:val="24"/>
          <w:highlight w:val="none"/>
        </w:rPr>
        <w:t xml:space="preserve">项目制定的应急保障方案，包括响应时间、故障处理、应急方案等进行比较，由评委综合评审：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方案内容详细、完善可行、科学合理、流程规范的得5分；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方案内容较详细、较可行、较合理、流程较规范的得3分；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方案内容不够详细、</w:t>
      </w:r>
      <w:r>
        <w:rPr>
          <w:rFonts w:hint="eastAsia" w:ascii="宋体" w:hAnsi="宋体" w:cs="宋体"/>
          <w:color w:val="auto"/>
          <w:sz w:val="24"/>
          <w:highlight w:val="none"/>
          <w:lang w:val="en-US" w:eastAsia="zh-CN"/>
        </w:rPr>
        <w:t xml:space="preserve">可行性不高</w:t>
      </w:r>
      <w:r>
        <w:rPr>
          <w:rFonts w:hint="eastAsia" w:ascii="宋体" w:hAnsi="宋体" w:eastAsia="宋体" w:cs="宋体"/>
          <w:color w:val="auto"/>
          <w:sz w:val="24"/>
          <w:highlight w:val="none"/>
        </w:rPr>
        <w:t xml:space="preserve">、不</w:t>
      </w:r>
      <w:r>
        <w:rPr>
          <w:rFonts w:hint="eastAsia" w:ascii="宋体" w:hAnsi="宋体" w:cs="宋体"/>
          <w:color w:val="auto"/>
          <w:sz w:val="24"/>
          <w:highlight w:val="none"/>
          <w:lang w:val="en-US" w:eastAsia="zh-CN"/>
        </w:rPr>
        <w:t xml:space="preserve">够</w:t>
      </w:r>
      <w:r>
        <w:rPr>
          <w:rFonts w:hint="eastAsia" w:ascii="宋体" w:hAnsi="宋体" w:eastAsia="宋体" w:cs="宋体"/>
          <w:color w:val="auto"/>
          <w:sz w:val="24"/>
          <w:highlight w:val="none"/>
        </w:rPr>
        <w:t xml:space="preserve">合理、不</w:t>
      </w:r>
      <w:r>
        <w:rPr>
          <w:rFonts w:hint="eastAsia" w:ascii="宋体" w:hAnsi="宋体" w:cs="宋体"/>
          <w:color w:val="auto"/>
          <w:sz w:val="24"/>
          <w:highlight w:val="none"/>
          <w:lang w:val="en-US" w:eastAsia="zh-CN"/>
        </w:rPr>
        <w:t xml:space="preserve">够</w:t>
      </w:r>
      <w:r>
        <w:rPr>
          <w:rFonts w:hint="eastAsia" w:ascii="宋体" w:hAnsi="宋体" w:eastAsia="宋体" w:cs="宋体"/>
          <w:color w:val="auto"/>
          <w:sz w:val="24"/>
          <w:highlight w:val="none"/>
        </w:rPr>
        <w:t xml:space="preserve">规范的得1分；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未提供相关内容</w:t>
      </w:r>
      <w:r>
        <w:rPr>
          <w:rFonts w:hint="eastAsia" w:ascii="宋体" w:hAnsi="宋体" w:cs="宋体"/>
          <w:color w:val="auto"/>
          <w:sz w:val="24"/>
          <w:highlight w:val="none"/>
          <w:lang w:val="en-US" w:eastAsia="zh-CN"/>
        </w:rPr>
        <w:t xml:space="preserve">的本项</w:t>
      </w:r>
      <w:r>
        <w:rPr>
          <w:rFonts w:hint="eastAsia" w:ascii="宋体" w:hAnsi="宋体" w:eastAsia="宋体" w:cs="宋体"/>
          <w:color w:val="auto"/>
          <w:sz w:val="24"/>
          <w:highlight w:val="none"/>
        </w:rPr>
        <w:t xml:space="preserve">不得分。</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（三）项目组成员比较</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color w:val="auto"/>
          <w:sz w:val="24"/>
          <w:highlight w:val="none"/>
        </w:rPr>
        <w:t xml:space="preserve">项目</w:t>
      </w:r>
      <w:r>
        <w:rPr>
          <w:rFonts w:hint="eastAsia" w:ascii="宋体" w:hAnsi="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拟投入本项目的项目负责人</w:t>
      </w:r>
      <w:r>
        <w:rPr>
          <w:rFonts w:hint="eastAsia" w:ascii="宋体" w:hAnsi="宋体" w:eastAsia="宋体" w:cs="宋体"/>
          <w:color w:val="auto"/>
          <w:sz w:val="24"/>
          <w:highlight w:val="none"/>
        </w:rPr>
        <w:t xml:space="preserve">具有信息系统业务安全服务工程师证书的得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分；具有计算机、通信、网络、智能化相关专业的中级或以上职称证书的得2分，中级以下职称证书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得1分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b/>
          <w:bCs/>
          <w:color w:val="auto"/>
          <w:sz w:val="24"/>
          <w:highlight w:val="none"/>
          <w:lang w:val="en-US" w:eastAsia="zh-CN"/>
        </w:rPr>
        <w:t xml:space="preserve">（响应文件中需提供人员证书扫描件及响应单位为其缴纳的最新一期的社保证明资料并加盖响应单位公章，本岗位限1人，不得兼任本项目其他岗位，否则本岗位不得分）</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hint="eastAsia" w:ascii="宋体" w:hAnsi="宋体" w:eastAsia="宋体" w:cs="宋体"/>
          <w:b/>
          <w:color w:val="auto"/>
          <w:sz w:val="24"/>
          <w:highlight w:val="none"/>
        </w:rPr>
      </w:pPr>
      <w:r>
        <w:rPr>
          <w:rFonts w:hint="default"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color w:val="auto"/>
          <w:sz w:val="24"/>
          <w:highlight w:val="none"/>
        </w:rPr>
        <w:t xml:space="preserve">项目技术负责人：</w:t>
      </w: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分</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拟投入本项目的项目技术负责人</w:t>
      </w:r>
      <w:r>
        <w:rPr>
          <w:rFonts w:hint="eastAsia" w:ascii="宋体" w:hAnsi="宋体" w:eastAsia="宋体" w:cs="宋体"/>
          <w:color w:val="auto"/>
          <w:sz w:val="24"/>
          <w:highlight w:val="none"/>
        </w:rPr>
        <w:t xml:space="preserve">具有注册信息安全工程师（CISE）证书的得2分；具有计算机、通信、网络、智能化相关专业的中级或以上职称证书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得2分，中级以下职称证书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得1分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本项最高得4分</w:t>
      </w:r>
      <w:r>
        <w:rPr>
          <w:rFonts w:hint="eastAsia" w:ascii="宋体" w:hAnsi="宋体" w:cs="宋体"/>
          <w:b/>
          <w:bCs/>
          <w:color w:val="auto"/>
          <w:sz w:val="24"/>
          <w:highlight w:val="none"/>
          <w:lang w:val="en-US" w:eastAsia="zh-CN"/>
        </w:rPr>
        <w:t xml:space="preserve">（响应文件中需提供人员证书扫描件及响应单位为其缴纳的最新一期的社保证明资料并加盖响应单位公章，本岗位限1人，不得兼任本项目其他岗位，否则本岗位不得分）</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bidi="ar-SA"/>
        </w:rPr>
        <w:t xml:space="preserve">3、项目运维负责人：4分</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拟投入本项目的项目运维负责人</w:t>
      </w:r>
      <w:r>
        <w:rPr>
          <w:rFonts w:hint="eastAsia" w:ascii="宋体" w:hAnsi="宋体" w:eastAsia="宋体" w:cs="宋体"/>
          <w:color w:val="auto"/>
          <w:sz w:val="24"/>
          <w:highlight w:val="none"/>
        </w:rPr>
        <w:t xml:space="preserve">具有IT运维工程师证书的得2分；具有计算机、通信、网络、智能化相关专业的中级或以上职称证书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得2分，中级以下职称证书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得1分；本项最高得4分</w:t>
      </w:r>
      <w:r>
        <w:rPr>
          <w:rFonts w:hint="eastAsia" w:ascii="宋体" w:hAnsi="宋体" w:cs="宋体"/>
          <w:b/>
          <w:bCs/>
          <w:color w:val="auto"/>
          <w:sz w:val="24"/>
          <w:highlight w:val="none"/>
          <w:lang w:val="en-US" w:eastAsia="zh-CN"/>
        </w:rPr>
        <w:t xml:space="preserve">（响应文件中需提供人员证书扫描件及响应单位为其缴纳的最新一期的社保证明资料并加盖响应单位公章，本岗位限1人，不得兼任本项目其他岗位，否则本岗位不得分）</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4、项目组成员（除项目负责人、项目技术负责人和项目运维负责人外）：4分</w:t>
      </w:r>
      <w:r/>
    </w:p>
    <w:p>
      <w:pPr>
        <w:ind w:firstLine="480"/>
        <w:spacing w:line="360" w:lineRule="auto"/>
        <w:tabs>
          <w:tab w:val="left" w:pos="0" w:leader="none"/>
        </w:tabs>
        <w:rPr>
          <w:rFonts w:hint="eastAsia" w:ascii="宋体" w:hAnsi="宋体" w:cs="宋体"/>
          <w:b/>
          <w:bCs/>
          <w:color w:val="auto"/>
          <w:sz w:val="24"/>
          <w:szCs w:val="24"/>
          <w:highlight w:val="none"/>
          <w:lang w:val="en-US" w:eastAsia="zh-CN" w:bidi="ar-SA"/>
        </w:rPr>
      </w:pPr>
      <w:r>
        <w:rPr>
          <w:rFonts w:hint="eastAsia" w:ascii="宋体" w:hAnsi="宋体" w:cs="宋体"/>
          <w:color w:val="auto"/>
          <w:sz w:val="24"/>
          <w:highlight w:val="none"/>
          <w:lang w:val="en-US" w:eastAsia="zh-CN"/>
        </w:rPr>
        <w:t xml:space="preserve">拟投入本项目的项目组成员中</w:t>
      </w:r>
      <w:r>
        <w:rPr>
          <w:rFonts w:hint="eastAsia" w:ascii="宋体" w:hAnsi="宋体" w:cs="宋体"/>
          <w:b w:val="0"/>
          <w:bCs w:val="0"/>
          <w:color w:val="auto"/>
          <w:sz w:val="24"/>
          <w:szCs w:val="24"/>
          <w:highlight w:val="none"/>
          <w:lang w:val="en-US" w:eastAsia="zh-CN" w:bidi="ar-SA"/>
        </w:rPr>
        <w:t xml:space="preserve">具有网络工程师（高级）证书的得2分；具有计算机、通信、网络、智能化相关专业的中级或以上职称证书的得2分，中级以下职称证书的得1分；本项最高得4分</w:t>
      </w:r>
      <w:r>
        <w:rPr>
          <w:rFonts w:hint="eastAsia" w:ascii="宋体" w:hAnsi="宋体" w:cs="宋体"/>
          <w:b/>
          <w:bCs/>
          <w:color w:val="auto"/>
          <w:sz w:val="24"/>
          <w:highlight w:val="none"/>
          <w:lang w:val="en-US" w:eastAsia="zh-CN"/>
        </w:rPr>
        <w:t xml:space="preserve">（响应文件中需提供人员证书扫描件及响应单位为其缴纳的最新一期的社保证明资料并加盖响应单位公章，否则不得分）</w:t>
      </w:r>
      <w:r>
        <w:rPr>
          <w:rFonts w:hint="eastAsia" w:ascii="宋体" w:hAnsi="宋体" w:cs="宋体"/>
          <w:b w:val="0"/>
          <w:bCs w:val="0"/>
          <w:color w:val="auto"/>
          <w:sz w:val="24"/>
          <w:szCs w:val="24"/>
          <w:highlight w:val="none"/>
          <w:lang w:val="en-US" w:eastAsia="zh-CN" w:bidi="ar-SA"/>
        </w:rPr>
        <w:t xml:space="preserve">。</w:t>
      </w:r>
      <w:r/>
    </w:p>
    <w:p>
      <w:pPr>
        <w:ind w:firstLine="480"/>
        <w:spacing w:line="360" w:lineRule="auto"/>
        <w:tabs>
          <w:tab w:val="left" w:pos="0" w:leader="none"/>
        </w:tabs>
        <w:rPr>
          <w:rFonts w:hint="eastAsia" w:ascii="宋体" w:hAnsi="宋体" w:eastAsia="宋体" w:cs="宋体"/>
          <w:b/>
          <w:bCs/>
          <w:color w:val="auto"/>
          <w:sz w:val="24"/>
          <w:highlight w:val="none"/>
        </w:rPr>
      </w:pPr>
      <w:r>
        <w:rPr>
          <w:rFonts w:hint="default" w:ascii="宋体" w:hAnsi="宋体" w:eastAsia="宋体" w:cs="宋体"/>
          <w:b/>
          <w:bCs/>
          <w:color w:val="auto"/>
          <w:sz w:val="24"/>
          <w:szCs w:val="24"/>
          <w:highlight w:val="none"/>
          <w:lang w:val="en-US" w:eastAsia="zh-CN" w:bidi="ar-SA"/>
        </w:rPr>
        <w:t xml:space="preserve">（四）企业综合实力</w:t>
      </w:r>
      <w:r>
        <w:rPr>
          <w:rFonts w:hint="eastAsia" w:ascii="宋体" w:hAnsi="宋体" w:cs="宋体"/>
          <w:b/>
          <w:bCs/>
          <w:color w:val="auto"/>
          <w:sz w:val="24"/>
          <w:szCs w:val="24"/>
          <w:highlight w:val="none"/>
          <w:lang w:val="en-US" w:eastAsia="zh-CN" w:bidi="ar-SA"/>
        </w:rPr>
        <w:t xml:space="preserve">比较：9</w:t>
      </w:r>
      <w:r>
        <w:rPr>
          <w:rFonts w:hint="default" w:ascii="宋体" w:hAnsi="宋体" w:eastAsia="宋体" w:cs="宋体"/>
          <w:b/>
          <w:bCs/>
          <w:color w:val="auto"/>
          <w:sz w:val="24"/>
          <w:szCs w:val="24"/>
          <w:highlight w:val="none"/>
          <w:lang w:val="en-US" w:eastAsia="zh-CN" w:bidi="ar-SA"/>
        </w:rPr>
        <w:t xml:space="preserve">分</w:t>
      </w:r>
      <w:r/>
    </w:p>
    <w:p>
      <w:pPr>
        <w:ind w:firstLine="480"/>
        <w:spacing w:line="360" w:lineRule="auto"/>
        <w:tabs>
          <w:tab w:val="left" w:pos="0" w:leader="none"/>
        </w:tabs>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1、体系认证证书</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3分</w:t>
      </w:r>
      <w:r/>
    </w:p>
    <w:p>
      <w:pPr>
        <w:ind w:firstLine="480"/>
        <w:spacing w:line="360" w:lineRule="auto"/>
        <w:tabs>
          <w:tab w:val="left" w:pos="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响应</w:t>
      </w:r>
      <w:r>
        <w:rPr>
          <w:rFonts w:hint="eastAsia" w:ascii="宋体" w:hAnsi="宋体" w:eastAsia="宋体" w:cs="宋体"/>
          <w:bCs/>
          <w:color w:val="auto"/>
          <w:sz w:val="24"/>
          <w:highlight w:val="none"/>
        </w:rPr>
        <w:t xml:space="preserve">单位具有有效期内的质量管理体系认证证书、环境管理体系认证证书、职业健康安全管理体系认证证书的，证书认证范围必须包含智能化（或信息化）运维或维护内容，每提供1个得1分，本项最高得3分</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文件中</w:t>
      </w:r>
      <w:r>
        <w:rPr>
          <w:rFonts w:hint="eastAsia" w:ascii="宋体" w:hAnsi="宋体" w:cs="宋体"/>
          <w:b/>
          <w:bCs/>
          <w:color w:val="auto"/>
          <w:sz w:val="24"/>
          <w:highlight w:val="none"/>
          <w:lang w:val="en-US" w:eastAsia="zh-CN"/>
        </w:rPr>
        <w:t xml:space="preserve">需</w:t>
      </w:r>
      <w:r>
        <w:rPr>
          <w:rFonts w:hint="eastAsia" w:ascii="宋体" w:hAnsi="宋体" w:eastAsia="宋体" w:cs="宋体"/>
          <w:b/>
          <w:bCs w:val="0"/>
          <w:color w:val="auto"/>
          <w:sz w:val="24"/>
          <w:highlight w:val="none"/>
        </w:rPr>
        <w:t xml:space="preserve">提供上述证书扫描件及中国认证认可监督委员会官网查询截图并加盖</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公章，</w:t>
      </w:r>
      <w:r>
        <w:rPr>
          <w:rFonts w:hint="eastAsia" w:ascii="宋体" w:hAnsi="宋体" w:eastAsia="宋体" w:cs="宋体"/>
          <w:b/>
          <w:bCs w:val="0"/>
          <w:color w:val="auto"/>
          <w:sz w:val="24"/>
          <w:highlight w:val="none"/>
          <w:lang w:val="en-US" w:eastAsia="zh-CN"/>
        </w:rPr>
        <w:t xml:space="preserve">未按要求提供</w:t>
      </w:r>
      <w:r>
        <w:rPr>
          <w:rFonts w:hint="eastAsia" w:ascii="宋体" w:hAnsi="宋体" w:eastAsia="宋体" w:cs="宋体"/>
          <w:b/>
          <w:bCs w:val="0"/>
          <w:color w:val="auto"/>
          <w:sz w:val="24"/>
          <w:highlight w:val="none"/>
        </w:rPr>
        <w:t xml:space="preserve">相关证明</w:t>
      </w:r>
      <w:r>
        <w:rPr>
          <w:rFonts w:hint="eastAsia" w:ascii="宋体" w:hAnsi="宋体" w:eastAsia="宋体" w:cs="宋体"/>
          <w:b/>
          <w:bCs w:val="0"/>
          <w:color w:val="auto"/>
          <w:sz w:val="24"/>
          <w:highlight w:val="none"/>
          <w:lang w:val="en-US" w:eastAsia="zh-CN"/>
        </w:rPr>
        <w:t xml:space="preserve">的本项</w:t>
      </w:r>
      <w:r>
        <w:rPr>
          <w:rFonts w:hint="eastAsia" w:ascii="宋体" w:hAnsi="宋体" w:eastAsia="宋体" w:cs="宋体"/>
          <w:b/>
          <w:bCs w:val="0"/>
          <w:color w:val="auto"/>
          <w:sz w:val="24"/>
          <w:highlight w:val="none"/>
        </w:rPr>
        <w:t xml:space="preserve">不得分）</w:t>
      </w:r>
      <w:r>
        <w:rPr>
          <w:rFonts w:hint="eastAsia" w:ascii="宋体" w:hAnsi="宋体" w:eastAsia="宋体" w:cs="宋体"/>
          <w:bCs/>
          <w:color w:val="auto"/>
          <w:sz w:val="24"/>
          <w:highlight w:val="none"/>
        </w:rPr>
        <w:t xml:space="preserve">。</w:t>
      </w:r>
      <w:r/>
    </w:p>
    <w:p>
      <w:pPr>
        <w:ind w:firstLine="480"/>
        <w:spacing w:line="360" w:lineRule="auto"/>
        <w:tabs>
          <w:tab w:val="left" w:pos="0" w:leader="none"/>
        </w:tabs>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2、</w:t>
      </w:r>
      <w:r>
        <w:rPr>
          <w:rFonts w:hint="eastAsia" w:ascii="宋体" w:hAnsi="宋体" w:cs="宋体"/>
          <w:b/>
          <w:bCs w:val="0"/>
          <w:color w:val="auto"/>
          <w:sz w:val="24"/>
          <w:highlight w:val="none"/>
          <w:lang w:val="en-US" w:eastAsia="zh-CN"/>
        </w:rPr>
        <w:t xml:space="preserve">资质证书：2分</w:t>
      </w:r>
      <w:r/>
    </w:p>
    <w:p>
      <w:pPr>
        <w:ind w:firstLine="480"/>
        <w:spacing w:line="360" w:lineRule="auto"/>
        <w:tabs>
          <w:tab w:val="left" w:pos="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响应单位</w:t>
      </w:r>
      <w:r>
        <w:rPr>
          <w:rFonts w:hint="eastAsia" w:ascii="宋体" w:hAnsi="宋体" w:eastAsia="宋体" w:cs="宋体"/>
          <w:bCs/>
          <w:color w:val="auto"/>
          <w:sz w:val="24"/>
          <w:highlight w:val="none"/>
        </w:rPr>
        <w:t xml:space="preserve">具有有效期内ITSS信息技术服务运行维护资质证书</w:t>
      </w:r>
      <w:r>
        <w:rPr>
          <w:rFonts w:hint="eastAsia" w:ascii="宋体" w:hAnsi="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得2分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rPr>
        <w:t xml:space="preserve">最高得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文件中</w:t>
      </w:r>
      <w:r>
        <w:rPr>
          <w:rFonts w:hint="eastAsia" w:ascii="宋体" w:hAnsi="宋体" w:cs="宋体"/>
          <w:b/>
          <w:bCs/>
          <w:color w:val="auto"/>
          <w:sz w:val="24"/>
          <w:highlight w:val="none"/>
          <w:lang w:val="en-US" w:eastAsia="zh-CN"/>
        </w:rPr>
        <w:t xml:space="preserve">需</w:t>
      </w:r>
      <w:r>
        <w:rPr>
          <w:rFonts w:hint="eastAsia" w:ascii="宋体" w:hAnsi="宋体" w:eastAsia="宋体" w:cs="宋体"/>
          <w:b/>
          <w:bCs w:val="0"/>
          <w:color w:val="auto"/>
          <w:sz w:val="24"/>
          <w:highlight w:val="none"/>
        </w:rPr>
        <w:t xml:space="preserve">提供上述证书扫描件及证书在ITSS官⽹查询为有效状态的查询结果网页截图并加盖</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公章，</w:t>
      </w:r>
      <w:r>
        <w:rPr>
          <w:rFonts w:hint="eastAsia" w:ascii="宋体" w:hAnsi="宋体" w:eastAsia="宋体" w:cs="宋体"/>
          <w:b/>
          <w:bCs w:val="0"/>
          <w:color w:val="auto"/>
          <w:sz w:val="24"/>
          <w:highlight w:val="none"/>
          <w:lang w:val="en-US" w:eastAsia="zh-CN"/>
        </w:rPr>
        <w:t xml:space="preserve">未按要求提供</w:t>
      </w:r>
      <w:r>
        <w:rPr>
          <w:rFonts w:hint="eastAsia" w:ascii="宋体" w:hAnsi="宋体" w:eastAsia="宋体" w:cs="宋体"/>
          <w:b/>
          <w:bCs w:val="0"/>
          <w:color w:val="auto"/>
          <w:sz w:val="24"/>
          <w:highlight w:val="none"/>
        </w:rPr>
        <w:t xml:space="preserve">相关证明</w:t>
      </w:r>
      <w:r>
        <w:rPr>
          <w:rFonts w:hint="eastAsia" w:ascii="宋体" w:hAnsi="宋体" w:eastAsia="宋体" w:cs="宋体"/>
          <w:b/>
          <w:bCs w:val="0"/>
          <w:color w:val="auto"/>
          <w:sz w:val="24"/>
          <w:highlight w:val="none"/>
          <w:lang w:val="en-US" w:eastAsia="zh-CN"/>
        </w:rPr>
        <w:t xml:space="preserve">的本项</w:t>
      </w:r>
      <w:r>
        <w:rPr>
          <w:rFonts w:hint="eastAsia" w:ascii="宋体" w:hAnsi="宋体" w:eastAsia="宋体" w:cs="宋体"/>
          <w:b/>
          <w:bCs w:val="0"/>
          <w:color w:val="auto"/>
          <w:sz w:val="24"/>
          <w:highlight w:val="none"/>
        </w:rPr>
        <w:t xml:space="preserve">不得分）</w:t>
      </w:r>
      <w:r>
        <w:rPr>
          <w:rFonts w:hint="eastAsia" w:ascii="宋体" w:hAnsi="宋体" w:eastAsia="宋体" w:cs="宋体"/>
          <w:bCs/>
          <w:color w:val="auto"/>
          <w:sz w:val="24"/>
          <w:highlight w:val="none"/>
        </w:rPr>
        <w:t xml:space="preserve">。</w:t>
      </w:r>
      <w:r/>
    </w:p>
    <w:p>
      <w:pPr>
        <w:ind w:firstLine="480"/>
        <w:spacing w:line="360" w:lineRule="auto"/>
        <w:tabs>
          <w:tab w:val="left" w:pos="0" w:leader="none"/>
        </w:tabs>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3、</w:t>
      </w:r>
      <w:r>
        <w:rPr>
          <w:rFonts w:hint="eastAsia" w:ascii="宋体" w:hAnsi="宋体" w:cs="宋体"/>
          <w:b/>
          <w:bCs w:val="0"/>
          <w:color w:val="auto"/>
          <w:sz w:val="24"/>
          <w:highlight w:val="none"/>
          <w:lang w:val="en-US" w:eastAsia="zh-CN"/>
        </w:rPr>
        <w:t xml:space="preserve">类似业绩：4分</w:t>
      </w:r>
      <w:r/>
    </w:p>
    <w:p>
      <w:pPr>
        <w:ind w:firstLine="480"/>
        <w:spacing w:line="360" w:lineRule="auto"/>
        <w:tabs>
          <w:tab w:val="left" w:pos="0"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响应</w:t>
      </w:r>
      <w:r>
        <w:rPr>
          <w:rFonts w:hint="eastAsia" w:ascii="宋体" w:hAnsi="宋体" w:eastAsia="宋体" w:cs="宋体"/>
          <w:bCs/>
          <w:color w:val="auto"/>
          <w:sz w:val="24"/>
          <w:highlight w:val="none"/>
        </w:rPr>
        <w:t xml:space="preserve">单位提供自2023年</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1日（时间以合同签定日期为准）至今承担的类似项目业绩</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每提供一份得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文件中</w:t>
      </w:r>
      <w:r>
        <w:rPr>
          <w:rFonts w:hint="eastAsia" w:ascii="宋体" w:hAnsi="宋体" w:cs="宋体"/>
          <w:b/>
          <w:bCs w:val="0"/>
          <w:color w:val="auto"/>
          <w:sz w:val="24"/>
          <w:highlight w:val="none"/>
          <w:lang w:val="en-US" w:eastAsia="zh-CN"/>
        </w:rPr>
        <w:t xml:space="preserve">需</w:t>
      </w:r>
      <w:r>
        <w:rPr>
          <w:rFonts w:hint="eastAsia" w:ascii="宋体" w:hAnsi="宋体" w:eastAsia="宋体" w:cs="宋体"/>
          <w:b/>
          <w:bCs w:val="0"/>
          <w:color w:val="auto"/>
          <w:sz w:val="24"/>
          <w:highlight w:val="none"/>
        </w:rPr>
        <w:t xml:space="preserve">提供完整的合同扫描件并加盖</w:t>
      </w:r>
      <w:r>
        <w:rPr>
          <w:rFonts w:hint="eastAsia" w:ascii="宋体" w:hAnsi="宋体" w:eastAsia="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公章</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未按要求提供或提供</w:t>
      </w:r>
      <w:r>
        <w:rPr>
          <w:rFonts w:hint="eastAsia" w:ascii="宋体" w:hAnsi="宋体" w:eastAsia="宋体" w:cs="宋体"/>
          <w:b/>
          <w:bCs w:val="0"/>
          <w:color w:val="auto"/>
          <w:sz w:val="24"/>
          <w:highlight w:val="none"/>
          <w:lang w:val="en-US" w:eastAsia="zh-CN"/>
        </w:rPr>
        <w:t xml:space="preserve">不全的</w:t>
      </w:r>
      <w:r>
        <w:rPr>
          <w:rFonts w:hint="eastAsia" w:ascii="宋体" w:hAnsi="宋体" w:eastAsia="宋体" w:cs="宋体"/>
          <w:b/>
          <w:bCs w:val="0"/>
          <w:color w:val="auto"/>
          <w:sz w:val="24"/>
          <w:highlight w:val="none"/>
        </w:rPr>
        <w:t xml:space="preserve">不得分。类似业绩日期认定：以合同签订日期为准）</w:t>
      </w:r>
      <w:r>
        <w:rPr>
          <w:rFonts w:hint="eastAsia" w:ascii="宋体" w:hAnsi="宋体" w:eastAsia="宋体" w:cs="宋体"/>
          <w:b w:val="0"/>
          <w:bCs/>
          <w:color w:val="auto"/>
          <w:sz w:val="24"/>
          <w:highlight w:val="none"/>
          <w:lang w:eastAsia="zh-CN"/>
        </w:rPr>
        <w:t xml:space="preserve">。</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注</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1、针对评分标准中评分的每一条，</w:t>
      </w:r>
      <w:r>
        <w:rPr>
          <w:rFonts w:hint="eastAsia" w:ascii="宋体" w:hAnsi="宋体" w:eastAsia="宋体" w:cs="宋体"/>
          <w:b/>
          <w:color w:val="auto"/>
          <w:sz w:val="24"/>
          <w:szCs w:val="24"/>
          <w:highlight w:val="none"/>
          <w:lang w:val="en-US" w:eastAsia="zh-CN"/>
        </w:rPr>
        <w:t xml:space="preserve">响应单位</w:t>
      </w:r>
      <w:r>
        <w:rPr>
          <w:rFonts w:hint="eastAsia" w:asciiTheme="minorEastAsia" w:hAnsiTheme="minorEastAsia" w:eastAsiaTheme="minorEastAsia" w:cstheme="minorEastAsia"/>
          <w:b/>
          <w:bCs/>
          <w:color w:val="auto"/>
          <w:sz w:val="24"/>
          <w:szCs w:val="24"/>
          <w:highlight w:val="none"/>
        </w:rPr>
        <w:t xml:space="preserve">均应提供相关资料并作出相应说明供评委评判，不提供相关资料的视为不具备该项得分的条件。</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2、响应报价超过预算金额的，响应单位不得进入评标程序。</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3、响应文件</w:t>
      </w:r>
      <w:r>
        <w:rPr>
          <w:rFonts w:hint="eastAsia" w:asciiTheme="minorEastAsia" w:hAnsiTheme="minorEastAsia" w:eastAsiaTheme="minorEastAsia" w:cstheme="minorEastAsia"/>
          <w:b/>
          <w:bCs/>
          <w:color w:val="auto"/>
          <w:sz w:val="24"/>
          <w:szCs w:val="24"/>
          <w:highlight w:val="none"/>
        </w:rPr>
        <w:t xml:space="preserve">中如出现前后不一致时，评委有权请</w:t>
      </w:r>
      <w:r>
        <w:rPr>
          <w:rFonts w:hint="eastAsia" w:asciiTheme="minorEastAsia" w:hAnsiTheme="minorEastAsia" w:eastAsiaTheme="minorEastAsia" w:cstheme="minorEastAsia"/>
          <w:b/>
          <w:bCs/>
          <w:color w:val="auto"/>
          <w:sz w:val="24"/>
          <w:szCs w:val="24"/>
          <w:highlight w:val="none"/>
          <w:lang w:val="en-US" w:eastAsia="zh-CN"/>
        </w:rPr>
        <w:t xml:space="preserve">响应单位</w:t>
      </w:r>
      <w:r>
        <w:rPr>
          <w:rFonts w:hint="eastAsia" w:asciiTheme="minorEastAsia" w:hAnsiTheme="minorEastAsia" w:eastAsiaTheme="minorEastAsia" w:cstheme="minorEastAsia"/>
          <w:b/>
          <w:bCs/>
          <w:color w:val="auto"/>
          <w:sz w:val="24"/>
          <w:szCs w:val="24"/>
          <w:highlight w:val="none"/>
        </w:rPr>
        <w:t xml:space="preserve">澄清说明，澄清说明事项涉及评分时，评委有权酌情扣分。</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4、响应文件中的内容需和磋商文件相关指标对应绑定。</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5、响应单位不得对磋商文件中的付款方式、付款条件等进行修改，否则视为未实质性响应。</w:t>
      </w:r>
      <w:r/>
    </w:p>
    <w:p>
      <w:pPr>
        <w:ind w:firstLine="480"/>
        <w:spacing w:line="360" w:lineRule="auto"/>
        <w:tabs>
          <w:tab w:val="left" w:pos="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响应单位</w:t>
      </w:r>
      <w:r>
        <w:rPr>
          <w:rFonts w:hint="eastAsia" w:asciiTheme="minorEastAsia" w:hAnsiTheme="minorEastAsia" w:eastAsiaTheme="minorEastAsia" w:cstheme="minorEastAsia"/>
          <w:b/>
          <w:bCs/>
          <w:color w:val="auto"/>
          <w:sz w:val="24"/>
          <w:szCs w:val="24"/>
          <w:highlight w:val="none"/>
        </w:rPr>
        <w:t xml:space="preserve">必须保证</w:t>
      </w:r>
      <w:r>
        <w:rPr>
          <w:rFonts w:hint="eastAsia" w:asciiTheme="minorEastAsia" w:hAnsiTheme="minorEastAsia" w:eastAsiaTheme="minorEastAsia" w:cstheme="minorEastAsia"/>
          <w:b/>
          <w:bCs/>
          <w:color w:val="auto"/>
          <w:sz w:val="24"/>
          <w:szCs w:val="24"/>
          <w:highlight w:val="none"/>
          <w:lang w:val="en-US" w:eastAsia="zh-CN"/>
        </w:rPr>
        <w:t xml:space="preserve">提供的</w:t>
      </w:r>
      <w:r>
        <w:rPr>
          <w:rFonts w:hint="eastAsia" w:asciiTheme="minorEastAsia" w:hAnsiTheme="minorEastAsia" w:eastAsiaTheme="minorEastAsia" w:cstheme="minorEastAsia"/>
          <w:b/>
          <w:bCs/>
          <w:color w:val="auto"/>
          <w:sz w:val="24"/>
          <w:szCs w:val="24"/>
          <w:highlight w:val="none"/>
        </w:rPr>
        <w:t xml:space="preserve">全部</w:t>
      </w:r>
      <w:r>
        <w:rPr>
          <w:rFonts w:hint="eastAsia" w:asciiTheme="minorEastAsia" w:hAnsiTheme="minorEastAsia" w:eastAsiaTheme="minorEastAsia" w:cstheme="minorEastAsia"/>
          <w:b/>
          <w:bCs/>
          <w:color w:val="auto"/>
          <w:sz w:val="24"/>
          <w:szCs w:val="24"/>
          <w:highlight w:val="none"/>
          <w:lang w:val="en-US" w:eastAsia="zh-CN"/>
        </w:rPr>
        <w:t xml:space="preserve">响应资料</w:t>
      </w:r>
      <w:r>
        <w:rPr>
          <w:rFonts w:hint="eastAsia" w:asciiTheme="minorEastAsia" w:hAnsiTheme="minorEastAsia" w:eastAsiaTheme="minorEastAsia" w:cstheme="minorEastAsia"/>
          <w:b/>
          <w:bCs/>
          <w:color w:val="auto"/>
          <w:sz w:val="24"/>
          <w:szCs w:val="24"/>
          <w:highlight w:val="none"/>
        </w:rPr>
        <w:t xml:space="preserve">的真实性，如有虚假或对</w:t>
      </w:r>
      <w:r>
        <w:rPr>
          <w:rFonts w:hint="eastAsia" w:asciiTheme="minorEastAsia" w:hAnsiTheme="minorEastAsia" w:eastAsiaTheme="minorEastAsia" w:cstheme="minorEastAsia"/>
          <w:b/>
          <w:bCs/>
          <w:color w:val="auto"/>
          <w:sz w:val="24"/>
          <w:szCs w:val="24"/>
          <w:highlight w:val="none"/>
          <w:lang w:val="en-US" w:eastAsia="zh-CN"/>
        </w:rPr>
        <w:t xml:space="preserve">磋商文件</w:t>
      </w:r>
      <w:r>
        <w:rPr>
          <w:rFonts w:hint="eastAsia" w:asciiTheme="minorEastAsia" w:hAnsiTheme="minorEastAsia" w:eastAsiaTheme="minorEastAsia" w:cstheme="minorEastAsia"/>
          <w:b/>
          <w:bCs/>
          <w:color w:val="auto"/>
          <w:sz w:val="24"/>
          <w:szCs w:val="24"/>
          <w:highlight w:val="none"/>
        </w:rPr>
        <w:t xml:space="preserve">所要求说明的情况故意隐瞒或虚报，视为不实质性</w:t>
      </w:r>
      <w:r>
        <w:rPr>
          <w:rFonts w:hint="eastAsia" w:asciiTheme="minorEastAsia" w:hAnsiTheme="minorEastAsia" w:eastAsiaTheme="minorEastAsia" w:cstheme="minorEastAsia"/>
          <w:b/>
          <w:bCs/>
          <w:color w:val="auto"/>
          <w:sz w:val="24"/>
          <w:szCs w:val="24"/>
          <w:highlight w:val="none"/>
          <w:lang w:val="en-US" w:eastAsia="zh-CN"/>
        </w:rPr>
        <w:t xml:space="preserve">响应文件</w:t>
      </w:r>
      <w:r>
        <w:rPr>
          <w:rFonts w:hint="eastAsia" w:asciiTheme="minorEastAsia" w:hAnsiTheme="minorEastAsia" w:eastAsiaTheme="minorEastAsia" w:cstheme="minorEastAsia"/>
          <w:b/>
          <w:bCs/>
          <w:color w:val="auto"/>
          <w:sz w:val="24"/>
          <w:szCs w:val="24"/>
          <w:highlight w:val="none"/>
        </w:rPr>
        <w:t xml:space="preserve">，为无效</w:t>
      </w:r>
      <w:r>
        <w:rPr>
          <w:rFonts w:hint="eastAsia" w:asciiTheme="minorEastAsia" w:hAnsiTheme="minorEastAsia" w:eastAsiaTheme="minorEastAsia" w:cstheme="minorEastAsia"/>
          <w:b/>
          <w:bCs/>
          <w:color w:val="auto"/>
          <w:sz w:val="24"/>
          <w:szCs w:val="24"/>
          <w:highlight w:val="none"/>
          <w:lang w:val="en-US" w:eastAsia="zh-CN"/>
        </w:rPr>
        <w:t xml:space="preserve">响应</w:t>
      </w:r>
      <w:r>
        <w:rPr>
          <w:rFonts w:hint="eastAsia" w:asciiTheme="minorEastAsia" w:hAnsiTheme="minorEastAsia" w:eastAsiaTheme="minorEastAsia" w:cstheme="minorEastAsia"/>
          <w:b/>
          <w:bCs/>
          <w:color w:val="auto"/>
          <w:sz w:val="24"/>
          <w:szCs w:val="24"/>
          <w:highlight w:val="none"/>
        </w:rPr>
        <w:t xml:space="preserve">，已中标的将取消中标资格，按“提供虚假材料谋取中标、成交”相关处理办法处理。</w:t>
      </w:r>
      <w:r/>
    </w:p>
    <w:p>
      <w:pPr>
        <w:pStyle w:val="703"/>
        <w:spacing w:after="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03"/>
        <w:jc w:val="right"/>
        <w:spacing w:after="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（全文完）</w:t>
      </w:r>
      <w:r/>
    </w:p>
    <w:sectPr>
      <w:headerReference w:type="default" r:id="rId8"/>
      <w:footerReference w:type="default" r:id="rId9"/>
      <w:footnotePr/>
      <w:endnotePr/>
      <w:type w:val="continuous"/>
      <w:pgSz w:w="11906" w:h="16838" w:orient="portrait"/>
      <w:pgMar w:top="1440" w:right="1800" w:bottom="1440" w:left="180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spacing w:line="23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0777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0777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5.1pt;height:144.0pt;mso-wrap-distance-left:9.0pt;mso-wrap-distance-top:0.0pt;mso-wrap-distance-right:9.0pt;mso-wrap-distance-bottom:0.0pt;v-text-anchor:top;visibility:visible;" filled="f" stroked="f" strokeweight="0.50pt">
              <v:textbox inset="0,0,0,0">
                <w:txbxContent>
                  <w:p>
                    <w:pPr>
                      <w:pStyle w:val="71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spacing w:before="48" w:line="219" w:lineRule="auto"/>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96"/>
    <w:uiPriority w:val="0"/>
    <w:qFormat/>
    <w:pPr>
      <w:jc w:val="both"/>
      <w:widowControl w:val="off"/>
    </w:pPr>
    <w:rPr>
      <w:rFonts w:hint="default" w:ascii="Calibri" w:hAnsi="Calibri" w:eastAsia="宋体" w:cs="Times New Roman"/>
      <w:sz w:val="21"/>
      <w:szCs w:val="24"/>
      <w:lang w:val="en-US" w:eastAsia="zh-CN" w:bidi="ar-SA"/>
    </w:rPr>
  </w:style>
  <w:style w:type="paragraph" w:styleId="688">
    <w:name w:val="Heading 1"/>
    <w:basedOn w:val="687"/>
    <w:next w:val="687"/>
    <w:link w:val="781"/>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82"/>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83"/>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84"/>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85"/>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86"/>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88"/>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89"/>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spacing w:after="57"/>
    </w:pPr>
  </w:style>
  <w:style w:type="paragraph" w:styleId="700">
    <w:name w:val="Normal Indent"/>
    <w:basedOn w:val="687"/>
    <w:next w:val="687"/>
    <w:uiPriority w:val="0"/>
    <w:qFormat/>
    <w:pPr>
      <w:ind w:left="420" w:firstLine="4772"/>
    </w:pPr>
  </w:style>
  <w:style w:type="paragraph" w:styleId="701">
    <w:name w:val="Caption"/>
    <w:basedOn w:val="687"/>
    <w:next w:val="6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7"/>
    <w:uiPriority w:val="99"/>
    <w:unhideWhenUsed/>
    <w:qFormat/>
    <w:pPr>
      <w:jc w:val="left"/>
    </w:pPr>
  </w:style>
  <w:style w:type="paragraph" w:styleId="703">
    <w:name w:val="Body Text"/>
    <w:basedOn w:val="687"/>
    <w:uiPriority w:val="99"/>
    <w:unhideWhenUsed/>
    <w:qFormat/>
    <w:pPr>
      <w:spacing w:after="120"/>
    </w:pPr>
    <w:rPr>
      <w:sz w:val="20"/>
      <w:szCs w:val="20"/>
    </w:rPr>
  </w:style>
  <w:style w:type="paragraph" w:styleId="704">
    <w:name w:val="Body Text Indent"/>
    <w:basedOn w:val="687"/>
    <w:next w:val="687"/>
    <w:uiPriority w:val="0"/>
    <w:qFormat/>
    <w:pPr>
      <w:ind w:left="420" w:firstLine="1188"/>
      <w:spacing w:line="360" w:lineRule="exact"/>
    </w:pPr>
    <w:rPr>
      <w:rFonts w:ascii="Times New Roman" w:hAnsi="Times New Roman"/>
    </w:rPr>
  </w:style>
  <w:style w:type="paragraph" w:styleId="705">
    <w:name w:val="toc 5"/>
    <w:basedOn w:val="687"/>
    <w:next w:val="687"/>
    <w:uiPriority w:val="39"/>
    <w:unhideWhenUsed/>
    <w:qFormat/>
    <w:pPr>
      <w:ind w:left="1134"/>
      <w:spacing w:after="57"/>
    </w:pPr>
  </w:style>
  <w:style w:type="paragraph" w:styleId="706">
    <w:name w:val="toc 3"/>
    <w:basedOn w:val="687"/>
    <w:next w:val="687"/>
    <w:uiPriority w:val="39"/>
    <w:unhideWhenUsed/>
    <w:qFormat/>
    <w:pPr>
      <w:ind w:left="567"/>
      <w:spacing w:after="57"/>
    </w:pPr>
  </w:style>
  <w:style w:type="paragraph" w:styleId="707">
    <w:name w:val="Plain Text"/>
    <w:basedOn w:val="687"/>
    <w:uiPriority w:val="0"/>
    <w:qFormat/>
    <w:rPr>
      <w:rFonts w:ascii="宋体" w:hAnsi="Courier New"/>
    </w:rPr>
  </w:style>
  <w:style w:type="paragraph" w:styleId="708">
    <w:name w:val="toc 8"/>
    <w:basedOn w:val="687"/>
    <w:next w:val="687"/>
    <w:uiPriority w:val="39"/>
    <w:unhideWhenUsed/>
    <w:qFormat/>
    <w:pPr>
      <w:ind w:left="1984"/>
      <w:spacing w:after="57"/>
    </w:pPr>
  </w:style>
  <w:style w:type="paragraph" w:styleId="709">
    <w:name w:val="endnote text"/>
    <w:basedOn w:val="687"/>
    <w:link w:val="927"/>
    <w:uiPriority w:val="99"/>
    <w:unhideWhenUsed/>
    <w:qFormat/>
    <w:rPr>
      <w:sz w:val="20"/>
    </w:rPr>
  </w:style>
  <w:style w:type="paragraph" w:styleId="710">
    <w:name w:val="Footer"/>
    <w:basedOn w:val="687"/>
    <w:link w:val="800"/>
    <w:uiPriority w:val="99"/>
    <w:unhideWhenUsed/>
    <w:qFormat/>
    <w:pPr>
      <w:tabs>
        <w:tab w:val="center" w:pos="7143" w:leader="none"/>
        <w:tab w:val="right" w:pos="14287" w:leader="none"/>
      </w:tabs>
    </w:pPr>
  </w:style>
  <w:style w:type="paragraph" w:styleId="711">
    <w:name w:val="envelope return"/>
    <w:basedOn w:val="687"/>
    <w:uiPriority w:val="0"/>
    <w:qFormat/>
    <w:rPr>
      <w:rFonts w:ascii="Arial" w:hAnsi="Arial"/>
    </w:rPr>
  </w:style>
  <w:style w:type="paragraph" w:styleId="712">
    <w:name w:val="Header"/>
    <w:basedOn w:val="687"/>
    <w:link w:val="798"/>
    <w:uiPriority w:val="99"/>
    <w:unhideWhenUsed/>
    <w:qFormat/>
    <w:pPr>
      <w:tabs>
        <w:tab w:val="center" w:pos="7143" w:leader="none"/>
        <w:tab w:val="right" w:pos="14287" w:leader="none"/>
      </w:tabs>
    </w:pPr>
  </w:style>
  <w:style w:type="paragraph" w:styleId="713">
    <w:name w:val="toc 1"/>
    <w:basedOn w:val="687"/>
    <w:next w:val="687"/>
    <w:uiPriority w:val="39"/>
    <w:unhideWhenUsed/>
    <w:qFormat/>
    <w:pPr>
      <w:spacing w:after="57"/>
    </w:pPr>
  </w:style>
  <w:style w:type="paragraph" w:styleId="714">
    <w:name w:val="toc 4"/>
    <w:basedOn w:val="687"/>
    <w:next w:val="687"/>
    <w:uiPriority w:val="39"/>
    <w:unhideWhenUsed/>
    <w:qFormat/>
    <w:pPr>
      <w:ind w:left="850"/>
      <w:spacing w:after="57"/>
    </w:pPr>
  </w:style>
  <w:style w:type="paragraph" w:styleId="715">
    <w:name w:val="Subtitle"/>
    <w:basedOn w:val="687"/>
    <w:next w:val="687"/>
    <w:link w:val="793"/>
    <w:uiPriority w:val="11"/>
    <w:qFormat/>
    <w:pPr>
      <w:spacing w:before="200" w:after="200"/>
    </w:pPr>
    <w:rPr>
      <w:sz w:val="24"/>
    </w:rPr>
  </w:style>
  <w:style w:type="paragraph" w:styleId="716">
    <w:name w:val="footnote text"/>
    <w:basedOn w:val="687"/>
    <w:link w:val="926"/>
    <w:uiPriority w:val="99"/>
    <w:unhideWhenUsed/>
    <w:qFormat/>
    <w:pPr>
      <w:spacing w:after="40"/>
    </w:pPr>
    <w:rPr>
      <w:sz w:val="18"/>
    </w:rPr>
  </w:style>
  <w:style w:type="paragraph" w:styleId="717">
    <w:name w:val="toc 6"/>
    <w:basedOn w:val="687"/>
    <w:next w:val="687"/>
    <w:uiPriority w:val="39"/>
    <w:unhideWhenUsed/>
    <w:qFormat/>
    <w:pPr>
      <w:ind w:left="1417"/>
      <w:spacing w:after="57"/>
    </w:pPr>
  </w:style>
  <w:style w:type="paragraph" w:styleId="718">
    <w:name w:val="table of figures"/>
    <w:basedOn w:val="687"/>
    <w:next w:val="687"/>
    <w:uiPriority w:val="99"/>
    <w:unhideWhenUsed/>
    <w:qFormat/>
  </w:style>
  <w:style w:type="paragraph" w:styleId="719">
    <w:name w:val="toc 2"/>
    <w:basedOn w:val="687"/>
    <w:next w:val="687"/>
    <w:uiPriority w:val="39"/>
    <w:unhideWhenUsed/>
    <w:qFormat/>
    <w:pPr>
      <w:ind w:left="283"/>
      <w:spacing w:after="57"/>
    </w:pPr>
  </w:style>
  <w:style w:type="paragraph" w:styleId="720">
    <w:name w:val="toc 9"/>
    <w:basedOn w:val="687"/>
    <w:next w:val="687"/>
    <w:uiPriority w:val="39"/>
    <w:unhideWhenUsed/>
    <w:qFormat/>
    <w:pPr>
      <w:ind w:left="2268"/>
      <w:spacing w:after="57"/>
    </w:pPr>
  </w:style>
  <w:style w:type="paragraph" w:styleId="721">
    <w:name w:val="Normal (Web)"/>
    <w:basedOn w:val="687"/>
    <w:uiPriority w:val="99"/>
    <w:unhideWhenUsed/>
    <w:qFormat/>
    <w:pPr>
      <w:jc w:val="left"/>
      <w:spacing w:beforeAutospacing="1" w:afterAutospacing="1"/>
    </w:pPr>
    <w:rPr>
      <w:sz w:val="24"/>
    </w:rPr>
  </w:style>
  <w:style w:type="paragraph" w:styleId="722">
    <w:name w:val="Title"/>
    <w:basedOn w:val="687"/>
    <w:next w:val="687"/>
    <w:link w:val="792"/>
    <w:uiPriority w:val="10"/>
    <w:qFormat/>
    <w:pPr>
      <w:contextualSpacing/>
      <w:spacing w:before="300" w:after="200"/>
    </w:pPr>
    <w:rPr>
      <w:sz w:val="48"/>
      <w:szCs w:val="48"/>
    </w:rPr>
  </w:style>
  <w:style w:type="paragraph" w:styleId="723">
    <w:name w:val="Body Text First Indent 2"/>
    <w:basedOn w:val="704"/>
    <w:uiPriority w:val="0"/>
    <w:unhideWhenUsed/>
    <w:qFormat/>
    <w:pPr>
      <w:ind w:firstLine="420"/>
    </w:p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unhideWhenUsed/>
    <w:qFormat/>
    <w:rPr>
      <w:vertAlign w:val="superscript"/>
    </w:rPr>
  </w:style>
  <w:style w:type="character" w:styleId="726">
    <w:name w:val="FollowedHyperlink"/>
    <w:basedOn w:val="697"/>
    <w:uiPriority w:val="99"/>
    <w:unhideWhenUsed/>
    <w:qFormat/>
    <w:rPr>
      <w:color w:val="333333"/>
      <w:u w:val="none"/>
    </w:rPr>
  </w:style>
  <w:style w:type="character" w:styleId="727">
    <w:name w:val="Emphasis"/>
    <w:basedOn w:val="697"/>
    <w:uiPriority w:val="20"/>
    <w:qFormat/>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正文文本11"/>
    <w:basedOn w:val="687"/>
    <w:uiPriority w:val="0"/>
    <w:qFormat/>
    <w:pPr>
      <w:spacing w:after="120"/>
    </w:pPr>
  </w:style>
  <w:style w:type="character" w:styleId="731" w:customStyle="1">
    <w:name w:val="Heading 1 Char"/>
    <w:basedOn w:val="697"/>
    <w:uiPriority w:val="9"/>
    <w:qFormat/>
    <w:rPr>
      <w:rFonts w:ascii="Arial" w:hAnsi="Arial" w:eastAsia="Arial" w:cs="Arial"/>
      <w:sz w:val="40"/>
      <w:szCs w:val="40"/>
    </w:rPr>
  </w:style>
  <w:style w:type="character" w:styleId="732" w:customStyle="1">
    <w:name w:val="Heading 2 Char"/>
    <w:basedOn w:val="697"/>
    <w:uiPriority w:val="9"/>
    <w:qFormat/>
    <w:rPr>
      <w:rFonts w:ascii="Arial" w:hAnsi="Arial" w:eastAsia="Arial" w:cs="Arial"/>
      <w:sz w:val="34"/>
    </w:rPr>
  </w:style>
  <w:style w:type="character" w:styleId="733" w:customStyle="1">
    <w:name w:val="Heading 3 Char"/>
    <w:basedOn w:val="697"/>
    <w:uiPriority w:val="9"/>
    <w:qFormat/>
    <w:rPr>
      <w:rFonts w:ascii="Arial" w:hAnsi="Arial" w:eastAsia="Arial" w:cs="Arial"/>
      <w:sz w:val="30"/>
      <w:szCs w:val="30"/>
    </w:rPr>
  </w:style>
  <w:style w:type="character" w:styleId="734" w:customStyle="1">
    <w:name w:val="Heading 4 Char"/>
    <w:basedOn w:val="697"/>
    <w:uiPriority w:val="9"/>
    <w:qFormat/>
    <w:rPr>
      <w:rFonts w:ascii="Arial" w:hAnsi="Arial" w:eastAsia="Arial" w:cs="Arial"/>
      <w:b/>
      <w:bCs/>
      <w:sz w:val="26"/>
      <w:szCs w:val="26"/>
    </w:rPr>
  </w:style>
  <w:style w:type="character" w:styleId="735" w:customStyle="1">
    <w:name w:val="Heading 5 Char"/>
    <w:basedOn w:val="697"/>
    <w:uiPriority w:val="9"/>
    <w:qFormat/>
    <w:rPr>
      <w:rFonts w:ascii="Arial" w:hAnsi="Arial" w:eastAsia="Arial" w:cs="Arial"/>
      <w:b/>
      <w:bCs/>
      <w:sz w:val="24"/>
      <w:szCs w:val="24"/>
    </w:rPr>
  </w:style>
  <w:style w:type="character" w:styleId="736" w:customStyle="1">
    <w:name w:val="Heading 6 Char"/>
    <w:basedOn w:val="697"/>
    <w:uiPriority w:val="9"/>
    <w:qFormat/>
    <w:rPr>
      <w:rFonts w:ascii="Arial" w:hAnsi="Arial" w:eastAsia="Arial" w:cs="Arial"/>
      <w:b/>
      <w:bCs/>
      <w:sz w:val="22"/>
      <w:szCs w:val="22"/>
    </w:rPr>
  </w:style>
  <w:style w:type="character" w:styleId="737" w:customStyle="1">
    <w:name w:val="Heading 7 Char"/>
    <w:basedOn w:val="697"/>
    <w:uiPriority w:val="9"/>
    <w:qFormat/>
    <w:rPr>
      <w:rFonts w:ascii="Arial" w:hAnsi="Arial" w:eastAsia="Arial" w:cs="Arial"/>
      <w:b/>
      <w:bCs/>
      <w:i/>
      <w:iCs/>
      <w:sz w:val="22"/>
      <w:szCs w:val="22"/>
    </w:rPr>
  </w:style>
  <w:style w:type="character" w:styleId="738" w:customStyle="1">
    <w:name w:val="Heading 8 Char"/>
    <w:basedOn w:val="697"/>
    <w:uiPriority w:val="9"/>
    <w:qFormat/>
    <w:rPr>
      <w:rFonts w:ascii="Arial" w:hAnsi="Arial" w:eastAsia="Arial" w:cs="Arial"/>
      <w:i/>
      <w:iCs/>
      <w:sz w:val="22"/>
      <w:szCs w:val="22"/>
    </w:rPr>
  </w:style>
  <w:style w:type="character" w:styleId="739" w:customStyle="1">
    <w:name w:val="Heading 9 Char"/>
    <w:basedOn w:val="697"/>
    <w:uiPriority w:val="9"/>
    <w:qFormat/>
    <w:rPr>
      <w:rFonts w:ascii="Arial" w:hAnsi="Arial" w:eastAsia="Arial" w:cs="Arial"/>
      <w:i/>
      <w:iCs/>
      <w:sz w:val="21"/>
      <w:szCs w:val="21"/>
    </w:rPr>
  </w:style>
  <w:style w:type="paragraph" w:styleId="740">
    <w:name w:val="List Paragraph"/>
    <w:basedOn w:val="687"/>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7"/>
    <w:uiPriority w:val="10"/>
    <w:qFormat/>
    <w:rPr>
      <w:sz w:val="48"/>
      <w:szCs w:val="48"/>
    </w:rPr>
  </w:style>
  <w:style w:type="character" w:styleId="743" w:customStyle="1">
    <w:name w:val="Subtitle Char"/>
    <w:basedOn w:val="697"/>
    <w:uiPriority w:val="11"/>
    <w:qFormat/>
    <w:rPr>
      <w:sz w:val="24"/>
      <w:szCs w:val="24"/>
    </w:rPr>
  </w:style>
  <w:style w:type="paragraph" w:styleId="744">
    <w:name w:val="Quote"/>
    <w:basedOn w:val="687"/>
    <w:next w:val="687"/>
    <w:uiPriority w:val="29"/>
    <w:qFormat/>
    <w:pPr>
      <w:ind w:left="720" w:right="720"/>
    </w:pPr>
    <w:rPr>
      <w:i/>
    </w:rPr>
  </w:style>
  <w:style w:type="paragraph" w:styleId="745">
    <w:name w:val="Intense Quote"/>
    <w:basedOn w:val="687"/>
    <w:next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Header Char"/>
    <w:basedOn w:val="697"/>
    <w:uiPriority w:val="99"/>
    <w:qFormat/>
  </w:style>
  <w:style w:type="character" w:styleId="747" w:customStyle="1">
    <w:name w:val="Caption Char"/>
    <w:uiPriority w:val="99"/>
    <w:qFormat/>
  </w:style>
  <w:style w:type="table" w:styleId="748"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段"/>
    <w:next w:val="687"/>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paragraph" w:styleId="771" w:customStyle="1">
    <w:name w:val="目录 51"/>
    <w:next w:val="687"/>
    <w:uiPriority w:val="0"/>
    <w:qFormat/>
    <w:pPr>
      <w:ind w:left="1275"/>
      <w:jc w:val="both"/>
    </w:pPr>
    <w:rPr>
      <w:rFonts w:hint="default" w:ascii="Times New Roman" w:hAnsi="Times New Roman" w:eastAsia="宋体" w:cs="Times New Roman"/>
      <w:sz w:val="21"/>
      <w:lang w:val="en-US" w:eastAsia="zh-CN" w:bidi="ar-SA"/>
    </w:rPr>
  </w:style>
  <w:style w:type="paragraph" w:styleId="772" w:customStyle="1">
    <w:name w:val="首行缩进"/>
    <w:basedOn w:val="687"/>
    <w:uiPriority w:val="0"/>
    <w:qFormat/>
    <w:pPr>
      <w:ind w:firstLine="480"/>
    </w:pPr>
    <w:rPr>
      <w:rFonts w:ascii="Times New Roman" w:hAnsi="Times New Roman" w:eastAsia="楷体_GB2312"/>
      <w:sz w:val="28"/>
      <w:szCs w:val="20"/>
      <w:lang w:val="zh-CN"/>
    </w:rPr>
  </w:style>
  <w:style w:type="character" w:styleId="773" w:customStyle="1">
    <w:name w:val="标题 3 字符"/>
    <w:link w:val="774"/>
    <w:uiPriority w:val="0"/>
    <w:qFormat/>
    <w:rPr>
      <w:rFonts w:ascii="Times New Roman" w:hAnsi="Times New Roman" w:eastAsia="宋体" w:cs="Times New Roman"/>
      <w:b/>
      <w:sz w:val="32"/>
      <w:szCs w:val="20"/>
    </w:rPr>
  </w:style>
  <w:style w:type="paragraph" w:styleId="774" w:customStyle="1">
    <w:name w:val="标题 31"/>
    <w:basedOn w:val="687"/>
    <w:next w:val="775"/>
    <w:link w:val="773"/>
    <w:uiPriority w:val="9"/>
    <w:qFormat/>
    <w:pPr>
      <w:keepLines/>
      <w:keepNext/>
      <w:spacing w:before="260" w:after="260" w:line="416" w:lineRule="auto"/>
      <w:outlineLvl w:val="2"/>
    </w:pPr>
    <w:rPr>
      <w:rFonts w:ascii="Times New Roman" w:hAnsi="Times New Roman"/>
      <w:b/>
      <w:sz w:val="32"/>
      <w:szCs w:val="20"/>
    </w:rPr>
  </w:style>
  <w:style w:type="paragraph" w:styleId="775" w:customStyle="1">
    <w:name w:val="正文缩进1"/>
    <w:basedOn w:val="687"/>
    <w:next w:val="687"/>
    <w:link w:val="934"/>
    <w:uiPriority w:val="99"/>
    <w:unhideWhenUsed/>
    <w:qFormat/>
    <w:pPr>
      <w:ind w:firstLine="420"/>
      <w:jc w:val="left"/>
    </w:pPr>
    <w:rPr>
      <w:rFonts w:ascii="Times New Roman" w:hAnsi="Times New Roman" w:eastAsia="楷体_GB2312"/>
      <w:sz w:val="24"/>
      <w:szCs w:val="20"/>
    </w:rPr>
  </w:style>
  <w:style w:type="character" w:styleId="776" w:customStyle="1">
    <w:name w:val="标题 2 字符"/>
    <w:link w:val="777"/>
    <w:uiPriority w:val="0"/>
    <w:qFormat/>
    <w:rPr>
      <w:rFonts w:ascii="Cambria" w:hAnsi="Cambria" w:eastAsia="宋体" w:cs="Times New Roman"/>
      <w:b/>
      <w:bCs/>
      <w:sz w:val="32"/>
      <w:szCs w:val="32"/>
    </w:rPr>
  </w:style>
  <w:style w:type="paragraph" w:styleId="777" w:customStyle="1">
    <w:name w:val="标题 21"/>
    <w:basedOn w:val="687"/>
    <w:next w:val="687"/>
    <w:link w:val="776"/>
    <w:uiPriority w:val="9"/>
    <w:qFormat/>
    <w:pPr>
      <w:keepLines/>
      <w:keepNext/>
      <w:spacing w:before="260" w:after="260" w:line="416" w:lineRule="auto"/>
      <w:outlineLvl w:val="1"/>
    </w:pPr>
    <w:rPr>
      <w:rFonts w:ascii="Cambria" w:hAnsi="Cambria"/>
      <w:b/>
      <w:bCs/>
      <w:sz w:val="32"/>
      <w:szCs w:val="32"/>
    </w:rPr>
  </w:style>
  <w:style w:type="character" w:styleId="778" w:customStyle="1">
    <w:name w:val="NormalCharacter"/>
    <w:uiPriority w:val="0"/>
    <w:semiHidden/>
    <w:qFormat/>
  </w:style>
  <w:style w:type="paragraph" w:styleId="779" w:customStyle="1">
    <w:name w:val="正文文本缩进1"/>
    <w:basedOn w:val="687"/>
    <w:next w:val="780"/>
    <w:uiPriority w:val="99"/>
    <w:unhideWhenUsed/>
    <w:qFormat/>
    <w:pPr>
      <w:ind w:left="420" w:firstLine="1188"/>
      <w:spacing w:line="360" w:lineRule="exact"/>
    </w:pPr>
    <w:rPr>
      <w:rFonts w:ascii="Times New Roman" w:hAnsi="Times New Roman"/>
    </w:rPr>
  </w:style>
  <w:style w:type="paragraph" w:styleId="780" w:customStyle="1">
    <w:name w:val="寄信人地址1"/>
    <w:basedOn w:val="687"/>
    <w:uiPriority w:val="0"/>
    <w:qFormat/>
    <w:rPr>
      <w:sz w:val="26"/>
    </w:rPr>
  </w:style>
  <w:style w:type="character" w:styleId="781" w:customStyle="1">
    <w:name w:val="标题 1 字符1"/>
    <w:link w:val="688"/>
    <w:uiPriority w:val="9"/>
    <w:qFormat/>
    <w:rPr>
      <w:rFonts w:ascii="Arial" w:hAnsi="Arial" w:eastAsia="Arial" w:cs="Arial"/>
      <w:sz w:val="40"/>
      <w:szCs w:val="40"/>
    </w:rPr>
  </w:style>
  <w:style w:type="character" w:styleId="782" w:customStyle="1">
    <w:name w:val="标题 2 字符1"/>
    <w:link w:val="689"/>
    <w:uiPriority w:val="9"/>
    <w:qFormat/>
    <w:rPr>
      <w:rFonts w:ascii="Arial" w:hAnsi="Arial" w:eastAsia="Arial" w:cs="Arial"/>
      <w:sz w:val="34"/>
    </w:rPr>
  </w:style>
  <w:style w:type="character" w:styleId="783" w:customStyle="1">
    <w:name w:val="标题 3 字符1"/>
    <w:link w:val="690"/>
    <w:uiPriority w:val="9"/>
    <w:qFormat/>
    <w:rPr>
      <w:rFonts w:ascii="Arial" w:hAnsi="Arial" w:eastAsia="Arial" w:cs="Arial"/>
      <w:sz w:val="30"/>
      <w:szCs w:val="30"/>
    </w:rPr>
  </w:style>
  <w:style w:type="character" w:styleId="784" w:customStyle="1">
    <w:name w:val="标题 4 字符"/>
    <w:link w:val="691"/>
    <w:uiPriority w:val="9"/>
    <w:qFormat/>
    <w:rPr>
      <w:rFonts w:ascii="Arial" w:hAnsi="Arial" w:eastAsia="Arial" w:cs="Arial"/>
      <w:b/>
      <w:bCs/>
      <w:sz w:val="26"/>
      <w:szCs w:val="26"/>
    </w:rPr>
  </w:style>
  <w:style w:type="character" w:styleId="785" w:customStyle="1">
    <w:name w:val="标题 5 字符1"/>
    <w:link w:val="692"/>
    <w:uiPriority w:val="9"/>
    <w:qFormat/>
    <w:rPr>
      <w:rFonts w:ascii="Arial" w:hAnsi="Arial" w:eastAsia="Arial" w:cs="Arial"/>
      <w:b/>
      <w:bCs/>
      <w:sz w:val="24"/>
      <w:szCs w:val="24"/>
    </w:rPr>
  </w:style>
  <w:style w:type="character" w:styleId="786" w:customStyle="1">
    <w:name w:val="标题 6 字符"/>
    <w:link w:val="693"/>
    <w:uiPriority w:val="9"/>
    <w:qFormat/>
    <w:rPr>
      <w:rFonts w:ascii="Arial" w:hAnsi="Arial" w:eastAsia="Arial" w:cs="Arial"/>
      <w:b/>
      <w:bCs/>
      <w:sz w:val="22"/>
      <w:szCs w:val="22"/>
    </w:rPr>
  </w:style>
  <w:style w:type="character" w:styleId="787" w:customStyle="1">
    <w:name w:val="标题 7 字符"/>
    <w:link w:val="694"/>
    <w:uiPriority w:val="9"/>
    <w:qFormat/>
    <w:rPr>
      <w:rFonts w:ascii="Arial" w:hAnsi="Arial" w:eastAsia="Arial" w:cs="Arial"/>
      <w:b/>
      <w:bCs/>
      <w:i/>
      <w:iCs/>
      <w:sz w:val="22"/>
      <w:szCs w:val="22"/>
    </w:rPr>
  </w:style>
  <w:style w:type="character" w:styleId="788" w:customStyle="1">
    <w:name w:val="标题 8 字符"/>
    <w:link w:val="695"/>
    <w:uiPriority w:val="9"/>
    <w:qFormat/>
    <w:rPr>
      <w:rFonts w:ascii="Arial" w:hAnsi="Arial" w:eastAsia="Arial" w:cs="Arial"/>
      <w:i/>
      <w:iCs/>
      <w:sz w:val="22"/>
      <w:szCs w:val="22"/>
    </w:rPr>
  </w:style>
  <w:style w:type="character" w:styleId="789" w:customStyle="1">
    <w:name w:val="标题 9 字符"/>
    <w:link w:val="696"/>
    <w:uiPriority w:val="9"/>
    <w:qFormat/>
    <w:rPr>
      <w:rFonts w:ascii="Arial" w:hAnsi="Arial" w:eastAsia="Arial" w:cs="Arial"/>
      <w:i/>
      <w:iCs/>
      <w:sz w:val="21"/>
      <w:szCs w:val="21"/>
    </w:rPr>
  </w:style>
  <w:style w:type="paragraph" w:styleId="790" w:customStyle="1">
    <w:name w:val="列表段落1"/>
    <w:basedOn w:val="687"/>
    <w:uiPriority w:val="34"/>
    <w:qFormat/>
    <w:pPr>
      <w:contextualSpacing/>
      <w:ind w:left="720"/>
    </w:pPr>
  </w:style>
  <w:style w:type="paragraph" w:styleId="791" w:customStyle="1">
    <w:name w:val="无间隔1"/>
    <w:uiPriority w:val="1"/>
    <w:qFormat/>
    <w:rPr>
      <w:rFonts w:hint="default" w:ascii="Times New Roman" w:hAnsi="Times New Roman" w:eastAsia="宋体" w:cs="Times New Roman"/>
      <w:lang w:val="en-US" w:eastAsia="zh-CN" w:bidi="ar-SA"/>
    </w:rPr>
  </w:style>
  <w:style w:type="character" w:styleId="792" w:customStyle="1">
    <w:name w:val="标题 字符"/>
    <w:link w:val="722"/>
    <w:uiPriority w:val="10"/>
    <w:qFormat/>
    <w:rPr>
      <w:sz w:val="48"/>
      <w:szCs w:val="48"/>
    </w:rPr>
  </w:style>
  <w:style w:type="character" w:styleId="793" w:customStyle="1">
    <w:name w:val="副标题 字符"/>
    <w:link w:val="715"/>
    <w:uiPriority w:val="11"/>
    <w:qFormat/>
    <w:rPr>
      <w:sz w:val="24"/>
      <w:szCs w:val="24"/>
    </w:rPr>
  </w:style>
  <w:style w:type="paragraph" w:styleId="794" w:customStyle="1">
    <w:name w:val="引用1"/>
    <w:basedOn w:val="687"/>
    <w:next w:val="687"/>
    <w:link w:val="795"/>
    <w:uiPriority w:val="29"/>
    <w:qFormat/>
    <w:pPr>
      <w:ind w:left="720" w:right="720"/>
    </w:pPr>
    <w:rPr>
      <w:i/>
    </w:rPr>
  </w:style>
  <w:style w:type="character" w:styleId="795" w:customStyle="1">
    <w:name w:val="Quote Char"/>
    <w:link w:val="794"/>
    <w:uiPriority w:val="29"/>
    <w:qFormat/>
    <w:rPr>
      <w:i/>
    </w:rPr>
  </w:style>
  <w:style w:type="paragraph" w:styleId="796" w:customStyle="1">
    <w:name w:val="明显引用1"/>
    <w:basedOn w:val="687"/>
    <w:next w:val="687"/>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页眉 字符1"/>
    <w:link w:val="712"/>
    <w:uiPriority w:val="99"/>
    <w:qFormat/>
  </w:style>
  <w:style w:type="character" w:styleId="799" w:customStyle="1">
    <w:name w:val="Footer Char"/>
    <w:uiPriority w:val="99"/>
    <w:qFormat/>
  </w:style>
  <w:style w:type="character" w:styleId="800" w:customStyle="1">
    <w:name w:val="页脚 字符1"/>
    <w:link w:val="710"/>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
    <w:link w:val="716"/>
    <w:uiPriority w:val="99"/>
    <w:qFormat/>
    <w:rPr>
      <w:sz w:val="18"/>
    </w:rPr>
  </w:style>
  <w:style w:type="character" w:styleId="927" w:customStyle="1">
    <w:name w:val="尾注文本 字符"/>
    <w:link w:val="709"/>
    <w:uiPriority w:val="99"/>
    <w:qFormat/>
    <w:rPr>
      <w:sz w:val="20"/>
    </w:rPr>
  </w:style>
  <w:style w:type="paragraph" w:styleId="928" w:customStyle="1">
    <w:name w:val="TOC 标题1"/>
    <w:uiPriority w:val="39"/>
    <w:unhideWhenUsed/>
    <w:qFormat/>
    <w:rPr>
      <w:rFonts w:hint="default" w:ascii="Times New Roman" w:hAnsi="Times New Roman" w:eastAsia="宋体" w:cs="Times New Roman"/>
      <w:lang w:val="en-US" w:eastAsia="zh-CN" w:bidi="ar-SA"/>
    </w:rPr>
  </w:style>
  <w:style w:type="paragraph" w:styleId="929" w:customStyle="1">
    <w:name w:val="标题 11"/>
    <w:basedOn w:val="687"/>
    <w:next w:val="687"/>
    <w:link w:val="933"/>
    <w:uiPriority w:val="9"/>
    <w:qFormat/>
    <w:pPr>
      <w:keepLines/>
      <w:keepNext/>
      <w:spacing w:before="340" w:after="330" w:line="578" w:lineRule="auto"/>
      <w:outlineLvl w:val="0"/>
    </w:pPr>
    <w:rPr>
      <w:b/>
      <w:bCs/>
      <w:sz w:val="44"/>
      <w:szCs w:val="44"/>
    </w:rPr>
  </w:style>
  <w:style w:type="paragraph" w:styleId="930" w:customStyle="1">
    <w:name w:val="标题 51"/>
    <w:basedOn w:val="687"/>
    <w:next w:val="687"/>
    <w:link w:val="935"/>
    <w:uiPriority w:val="9"/>
    <w:qFormat/>
    <w:pPr>
      <w:jc w:val="left"/>
      <w:keepLines/>
      <w:keepNext/>
      <w:spacing w:before="280" w:after="290" w:line="376" w:lineRule="auto"/>
      <w:widowControl/>
      <w:outlineLvl w:val="4"/>
    </w:pPr>
    <w:rPr>
      <w:rFonts w:ascii="Times New Roman" w:hAnsi="Times New Roman"/>
      <w:b/>
      <w:bCs/>
      <w:sz w:val="28"/>
      <w:szCs w:val="28"/>
    </w:rPr>
  </w:style>
  <w:style w:type="character" w:styleId="931" w:customStyle="1">
    <w:name w:val="默认段落字体1"/>
    <w:uiPriority w:val="1"/>
    <w:unhideWhenUsed/>
    <w:qFormat/>
  </w:style>
  <w:style w:type="table" w:styleId="932" w:customStyle="1">
    <w:name w:val="普通表格1"/>
    <w:uiPriority w:val="99"/>
    <w:unhideWhenUsed/>
    <w:qFormat/>
    <w:tblPr>
      <w:tblCellMar>
        <w:left w:w="0" w:type="dxa"/>
        <w:top w:w="0" w:type="dxa"/>
        <w:right w:w="0" w:type="dxa"/>
        <w:bottom w:w="0" w:type="dxa"/>
      </w:tblCellMar>
    </w:tblPr>
  </w:style>
  <w:style w:type="character" w:styleId="933" w:customStyle="1">
    <w:name w:val="标题 1 字符"/>
    <w:link w:val="929"/>
    <w:uiPriority w:val="0"/>
    <w:qFormat/>
    <w:rPr>
      <w:rFonts w:ascii="Calibri" w:hAnsi="Calibri" w:eastAsia="宋体" w:cs="Times New Roman"/>
      <w:b/>
      <w:bCs/>
      <w:sz w:val="44"/>
      <w:szCs w:val="44"/>
    </w:rPr>
  </w:style>
  <w:style w:type="character" w:styleId="934" w:customStyle="1">
    <w:name w:val="正文缩进 字符"/>
    <w:link w:val="775"/>
    <w:uiPriority w:val="99"/>
    <w:qFormat/>
    <w:rPr>
      <w:rFonts w:ascii="Times New Roman" w:hAnsi="Times New Roman" w:eastAsia="楷体_GB2312" w:cs="Times New Roman"/>
      <w:sz w:val="24"/>
      <w:szCs w:val="20"/>
    </w:rPr>
  </w:style>
  <w:style w:type="character" w:styleId="935" w:customStyle="1">
    <w:name w:val="标题 5 字符"/>
    <w:link w:val="930"/>
    <w:uiPriority w:val="0"/>
    <w:qFormat/>
    <w:rPr>
      <w:rFonts w:ascii="Times New Roman" w:hAnsi="Times New Roman" w:eastAsia="宋体" w:cs="Times New Roman"/>
      <w:b/>
      <w:bCs/>
      <w:sz w:val="28"/>
      <w:szCs w:val="28"/>
    </w:rPr>
  </w:style>
  <w:style w:type="paragraph" w:styleId="936" w:customStyle="1">
    <w:name w:val="引文目录1"/>
    <w:basedOn w:val="687"/>
    <w:next w:val="687"/>
    <w:uiPriority w:val="0"/>
    <w:qFormat/>
    <w:pPr>
      <w:ind w:left="420"/>
    </w:pPr>
  </w:style>
  <w:style w:type="paragraph" w:styleId="937" w:customStyle="1">
    <w:name w:val="批注文字1"/>
    <w:basedOn w:val="687"/>
    <w:link w:val="938"/>
    <w:uiPriority w:val="99"/>
    <w:unhideWhenUsed/>
    <w:qFormat/>
    <w:pPr>
      <w:jc w:val="left"/>
    </w:pPr>
  </w:style>
  <w:style w:type="character" w:styleId="938" w:customStyle="1">
    <w:name w:val="批注文字 字符"/>
    <w:link w:val="937"/>
    <w:uiPriority w:val="99"/>
    <w:qFormat/>
    <w:rPr>
      <w:rFonts w:ascii="Calibri" w:hAnsi="Calibri"/>
      <w:sz w:val="21"/>
      <w:szCs w:val="24"/>
    </w:rPr>
  </w:style>
  <w:style w:type="paragraph" w:styleId="939" w:customStyle="1">
    <w:name w:val="正文文本1"/>
    <w:basedOn w:val="687"/>
    <w:link w:val="940"/>
    <w:uiPriority w:val="99"/>
    <w:unhideWhenUsed/>
    <w:qFormat/>
    <w:pPr>
      <w:spacing w:after="120"/>
    </w:pPr>
    <w:rPr>
      <w:rFonts w:ascii="Times New Roman" w:hAnsi="Times New Roman"/>
    </w:rPr>
  </w:style>
  <w:style w:type="character" w:styleId="940" w:customStyle="1">
    <w:name w:val="正文文本 字符"/>
    <w:link w:val="939"/>
    <w:uiPriority w:val="99"/>
    <w:qFormat/>
    <w:rPr>
      <w:rFonts w:ascii="Times New Roman" w:hAnsi="Times New Roman" w:eastAsia="宋体" w:cs="Times New Roman"/>
    </w:rPr>
  </w:style>
  <w:style w:type="paragraph" w:styleId="941" w:customStyle="1">
    <w:name w:val="文本块1"/>
    <w:basedOn w:val="687"/>
    <w:uiPriority w:val="99"/>
    <w:unhideWhenUsed/>
    <w:qFormat/>
    <w:pPr>
      <w:ind w:left="630" w:right="-609" w:firstLine="420"/>
      <w:spacing w:line="360" w:lineRule="auto"/>
    </w:pPr>
    <w:rPr>
      <w:rFonts w:hint="eastAsia" w:ascii="仿宋_GB2312" w:hAnsi="Times New Roman" w:eastAsia="仿宋_GB2312"/>
      <w:szCs w:val="20"/>
    </w:rPr>
  </w:style>
  <w:style w:type="paragraph" w:styleId="942" w:customStyle="1">
    <w:name w:val="纯文本11"/>
    <w:basedOn w:val="687"/>
    <w:link w:val="943"/>
    <w:uiPriority w:val="99"/>
    <w:unhideWhenUsed/>
    <w:qFormat/>
    <w:pPr>
      <w:jc w:val="left"/>
      <w:widowControl/>
    </w:pPr>
    <w:rPr>
      <w:rFonts w:ascii="宋体" w:hAnsi="Courier New" w:eastAsia="楷体_GB2312"/>
      <w:sz w:val="26"/>
    </w:rPr>
  </w:style>
  <w:style w:type="character" w:styleId="943" w:customStyle="1">
    <w:name w:val="纯文本 字符"/>
    <w:link w:val="942"/>
    <w:uiPriority w:val="0"/>
    <w:qFormat/>
    <w:rPr>
      <w:rFonts w:ascii="宋体" w:hAnsi="Courier New" w:eastAsia="楷体_GB2312" w:cs="Times New Roman"/>
      <w:sz w:val="26"/>
    </w:rPr>
  </w:style>
  <w:style w:type="paragraph" w:styleId="944" w:customStyle="1">
    <w:name w:val="日期1"/>
    <w:basedOn w:val="687"/>
    <w:next w:val="687"/>
    <w:link w:val="945"/>
    <w:uiPriority w:val="99"/>
    <w:unhideWhenUsed/>
    <w:qFormat/>
    <w:pPr>
      <w:ind w:left="100"/>
    </w:pPr>
    <w:rPr>
      <w:b/>
      <w:bCs/>
      <w:spacing w:val="20"/>
    </w:rPr>
  </w:style>
  <w:style w:type="character" w:styleId="945" w:customStyle="1">
    <w:name w:val="日期 字符"/>
    <w:link w:val="944"/>
    <w:uiPriority w:val="0"/>
    <w:qFormat/>
    <w:rPr>
      <w:rFonts w:ascii="Calibri" w:hAnsi="Calibri" w:eastAsia="宋体" w:cs="Times New Roman"/>
      <w:b/>
      <w:bCs/>
      <w:spacing w:val="20"/>
    </w:rPr>
  </w:style>
  <w:style w:type="paragraph" w:styleId="946" w:customStyle="1">
    <w:name w:val="批注框文本1"/>
    <w:basedOn w:val="687"/>
    <w:link w:val="947"/>
    <w:uiPriority w:val="99"/>
    <w:unhideWhenUsed/>
    <w:qFormat/>
    <w:rPr>
      <w:sz w:val="18"/>
      <w:szCs w:val="18"/>
    </w:rPr>
  </w:style>
  <w:style w:type="character" w:styleId="947" w:customStyle="1">
    <w:name w:val="批注框文本 字符"/>
    <w:link w:val="946"/>
    <w:uiPriority w:val="0"/>
    <w:qFormat/>
    <w:rPr>
      <w:rFonts w:ascii="Calibri" w:hAnsi="Calibri" w:eastAsia="宋体" w:cs="Times New Roman"/>
      <w:sz w:val="18"/>
      <w:szCs w:val="18"/>
    </w:rPr>
  </w:style>
  <w:style w:type="paragraph" w:styleId="948" w:customStyle="1">
    <w:name w:val="页脚1"/>
    <w:basedOn w:val="687"/>
    <w:link w:val="949"/>
    <w:uiPriority w:val="99"/>
    <w:unhideWhenUsed/>
    <w:qFormat/>
    <w:pPr>
      <w:ind w:firstLine="3584"/>
    </w:pPr>
  </w:style>
  <w:style w:type="character" w:styleId="949" w:customStyle="1">
    <w:name w:val="页脚 字符"/>
    <w:link w:val="948"/>
    <w:uiPriority w:val="0"/>
    <w:qFormat/>
    <w:rPr>
      <w:rFonts w:ascii="Calibri" w:hAnsi="Calibri" w:eastAsia="宋体" w:cs="Times New Roman"/>
    </w:rPr>
  </w:style>
  <w:style w:type="paragraph" w:styleId="950" w:customStyle="1">
    <w:name w:val="页眉1"/>
    <w:basedOn w:val="687"/>
    <w:link w:val="951"/>
    <w:uiPriority w:val="99"/>
    <w:unhideWhenUsed/>
    <w:qFormat/>
    <w:pPr>
      <w:jc w:val="center"/>
      <w:tabs>
        <w:tab w:val="center" w:pos="4153" w:leader="none"/>
        <w:tab w:val="right" w:pos="8306" w:leader="none"/>
      </w:tabs>
      <w:pBdr>
        <w:bottom w:val="none" w:color="000000" w:sz="0" w:space="1"/>
      </w:pBdr>
    </w:pPr>
    <w:rPr>
      <w:sz w:val="18"/>
      <w:szCs w:val="18"/>
    </w:rPr>
  </w:style>
  <w:style w:type="character" w:styleId="951" w:customStyle="1">
    <w:name w:val="页眉 字符"/>
    <w:link w:val="950"/>
    <w:uiPriority w:val="0"/>
    <w:qFormat/>
    <w:rPr>
      <w:rFonts w:ascii="Calibri" w:hAnsi="Calibri" w:eastAsia="宋体" w:cs="Times New Roman"/>
      <w:sz w:val="18"/>
      <w:szCs w:val="18"/>
    </w:rPr>
  </w:style>
  <w:style w:type="paragraph" w:styleId="952" w:customStyle="1">
    <w:name w:val="目录 11"/>
    <w:basedOn w:val="687"/>
    <w:next w:val="687"/>
    <w:uiPriority w:val="39"/>
    <w:unhideWhenUsed/>
    <w:qFormat/>
    <w:pPr>
      <w:jc w:val="left"/>
    </w:pPr>
    <w:rPr>
      <w:rFonts w:ascii="Times New Roman" w:hAnsi="Times New Roman" w:eastAsia="楷体_GB2312"/>
      <w:sz w:val="24"/>
      <w:szCs w:val="20"/>
    </w:rPr>
  </w:style>
  <w:style w:type="paragraph" w:styleId="953" w:customStyle="1">
    <w:name w:val="脚注文本1"/>
    <w:basedOn w:val="929"/>
    <w:next w:val="941"/>
    <w:uiPriority w:val="99"/>
    <w:unhideWhenUsed/>
    <w:qFormat/>
    <w:pPr>
      <w:ind w:firstLine="3584"/>
      <w:spacing w:before="0" w:after="0" w:line="360" w:lineRule="auto"/>
    </w:pPr>
    <w:rPr>
      <w:rFonts w:ascii="Times New Roman" w:hAnsi="Times New Roman"/>
      <w:sz w:val="21"/>
      <w:szCs w:val="24"/>
    </w:rPr>
  </w:style>
  <w:style w:type="paragraph" w:styleId="954" w:customStyle="1">
    <w:name w:val="目录 61"/>
    <w:basedOn w:val="929"/>
    <w:next w:val="687"/>
    <w:uiPriority w:val="39"/>
    <w:unhideWhenUsed/>
    <w:qFormat/>
    <w:pPr>
      <w:ind w:left="1400" w:firstLine="3784"/>
      <w:spacing w:before="0" w:after="0" w:line="360" w:lineRule="auto"/>
      <w:widowControl/>
    </w:pPr>
    <w:rPr>
      <w:rFonts w:ascii="Times New Roman" w:hAnsi="Times New Roman"/>
      <w:sz w:val="20"/>
      <w:szCs w:val="20"/>
    </w:rPr>
  </w:style>
  <w:style w:type="paragraph" w:styleId="955" w:customStyle="1">
    <w:name w:val="正文文本缩进 31"/>
    <w:basedOn w:val="687"/>
    <w:next w:val="954"/>
    <w:link w:val="956"/>
    <w:uiPriority w:val="99"/>
    <w:unhideWhenUsed/>
    <w:qFormat/>
    <w:pPr>
      <w:ind w:firstLine="480"/>
      <w:jc w:val="left"/>
      <w:spacing w:line="440" w:lineRule="atLeast"/>
    </w:pPr>
    <w:rPr>
      <w:rFonts w:ascii="Times New Roman" w:hAnsi="Times New Roman"/>
      <w:sz w:val="24"/>
    </w:rPr>
  </w:style>
  <w:style w:type="character" w:styleId="956" w:customStyle="1">
    <w:name w:val="正文文本缩进 3 字符"/>
    <w:link w:val="955"/>
    <w:uiPriority w:val="0"/>
    <w:qFormat/>
    <w:rPr>
      <w:rFonts w:ascii="Times New Roman" w:hAnsi="Times New Roman" w:eastAsia="宋体" w:cs="Times New Roman"/>
      <w:sz w:val="24"/>
    </w:rPr>
  </w:style>
  <w:style w:type="paragraph" w:styleId="957" w:customStyle="1">
    <w:name w:val="普通(网站)1"/>
    <w:basedOn w:val="687"/>
    <w:uiPriority w:val="99"/>
    <w:qFormat/>
    <w:pPr>
      <w:jc w:val="left"/>
      <w:spacing w:beforeAutospacing="1" w:afterAutospacing="1"/>
    </w:pPr>
    <w:rPr>
      <w:sz w:val="24"/>
    </w:rPr>
  </w:style>
  <w:style w:type="paragraph" w:styleId="958" w:customStyle="1">
    <w:name w:val="批注主题1"/>
    <w:basedOn w:val="937"/>
    <w:next w:val="937"/>
    <w:link w:val="959"/>
    <w:uiPriority w:val="99"/>
    <w:unhideWhenUsed/>
    <w:qFormat/>
    <w:rPr>
      <w:b/>
      <w:bCs/>
    </w:rPr>
  </w:style>
  <w:style w:type="character" w:styleId="959" w:customStyle="1">
    <w:name w:val="批注主题 字符"/>
    <w:link w:val="958"/>
    <w:uiPriority w:val="99"/>
    <w:semiHidden/>
    <w:qFormat/>
    <w:rPr>
      <w:rFonts w:ascii="Calibri" w:hAnsi="Calibri"/>
      <w:b/>
      <w:bCs/>
      <w:sz w:val="21"/>
      <w:szCs w:val="24"/>
    </w:rPr>
  </w:style>
  <w:style w:type="character" w:styleId="960" w:customStyle="1">
    <w:name w:val="要点1"/>
    <w:uiPriority w:val="0"/>
    <w:qFormat/>
    <w:rPr>
      <w:rFonts w:ascii="Calibri" w:hAnsi="Calibri" w:eastAsia="宋体" w:cs="Times New Roman"/>
      <w:b/>
    </w:rPr>
  </w:style>
  <w:style w:type="character" w:styleId="961" w:customStyle="1">
    <w:name w:val="页码1"/>
    <w:uiPriority w:val="99"/>
    <w:unhideWhenUsed/>
    <w:qFormat/>
    <w:rPr>
      <w:rFonts w:ascii="Times New Roman" w:hAnsi="Times New Roman" w:eastAsia="宋体" w:cs="Times New Roman"/>
      <w:sz w:val="20"/>
    </w:rPr>
  </w:style>
  <w:style w:type="character" w:styleId="962" w:customStyle="1">
    <w:name w:val="已访问的超链接1"/>
    <w:uiPriority w:val="99"/>
    <w:unhideWhenUsed/>
    <w:qFormat/>
    <w:rPr>
      <w:color w:val="333333"/>
      <w:u w:val="none"/>
    </w:rPr>
  </w:style>
  <w:style w:type="character" w:styleId="963" w:customStyle="1">
    <w:name w:val="强调1"/>
    <w:uiPriority w:val="20"/>
    <w:qFormat/>
  </w:style>
  <w:style w:type="character" w:styleId="964" w:customStyle="1">
    <w:name w:val="超链接1"/>
    <w:uiPriority w:val="99"/>
    <w:unhideWhenUsed/>
    <w:qFormat/>
    <w:rPr>
      <w:color w:val="333333"/>
      <w:u w:val="none"/>
    </w:rPr>
  </w:style>
  <w:style w:type="character" w:styleId="965" w:customStyle="1">
    <w:name w:val="批注引用1"/>
    <w:uiPriority w:val="99"/>
    <w:unhideWhenUsed/>
    <w:qFormat/>
    <w:rPr>
      <w:rFonts w:ascii="Calibri" w:hAnsi="Calibri" w:eastAsia="宋体" w:cs="Times New Roman"/>
      <w:sz w:val="21"/>
      <w:szCs w:val="21"/>
    </w:rPr>
  </w:style>
  <w:style w:type="character" w:styleId="966" w:customStyle="1">
    <w:name w:val="脚注引用1"/>
    <w:uiPriority w:val="99"/>
    <w:unhideWhenUsed/>
    <w:qFormat/>
    <w:rPr>
      <w:rFonts w:ascii="Times New Roman" w:hAnsi="Times New Roman" w:eastAsia="宋体" w:cs="Times New Roman"/>
      <w:vertAlign w:val="superscript"/>
    </w:rPr>
  </w:style>
  <w:style w:type="paragraph" w:styleId="967" w:customStyle="1">
    <w:name w:val="_正文段落"/>
    <w:basedOn w:val="687"/>
    <w:uiPriority w:val="0"/>
    <w:qFormat/>
    <w:pPr>
      <w:ind w:firstLine="480"/>
    </w:pPr>
    <w:rPr>
      <w:rFonts w:ascii="宋体" w:hAnsi="宋体"/>
      <w:sz w:val="24"/>
    </w:rPr>
  </w:style>
  <w:style w:type="paragraph" w:styleId="968" w:customStyle="1">
    <w:name w:val="列表段落2"/>
    <w:basedOn w:val="687"/>
    <w:uiPriority w:val="99"/>
    <w:qFormat/>
    <w:pPr>
      <w:ind w:firstLine="420"/>
    </w:pPr>
  </w:style>
  <w:style w:type="character" w:styleId="969" w:customStyle="1">
    <w:name w:val="正文文本缩进 3 Char"/>
    <w:uiPriority w:val="99"/>
    <w:semiHidden/>
    <w:qFormat/>
    <w:rPr>
      <w:rFonts w:ascii="Calibri" w:hAnsi="Calibri" w:eastAsia="宋体" w:cs="Times New Roman"/>
      <w:sz w:val="16"/>
      <w:szCs w:val="16"/>
    </w:rPr>
  </w:style>
  <w:style w:type="character" w:styleId="970" w:customStyle="1">
    <w:name w:val="font11"/>
    <w:uiPriority w:val="0"/>
    <w:qFormat/>
    <w:rPr>
      <w:rFonts w:hint="eastAsia" w:ascii="仿宋" w:hAnsi="仿宋" w:eastAsia="仿宋" w:cs="仿宋"/>
      <w:color w:val="000000"/>
      <w:sz w:val="24"/>
      <w:szCs w:val="24"/>
      <w:u w:val="none"/>
    </w:rPr>
  </w:style>
  <w:style w:type="paragraph" w:styleId="971" w:customStyle="1">
    <w:name w:val="纯文本10"/>
    <w:basedOn w:val="687"/>
    <w:uiPriority w:val="0"/>
    <w:qFormat/>
    <w:pPr>
      <w:jc w:val="left"/>
    </w:pPr>
    <w:rPr>
      <w:rFonts w:ascii="宋体" w:hAnsi="Courier New"/>
      <w:sz w:val="28"/>
    </w:rPr>
  </w:style>
  <w:style w:type="character" w:styleId="972" w:customStyle="1">
    <w:name w:val="正文文本 Char"/>
    <w:uiPriority w:val="99"/>
    <w:qFormat/>
    <w:rPr>
      <w:rFonts w:ascii="Calibri" w:hAnsi="Calibri" w:eastAsia="宋体" w:cs="Times New Roman"/>
      <w:szCs w:val="24"/>
    </w:rPr>
  </w:style>
  <w:style w:type="character" w:styleId="973" w:customStyle="1">
    <w:name w:val="纯文本 Char"/>
    <w:uiPriority w:val="0"/>
    <w:qFormat/>
    <w:rPr>
      <w:rFonts w:ascii="宋体" w:hAnsi="Courier New" w:eastAsia="宋体" w:cs="Courier New"/>
      <w:szCs w:val="21"/>
    </w:rPr>
  </w:style>
  <w:style w:type="paragraph" w:styleId="974" w:customStyle="1">
    <w:name w:val="纯文本1"/>
    <w:basedOn w:val="687"/>
    <w:uiPriority w:val="0"/>
    <w:qFormat/>
    <w:rPr>
      <w:rFonts w:ascii="宋体" w:hAnsi="Courier New" w:eastAsia="楷体_GB2312"/>
      <w:sz w:val="28"/>
      <w:szCs w:val="20"/>
    </w:rPr>
  </w:style>
  <w:style w:type="paragraph" w:styleId="975" w:customStyle="1">
    <w:name w:val="纯文本2"/>
    <w:basedOn w:val="687"/>
    <w:uiPriority w:val="0"/>
    <w:qFormat/>
    <w:rPr>
      <w:rFonts w:ascii="宋体" w:hAnsi="Courier New"/>
    </w:rPr>
  </w:style>
  <w:style w:type="character" w:styleId="976" w:customStyle="1">
    <w:name w:val="Plain Text Char"/>
    <w:link w:val="977"/>
    <w:uiPriority w:val="0"/>
    <w:qFormat/>
    <w:rPr>
      <w:rFonts w:ascii="宋体" w:hAnsi="Courier New" w:eastAsia="楷体_GB2312" w:cs="Times New Roman"/>
      <w:sz w:val="26"/>
      <w:szCs w:val="22"/>
    </w:rPr>
  </w:style>
  <w:style w:type="paragraph" w:styleId="977" w:customStyle="1">
    <w:name w:val="纯文本3"/>
    <w:basedOn w:val="687"/>
    <w:link w:val="976"/>
    <w:uiPriority w:val="0"/>
    <w:qFormat/>
    <w:rPr>
      <w:rFonts w:ascii="宋体" w:hAnsi="Courier New" w:eastAsia="楷体_GB2312"/>
      <w:sz w:val="26"/>
      <w:szCs w:val="22"/>
    </w:rPr>
  </w:style>
  <w:style w:type="character" w:styleId="978" w:customStyle="1">
    <w:name w:val="日期 Char1"/>
    <w:uiPriority w:val="0"/>
    <w:qFormat/>
    <w:rPr>
      <w:rFonts w:ascii="Calibri" w:hAnsi="Calibri" w:eastAsia="宋体" w:cs="Times New Roman"/>
      <w:szCs w:val="24"/>
    </w:rPr>
  </w:style>
  <w:style w:type="paragraph" w:styleId="979" w:customStyle="1">
    <w:name w:val="纯文本4"/>
    <w:basedOn w:val="687"/>
    <w:uiPriority w:val="0"/>
    <w:qFormat/>
    <w:rPr>
      <w:rFonts w:ascii="宋体" w:hAnsi="Courier New" w:eastAsia="楷体_GB2312"/>
      <w:sz w:val="26"/>
      <w:szCs w:val="20"/>
    </w:rPr>
  </w:style>
  <w:style w:type="paragraph" w:styleId="980" w:customStyle="1">
    <w:name w:val="纯文本5"/>
    <w:basedOn w:val="687"/>
    <w:uiPriority w:val="0"/>
    <w:qFormat/>
    <w:rPr>
      <w:rFonts w:ascii="宋体" w:hAnsi="Courier New" w:eastAsia="楷体_GB2312"/>
      <w:sz w:val="26"/>
      <w:szCs w:val="20"/>
    </w:rPr>
  </w:style>
  <w:style w:type="paragraph" w:styleId="981" w:customStyle="1">
    <w:name w:val="纯文本6"/>
    <w:basedOn w:val="687"/>
    <w:uiPriority w:val="0"/>
    <w:qFormat/>
    <w:rPr>
      <w:rFonts w:ascii="宋体" w:hAnsi="Courier New" w:eastAsia="楷体_GB2312"/>
      <w:sz w:val="26"/>
      <w:szCs w:val="20"/>
    </w:rPr>
  </w:style>
  <w:style w:type="paragraph" w:styleId="982" w:customStyle="1">
    <w:name w:val="纯文本8"/>
    <w:basedOn w:val="687"/>
    <w:uiPriority w:val="0"/>
    <w:qFormat/>
    <w:rPr>
      <w:rFonts w:ascii="宋体" w:hAnsi="Courier New"/>
    </w:rPr>
  </w:style>
  <w:style w:type="paragraph" w:styleId="983" w:customStyle="1">
    <w:name w:val="+正文"/>
    <w:basedOn w:val="687"/>
    <w:uiPriority w:val="0"/>
    <w:qFormat/>
    <w:pPr>
      <w:ind w:firstLine="200"/>
    </w:pPr>
    <w:rPr>
      <w:sz w:val="24"/>
    </w:rPr>
  </w:style>
  <w:style w:type="paragraph" w:styleId="984" w:customStyle="1">
    <w:name w:val="TableOfAuthoring1"/>
    <w:basedOn w:val="687"/>
    <w:next w:val="687"/>
    <w:uiPriority w:val="0"/>
    <w:qFormat/>
    <w:pPr>
      <w:ind w:left="420"/>
    </w:pPr>
    <w:rPr>
      <w:rFonts w:eastAsia="楷体_GB2312"/>
    </w:rPr>
  </w:style>
  <w:style w:type="paragraph" w:styleId="985" w:customStyle="1">
    <w:name w:val="修订1"/>
    <w:uiPriority w:val="99"/>
    <w:unhideWhenUsed/>
    <w:qFormat/>
    <w:rPr>
      <w:rFonts w:hint="default" w:ascii="Calibri" w:hAnsi="Calibri" w:eastAsia="宋体" w:cs="Times New Roman"/>
      <w:sz w:val="21"/>
      <w:szCs w:val="24"/>
      <w:lang w:val="en-US" w:eastAsia="zh-CN" w:bidi="ar-SA"/>
    </w:rPr>
  </w:style>
  <w:style w:type="table" w:styleId="986" w:customStyle="1">
    <w:name w:val="Table Normal"/>
    <w:uiPriority w:val="0"/>
    <w:unhideWhenUsed/>
    <w:qFormat/>
    <w:tblPr>
      <w:tblCellMar>
        <w:left w:w="0" w:type="dxa"/>
        <w:top w:w="0" w:type="dxa"/>
        <w:right w:w="0" w:type="dxa"/>
        <w:bottom w:w="0" w:type="dxa"/>
      </w:tblCellMar>
    </w:tblPr>
  </w:style>
  <w:style w:type="paragraph" w:styleId="987" w:customStyle="1">
    <w:name w:val="目录 21"/>
    <w:basedOn w:val="687"/>
    <w:next w:val="687"/>
    <w:uiPriority w:val="39"/>
    <w:qFormat/>
    <w:pPr>
      <w:ind w:left="200"/>
      <w:spacing w:line="360" w:lineRule="auto"/>
    </w:pPr>
  </w:style>
  <w:style w:type="paragraph" w:styleId="988" w:customStyle="1">
    <w:name w:val="Plain Text1"/>
    <w:basedOn w:val="687"/>
    <w:uiPriority w:val="0"/>
    <w:qFormat/>
    <w:rPr>
      <w:rFonts w:ascii="宋体" w:hAnsi="Courier New"/>
    </w:rPr>
  </w:style>
  <w:style w:type="paragraph" w:styleId="989" w:customStyle="1">
    <w:name w:val="正文首行缩进 21"/>
    <w:basedOn w:val="779"/>
    <w:uiPriority w:val="0"/>
    <w:qFormat/>
    <w:pPr>
      <w:ind w:firstLine="420"/>
      <w:spacing w:after="120" w:line="240" w:lineRule="auto"/>
    </w:pPr>
    <w:rPr>
      <w:rFonts w:eastAsia="楷体_GB2312"/>
      <w:sz w:val="26"/>
    </w:rPr>
  </w:style>
  <w:style w:type="paragraph" w:styleId="990" w:customStyle="1">
    <w:name w:val="正文文本缩进11"/>
    <w:basedOn w:val="687"/>
    <w:next w:val="687"/>
    <w:uiPriority w:val="0"/>
    <w:qFormat/>
    <w:pPr>
      <w:ind w:left="420" w:firstLine="1188"/>
      <w:spacing w:line="360" w:lineRule="exact"/>
    </w:pPr>
    <w:rPr>
      <w:rFonts w:ascii="Times New Roman" w:hAnsi="Times New Roman"/>
    </w:rPr>
  </w:style>
  <w:style w:type="paragraph" w:styleId="991"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character" w:styleId="992" w:customStyle="1">
    <w:name w:val="font31"/>
    <w:basedOn w:val="697"/>
    <w:uiPriority w:val="0"/>
    <w:qFormat/>
    <w:rPr>
      <w:rFonts w:hint="eastAsia" w:ascii="宋体" w:hAnsi="宋体" w:eastAsia="宋体" w:cs="宋体"/>
      <w:color w:val="000000"/>
      <w:sz w:val="21"/>
      <w:szCs w:val="21"/>
      <w:u w:val="none"/>
    </w:rPr>
  </w:style>
  <w:style w:type="paragraph" w:styleId="993" w:customStyle="1">
    <w:name w:val="Table Text"/>
    <w:basedOn w:val="687"/>
    <w:uiPriority w:val="0"/>
    <w:semiHidden/>
    <w:qFormat/>
    <w:rPr>
      <w:rFonts w:ascii="宋体" w:hAnsi="宋体" w:cs="宋体"/>
      <w:szCs w:val="21"/>
      <w:lang w:eastAsia="en-US"/>
    </w:rPr>
  </w:style>
  <w:style w:type="paragraph" w:styleId="994" w:customStyle="1">
    <w:name w:val="Revision"/>
    <w:hidden/>
    <w:uiPriority w:val="99"/>
    <w:unhideWhenUsed/>
    <w:qFormat/>
    <w:rPr>
      <w:rFonts w:hint="default" w:ascii="Calibri" w:hAnsi="Calibri" w:eastAsia="宋体" w:cs="Times New Roman"/>
      <w:sz w:val="21"/>
      <w:szCs w:val="24"/>
      <w:lang w:val="en-US" w:eastAsia="zh-CN" w:bidi="ar-SA"/>
    </w:rPr>
  </w:style>
  <w:style w:type="paragraph" w:styleId="995" w:customStyle="1">
    <w:name w:val="正文缩进11"/>
    <w:basedOn w:val="687"/>
    <w:uiPriority w:val="0"/>
    <w:qFormat/>
    <w:pPr>
      <w:ind w:firstLine="420"/>
      <w:jc w:val="left"/>
    </w:pPr>
    <w:rPr>
      <w:rFonts w:ascii="Times New Roman" w:hAnsi="Times New Roman" w:eastAsia="楷体_GB2312"/>
      <w:sz w:val="24"/>
      <w:szCs w:val="20"/>
      <w:lang w:eastAsia="en-US"/>
    </w:rPr>
  </w:style>
  <w:style w:type="character" w:styleId="996" w:customStyle="1">
    <w:name w:val="NormalCharacter12"/>
    <w:link w:val="687"/>
    <w:uiPriority w:val="0"/>
    <w:qFormat/>
    <w:rPr>
      <w:rFonts w:hint="default" w:ascii="Calibri" w:hAnsi="Calibri" w:eastAsia="宋体" w:cs="Times New Roman"/>
      <w:sz w:val="21"/>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苏州苏兮创建设咨询有限公司</cp:lastModifiedBy>
  <cp:revision>13</cp:revision>
  <dcterms:created xsi:type="dcterms:W3CDTF">2024-02-29T15:35:00Z</dcterms:created>
  <dcterms:modified xsi:type="dcterms:W3CDTF">2026-10-15T07:51:27Z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807F2684E2F2434D9A55270F42EEB70E_13</vt:lpwstr>
  </property>
  <property fmtid="{D5CDD505-2E9C-101B-9397-08002B2CF9AE}" pid="4" name="KSOTemplateDocerSaveRecord">
    <vt:lpwstr>eyJoZGlkIjoiMGZkZTE4MWNhMDYwMzUxM2QwY2JiYzVlZmFiMjFlNDMiLCJ1c2VySWQiOiIzNzkwOTAzNTMifQ==</vt:lpwstr>
  </property>
</Properties>
</file>