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auto"/>
          <w:sz w:val="60"/>
          <w:szCs w:val="21"/>
          <w:highlight w:val="none"/>
        </w:rPr>
      </w:pPr>
      <w:r>
        <w:rPr>
          <w:rFonts w:hint="eastAsia" w:ascii="Arial" w:hAnsi="Arial" w:eastAsia="黑体"/>
          <w:b/>
          <w:bCs/>
          <w:color w:val="auto"/>
          <w:sz w:val="60"/>
          <w:szCs w:val="21"/>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left"/>
        <w:spacing w:before="120" w:after="120" w:line="360" w:lineRule="auto"/>
        <w:rPr>
          <w:rFonts w:hint="eastAsia" w:ascii="Arial" w:hAnsi="Arial"/>
          <w:b/>
          <w:bCs/>
          <w:color w:val="auto"/>
          <w:sz w:val="30"/>
          <w:szCs w:val="30"/>
          <w:highlight w:val="none"/>
        </w:rPr>
      </w:pPr>
      <w:r/>
      <w:bookmarkStart w:id="0" w:name="_Toc120614210"/>
      <w:r/>
      <w:bookmarkStart w:id="1" w:name="_Toc16938516"/>
      <w:r/>
      <w:bookmarkStart w:id="2" w:name="_Toc20823272"/>
      <w:r/>
      <w:bookmarkStart w:id="3" w:name="_Toc513029200"/>
      <w:r/>
      <w:bookmarkStart w:id="4" w:name="_Toc523127445"/>
      <w:r/>
      <w:bookmarkStart w:id="5" w:name="_Toc479757206"/>
      <w:r/>
      <w:r/>
    </w:p>
    <w:p>
      <w:pPr>
        <w:pStyle w:val="762"/>
        <w:rPr>
          <w:rFonts w:hint="eastAsia"/>
          <w:color w:val="auto"/>
          <w:highlight w:val="none"/>
        </w:rPr>
      </w:pPr>
      <w:r>
        <w:rPr>
          <w:rFonts w:hint="eastAsia"/>
          <w:color w:val="auto"/>
          <w:highlight w:val="none"/>
        </w:rPr>
      </w:r>
      <w:r/>
    </w:p>
    <w:p>
      <w:pPr>
        <w:jc w:val="center"/>
        <w:spacing w:before="120" w:after="120" w:line="360" w:lineRule="auto"/>
        <w:rPr>
          <w:rFonts w:hint="eastAsia" w:ascii="Arial" w:hAnsi="Arial" w:eastAsia="宋体" w:cs="Times New Roman"/>
          <w:b/>
          <w:bCs/>
          <w:color w:val="auto"/>
          <w:sz w:val="30"/>
          <w:szCs w:val="30"/>
          <w:highlight w:val="none"/>
        </w:rPr>
      </w:pPr>
      <w:r>
        <w:rPr>
          <w:rFonts w:hint="eastAsia" w:ascii="Arial" w:hAnsi="Arial"/>
          <w:b/>
          <w:bCs/>
          <w:color w:val="auto"/>
          <w:sz w:val="30"/>
          <w:szCs w:val="30"/>
          <w:highlight w:val="none"/>
        </w:rPr>
        <w:t xml:space="preserve">项</w:t>
      </w:r>
      <w:r>
        <w:rPr>
          <w:rFonts w:hint="eastAsia" w:ascii="Arial" w:hAnsi="Arial"/>
          <w:b/>
          <w:bCs/>
          <w:color w:val="auto"/>
          <w:sz w:val="30"/>
          <w:szCs w:val="30"/>
          <w:highlight w:val="none"/>
          <w:u w:val="none"/>
        </w:rPr>
        <w:t xml:space="preserve">目名称：</w:t>
      </w:r>
      <w:r>
        <w:rPr>
          <w:rFonts w:hint="eastAsia" w:ascii="Arial" w:hAnsi="Arial" w:cs="Times New Roman"/>
          <w:b/>
          <w:bCs/>
          <w:color w:val="auto"/>
          <w:sz w:val="30"/>
          <w:szCs w:val="30"/>
          <w:highlight w:val="none"/>
          <w:u w:val="none"/>
          <w:lang w:eastAsia="zh-CN"/>
        </w:rPr>
        <w:t xml:space="preserve">南通市通州区东社镇社北路道路工程</w:t>
      </w:r>
      <w:r/>
    </w:p>
    <w:p>
      <w:pPr>
        <w:ind w:left="0" w:firstLine="0"/>
        <w:jc w:val="center"/>
        <w:spacing w:before="120" w:after="120" w:line="360" w:lineRule="auto"/>
        <w:rPr>
          <w:rFonts w:hint="eastAsia" w:ascii="Arial" w:hAnsi="Arial" w:eastAsia="宋体"/>
          <w:b/>
          <w:bCs/>
          <w:color w:val="auto"/>
          <w:sz w:val="32"/>
          <w:szCs w:val="24"/>
          <w:highlight w:val="none"/>
          <w:lang w:val="en-US" w:eastAsia="zh-CN"/>
        </w:rPr>
      </w:pPr>
      <w:r>
        <w:rPr>
          <w:rFonts w:hint="eastAsia" w:ascii="Arial" w:hAnsi="Arial"/>
          <w:b/>
          <w:bCs/>
          <w:color w:val="auto"/>
          <w:sz w:val="32"/>
          <w:szCs w:val="24"/>
          <w:highlight w:val="none"/>
        </w:rPr>
        <w:t xml:space="preserve">项目编号：JSZC-320612-NTJD-C2026-0030</w:t>
      </w:r>
      <w:r>
        <w:rPr>
          <w:rFonts w:hint="eastAsia" w:ascii="Arial" w:hAnsi="Arial"/>
          <w:b/>
          <w:bCs/>
          <w:color w:val="auto"/>
          <w:sz w:val="32"/>
          <w:szCs w:val="24"/>
          <w:highlight w:val="none"/>
          <w:lang w:val="en-US" w:eastAsia="zh-CN"/>
        </w:rPr>
        <w:t xml:space="preserve"> </w:t>
      </w:r>
      <w:r/>
    </w:p>
    <w:p>
      <w:pPr>
        <w:rPr>
          <w:rFonts w:hint="eastAsia"/>
          <w:color w:val="auto"/>
          <w:highlight w:val="none"/>
        </w:rPr>
      </w:pPr>
      <w:r>
        <w:rPr>
          <w:rFonts w:hint="eastAsia"/>
          <w:color w:val="auto"/>
          <w:highlight w:val="none"/>
        </w:rPr>
      </w:r>
      <w:r/>
    </w:p>
    <w:p>
      <w:pPr>
        <w:ind w:left="2100" w:hanging="2100"/>
        <w:rPr>
          <w:rFonts w:hint="eastAsia"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ind w:left="2100" w:hanging="3012"/>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ind w:left="2100" w:hanging="3012"/>
        <w:tabs>
          <w:tab w:val="left" w:pos="6930" w:leader="none"/>
        </w:tabs>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ind w:left="2100" w:hanging="2100"/>
        <w:jc w:val="center"/>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334260" cy="1789430"/>
                <wp:effectExtent l="0" t="0" r="0" b="0"/>
                <wp:docPr id="1"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tretch/>
                      </pic:blipFill>
                      <pic:spPr bwMode="auto">
                        <a:xfrm>
                          <a:off x="0" y="0"/>
                          <a:ext cx="2334260" cy="178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8pt;height:140.9pt;mso-wrap-distance-left:0.0pt;mso-wrap-distance-top:0.0pt;mso-wrap-distance-right:0.0pt;mso-wrap-distance-bottom:0.0pt;" stroked="f">
                <v:path textboxrect="0,0,0,0"/>
                <v:imagedata r:id="rId19" o:title=""/>
              </v:shape>
            </w:pict>
          </mc:Fallback>
        </mc:AlternateContent>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52"/>
        <w:rPr>
          <w:rFonts w:hint="eastAsia"/>
          <w:color w:val="auto"/>
          <w:highlight w:val="none"/>
        </w:rPr>
      </w:pPr>
      <w:r>
        <w:rPr>
          <w:rFonts w:hint="eastAsia"/>
          <w:color w:val="auto"/>
          <w:highlight w:val="none"/>
        </w:rPr>
      </w:r>
      <w:r/>
    </w:p>
    <w:p>
      <w:pPr>
        <w:pStyle w:val="954"/>
        <w:rPr>
          <w:rFonts w:hint="eastAsia"/>
          <w:color w:val="auto"/>
          <w:highlight w:val="none"/>
        </w:rPr>
      </w:pPr>
      <w:r>
        <w:rPr>
          <w:rFonts w:hint="eastAsia"/>
          <w:color w:val="auto"/>
          <w:highlight w:val="none"/>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ind w:firstLine="1807"/>
        <w:spacing w:line="360" w:lineRule="auto"/>
        <w:rPr>
          <w:rFonts w:hint="eastAsia" w:ascii="宋体" w:hAnsi="宋体" w:eastAsia="宋体" w:cs="宋体"/>
          <w:b/>
          <w:bCs/>
          <w:color w:val="auto"/>
          <w:sz w:val="30"/>
          <w:szCs w:val="30"/>
          <w:highlight w:val="none"/>
          <w:u w:val="none"/>
          <w:lang w:val="en-US"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单位</w:t>
      </w:r>
      <w:r>
        <w:rPr>
          <w:rFonts w:hint="eastAsia" w:ascii="宋体" w:hAnsi="宋体" w:cs="宋体"/>
          <w:b/>
          <w:bCs/>
          <w:color w:val="auto"/>
          <w:sz w:val="30"/>
          <w:szCs w:val="30"/>
          <w:highlight w:val="none"/>
          <w:u w:val="none"/>
          <w:lang w:val="en-US" w:eastAsia="zh-CN"/>
        </w:rPr>
        <w:t xml:space="preserve">：</w:t>
      </w:r>
      <w:r>
        <w:rPr>
          <w:rFonts w:hint="eastAsia" w:ascii="宋体" w:hAnsi="宋体" w:cs="宋体"/>
          <w:b/>
          <w:bCs/>
          <w:color w:val="auto"/>
          <w:spacing w:val="12"/>
          <w:sz w:val="30"/>
          <w:szCs w:val="30"/>
          <w:highlight w:val="none"/>
          <w:u w:val="none"/>
          <w:lang w:val="en-US" w:eastAsia="zh-CN"/>
        </w:rPr>
        <w:t xml:space="preserve">南通市通州区东社镇人民政</w:t>
      </w:r>
      <w:r>
        <w:rPr>
          <w:rFonts w:hint="eastAsia" w:ascii="宋体" w:hAnsi="宋体" w:cs="宋体"/>
          <w:b/>
          <w:bCs/>
          <w:color w:val="auto"/>
          <w:spacing w:val="6"/>
          <w:sz w:val="30"/>
          <w:szCs w:val="30"/>
          <w:highlight w:val="none"/>
          <w:u w:val="none"/>
          <w:lang w:val="en-US" w:eastAsia="zh-CN"/>
        </w:rPr>
        <w:t xml:space="preserve">府</w:t>
      </w:r>
      <w:r/>
    </w:p>
    <w:p>
      <w:pPr>
        <w:pStyle w:val="1028"/>
        <w:ind w:firstLine="0"/>
        <w:jc w:val="center"/>
        <w:spacing w:before="0" w:after="0"/>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rPr>
        <w:t xml:space="preserve"> </w:t>
      </w:r>
      <w:r>
        <w:rPr>
          <w:rFonts w:hint="eastAsia" w:ascii="宋体" w:hAnsi="宋体" w:cs="宋体"/>
          <w:b/>
          <w:bCs/>
          <w:color w:val="auto"/>
          <w:sz w:val="30"/>
          <w:szCs w:val="30"/>
          <w:highlight w:val="none"/>
          <w:u w:val="none"/>
          <w:lang w:val="en-US" w:eastAsia="zh-CN"/>
        </w:rPr>
        <w:t xml:space="preserve">  </w:t>
      </w: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代理</w:t>
      </w:r>
      <w:r>
        <w:rPr>
          <w:rFonts w:hint="eastAsia" w:ascii="宋体" w:hAnsi="宋体" w:cs="宋体"/>
          <w:b/>
          <w:bCs/>
          <w:color w:val="auto"/>
          <w:sz w:val="30"/>
          <w:szCs w:val="30"/>
          <w:highlight w:val="none"/>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highlight w:val="none"/>
        </w:rPr>
        <w:t xml:space="preserve">20</w:t>
      </w:r>
      <w:r>
        <w:rPr>
          <w:rFonts w:hint="eastAsia" w:ascii="宋体" w:hAnsi="宋体" w:cs="宋体"/>
          <w:b/>
          <w:bCs/>
          <w:color w:val="auto"/>
          <w:sz w:val="32"/>
          <w:highlight w:val="none"/>
          <w:lang w:val="en-US" w:eastAsia="zh-CN"/>
        </w:rPr>
        <w:t xml:space="preserve">26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10</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8日</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磋商文件备案表</w:t>
      </w:r>
      <w:r/>
    </w:p>
    <w:tbl>
      <w:tblPr>
        <w:tblStyle w:val="761"/>
        <w:tblW w:w="86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jc w:val="center"/>
          <w:trHeight w:val="4885"/>
        </w:trPr>
        <w:tc>
          <w:tcPr>
            <w:tcW w:w="8620" w:type="dxa"/>
            <w:vAlign w:val="top"/>
            <w:textDirection w:val="lrTb"/>
            <w:noWrap w:val="false"/>
          </w:tcPr>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招标代理：(盖章)</w:t>
            </w:r>
            <w:r/>
          </w:p>
          <w:p>
            <w:pPr>
              <w:jc w:val="cente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编制人：</w:t>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p>
        </w:tc>
      </w:tr>
      <w:tr>
        <w:trPr>
          <w:jc w:val="center"/>
          <w:trHeight w:val="7332"/>
        </w:trPr>
        <w:tc>
          <w:tcPr>
            <w:tcW w:w="8620" w:type="dxa"/>
            <w:vAlign w:val="top"/>
            <w:textDirection w:val="lrTb"/>
            <w:noWrap w:val="false"/>
          </w:tcPr>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采购人：(盖章)                </w:t>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审阅人（签字）：</w:t>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340"/>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rPr>
          <w:color w:val="auto"/>
          <w:highlight w:val="none"/>
        </w:rPr>
      </w:pPr>
      <w:r>
        <w:rPr>
          <w:color w:val="auto"/>
          <w:highlight w:val="none"/>
        </w:rPr>
      </w:r>
      <w:r/>
    </w:p>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r>
      <w:r/>
    </w:p>
    <w:p>
      <w:pPr>
        <w:jc w:val="center"/>
        <w:keepLines w:val="0"/>
        <w:keepNext/>
        <w:pageBreakBefore w:val="0"/>
        <w:spacing w:line="360" w:lineRule="auto"/>
        <w:widowControl w:val="off"/>
        <w:rPr>
          <w:rFonts w:hint="eastAsia" w:ascii="宋体" w:hAnsi="宋体" w:eastAsia="宋体" w:cs="宋体"/>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2"/>
          <w:cols w:num="1" w:sep="0" w:space="1701" w:equalWidth="1"/>
          <w:docGrid w:linePitch="360"/>
          <w:titlePg/>
        </w:sect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both"/>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磋商邀请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供应商须知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评审方法与评审标准</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jc w:val="cente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第一章  </w:t>
      </w:r>
      <w:bookmarkEnd w:id="0"/>
      <w:r>
        <w:rPr>
          <w:rFonts w:hint="eastAsia" w:ascii="宋体" w:hAnsi="宋体" w:eastAsia="宋体" w:cs="宋体"/>
          <w:color w:val="auto"/>
          <w:sz w:val="36"/>
          <w:szCs w:val="21"/>
          <w:highlight w:val="none"/>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南通市通州区东社镇人民政府</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南通俊达工程造价咨询有限公司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南通市通州区东社镇社北路道路工程</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项目编号：JSZC-320612-NTJD-C2026-0030</w:t>
      </w:r>
      <w:r>
        <w:rPr>
          <w:rFonts w:hint="eastAsia" w:ascii="Segoe UI" w:hAnsi="Segoe UI" w:eastAsia="宋体" w:cs="Segoe UI"/>
          <w:i w:val="0"/>
          <w:iCs w:val="0"/>
          <w:caps w:val="0"/>
          <w:spacing w:val="0"/>
          <w:sz w:val="21"/>
          <w:szCs w:val="21"/>
          <w:highlight w:val="none"/>
          <w:shd w:val="clear" w:color="auto" w:fill="ffffff"/>
          <w:lang w:val="en-US" w:eastAsia="zh-CN"/>
        </w:rPr>
        <w:t xml:space="preserve"> </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南通市通州区东社镇社北路道路工程</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28359002"/>
      <w:r/>
      <w:bookmarkStart w:id="7" w:name="_Toc35393621"/>
      <w:r/>
      <w:bookmarkStart w:id="8" w:name="_Toc38985263"/>
      <w:r/>
      <w:bookmarkStart w:id="9" w:name="_Toc35393790"/>
      <w:r/>
      <w:bookmarkStart w:id="10" w:name="_Toc28359079"/>
      <w:r/>
      <w:bookmarkStart w:id="11" w:name="_Hlk24379207"/>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bookmarkStart w:id="12" w:name="_Toc35393791"/>
      <w:r/>
      <w:bookmarkStart w:id="13" w:name="_Toc35393622"/>
      <w:r/>
      <w:bookmarkStart w:id="14" w:name="_Toc28359080"/>
      <w:r/>
      <w:bookmarkStart w:id="15" w:name="_Toc38985264"/>
      <w:r/>
      <w:bookmarkStart w:id="16" w:name="_Toc28359003"/>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：JSZC-320612-NTJD-C2026-0030</w:t>
      </w:r>
      <w:r>
        <w:rPr>
          <w:rFonts w:hint="eastAsia" w:ascii="宋体" w:hAnsi="宋体" w:cs="宋体"/>
          <w:color w:val="auto"/>
          <w:sz w:val="24"/>
          <w:szCs w:val="24"/>
          <w:highlight w:val="none"/>
          <w:lang w:val="en-US" w:eastAsia="zh-CN"/>
        </w:rPr>
        <w:t xml:space="preserve">  </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南通市通州区东社镇社北路道路工程</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220.108222万元</w:t>
      </w:r>
      <w:r>
        <w:rPr>
          <w:rFonts w:hint="eastAsia" w:ascii="宋体" w:hAnsi="宋体" w:eastAsia="宋体" w:cs="宋体"/>
          <w:color w:val="auto"/>
          <w:sz w:val="24"/>
          <w:szCs w:val="24"/>
          <w:highlight w:val="none"/>
          <w:lang w:val="en-US" w:eastAsia="zh-CN"/>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198.09万元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w:t>
      </w:r>
      <w:r>
        <w:rPr>
          <w:rFonts w:hint="eastAsia" w:ascii="宋体" w:hAnsi="宋体" w:eastAsia="宋体" w:cs="宋体"/>
          <w:color w:val="auto"/>
          <w:sz w:val="24"/>
          <w:szCs w:val="24"/>
          <w:highlight w:val="none"/>
          <w:lang w:eastAsia="zh-CN"/>
        </w:rPr>
        <w:t xml:space="preserve">各采购包</w:t>
      </w:r>
      <w:r>
        <w:rPr>
          <w:rFonts w:hint="eastAsia" w:ascii="宋体" w:hAnsi="宋体" w:eastAsia="宋体" w:cs="宋体"/>
          <w:color w:val="auto"/>
          <w:sz w:val="24"/>
          <w:szCs w:val="24"/>
          <w:highlight w:val="none"/>
        </w:rPr>
        <w:t xml:space="preserve">最高限价的为无效响应文件。</w:t>
      </w:r>
      <w:r/>
    </w:p>
    <w:p>
      <w:pPr>
        <w:ind w:left="0" w:firstLine="480"/>
        <w:pageBreakBefore w:val="0"/>
        <w:spacing w:line="360" w:lineRule="auto"/>
        <w:rPr>
          <w:rFonts w:hint="eastAsia" w:ascii="宋体" w:hAnsi="宋体"/>
          <w:color w:val="auto"/>
          <w:sz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olor w:val="auto"/>
          <w:sz w:val="24"/>
          <w:highlight w:val="none"/>
          <w:lang w:val="en-US" w:eastAsia="zh-CN"/>
        </w:rPr>
        <w:t xml:space="preserve">项目类型：工程类</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olor w:val="auto"/>
          <w:sz w:val="24"/>
          <w:highlight w:val="none"/>
          <w:lang w:val="en-US" w:eastAsia="zh-CN"/>
        </w:rPr>
        <w:t xml:space="preserve">7.</w:t>
      </w:r>
      <w:r>
        <w:rPr>
          <w:rFonts w:hint="eastAsia" w:ascii="宋体" w:hAnsi="宋体" w:cs="Arial"/>
          <w:color w:val="auto"/>
          <w:sz w:val="24"/>
          <w:highlight w:val="none"/>
          <w:lang w:val="en-US" w:eastAsia="zh-CN"/>
        </w:rPr>
        <w:t xml:space="preserve">项目</w:t>
      </w:r>
      <w:r>
        <w:rPr>
          <w:rFonts w:hint="eastAsia" w:ascii="宋体" w:hAnsi="宋体" w:cs="Arial"/>
          <w:color w:val="auto"/>
          <w:sz w:val="24"/>
          <w:highlight w:val="none"/>
        </w:rPr>
        <w:t xml:space="preserve">所属行业：建筑业</w:t>
      </w:r>
      <w:r/>
    </w:p>
    <w:p>
      <w:pPr>
        <w:ind w:left="0" w:firstLine="48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.采购需求：由于社北路损坏严重，需要重建。项目西起新东路，东至园区路，全长约0.229km。具体详见工程量清单。</w:t>
      </w:r>
      <w:r>
        <w:rPr>
          <w:rFonts w:hint="eastAsia" w:ascii="宋体" w:hAnsi="宋体" w:cs="宋体"/>
          <w:color w:val="auto"/>
          <w:sz w:val="24"/>
          <w:szCs w:val="24"/>
          <w:highlight w:val="none"/>
          <w:lang w:val="en-US" w:eastAsia="zh-CN"/>
        </w:rPr>
        <w:t xml:space="preserve">一旦成交，不得提出额外要求。</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90日历天。</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10.本项目不接受分包。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35393623"/>
      <w:r/>
      <w:bookmarkStart w:id="18" w:name="_Toc28359081"/>
      <w:r/>
      <w:bookmarkStart w:id="19" w:name="_Toc28359004"/>
      <w:r/>
      <w:bookmarkStart w:id="20" w:name="_Toc38985265"/>
      <w:r/>
      <w:bookmarkStart w:id="21" w:name="_Toc35393792"/>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rPr>
        <w:t xml:space="preserve">通用资格要求</w:t>
      </w:r>
      <w:bookmarkStart w:id="767" w:name="_GoBack"/>
      <w:r/>
      <w:bookmarkEnd w:id="767"/>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2025年度</w:t>
      </w:r>
      <w:r>
        <w:rPr>
          <w:rFonts w:hint="eastAsia" w:ascii="宋体" w:hAnsi="宋体" w:eastAsia="宋体" w:cs="宋体"/>
          <w:b w:val="0"/>
          <w:bCs/>
          <w:color w:val="auto"/>
          <w:sz w:val="24"/>
          <w:szCs w:val="24"/>
          <w:highlight w:val="none"/>
          <w:lang w:val="en-US" w:eastAsia="zh-CN"/>
        </w:rPr>
        <w:t xml:space="preserve">由会计师事务所（或者审计机构）出具的</w:t>
      </w:r>
      <w:r>
        <w:rPr>
          <w:rFonts w:hint="eastAsia" w:ascii="宋体" w:hAnsi="宋体" w:cs="宋体"/>
          <w:b w:val="0"/>
          <w:bCs/>
          <w:color w:val="auto"/>
          <w:sz w:val="24"/>
          <w:szCs w:val="24"/>
          <w:highlight w:val="none"/>
          <w:lang w:val="en-US" w:eastAsia="zh-CN"/>
        </w:rPr>
        <w:t xml:space="preserve">完整的</w:t>
      </w:r>
      <w:r>
        <w:rPr>
          <w:rFonts w:hint="eastAsia" w:ascii="宋体" w:hAnsi="宋体" w:eastAsia="宋体" w:cs="宋体"/>
          <w:b w:val="0"/>
          <w:bCs/>
          <w:color w:val="auto"/>
          <w:sz w:val="24"/>
          <w:szCs w:val="24"/>
          <w:highlight w:val="none"/>
          <w:lang w:val="en-US" w:eastAsia="zh-CN"/>
        </w:rPr>
        <w:t xml:space="preserve">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bCs/>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Cs/>
          <w:color w:val="auto"/>
          <w:sz w:val="24"/>
          <w:szCs w:val="24"/>
          <w:highlight w:val="none"/>
          <w:lang w:bidi="ar"/>
        </w:rPr>
        <w:t xml:space="preserve">企业资质证书（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施工总承包三级及以上</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）及安全生产许可证</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lang w:bidi="ar"/>
        </w:rPr>
        <w:t xml:space="preserve">拟派项目负责人资格证书（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贰级及以上注册建造师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bidi="ar"/>
        </w:rPr>
        <w:t xml:space="preserve">拟派项目负责人无在建</w:t>
      </w:r>
      <w:r>
        <w:rPr>
          <w:rFonts w:hint="eastAsia" w:ascii="宋体" w:hAnsi="宋体" w:eastAsia="宋体" w:cs="宋体"/>
          <w:bCs/>
          <w:color w:val="auto"/>
          <w:sz w:val="24"/>
          <w:szCs w:val="24"/>
          <w:highlight w:val="none"/>
          <w:lang w:val="en-US" w:eastAsia="zh-CN" w:bidi="ar"/>
        </w:rPr>
        <w:t xml:space="preserve">工程</w:t>
      </w:r>
      <w:r>
        <w:rPr>
          <w:rFonts w:hint="eastAsia" w:ascii="宋体" w:hAnsi="宋体" w:eastAsia="宋体" w:cs="宋体"/>
          <w:bCs/>
          <w:color w:val="auto"/>
          <w:sz w:val="24"/>
          <w:szCs w:val="24"/>
          <w:highlight w:val="none"/>
          <w:lang w:bidi="ar"/>
        </w:rPr>
        <w:t xml:space="preserve">承诺书</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3.拟派授权委托人、拟派项目负责人和企业签订的有效劳动合同，投标企业所在地社保机构出具的由企业为授权委托人、拟派项目负责人缴纳的</w:t>
      </w:r>
      <w:r>
        <w:rPr>
          <w:rFonts w:hint="default" w:ascii="宋体" w:hAnsi="宋体" w:eastAsia="宋体" w:cs="宋体"/>
          <w:color w:val="auto"/>
          <w:sz w:val="24"/>
          <w:highlight w:val="none"/>
        </w:rPr>
        <w:t xml:space="preserve">投标截止时间</w:t>
      </w:r>
      <w:r>
        <w:rPr>
          <w:rFonts w:hint="eastAsia" w:ascii="宋体" w:hAnsi="宋体" w:eastAsia="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eastAsia="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s="宋体"/>
          <w:color w:val="auto"/>
          <w:sz w:val="24"/>
          <w:highlight w:val="none"/>
          <w:lang w:eastAsia="zh-CN"/>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eastAsia="宋体" w:cs="宋体"/>
          <w:color w:val="auto"/>
          <w:sz w:val="24"/>
          <w:szCs w:val="24"/>
          <w:highlight w:val="none"/>
        </w:rPr>
        <w:t xml:space="preserve">1.时间：自磋商文件公告发布之日起至提交响应文件截止之日止。</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color w:val="auto"/>
          <w:sz w:val="24"/>
          <w:szCs w:val="24"/>
          <w:highlight w:val="none"/>
        </w:rPr>
      </w:pPr>
      <w:r/>
      <w:bookmarkStart w:id="27" w:name="_Toc28359007"/>
      <w:r/>
      <w:bookmarkStart w:id="28" w:name="_Toc35393794"/>
      <w:r/>
      <w:bookmarkStart w:id="29" w:name="_Toc35393625"/>
      <w:r/>
      <w:bookmarkStart w:id="30" w:name="_Toc28359084"/>
      <w:r/>
      <w:bookmarkStart w:id="31" w:name="_Toc38985267"/>
      <w:r>
        <w:rPr>
          <w:rFonts w:hint="eastAsia" w:ascii="宋体" w:hAnsi="宋体" w:eastAsia="宋体" w:cs="宋体"/>
          <w:bCs/>
          <w:color w:val="auto"/>
          <w:sz w:val="24"/>
          <w:szCs w:val="24"/>
          <w:highlight w:val="none"/>
          <w:u w:val="single"/>
        </w:rPr>
        <w:t xml:space="preserve">1.202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color w:val="auto"/>
          <w:sz w:val="24"/>
          <w:szCs w:val="24"/>
          <w:highlight w:val="none"/>
        </w:rPr>
        <w:t xml:space="preserve">逾时，交易系统将拒绝接受上传响应文件电子文档。</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5393795"/>
      <w:r/>
      <w:bookmarkStart w:id="33" w:name="_Toc38985268"/>
      <w:r/>
      <w:bookmarkStart w:id="34" w:name="_Toc35393626"/>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35" w:name="_Toc28359008"/>
      <w:r/>
      <w:bookmarkStart w:id="36" w:name="_Toc35393627"/>
      <w:r/>
      <w:bookmarkStart w:id="37" w:name="_Toc38985269"/>
      <w:r/>
      <w:bookmarkStart w:id="38" w:name="_Toc28359085"/>
      <w:r/>
      <w:bookmarkStart w:id="39" w:name="_Toc35393796"/>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rPr>
        <w:t xml:space="preserve">本次磋商不收取磋商保证金。</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rPr>
        <w:t xml:space="preserve">有关本次磋商的事项若存在变动或修改，敬请及时关注</w:t>
      </w:r>
      <w:r>
        <w:rPr>
          <w:rFonts w:hint="eastAsia" w:ascii="宋体" w:hAnsi="宋体" w:eastAsia="宋体" w:cs="Times New Roman"/>
          <w:bCs/>
          <w:color w:val="auto"/>
          <w:sz w:val="24"/>
          <w:szCs w:val="24"/>
          <w:highlight w:val="none"/>
          <w:lang w:val="en-US" w:eastAsia="zh-CN"/>
        </w:rPr>
        <w:t xml:space="preserve">采购代理机构</w:t>
      </w:r>
      <w:r>
        <w:rPr>
          <w:rFonts w:hint="eastAsia" w:ascii="宋体" w:hAnsi="宋体" w:eastAsia="宋体" w:cs="Times New Roman"/>
          <w:bCs/>
          <w:color w:val="auto"/>
          <w:sz w:val="24"/>
          <w:szCs w:val="24"/>
          <w:highlight w:val="none"/>
        </w:rPr>
        <w:t xml:space="preserve">在“江苏政府采购网”发布的更正公告。</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Times New Roman"/>
          <w:bCs/>
          <w:color w:val="auto"/>
          <w:sz w:val="24"/>
          <w:szCs w:val="24"/>
          <w:highlight w:val="none"/>
        </w:rPr>
        <w:t xml:space="preserve">“苏采云”系统使用相关提醒</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3.1.根据省财政厅《关于</w:t>
      </w:r>
      <w:r>
        <w:rPr>
          <w:rFonts w:hint="eastAsia" w:ascii="宋体" w:hAnsi="宋体" w:eastAsia="宋体" w:cs="宋体"/>
          <w:color w:val="auto"/>
          <w:sz w:val="24"/>
          <w:szCs w:val="24"/>
          <w:highlight w:val="none"/>
          <w:lang w:val="en-US" w:eastAsia="zh-CN" w:bidi="ar-SA"/>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p>
    <w:p>
      <w:pPr>
        <w:ind w:left="0" w:right="0" w:firstLine="480"/>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4.供应商在制作及上传响应文件时，特别要注意IP地址、MAC地址、标书制作工具客户端标识码，如果不同供应商的响应文件及制作过程出现了评标委员会认为的不应当雷同的情况，后果由供应商自负。</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1.采购人信息</w:t>
      </w:r>
      <w:r/>
    </w:p>
    <w:p>
      <w:pPr>
        <w:ind w:right="0"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eastAsia="宋体" w:cs="宋体"/>
          <w:color w:val="auto"/>
          <w:sz w:val="24"/>
          <w:szCs w:val="24"/>
          <w:highlight w:val="none"/>
          <w:u w:val="none"/>
          <w:lang w:eastAsia="zh-CN"/>
        </w:rPr>
        <w:t xml:space="preserve">南通市通州区东社镇人民政府</w:t>
      </w:r>
      <w:r/>
    </w:p>
    <w:p>
      <w:pPr>
        <w:ind w:right="0"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地</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址：</w:t>
      </w:r>
      <w:r>
        <w:rPr>
          <w:rFonts w:hint="eastAsia" w:ascii="宋体" w:hAnsi="宋体" w:eastAsia="宋体" w:cs="宋体"/>
          <w:color w:val="auto"/>
          <w:sz w:val="24"/>
          <w:szCs w:val="24"/>
          <w:highlight w:val="none"/>
          <w:u w:val="none"/>
          <w:lang w:eastAsia="zh-CN"/>
        </w:rPr>
        <w:t xml:space="preserve">通州区东社镇</w:t>
      </w:r>
      <w:r/>
    </w:p>
    <w:p>
      <w:pPr>
        <w:ind w:right="0" w:firstLine="480"/>
        <w:pageBreakBefore w:val="0"/>
        <w:spacing w:line="360" w:lineRule="auto"/>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val="en-US" w:eastAsia="zh-CN"/>
        </w:rPr>
        <w:t xml:space="preserve">陶先生</w:t>
      </w:r>
      <w:r>
        <w:rPr>
          <w:rFonts w:hint="eastAsia" w:ascii="宋体" w:hAnsi="宋体" w:eastAsia="宋体" w:cs="宋体"/>
          <w:color w:val="auto"/>
          <w:sz w:val="24"/>
          <w:szCs w:val="24"/>
          <w:highlight w:val="none"/>
          <w:u w:val="none"/>
          <w:lang w:val="en-US" w:eastAsia="zh-CN"/>
        </w:rPr>
        <w:t xml:space="preserve">     </w:t>
      </w:r>
      <w:r/>
    </w:p>
    <w:p>
      <w:pPr>
        <w:ind w:right="0" w:firstLine="480"/>
        <w:pageBreakBefore w:val="0"/>
        <w:spacing w:line="360" w:lineRule="auto"/>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rPr>
        <w:t xml:space="preserve">联系方式：</w:t>
      </w:r>
      <w:bookmarkStart w:id="40" w:name="_Toc28359086"/>
      <w:r/>
      <w:bookmarkEnd w:id="40"/>
      <w:r/>
      <w:bookmarkStart w:id="41" w:name="_Toc28359009"/>
      <w:r/>
      <w:bookmarkEnd w:id="41"/>
      <w:r>
        <w:rPr>
          <w:rFonts w:hint="eastAsia" w:ascii="宋体" w:hAnsi="宋体" w:cs="宋体"/>
          <w:color w:val="auto"/>
          <w:sz w:val="24"/>
          <w:szCs w:val="24"/>
          <w:highlight w:val="none"/>
          <w:u w:val="none"/>
          <w:lang w:val="en-US" w:eastAsia="zh-CN"/>
        </w:rPr>
        <w:t xml:space="preserve">13861938754           </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bookmarkStart w:id="42" w:name="_Toc28359010"/>
      <w:r/>
      <w:bookmarkStart w:id="43" w:name="_Toc28359087"/>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.招标代理信息</w:t>
      </w:r>
      <w:bookmarkEnd w:id="42"/>
      <w:r/>
      <w:bookmarkEnd w:id="43"/>
      <w:r/>
      <w:r/>
    </w:p>
    <w:p>
      <w:pPr>
        <w:ind w:right="0" w:firstLine="480"/>
        <w:pageBreakBefore w:val="0"/>
        <w:spacing w:line="360" w:lineRule="auto"/>
        <w:rPr>
          <w:rFonts w:hint="eastAsia" w:ascii="宋体" w:hAnsi="宋体" w:eastAsia="宋体" w:cs="宋体"/>
          <w:color w:val="auto"/>
          <w:sz w:val="24"/>
          <w:szCs w:val="24"/>
          <w:highlight w:val="none"/>
          <w:u w:val="none"/>
        </w:rPr>
      </w:pPr>
      <w:r/>
      <w:bookmarkStart w:id="44" w:name="_Toc120614211"/>
      <w:r>
        <w:rPr>
          <w:rFonts w:hint="eastAsia" w:ascii="宋体" w:hAnsi="宋体" w:eastAsia="宋体" w:cs="宋体"/>
          <w:color w:val="auto"/>
          <w:sz w:val="24"/>
          <w:szCs w:val="24"/>
          <w:highlight w:val="none"/>
          <w:u w:val="none"/>
        </w:rPr>
        <w:t xml:space="preserve">名  称：南通俊达工程造价咨询有限公司</w:t>
      </w:r>
      <w:r/>
    </w:p>
    <w:p>
      <w:pPr>
        <w:ind w:right="0"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　址：南通崇川区外环东路80号</w:t>
      </w:r>
      <w:r/>
    </w:p>
    <w:p>
      <w:pPr>
        <w:ind w:right="0"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联系人：</w:t>
      </w:r>
      <w:r>
        <w:rPr>
          <w:rFonts w:hint="eastAsia" w:ascii="宋体" w:hAnsi="宋体" w:eastAsia="宋体" w:cs="宋体"/>
          <w:color w:val="auto"/>
          <w:sz w:val="24"/>
          <w:szCs w:val="24"/>
          <w:highlight w:val="none"/>
          <w:u w:val="none"/>
          <w:lang w:val="en-US" w:eastAsia="zh-CN"/>
        </w:rPr>
        <w:t xml:space="preserve">赵女士</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邵女士</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联系方式：0513-86101116、</w:t>
      </w:r>
      <w:r>
        <w:rPr>
          <w:rFonts w:hint="eastAsia" w:ascii="宋体" w:hAnsi="宋体" w:eastAsia="宋体" w:cs="宋体"/>
          <w:color w:val="auto"/>
          <w:sz w:val="24"/>
          <w:szCs w:val="24"/>
          <w:highlight w:val="none"/>
          <w:u w:val="none"/>
          <w:lang w:val="en-US" w:eastAsia="zh-CN"/>
        </w:rPr>
        <w:t xml:space="preserve">18068003528</w:t>
      </w:r>
      <w:r>
        <w:rPr>
          <w:rFonts w:hint="eastAsia" w:ascii="宋体" w:hAnsi="宋体" w:cs="宋体"/>
          <w:color w:val="auto"/>
          <w:sz w:val="24"/>
          <w:szCs w:val="24"/>
          <w:highlight w:val="none"/>
          <w:u w:val="none"/>
          <w:lang w:val="en-US" w:eastAsia="zh-CN"/>
        </w:rPr>
        <w:t xml:space="preserve">、18360005621</w:t>
      </w:r>
      <w:r>
        <w:rPr>
          <w:rFonts w:hint="eastAsia" w:ascii="宋体" w:hAnsi="宋体" w:eastAsia="宋体" w:cs="宋体"/>
          <w:color w:val="auto"/>
          <w:sz w:val="24"/>
          <w:szCs w:val="24"/>
          <w:highlight w:val="none"/>
        </w:rPr>
        <w:t xml:space="preserve">　</w:t>
      </w:r>
      <w:r/>
    </w:p>
    <w:p>
      <w:pPr>
        <w:ind w:righ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交易系统软件维护人员：</w:t>
      </w:r>
      <w:r>
        <w:rPr>
          <w:rFonts w:ascii="宋体" w:hAnsi="宋体" w:cs="宋体"/>
          <w:color w:val="auto"/>
          <w:sz w:val="24"/>
          <w:szCs w:val="24"/>
          <w:highlight w:val="none"/>
        </w:rPr>
        <w:t xml:space="preserve">0513-59001950 0519-86722801</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ind w:firstLine="880"/>
        <w:jc w:val="center"/>
        <w:keepNext/>
        <w:pageBreakBefore w:val="0"/>
        <w:spacing w:line="360" w:lineRule="auto"/>
        <w:widowControl w:val="off"/>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第二章  </w:t>
      </w:r>
      <w:bookmarkEnd w:id="1"/>
      <w:r/>
      <w:bookmarkEnd w:id="2"/>
      <w:r/>
      <w:bookmarkEnd w:id="3"/>
      <w:r/>
      <w:bookmarkEnd w:id="4"/>
      <w:r/>
      <w:bookmarkEnd w:id="5"/>
      <w:r/>
      <w:bookmarkEnd w:id="44"/>
      <w:r>
        <w:rPr>
          <w:rFonts w:hint="eastAsia" w:ascii="宋体" w:hAnsi="宋体" w:cs="宋体"/>
          <w:color w:val="auto"/>
          <w:sz w:val="44"/>
          <w:szCs w:val="44"/>
          <w:highlight w:val="none"/>
          <w:lang w:val="en-US" w:eastAsia="zh-CN"/>
        </w:rPr>
        <w:t xml:space="preserve">供应商</w:t>
      </w:r>
      <w:r>
        <w:rPr>
          <w:rFonts w:hint="eastAsia" w:ascii="宋体" w:hAnsi="宋体" w:eastAsia="宋体" w:cs="宋体"/>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45" w:name="_Toc16938519"/>
      <w:r/>
      <w:bookmarkStart w:id="46" w:name="_Toc20823275"/>
      <w:r/>
      <w:bookmarkStart w:id="47" w:name="_Toc513029203"/>
      <w:r/>
      <w:bookmarkStart w:id="48" w:name="_Toc120614214"/>
      <w:r>
        <w:rPr>
          <w:rFonts w:hint="eastAsia" w:ascii="宋体" w:hAnsi="宋体" w:eastAsia="宋体" w:cs="宋体"/>
          <w:b/>
          <w:bCs/>
          <w:color w:val="auto"/>
          <w:sz w:val="24"/>
          <w:szCs w:val="24"/>
          <w:highlight w:val="none"/>
        </w:rPr>
        <w:t xml:space="preserve">一、总则</w:t>
      </w:r>
      <w:bookmarkEnd w:id="45"/>
      <w:r/>
      <w:bookmarkEnd w:id="46"/>
      <w:r/>
      <w:bookmarkEnd w:id="47"/>
      <w:r/>
      <w:bookmarkEnd w:id="48"/>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49" w:name="_Hlt16619475"/>
      <w:r/>
      <w:bookmarkEnd w:id="49"/>
      <w:r/>
      <w:bookmarkStart w:id="50" w:name="_Toc458694821"/>
      <w:r/>
      <w:bookmarkStart w:id="51" w:name="_Toc16938520"/>
      <w:r/>
      <w:bookmarkStart w:id="52" w:name="_Toc513029204"/>
      <w:r/>
      <w:bookmarkStart w:id="53" w:name="_Toc20823276"/>
      <w:r>
        <w:rPr>
          <w:rFonts w:hint="eastAsia" w:ascii="宋体" w:hAnsi="宋体" w:eastAsia="宋体" w:cs="宋体"/>
          <w:i w:val="0"/>
          <w:iCs w:val="0"/>
          <w:color w:val="auto"/>
          <w:sz w:val="24"/>
          <w:szCs w:val="24"/>
          <w:highlight w:val="none"/>
        </w:rPr>
        <w:t xml:space="preserve">1</w:t>
      </w:r>
      <w:bookmarkEnd w:id="50"/>
      <w:r>
        <w:rPr>
          <w:rFonts w:hint="eastAsia" w:ascii="宋体" w:hAnsi="宋体" w:eastAsia="宋体" w:cs="宋体"/>
          <w:i w:val="0"/>
          <w:iCs w:val="0"/>
          <w:color w:val="auto"/>
          <w:sz w:val="24"/>
          <w:szCs w:val="24"/>
          <w:highlight w:val="none"/>
        </w:rPr>
        <w:t xml:space="preserve">、采购方式</w:t>
      </w:r>
      <w:bookmarkEnd w:id="51"/>
      <w:r/>
      <w:bookmarkEnd w:id="52"/>
      <w:r/>
      <w:bookmarkEnd w:id="53"/>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 本次</w:t>
      </w:r>
      <w:r>
        <w:rPr>
          <w:rFonts w:hint="eastAsia" w:ascii="宋体" w:hAnsi="宋体" w:eastAsia="宋体" w:cs="宋体"/>
          <w:i w:val="0"/>
          <w:iCs w:val="0"/>
          <w:color w:val="auto"/>
          <w:sz w:val="24"/>
          <w:szCs w:val="24"/>
          <w:highlight w:val="none"/>
          <w:lang w:val="en-US" w:eastAsia="zh-CN"/>
        </w:rPr>
        <w:t xml:space="preserve">开标</w:t>
      </w:r>
      <w:r>
        <w:rPr>
          <w:rFonts w:hint="eastAsia" w:ascii="宋体" w:hAnsi="宋体" w:eastAsia="宋体" w:cs="宋体"/>
          <w:i w:val="0"/>
          <w:iCs w:val="0"/>
          <w:color w:val="auto"/>
          <w:sz w:val="24"/>
          <w:szCs w:val="24"/>
          <w:highlight w:val="none"/>
        </w:rPr>
        <w:t xml:space="preserve">活动采取竞争性磋商(以下简称磋商)方式，本磋商文件仅适用于磋商公告中所述项目。</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54" w:name="_Toc20823277"/>
      <w:r/>
      <w:bookmarkStart w:id="55" w:name="_Toc513029205"/>
      <w:r/>
      <w:bookmarkStart w:id="56" w:name="_Toc16938521"/>
      <w:r>
        <w:rPr>
          <w:rFonts w:hint="eastAsia" w:ascii="宋体" w:hAnsi="宋体" w:eastAsia="宋体" w:cs="宋体"/>
          <w:i w:val="0"/>
          <w:iCs w:val="0"/>
          <w:color w:val="auto"/>
          <w:sz w:val="24"/>
          <w:szCs w:val="24"/>
          <w:highlight w:val="none"/>
        </w:rPr>
        <w:t xml:space="preserve">2、合格的</w:t>
      </w:r>
      <w:bookmarkEnd w:id="54"/>
      <w:r/>
      <w:bookmarkEnd w:id="55"/>
      <w:r/>
      <w:bookmarkEnd w:id="56"/>
      <w:r>
        <w:rPr>
          <w:rFonts w:hint="eastAsia" w:ascii="宋体" w:hAnsi="宋体" w:eastAsia="宋体" w:cs="宋体"/>
          <w:i w:val="0"/>
          <w:iCs w:val="0"/>
          <w:color w:val="auto"/>
          <w:sz w:val="24"/>
          <w:szCs w:val="24"/>
          <w:highlight w:val="none"/>
        </w:rPr>
        <w:t xml:space="preserve">供应商</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2.2 满足本磋商文件实质性要求和条件的规定。</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57" w:name="_Toc16938522"/>
      <w:r/>
      <w:bookmarkStart w:id="58" w:name="_Toc20823278"/>
      <w:r/>
      <w:bookmarkStart w:id="59" w:name="_Toc513029206"/>
      <w:r>
        <w:rPr>
          <w:rFonts w:hint="eastAsia" w:ascii="宋体" w:hAnsi="宋体" w:eastAsia="宋体" w:cs="宋体"/>
          <w:i w:val="0"/>
          <w:iCs w:val="0"/>
          <w:color w:val="auto"/>
          <w:sz w:val="24"/>
          <w:szCs w:val="24"/>
          <w:highlight w:val="none"/>
        </w:rPr>
        <w:t xml:space="preserve">3、适用法律</w:t>
      </w:r>
      <w:bookmarkEnd w:id="57"/>
      <w:r/>
      <w:bookmarkEnd w:id="58"/>
      <w:r/>
      <w:bookmarkEnd w:id="59"/>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3.1 本次磋商及由此产生的合同受中华人民共和国有关的法律法规制约和保护。</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60" w:name="_Toc462564067"/>
      <w:r/>
      <w:bookmarkStart w:id="61" w:name="_Toc20823279"/>
      <w:r/>
      <w:bookmarkStart w:id="62" w:name="_Toc513029207"/>
      <w:r/>
      <w:bookmarkStart w:id="63" w:name="_Toc16938523"/>
      <w:r>
        <w:rPr>
          <w:rFonts w:hint="eastAsia" w:ascii="宋体" w:hAnsi="宋体" w:eastAsia="宋体" w:cs="宋体"/>
          <w:i w:val="0"/>
          <w:iCs w:val="0"/>
          <w:color w:val="auto"/>
          <w:sz w:val="24"/>
          <w:szCs w:val="24"/>
          <w:highlight w:val="none"/>
        </w:rPr>
        <w:t xml:space="preserve">4、磋商费用</w:t>
      </w:r>
      <w:bookmarkEnd w:id="60"/>
      <w:r/>
      <w:bookmarkEnd w:id="61"/>
      <w:r/>
      <w:bookmarkEnd w:id="62"/>
      <w:r/>
      <w:bookmarkEnd w:id="63"/>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i w:val="0"/>
          <w:iCs w:val="0"/>
          <w:color w:val="auto"/>
          <w:sz w:val="24"/>
          <w:szCs w:val="24"/>
          <w:highlight w:val="none"/>
          <w:lang w:val="en-US" w:eastAsia="zh-CN"/>
        </w:rPr>
        <w:t xml:space="preserve">招标人</w:t>
      </w:r>
      <w:r>
        <w:rPr>
          <w:rFonts w:hint="eastAsia" w:ascii="宋体" w:hAnsi="宋体" w:eastAsia="宋体" w:cs="宋体"/>
          <w:i w:val="0"/>
          <w:iCs w:val="0"/>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i w:val="0"/>
          <w:iCs w:val="0"/>
          <w:color w:val="auto"/>
          <w:sz w:val="24"/>
          <w:szCs w:val="24"/>
          <w:highlight w:val="none"/>
        </w:rPr>
      </w:pPr>
      <w:r>
        <w:rPr>
          <w:rFonts w:hint="eastAsia" w:ascii="宋体" w:hAnsi="宋体" w:eastAsia="宋体" w:cs="宋体"/>
          <w:i w:val="0"/>
          <w:iCs w:val="0"/>
          <w:color w:val="auto"/>
          <w:sz w:val="24"/>
          <w:szCs w:val="24"/>
          <w:highlight w:val="none"/>
        </w:rPr>
        <w:t xml:space="preserve">4.2</w:t>
      </w:r>
      <w:r>
        <w:rPr>
          <w:rFonts w:hint="eastAsia" w:ascii="宋体" w:hAnsi="宋体"/>
          <w:i w:val="0"/>
          <w:iCs w:val="0"/>
          <w:color w:val="auto"/>
          <w:sz w:val="24"/>
          <w:szCs w:val="24"/>
          <w:highlight w:val="none"/>
          <w:lang w:val="en-US" w:eastAsia="zh-CN"/>
        </w:rPr>
        <w:t xml:space="preserve">本项目招标代理费收取3200元</w:t>
      </w:r>
      <w:r>
        <w:rPr>
          <w:rFonts w:hint="eastAsia" w:ascii="宋体" w:hAnsi="宋体" w:eastAsia="宋体"/>
          <w:i w:val="0"/>
          <w:iCs w:val="0"/>
          <w:color w:val="auto"/>
          <w:sz w:val="24"/>
          <w:szCs w:val="24"/>
          <w:highlight w:val="none"/>
          <w:lang w:val="en-US" w:eastAsia="zh-CN"/>
        </w:rPr>
        <w:t xml:space="preserve">，报价综合考虑，由成交供应商支付</w:t>
      </w:r>
      <w:r>
        <w:rPr>
          <w:rFonts w:hint="eastAsia" w:ascii="宋体" w:hAnsi="宋体" w:eastAsia="宋体" w:cs="宋体"/>
          <w:i w:val="0"/>
          <w:iCs w:val="0"/>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.本项目不收取磋商文件费。</w:t>
      </w:r>
      <w:r/>
    </w:p>
    <w:p>
      <w:pPr>
        <w:ind w:firstLine="482"/>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eastAsia="宋体" w:cs="宋体"/>
          <w:b/>
          <w:bCs/>
          <w:i w:val="0"/>
          <w:iCs w:val="0"/>
          <w:color w:val="auto"/>
          <w:sz w:val="24"/>
          <w:szCs w:val="24"/>
          <w:highlight w:val="none"/>
        </w:rPr>
        <w:t xml:space="preserve">5、</w:t>
      </w:r>
      <w:r>
        <w:rPr>
          <w:rFonts w:hint="eastAsia" w:ascii="宋体" w:hAnsi="宋体" w:eastAsia="宋体" w:cs="宋体"/>
          <w:i w:val="0"/>
          <w:iCs w:val="0"/>
          <w:color w:val="auto"/>
          <w:sz w:val="24"/>
          <w:szCs w:val="24"/>
          <w:highlight w:val="none"/>
        </w:rPr>
        <w:t xml:space="preserve">磋商文件的约束力</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5.1</w:t>
      </w:r>
      <w:r>
        <w:rPr>
          <w:rFonts w:hint="eastAsia" w:ascii="宋体" w:hAnsi="宋体" w:eastAsia="宋体" w:cs="宋体"/>
          <w:i w:val="0"/>
          <w:iCs w:val="0"/>
          <w:color w:val="auto"/>
          <w:sz w:val="24"/>
          <w:szCs w:val="24"/>
          <w:highlight w:val="none"/>
        </w:rPr>
        <w:t xml:space="preserve">供应商一旦参加本项目采购活动，即被认为接受了本磋商文件的规定和约束。</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64" w:name="_Toc120614215"/>
      <w:r/>
      <w:bookmarkStart w:id="65" w:name="_Toc20823281"/>
      <w:r/>
      <w:bookmarkStart w:id="66" w:name="_Toc513029209"/>
      <w:r/>
      <w:bookmarkStart w:id="67" w:name="_Toc16938525"/>
      <w:r>
        <w:rPr>
          <w:rFonts w:hint="eastAsia" w:ascii="宋体" w:hAnsi="宋体" w:eastAsia="宋体" w:cs="宋体"/>
          <w:b/>
          <w:bCs/>
          <w:i w:val="0"/>
          <w:iCs w:val="0"/>
          <w:color w:val="auto"/>
          <w:sz w:val="24"/>
          <w:szCs w:val="24"/>
          <w:highlight w:val="none"/>
        </w:rPr>
        <w:t xml:space="preserve">二、</w:t>
      </w:r>
      <w:bookmarkEnd w:id="64"/>
      <w:r/>
      <w:bookmarkEnd w:id="65"/>
      <w:r/>
      <w:bookmarkEnd w:id="66"/>
      <w:r/>
      <w:bookmarkEnd w:id="67"/>
      <w:r>
        <w:rPr>
          <w:rFonts w:hint="eastAsia" w:ascii="宋体" w:hAnsi="宋体" w:eastAsia="宋体" w:cs="宋体"/>
          <w:b/>
          <w:bCs/>
          <w:i w:val="0"/>
          <w:iCs w:val="0"/>
          <w:color w:val="auto"/>
          <w:sz w:val="24"/>
          <w:szCs w:val="24"/>
          <w:highlight w:val="none"/>
        </w:rPr>
        <w:t xml:space="preserve">磋商文件</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68" w:name="_Toc20823282"/>
      <w:r/>
      <w:bookmarkStart w:id="69" w:name="_Toc513029210"/>
      <w:r/>
      <w:bookmarkStart w:id="70" w:name="_Toc16938526"/>
      <w:r>
        <w:rPr>
          <w:rFonts w:hint="eastAsia" w:ascii="宋体" w:hAnsi="宋体" w:eastAsia="宋体" w:cs="宋体"/>
          <w:i w:val="0"/>
          <w:iCs w:val="0"/>
          <w:color w:val="auto"/>
          <w:sz w:val="24"/>
          <w:szCs w:val="24"/>
          <w:highlight w:val="none"/>
        </w:rPr>
        <w:t xml:space="preserve">6、磋商文件构成</w:t>
      </w:r>
      <w:bookmarkEnd w:id="68"/>
      <w:r/>
      <w:bookmarkEnd w:id="69"/>
      <w:r/>
      <w:bookmarkEnd w:id="70"/>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6.1</w:t>
      </w:r>
      <w:r>
        <w:rPr>
          <w:rFonts w:hint="eastAsia" w:ascii="宋体" w:hAnsi="宋体" w:eastAsia="宋体" w:cs="宋体"/>
          <w:i w:val="0"/>
          <w:iCs w:val="0"/>
          <w:color w:val="auto"/>
          <w:sz w:val="24"/>
          <w:szCs w:val="24"/>
          <w:highlight w:val="none"/>
        </w:rPr>
        <w:t xml:space="preserve">磋商文件由以下部分组成：</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请仔细检查磋商文件是否齐全，如有缺漏请立即与</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i w:val="0"/>
          <w:iCs w:val="0"/>
          <w:color w:val="auto"/>
          <w:sz w:val="24"/>
          <w:szCs w:val="24"/>
          <w:highlight w:val="none"/>
        </w:rPr>
        <w:t xml:space="preserve">联系解决。</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6.2</w:t>
      </w:r>
      <w:r>
        <w:rPr>
          <w:rFonts w:hint="eastAsia" w:ascii="宋体" w:hAnsi="宋体" w:eastAsia="宋体" w:cs="宋体"/>
          <w:i w:val="0"/>
          <w:iCs w:val="0"/>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71" w:name="_Toc16938527"/>
      <w:r/>
      <w:bookmarkStart w:id="72" w:name="_Toc462564070"/>
      <w:r/>
      <w:bookmarkStart w:id="73" w:name="_Toc513029211"/>
      <w:r/>
      <w:bookmarkStart w:id="74" w:name="_Toc20823283"/>
      <w:r>
        <w:rPr>
          <w:rFonts w:hint="eastAsia" w:ascii="宋体" w:hAnsi="宋体" w:eastAsia="宋体" w:cs="宋体"/>
          <w:i w:val="0"/>
          <w:iCs w:val="0"/>
          <w:color w:val="auto"/>
          <w:sz w:val="24"/>
          <w:szCs w:val="24"/>
          <w:highlight w:val="none"/>
        </w:rPr>
        <w:t xml:space="preserve">7、磋商文件的澄清</w:t>
      </w:r>
      <w:bookmarkEnd w:id="71"/>
      <w:r/>
      <w:bookmarkEnd w:id="72"/>
      <w:r/>
      <w:bookmarkEnd w:id="73"/>
      <w:r/>
      <w:bookmarkEnd w:id="74"/>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任何要求对磋商文件进行澄清的供应商，应在磋商截止期5日前按磋商公告中的通讯地址，以书面形式通知</w:t>
      </w:r>
      <w:r>
        <w:rPr>
          <w:rFonts w:hint="eastAsia" w:ascii="宋体" w:hAnsi="宋体" w:eastAsia="宋体" w:cs="宋体"/>
          <w:i w:val="0"/>
          <w:iCs w:val="0"/>
          <w:color w:val="auto"/>
          <w:sz w:val="24"/>
          <w:szCs w:val="24"/>
          <w:highlight w:val="none"/>
          <w:lang w:val="en-US" w:eastAsia="zh-CN"/>
        </w:rPr>
        <w:t xml:space="preserve">采购人或招标代理</w:t>
      </w:r>
      <w:r>
        <w:rPr>
          <w:rFonts w:hint="eastAsia" w:ascii="宋体" w:hAnsi="宋体" w:eastAsia="宋体" w:cs="宋体"/>
          <w:i w:val="0"/>
          <w:iCs w:val="0"/>
          <w:color w:val="auto"/>
          <w:sz w:val="24"/>
          <w:szCs w:val="24"/>
          <w:highlight w:val="none"/>
        </w:rPr>
        <w:t xml:space="preserve">。</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75" w:name="_Toc20823284"/>
      <w:r/>
      <w:bookmarkStart w:id="76" w:name="_Toc462564071"/>
      <w:r/>
      <w:bookmarkStart w:id="77" w:name="_Toc16938528"/>
      <w:r/>
      <w:bookmarkStart w:id="78" w:name="_Toc513029212"/>
      <w:r>
        <w:rPr>
          <w:rFonts w:hint="eastAsia" w:ascii="宋体" w:hAnsi="宋体" w:eastAsia="宋体" w:cs="宋体"/>
          <w:i w:val="0"/>
          <w:iCs w:val="0"/>
          <w:color w:val="auto"/>
          <w:sz w:val="24"/>
          <w:szCs w:val="24"/>
          <w:highlight w:val="none"/>
        </w:rPr>
        <w:t xml:space="preserve">8、磋商文件的澄清和修改</w:t>
      </w:r>
      <w:bookmarkEnd w:id="75"/>
      <w:r/>
      <w:bookmarkEnd w:id="76"/>
      <w:r/>
      <w:bookmarkEnd w:id="77"/>
      <w:r/>
      <w:bookmarkEnd w:id="78"/>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8.1 在响应文件提交截止时间前，</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可以对磋商文件进行澄清和修改, 澄清或者修改的内容作为磋商文件的组成部分。澄清或者修改的内容可能影响响应文件编制的，</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79" w:name="_Toc462564072"/>
      <w:r/>
      <w:bookmarkStart w:id="80" w:name="_Toc120614216"/>
      <w:r/>
      <w:bookmarkStart w:id="81" w:name="_Toc16938529"/>
      <w:r/>
      <w:bookmarkStart w:id="82" w:name="_Toc513029213"/>
      <w:r/>
      <w:bookmarkStart w:id="83" w:name="_Toc20823285"/>
      <w:r>
        <w:rPr>
          <w:rFonts w:hint="eastAsia" w:ascii="宋体" w:hAnsi="宋体" w:eastAsia="宋体" w:cs="宋体"/>
          <w:b/>
          <w:bCs/>
          <w:i w:val="0"/>
          <w:iCs w:val="0"/>
          <w:color w:val="auto"/>
          <w:sz w:val="24"/>
          <w:szCs w:val="24"/>
          <w:highlight w:val="none"/>
        </w:rPr>
        <w:t xml:space="preserve">三、响应文件的编制</w:t>
      </w:r>
      <w:bookmarkEnd w:id="79"/>
      <w:r/>
      <w:bookmarkEnd w:id="80"/>
      <w:r/>
      <w:bookmarkEnd w:id="81"/>
      <w:r/>
      <w:bookmarkEnd w:id="82"/>
      <w:r/>
      <w:bookmarkEnd w:id="83"/>
      <w:r/>
      <w:r/>
    </w:p>
    <w:p>
      <w:pPr>
        <w:ind w:firstLine="480"/>
        <w:keepLines/>
        <w:keepNext/>
        <w:pageBreakBefore w:val="0"/>
        <w:spacing w:line="360" w:lineRule="auto"/>
        <w:widowControl w:val="off"/>
        <w:rPr>
          <w:rFonts w:hint="eastAsia" w:ascii="宋体" w:hAnsi="宋体" w:eastAsia="宋体" w:cs="宋体"/>
          <w:b/>
          <w:i w:val="0"/>
          <w:iCs w:val="0"/>
          <w:color w:val="auto"/>
          <w:sz w:val="24"/>
          <w:szCs w:val="24"/>
          <w:highlight w:val="none"/>
        </w:rPr>
        <w:outlineLvl w:val="3"/>
      </w:pPr>
      <w:r/>
      <w:bookmarkStart w:id="84" w:name="_Toc513029214"/>
      <w:r/>
      <w:bookmarkStart w:id="85" w:name="_Toc462564073"/>
      <w:r/>
      <w:bookmarkStart w:id="86" w:name="_Toc16938530"/>
      <w:r/>
      <w:bookmarkStart w:id="87" w:name="_Toc20823286"/>
      <w:r>
        <w:rPr>
          <w:rFonts w:hint="eastAsia" w:ascii="宋体" w:hAnsi="宋体" w:eastAsia="宋体" w:cs="宋体"/>
          <w:i w:val="0"/>
          <w:iCs w:val="0"/>
          <w:color w:val="auto"/>
          <w:sz w:val="24"/>
          <w:szCs w:val="24"/>
          <w:highlight w:val="none"/>
        </w:rPr>
        <w:t xml:space="preserve">9、响应文件的语言及度量衡单位</w:t>
      </w:r>
      <w:bookmarkEnd w:id="84"/>
      <w:r/>
      <w:bookmarkEnd w:id="85"/>
      <w:r/>
      <w:bookmarkEnd w:id="86"/>
      <w:r/>
      <w:bookmarkEnd w:id="87"/>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9.1</w:t>
      </w:r>
      <w:r>
        <w:rPr>
          <w:rFonts w:hint="eastAsia" w:ascii="宋体" w:hAnsi="宋体" w:eastAsia="宋体" w:cs="宋体"/>
          <w:i w:val="0"/>
          <w:iCs w:val="0"/>
          <w:color w:val="auto"/>
          <w:sz w:val="24"/>
          <w:szCs w:val="24"/>
          <w:highlight w:val="none"/>
        </w:rPr>
        <w:t xml:space="preserve">供应商提交的响应文件以及供应商与</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i w:val="0"/>
          <w:iCs w:val="0"/>
          <w:color w:val="auto"/>
          <w:sz w:val="24"/>
          <w:szCs w:val="24"/>
          <w:highlight w:val="none"/>
        </w:rPr>
        <w:t xml:space="preserve">就有关磋商的所有来往通知、函件和文件均应使用</w:t>
      </w:r>
      <w:r>
        <w:rPr>
          <w:rFonts w:hint="eastAsia" w:ascii="宋体" w:hAnsi="宋体" w:eastAsia="宋体" w:cs="宋体"/>
          <w:b/>
          <w:bCs/>
          <w:i w:val="0"/>
          <w:iCs w:val="0"/>
          <w:color w:val="auto"/>
          <w:sz w:val="24"/>
          <w:szCs w:val="24"/>
          <w:highlight w:val="none"/>
        </w:rPr>
        <w:t xml:space="preserve">简体中文</w:t>
      </w:r>
      <w:r>
        <w:rPr>
          <w:rFonts w:hint="eastAsia" w:ascii="宋体" w:hAnsi="宋体" w:eastAsia="宋体" w:cs="宋体"/>
          <w:i w:val="0"/>
          <w:iCs w:val="0"/>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9.2</w:t>
      </w:r>
      <w:r>
        <w:rPr>
          <w:rFonts w:hint="eastAsia" w:ascii="宋体" w:hAnsi="宋体" w:eastAsia="宋体" w:cs="宋体"/>
          <w:i w:val="0"/>
          <w:iCs w:val="0"/>
          <w:color w:val="auto"/>
          <w:sz w:val="24"/>
          <w:szCs w:val="24"/>
          <w:highlight w:val="none"/>
        </w:rPr>
        <w:t xml:space="preserve"> 除技术性能另有规定外，响应文件所使用的度量衡单位，均须采用国家法定计量单位。</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88" w:name="_Toc462564074"/>
      <w:r/>
      <w:bookmarkStart w:id="89" w:name="_Toc20823287"/>
      <w:r/>
      <w:bookmarkStart w:id="90" w:name="_Toc513029215"/>
      <w:r/>
      <w:bookmarkStart w:id="91" w:name="_Toc16938531"/>
      <w:r>
        <w:rPr>
          <w:rFonts w:hint="eastAsia" w:ascii="宋体" w:hAnsi="宋体" w:eastAsia="宋体" w:cs="宋体"/>
          <w:i w:val="0"/>
          <w:iCs w:val="0"/>
          <w:color w:val="auto"/>
          <w:sz w:val="24"/>
          <w:szCs w:val="24"/>
          <w:highlight w:val="none"/>
        </w:rPr>
        <w:t xml:space="preserve">10、响应文件构成</w:t>
      </w:r>
      <w:bookmarkEnd w:id="88"/>
      <w:r/>
      <w:bookmarkEnd w:id="89"/>
      <w:r/>
      <w:bookmarkEnd w:id="90"/>
      <w:r/>
      <w:bookmarkEnd w:id="91"/>
      <w:r/>
      <w:r/>
    </w:p>
    <w:p>
      <w:pPr>
        <w:ind w:firstLine="48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bCs/>
          <w:i w:val="0"/>
          <w:iCs w:val="0"/>
          <w:color w:val="auto"/>
          <w:sz w:val="24"/>
          <w:szCs w:val="24"/>
          <w:highlight w:val="none"/>
        </w:rPr>
        <w:t xml:space="preserve">10.1</w:t>
      </w:r>
      <w:r>
        <w:rPr>
          <w:rFonts w:hint="eastAsia" w:ascii="宋体" w:hAnsi="宋体" w:eastAsia="宋体" w:cs="宋体"/>
          <w:i w:val="0"/>
          <w:iCs w:val="0"/>
          <w:color w:val="auto"/>
          <w:sz w:val="24"/>
          <w:szCs w:val="24"/>
          <w:highlight w:val="none"/>
        </w:rPr>
        <w:t xml:space="preserve">供应商编写的响应文件应包括</w:t>
      </w:r>
      <w:r>
        <w:rPr>
          <w:rFonts w:hint="eastAsia" w:ascii="宋体" w:hAnsi="宋体" w:eastAsia="宋体" w:cs="宋体"/>
          <w:i w:val="0"/>
          <w:iCs w:val="0"/>
          <w:color w:val="auto"/>
          <w:sz w:val="24"/>
          <w:szCs w:val="24"/>
          <w:highlight w:val="none"/>
        </w:rPr>
        <w:t xml:space="preserve">资格证明文件、符合性证明文件、</w:t>
      </w:r>
      <w:r>
        <w:rPr>
          <w:rFonts w:hint="eastAsia" w:ascii="宋体" w:hAnsi="宋体" w:eastAsia="宋体" w:cs="宋体"/>
          <w:i w:val="0"/>
          <w:iCs w:val="0"/>
          <w:color w:val="auto"/>
          <w:sz w:val="24"/>
          <w:szCs w:val="24"/>
          <w:highlight w:val="none"/>
          <w:lang w:eastAsia="zh-CN"/>
        </w:rPr>
        <w:t xml:space="preserve">已标价工程量清单</w:t>
      </w:r>
      <w:r>
        <w:rPr>
          <w:rFonts w:hint="eastAsia" w:ascii="宋体" w:hAnsi="宋体" w:eastAsia="宋体" w:cs="宋体"/>
          <w:i w:val="0"/>
          <w:iCs w:val="0"/>
          <w:color w:val="auto"/>
          <w:sz w:val="24"/>
          <w:szCs w:val="24"/>
          <w:highlight w:val="none"/>
        </w:rPr>
        <w:t xml:space="preserve">、其他证明文件、磋商响应函等部分</w:t>
      </w:r>
      <w:r>
        <w:rPr>
          <w:rFonts w:hint="eastAsia" w:ascii="宋体" w:hAnsi="宋体" w:eastAsia="宋体" w:cs="宋体"/>
          <w:i w:val="0"/>
          <w:iCs w:val="0"/>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92" w:name="_Hlt26670360"/>
      <w:r/>
      <w:bookmarkEnd w:id="92"/>
      <w:r/>
      <w:bookmarkStart w:id="93" w:name="_Hlt26668975"/>
      <w:r/>
      <w:bookmarkEnd w:id="93"/>
      <w:r/>
      <w:bookmarkStart w:id="94" w:name="_Hlt26954838"/>
      <w:r/>
      <w:bookmarkEnd w:id="94"/>
      <w:r/>
      <w:bookmarkStart w:id="95" w:name="_Toc14577359"/>
      <w:r/>
      <w:bookmarkStart w:id="96" w:name="_Toc49090510"/>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11.2磋商文件对证明文件无明确形式要求的，证明文件可以以文字资料、图纸和数据等形式提交。</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3"/>
      </w:pPr>
      <w:r>
        <w:rPr>
          <w:rFonts w:hint="eastAsia" w:ascii="宋体" w:hAnsi="宋体" w:eastAsia="宋体" w:cs="宋体"/>
          <w:i w:val="0"/>
          <w:iCs w:val="0"/>
          <w:color w:val="auto"/>
          <w:sz w:val="24"/>
          <w:szCs w:val="24"/>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12.1</w:t>
      </w:r>
      <w:r>
        <w:rPr>
          <w:rFonts w:hint="eastAsia" w:ascii="宋体" w:hAnsi="宋体" w:eastAsia="宋体" w:cs="宋体"/>
          <w:i w:val="0"/>
          <w:iCs w:val="0"/>
          <w:color w:val="auto"/>
          <w:sz w:val="24"/>
          <w:szCs w:val="24"/>
          <w:highlight w:val="none"/>
        </w:rPr>
        <w:t xml:space="preserve">供应商应按照</w:t>
      </w:r>
      <w:r>
        <w:rPr>
          <w:rFonts w:hint="eastAsia" w:ascii="宋体" w:hAnsi="宋体" w:eastAsia="宋体" w:cs="宋体"/>
          <w:i w:val="0"/>
          <w:iCs w:val="0"/>
          <w:color w:val="auto"/>
          <w:sz w:val="24"/>
          <w:szCs w:val="24"/>
          <w:highlight w:val="none"/>
          <w:lang w:eastAsia="zh-CN"/>
        </w:rPr>
        <w:t xml:space="preserve">采购人提供工程量清单编制</w:t>
      </w:r>
      <w:r>
        <w:rPr>
          <w:rFonts w:hint="eastAsia" w:ascii="宋体" w:hAnsi="宋体" w:eastAsia="宋体" w:cs="宋体"/>
          <w:i w:val="0"/>
          <w:iCs w:val="0"/>
          <w:color w:val="auto"/>
          <w:sz w:val="24"/>
          <w:szCs w:val="24"/>
          <w:highlight w:val="none"/>
          <w:lang w:val="en-US" w:eastAsia="zh-CN"/>
        </w:rPr>
        <w:t xml:space="preserve">已标价工程量清单</w:t>
      </w:r>
      <w:r>
        <w:rPr>
          <w:rFonts w:hint="eastAsia" w:ascii="宋体" w:hAnsi="宋体" w:eastAsia="宋体" w:cs="宋体"/>
          <w:i w:val="0"/>
          <w:iCs w:val="0"/>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12.2</w:t>
      </w:r>
      <w:r>
        <w:rPr>
          <w:rFonts w:hint="eastAsia" w:ascii="宋体" w:hAnsi="宋体" w:eastAsia="宋体" w:cs="宋体"/>
          <w:bCs/>
          <w:i w:val="0"/>
          <w:iCs w:val="0"/>
          <w:color w:val="auto"/>
          <w:sz w:val="24"/>
          <w:szCs w:val="24"/>
          <w:highlight w:val="none"/>
        </w:rPr>
        <w:t xml:space="preserve">磋商货币。响应文件中的单价和总价无特殊规定的采用人民币报价，以元为</w:t>
      </w:r>
      <w:r>
        <w:rPr>
          <w:rFonts w:hint="eastAsia" w:ascii="宋体" w:hAnsi="宋体" w:eastAsia="宋体" w:cs="宋体"/>
          <w:i w:val="0"/>
          <w:iCs w:val="0"/>
          <w:color w:val="auto"/>
          <w:sz w:val="24"/>
          <w:szCs w:val="24"/>
          <w:highlight w:val="none"/>
        </w:rPr>
        <w:t xml:space="preserve">单位标注。磋商文件中另有规定的按规定执行。</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3"/>
      </w:pPr>
      <w:r>
        <w:rPr>
          <w:rFonts w:hint="eastAsia" w:ascii="宋体" w:hAnsi="宋体" w:eastAsia="宋体" w:cs="宋体"/>
          <w:i w:val="0"/>
          <w:iCs w:val="0"/>
          <w:color w:val="auto"/>
          <w:sz w:val="24"/>
          <w:szCs w:val="24"/>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13.2供应商需根据磋商文件要求提供</w:t>
      </w:r>
      <w:r>
        <w:rPr>
          <w:rFonts w:hint="eastAsia" w:ascii="宋体" w:hAnsi="宋体" w:eastAsia="宋体" w:cs="宋体"/>
          <w:i w:val="0"/>
          <w:iCs w:val="0"/>
          <w:color w:val="auto"/>
          <w:sz w:val="24"/>
          <w:szCs w:val="24"/>
          <w:highlight w:val="none"/>
          <w:lang w:val="zh-CN" w:eastAsia="zh-CN"/>
        </w:rPr>
        <w:t xml:space="preserve">磋商响应标的的主要组成部分、实现思路及关键技术等。</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cs="宋体"/>
          <w:i w:val="0"/>
          <w:iCs w:val="0"/>
          <w:color w:val="auto"/>
          <w:sz w:val="24"/>
          <w:szCs w:val="24"/>
          <w:highlight w:val="none"/>
          <w:lang w:val="en-US" w:eastAsia="zh-CN"/>
        </w:rPr>
        <w:t xml:space="preserve">14、</w:t>
      </w:r>
      <w:r>
        <w:rPr>
          <w:rFonts w:hint="eastAsia" w:ascii="宋体" w:hAnsi="宋体" w:eastAsia="宋体" w:cs="宋体"/>
          <w:i w:val="0"/>
          <w:iCs w:val="0"/>
          <w:color w:val="auto"/>
          <w:sz w:val="24"/>
          <w:szCs w:val="24"/>
          <w:highlight w:val="none"/>
        </w:rPr>
        <w:t xml:space="preserve">磋商响应函</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.1</w:t>
      </w:r>
      <w:r>
        <w:rPr>
          <w:rFonts w:hint="eastAsia" w:ascii="宋体" w:hAnsi="宋体" w:eastAsia="宋体" w:cs="宋体"/>
          <w:i w:val="0"/>
          <w:iCs w:val="0"/>
          <w:color w:val="auto"/>
          <w:sz w:val="24"/>
          <w:szCs w:val="24"/>
          <w:highlight w:val="none"/>
        </w:rPr>
        <w:t xml:space="preserve">供应商应按照磋商文件中提供的格式完整、正确填写磋商响应函。</w:t>
      </w:r>
      <w:bookmarkEnd w:id="95"/>
      <w:r/>
      <w:bookmarkEnd w:id="96"/>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97" w:name="_Toc14577360"/>
      <w:r/>
      <w:bookmarkStart w:id="98" w:name="_Toc49090511"/>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、磋商有效期</w:t>
      </w:r>
      <w:bookmarkEnd w:id="97"/>
      <w:r/>
      <w:bookmarkEnd w:id="98"/>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.1磋商有效期为</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bCs/>
          <w:i w:val="0"/>
          <w:iCs w:val="0"/>
          <w:color w:val="auto"/>
          <w:sz w:val="24"/>
          <w:szCs w:val="24"/>
          <w:highlight w:val="none"/>
        </w:rPr>
        <w:t xml:space="preserve">规定的提交响应文件截止之日后</w:t>
      </w:r>
      <w:r>
        <w:rPr>
          <w:rFonts w:hint="eastAsia" w:ascii="宋体" w:hAnsi="宋体" w:eastAsia="宋体" w:cs="宋体"/>
          <w:b/>
          <w:i w:val="0"/>
          <w:iCs w:val="0"/>
          <w:color w:val="auto"/>
          <w:sz w:val="24"/>
          <w:szCs w:val="24"/>
          <w:highlight w:val="none"/>
          <w:u w:val="single"/>
        </w:rPr>
        <w:t xml:space="preserve">六十（60）天</w:t>
      </w:r>
      <w:r>
        <w:rPr>
          <w:rFonts w:hint="eastAsia" w:ascii="宋体" w:hAnsi="宋体" w:eastAsia="宋体" w:cs="宋体"/>
          <w:bCs/>
          <w:i w:val="0"/>
          <w:iCs w:val="0"/>
          <w:color w:val="auto"/>
          <w:sz w:val="24"/>
          <w:szCs w:val="24"/>
          <w:highlight w:val="none"/>
        </w:rPr>
        <w:t xml:space="preserve">。磋商有效期比规定短的将被视为非实质性响应磋商文件而予以拒绝。</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、磋商有效期的延长</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6</w:t>
      </w:r>
      <w:r>
        <w:rPr>
          <w:rFonts w:hint="eastAsia" w:ascii="宋体" w:hAnsi="宋体" w:eastAsia="宋体" w:cs="宋体"/>
          <w:bCs/>
          <w:i w:val="0"/>
          <w:iCs w:val="0"/>
          <w:color w:val="auto"/>
          <w:sz w:val="24"/>
          <w:szCs w:val="24"/>
          <w:highlight w:val="none"/>
        </w:rPr>
        <w:t xml:space="preserve">.1在特殊情况下，</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bCs/>
          <w:i w:val="0"/>
          <w:iCs w:val="0"/>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i w:val="0"/>
          <w:iCs w:val="0"/>
          <w:color w:val="auto"/>
          <w:sz w:val="24"/>
          <w:szCs w:val="24"/>
          <w:highlight w:val="none"/>
        </w:rPr>
        <w:t xml:space="preserve">受磋商有效期约束的所有权利与义务均延长至新的有效期</w:t>
      </w:r>
      <w:r>
        <w:rPr>
          <w:rFonts w:hint="eastAsia" w:ascii="宋体" w:hAnsi="宋体" w:eastAsia="宋体" w:cs="宋体"/>
          <w:bCs/>
          <w:i w:val="0"/>
          <w:iCs w:val="0"/>
          <w:color w:val="auto"/>
          <w:sz w:val="24"/>
          <w:szCs w:val="24"/>
          <w:highlight w:val="none"/>
        </w:rPr>
        <w:t xml:space="preserve">。</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99" w:name="_Hlt26954739"/>
      <w:r/>
      <w:bookmarkEnd w:id="99"/>
      <w:r/>
      <w:bookmarkStart w:id="100" w:name="_Hlt26954852"/>
      <w:r/>
      <w:bookmarkEnd w:id="100"/>
      <w:r/>
      <w:bookmarkStart w:id="101" w:name="_Toc16938540"/>
      <w:r/>
      <w:bookmarkStart w:id="102" w:name="_Toc120614217"/>
      <w:r/>
      <w:bookmarkStart w:id="103" w:name="_Toc513029224"/>
      <w:r/>
      <w:bookmarkStart w:id="104" w:name="_Toc20823296"/>
      <w:r>
        <w:rPr>
          <w:rFonts w:hint="eastAsia" w:ascii="宋体" w:hAnsi="宋体" w:eastAsia="宋体" w:cs="宋体"/>
          <w:b/>
          <w:bCs/>
          <w:i w:val="0"/>
          <w:iCs w:val="0"/>
          <w:color w:val="auto"/>
          <w:sz w:val="24"/>
          <w:szCs w:val="24"/>
          <w:highlight w:val="none"/>
        </w:rPr>
        <w:t xml:space="preserve">四、响应文件的递交</w:t>
      </w:r>
      <w:bookmarkEnd w:id="101"/>
      <w:r/>
      <w:bookmarkEnd w:id="102"/>
      <w:r/>
      <w:bookmarkEnd w:id="103"/>
      <w:r/>
      <w:bookmarkEnd w:id="104"/>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05" w:name="_Toc462564084"/>
      <w:r/>
      <w:bookmarkStart w:id="106" w:name="_Toc513029225"/>
      <w:r/>
      <w:bookmarkStart w:id="107" w:name="_Toc20823297"/>
      <w:r/>
      <w:bookmarkStart w:id="108" w:name="_Toc16938541"/>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、电子磋商</w:t>
      </w:r>
      <w:bookmarkEnd w:id="105"/>
      <w:r/>
      <w:bookmarkEnd w:id="106"/>
      <w:r/>
      <w:bookmarkEnd w:id="107"/>
      <w:r/>
      <w:bookmarkEnd w:id="108"/>
      <w:r>
        <w:rPr>
          <w:rFonts w:hint="eastAsia" w:ascii="宋体" w:hAnsi="宋体" w:eastAsia="宋体" w:cs="宋体"/>
          <w:i w:val="0"/>
          <w:iCs w:val="0"/>
          <w:color w:val="auto"/>
          <w:sz w:val="24"/>
          <w:szCs w:val="24"/>
          <w:highlight w:val="none"/>
        </w:rPr>
        <w:t xml:space="preserve">响应文件的递交</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.1供应商应当按照《操作手册》规定，在提交响应文件截止时间前制作并上传电子响应文件。</w:t>
      </w:r>
      <w:bookmarkStart w:id="109" w:name="_Toc513029226"/>
      <w:r/>
      <w:bookmarkStart w:id="110" w:name="_Toc16938542"/>
      <w:r/>
      <w:bookmarkStart w:id="111" w:name="_Toc20823298"/>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、提交响应文件截止时间</w:t>
      </w:r>
      <w:bookmarkEnd w:id="109"/>
      <w:r/>
      <w:bookmarkEnd w:id="110"/>
      <w:r/>
      <w:bookmarkEnd w:id="111"/>
      <w:r/>
      <w:r/>
    </w:p>
    <w:p>
      <w:pPr>
        <w:ind w:firstLine="480"/>
        <w:pageBreakBefore w:val="0"/>
        <w:spacing w:line="360" w:lineRule="auto"/>
        <w:widowControl w:val="off"/>
        <w:rPr>
          <w:rFonts w:hint="eastAsia" w:ascii="宋体" w:hAnsi="宋体" w:eastAsia="宋体" w:cs="宋体"/>
          <w:bCs/>
          <w:i w:val="0"/>
          <w:iCs w:val="0"/>
          <w:color w:val="auto"/>
          <w:sz w:val="24"/>
          <w:szCs w:val="24"/>
          <w:highlight w:val="none"/>
          <w:u w:val="single"/>
        </w:rPr>
      </w:pPr>
      <w:r>
        <w:rPr>
          <w:rFonts w:hint="eastAsia" w:ascii="宋体" w:hAnsi="宋体" w:cs="宋体"/>
          <w:i w:val="0"/>
          <w:iCs w:val="0"/>
          <w:color w:val="auto"/>
          <w:sz w:val="24"/>
          <w:szCs w:val="24"/>
          <w:highlight w:val="none"/>
          <w:u w:val="single"/>
          <w:lang w:val="en-US" w:eastAsia="zh-CN"/>
        </w:rPr>
        <w:t xml:space="preserve">18</w:t>
      </w:r>
      <w:r>
        <w:rPr>
          <w:rFonts w:hint="eastAsia" w:ascii="宋体" w:hAnsi="宋体" w:eastAsia="宋体" w:cs="宋体"/>
          <w:i w:val="0"/>
          <w:iCs w:val="0"/>
          <w:color w:val="auto"/>
          <w:sz w:val="24"/>
          <w:szCs w:val="24"/>
          <w:highlight w:val="none"/>
          <w:u w:val="single"/>
        </w:rPr>
        <w:t xml:space="preserve">.1</w:t>
      </w:r>
      <w:r>
        <w:rPr>
          <w:rFonts w:hint="eastAsia" w:ascii="宋体" w:hAnsi="宋体" w:eastAsia="宋体" w:cs="宋体"/>
          <w:bCs/>
          <w:i w:val="0"/>
          <w:iCs w:val="0"/>
          <w:color w:val="auto"/>
          <w:sz w:val="24"/>
          <w:szCs w:val="24"/>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供应商应充分考虑到网络环境、网络带宽等风险因素，如因供应商自身原因造成的电子响应文件上传不成功的按照本磋商文件第二章第2</w:t>
      </w: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.3.2条规定做无效响应处理。</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w:t>
      </w:r>
      <w:r>
        <w:rPr>
          <w:rFonts w:hint="eastAsia" w:ascii="宋体" w:hAnsi="宋体" w:eastAsia="宋体" w:cs="宋体"/>
          <w:bCs/>
          <w:i w:val="0"/>
          <w:iCs w:val="0"/>
          <w:color w:val="auto"/>
          <w:sz w:val="24"/>
          <w:szCs w:val="24"/>
          <w:highlight w:val="none"/>
        </w:rPr>
        <w:t xml:space="preserve"> </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12" w:name="_Toc20823299"/>
      <w:r/>
      <w:bookmarkStart w:id="113" w:name="_Toc513029227"/>
      <w:r/>
      <w:bookmarkStart w:id="114" w:name="_Toc16938543"/>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cs="宋体"/>
          <w:i w:val="0"/>
          <w:iCs w:val="0"/>
          <w:color w:val="auto"/>
          <w:sz w:val="24"/>
          <w:szCs w:val="24"/>
          <w:highlight w:val="none"/>
          <w:lang w:val="en-US" w:eastAsia="zh-CN"/>
        </w:rPr>
        <w:t xml:space="preserve">9</w:t>
      </w:r>
      <w:r>
        <w:rPr>
          <w:rFonts w:hint="eastAsia" w:ascii="宋体" w:hAnsi="宋体" w:eastAsia="宋体" w:cs="宋体"/>
          <w:i w:val="0"/>
          <w:iCs w:val="0"/>
          <w:color w:val="auto"/>
          <w:sz w:val="24"/>
          <w:szCs w:val="24"/>
          <w:highlight w:val="none"/>
        </w:rPr>
        <w:t xml:space="preserve">、响应文件</w:t>
      </w:r>
      <w:bookmarkEnd w:id="112"/>
      <w:r/>
      <w:bookmarkEnd w:id="113"/>
      <w:r/>
      <w:bookmarkEnd w:id="114"/>
      <w:r>
        <w:rPr>
          <w:rFonts w:hint="eastAsia" w:ascii="宋体" w:hAnsi="宋体" w:eastAsia="宋体" w:cs="宋体"/>
          <w:i w:val="0"/>
          <w:iCs w:val="0"/>
          <w:color w:val="auto"/>
          <w:sz w:val="24"/>
          <w:szCs w:val="24"/>
          <w:highlight w:val="none"/>
        </w:rPr>
        <w:t xml:space="preserve">的拒收</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1</w:t>
      </w:r>
      <w:r>
        <w:rPr>
          <w:rFonts w:hint="eastAsia" w:ascii="宋体" w:hAnsi="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.1 </w:t>
      </w:r>
      <w:r>
        <w:rPr>
          <w:rFonts w:hint="eastAsia" w:ascii="宋体" w:hAnsi="宋体" w:eastAsia="宋体" w:cs="宋体"/>
          <w:bCs/>
          <w:i w:val="0"/>
          <w:iCs w:val="0"/>
          <w:color w:val="auto"/>
          <w:sz w:val="24"/>
          <w:szCs w:val="24"/>
          <w:highlight w:val="none"/>
          <w:lang w:val="en-US" w:eastAsia="zh-CN"/>
        </w:rPr>
        <w:t xml:space="preserve">招标代理公司</w:t>
      </w:r>
      <w:r>
        <w:rPr>
          <w:rFonts w:hint="eastAsia" w:ascii="宋体" w:hAnsi="宋体" w:eastAsia="宋体" w:cs="宋体"/>
          <w:bCs/>
          <w:i w:val="0"/>
          <w:iCs w:val="0"/>
          <w:color w:val="auto"/>
          <w:sz w:val="24"/>
          <w:szCs w:val="24"/>
          <w:highlight w:val="none"/>
        </w:rPr>
        <w:t xml:space="preserve">拒绝接收在其规定的提交响应文件截止时间后上传的任何电子响应文件。</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15" w:name="_Toc16938544"/>
      <w:r/>
      <w:bookmarkStart w:id="116" w:name="_Toc20823300"/>
      <w:r/>
      <w:bookmarkStart w:id="117" w:name="_Toc513029228"/>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、响应文件的撤回和修改</w:t>
      </w:r>
      <w:bookmarkEnd w:id="115"/>
      <w:r/>
      <w:bookmarkEnd w:id="116"/>
      <w:r/>
      <w:bookmarkEnd w:id="117"/>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.1响应文件的撤回</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.1.1 电子响应文件的撤回</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供应商可在</w:t>
      </w:r>
      <w:r>
        <w:rPr>
          <w:rFonts w:hint="eastAsia" w:ascii="宋体" w:hAnsi="宋体" w:eastAsia="宋体" w:cs="宋体"/>
          <w:bCs/>
          <w:i w:val="0"/>
          <w:iCs w:val="0"/>
          <w:color w:val="auto"/>
          <w:sz w:val="24"/>
          <w:szCs w:val="24"/>
          <w:highlight w:val="none"/>
        </w:rPr>
        <w:t xml:space="preserve">提交响应文件</w:t>
      </w:r>
      <w:r>
        <w:rPr>
          <w:rFonts w:hint="eastAsia" w:ascii="宋体" w:hAnsi="宋体" w:eastAsia="宋体" w:cs="宋体"/>
          <w:i w:val="0"/>
          <w:iCs w:val="0"/>
          <w:color w:val="auto"/>
          <w:sz w:val="24"/>
          <w:szCs w:val="24"/>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供应商可在</w:t>
      </w:r>
      <w:r>
        <w:rPr>
          <w:rFonts w:hint="eastAsia" w:ascii="宋体" w:hAnsi="宋体" w:eastAsia="宋体" w:cs="宋体"/>
          <w:bCs/>
          <w:i w:val="0"/>
          <w:iCs w:val="0"/>
          <w:color w:val="auto"/>
          <w:sz w:val="24"/>
          <w:szCs w:val="24"/>
          <w:highlight w:val="none"/>
        </w:rPr>
        <w:t xml:space="preserve">提交响应文件</w:t>
      </w:r>
      <w:r>
        <w:rPr>
          <w:rFonts w:hint="eastAsia" w:ascii="宋体" w:hAnsi="宋体" w:eastAsia="宋体" w:cs="宋体"/>
          <w:i w:val="0"/>
          <w:iCs w:val="0"/>
          <w:color w:val="auto"/>
          <w:sz w:val="24"/>
          <w:szCs w:val="24"/>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.3</w:t>
      </w:r>
      <w:r>
        <w:rPr>
          <w:rFonts w:hint="eastAsia" w:ascii="宋体" w:hAnsi="宋体" w:eastAsia="宋体" w:cs="宋体"/>
          <w:bCs/>
          <w:i w:val="0"/>
          <w:iCs w:val="0"/>
          <w:color w:val="auto"/>
          <w:sz w:val="24"/>
          <w:szCs w:val="24"/>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.4</w:t>
      </w:r>
      <w:r>
        <w:rPr>
          <w:rFonts w:hint="eastAsia" w:ascii="宋体" w:hAnsi="宋体" w:eastAsia="宋体" w:cs="宋体"/>
          <w:bCs/>
          <w:i w:val="0"/>
          <w:iCs w:val="0"/>
          <w:color w:val="auto"/>
          <w:sz w:val="24"/>
          <w:szCs w:val="24"/>
          <w:highlight w:val="none"/>
        </w:rPr>
        <w:t xml:space="preserve"> 在提交响应文件截止时间至磋商文件中规定的磋商有效期满之间的这段时间内，供应商不得撤回其响应文件。</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118" w:name="_Toc513029229"/>
      <w:r/>
      <w:bookmarkStart w:id="119" w:name="_Toc16938545"/>
      <w:r/>
      <w:bookmarkStart w:id="120" w:name="_Toc120614218"/>
      <w:r/>
      <w:bookmarkStart w:id="121" w:name="_Toc20823301"/>
      <w:r>
        <w:rPr>
          <w:rFonts w:hint="eastAsia" w:ascii="宋体" w:hAnsi="宋体" w:eastAsia="宋体" w:cs="宋体"/>
          <w:b/>
          <w:bCs/>
          <w:i w:val="0"/>
          <w:iCs w:val="0"/>
          <w:color w:val="auto"/>
          <w:sz w:val="24"/>
          <w:szCs w:val="24"/>
          <w:highlight w:val="none"/>
        </w:rPr>
        <w:t xml:space="preserve">五、响应文件的解密与评审</w:t>
      </w:r>
      <w:bookmarkEnd w:id="118"/>
      <w:r/>
      <w:bookmarkEnd w:id="119"/>
      <w:r/>
      <w:bookmarkEnd w:id="120"/>
      <w:r/>
      <w:bookmarkEnd w:id="121"/>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22" w:name="_Toc20823302"/>
      <w:r/>
      <w:bookmarkStart w:id="123" w:name="_Toc16938546"/>
      <w:r/>
      <w:bookmarkStart w:id="124" w:name="_Toc513029230"/>
      <w:r>
        <w:rPr>
          <w:rFonts w:hint="eastAsia" w:ascii="宋体" w:hAnsi="宋体" w:cs="宋体"/>
          <w:i w:val="0"/>
          <w:iCs w:val="0"/>
          <w:color w:val="auto"/>
          <w:sz w:val="24"/>
          <w:szCs w:val="24"/>
          <w:highlight w:val="none"/>
          <w:lang w:val="en-US" w:eastAsia="zh-CN"/>
        </w:rPr>
        <w:t xml:space="preserve">21</w:t>
      </w:r>
      <w:r>
        <w:rPr>
          <w:rFonts w:hint="eastAsia" w:ascii="宋体" w:hAnsi="宋体" w:eastAsia="宋体" w:cs="宋体"/>
          <w:i w:val="0"/>
          <w:iCs w:val="0"/>
          <w:color w:val="auto"/>
          <w:sz w:val="24"/>
          <w:szCs w:val="24"/>
          <w:highlight w:val="none"/>
        </w:rPr>
        <w:t xml:space="preserve">、</w:t>
      </w:r>
      <w:bookmarkEnd w:id="122"/>
      <w:r/>
      <w:bookmarkEnd w:id="123"/>
      <w:r/>
      <w:bookmarkEnd w:id="124"/>
      <w:r>
        <w:rPr>
          <w:rFonts w:hint="eastAsia" w:ascii="宋体" w:hAnsi="宋体" w:eastAsia="宋体" w:cs="宋体"/>
          <w:i w:val="0"/>
          <w:iCs w:val="0"/>
          <w:color w:val="auto"/>
          <w:sz w:val="24"/>
          <w:szCs w:val="24"/>
          <w:highlight w:val="none"/>
        </w:rPr>
        <w:t xml:space="preserve">响应文件解密</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21</w:t>
      </w:r>
      <w:r>
        <w:rPr>
          <w:rFonts w:hint="eastAsia" w:ascii="宋体" w:hAnsi="宋体" w:eastAsia="宋体" w:cs="宋体"/>
          <w:i w:val="0"/>
          <w:iCs w:val="0"/>
          <w:color w:val="auto"/>
          <w:sz w:val="24"/>
          <w:szCs w:val="24"/>
          <w:highlight w:val="none"/>
        </w:rPr>
        <w:t xml:space="preserve">.1供应商应当按照《操作手册》规定，在苏采云系统规定的时间内对磋商响应文件进行解密。</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25" w:name="_Toc513029231"/>
      <w:r/>
      <w:bookmarkStart w:id="126" w:name="_Toc16938547"/>
      <w:r/>
      <w:bookmarkStart w:id="127" w:name="_Toc20823303"/>
      <w:r>
        <w:rPr>
          <w:rFonts w:hint="eastAsia" w:ascii="宋体" w:hAnsi="宋体" w:cs="宋体"/>
          <w:i w:val="0"/>
          <w:iCs w:val="0"/>
          <w:color w:val="auto"/>
          <w:sz w:val="24"/>
          <w:szCs w:val="24"/>
          <w:highlight w:val="none"/>
          <w:lang w:val="en-US" w:eastAsia="zh-CN"/>
        </w:rPr>
        <w:t xml:space="preserve">22</w:t>
      </w:r>
      <w:r>
        <w:rPr>
          <w:rFonts w:hint="eastAsia" w:ascii="宋体" w:hAnsi="宋体" w:eastAsia="宋体" w:cs="宋体"/>
          <w:i w:val="0"/>
          <w:iCs w:val="0"/>
          <w:color w:val="auto"/>
          <w:sz w:val="24"/>
          <w:szCs w:val="24"/>
          <w:highlight w:val="none"/>
        </w:rPr>
        <w:t xml:space="preserve">、磋商小组</w:t>
      </w:r>
      <w:r/>
    </w:p>
    <w:p>
      <w:pPr>
        <w:ind w:firstLine="48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22</w:t>
      </w: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i w:val="0"/>
          <w:iCs w:val="0"/>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22</w:t>
      </w:r>
      <w:r>
        <w:rPr>
          <w:rFonts w:hint="eastAsia" w:ascii="宋体" w:hAnsi="宋体" w:eastAsia="宋体" w:cs="宋体"/>
          <w:i w:val="0"/>
          <w:iCs w:val="0"/>
          <w:color w:val="auto"/>
          <w:sz w:val="24"/>
          <w:szCs w:val="24"/>
          <w:highlight w:val="none"/>
        </w:rPr>
        <w:t xml:space="preserve">.2磋商小组独立工作，负责评审所有响应文件并确定成交侯选人。</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cs="宋体"/>
          <w:i w:val="0"/>
          <w:iCs w:val="0"/>
          <w:color w:val="auto"/>
          <w:sz w:val="24"/>
          <w:szCs w:val="24"/>
          <w:highlight w:val="none"/>
          <w:lang w:val="en-US" w:eastAsia="zh-CN"/>
        </w:rPr>
        <w:t xml:space="preserve">23</w:t>
      </w:r>
      <w:r>
        <w:rPr>
          <w:rFonts w:hint="eastAsia" w:ascii="宋体" w:hAnsi="宋体" w:eastAsia="宋体" w:cs="宋体"/>
          <w:i w:val="0"/>
          <w:iCs w:val="0"/>
          <w:color w:val="auto"/>
          <w:sz w:val="24"/>
          <w:szCs w:val="24"/>
          <w:highlight w:val="none"/>
        </w:rPr>
        <w:t xml:space="preserve">、评审过程的保密与公正</w:t>
      </w:r>
      <w:bookmarkEnd w:id="125"/>
      <w:r/>
      <w:bookmarkEnd w:id="126"/>
      <w:r/>
      <w:bookmarkEnd w:id="127"/>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磋商小组、采购人和</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.2在评审过程中，供应商不得以任何行为影响磋商评审过程，否则其响应文件将被作为无效响应文件。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.3在项目评审期间，</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.4 </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和磋商小组不向未成交的供应商解释未成交原因，也不公布评审过程中的相关细节。</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28" w:name="_Toc513029232"/>
      <w:r/>
      <w:bookmarkStart w:id="129" w:name="_Toc20823304"/>
      <w:r/>
      <w:bookmarkStart w:id="130" w:name="_Toc16938548"/>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、评审过程中的的澄清</w:t>
      </w:r>
      <w:bookmarkEnd w:id="128"/>
      <w:r/>
      <w:bookmarkEnd w:id="129"/>
      <w:r/>
      <w:bookmarkEnd w:id="130"/>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.3 接到磋商小组澄清、说明和更正要求的供应商如未按规定做出澄清、说明和 更正，其风险由供应商自行承担。</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31" w:name="_Toc513029233"/>
      <w:r/>
      <w:bookmarkStart w:id="132" w:name="_Toc16938549"/>
      <w:r/>
      <w:bookmarkStart w:id="133" w:name="_Toc20823305"/>
      <w:r>
        <w:rPr>
          <w:rFonts w:hint="eastAsia" w:ascii="宋体" w:hAnsi="宋体" w:cs="宋体"/>
          <w:i w:val="0"/>
          <w:iCs w:val="0"/>
          <w:color w:val="auto"/>
          <w:sz w:val="24"/>
          <w:szCs w:val="24"/>
          <w:highlight w:val="none"/>
          <w:lang w:val="en-US" w:eastAsia="zh-CN"/>
        </w:rPr>
        <w:t xml:space="preserve">25</w:t>
      </w:r>
      <w:r>
        <w:rPr>
          <w:rFonts w:hint="eastAsia" w:ascii="宋体" w:hAnsi="宋体" w:eastAsia="宋体" w:cs="宋体"/>
          <w:i w:val="0"/>
          <w:iCs w:val="0"/>
          <w:color w:val="auto"/>
          <w:sz w:val="24"/>
          <w:szCs w:val="24"/>
          <w:highlight w:val="none"/>
        </w:rPr>
        <w:t xml:space="preserve">、对响应文件的审</w:t>
      </w:r>
      <w:bookmarkEnd w:id="131"/>
      <w:r/>
      <w:bookmarkEnd w:id="132"/>
      <w:r/>
      <w:bookmarkEnd w:id="133"/>
      <w:r>
        <w:rPr>
          <w:rFonts w:hint="eastAsia" w:ascii="宋体" w:hAnsi="宋体" w:eastAsia="宋体" w:cs="宋体"/>
          <w:i w:val="0"/>
          <w:iCs w:val="0"/>
          <w:color w:val="auto"/>
          <w:sz w:val="24"/>
          <w:szCs w:val="24"/>
          <w:highlight w:val="none"/>
        </w:rPr>
        <w:t xml:space="preserve">查</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.1.3 未通过资格审查或符合性审查的供应商，磋商小组将在</w:t>
      </w:r>
      <w:r>
        <w:rPr>
          <w:rFonts w:hint="eastAsia" w:ascii="宋体" w:hAnsi="宋体" w:eastAsia="宋体" w:cs="宋体"/>
          <w:i w:val="0"/>
          <w:iCs w:val="0"/>
          <w:color w:val="auto"/>
          <w:sz w:val="24"/>
          <w:szCs w:val="24"/>
          <w:highlight w:val="none"/>
        </w:rPr>
        <w:t xml:space="preserve">苏采云系统</w:t>
      </w:r>
      <w:r>
        <w:rPr>
          <w:rFonts w:hint="eastAsia" w:ascii="宋体" w:hAnsi="宋体" w:eastAsia="宋体" w:cs="宋体"/>
          <w:bCs/>
          <w:i w:val="0"/>
          <w:iCs w:val="0"/>
          <w:color w:val="auto"/>
          <w:sz w:val="24"/>
          <w:szCs w:val="24"/>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.3.1供应商在</w:t>
      </w:r>
      <w:r>
        <w:rPr>
          <w:rFonts w:hint="eastAsia" w:ascii="宋体" w:hAnsi="宋体" w:eastAsia="宋体" w:cs="宋体"/>
          <w:i w:val="0"/>
          <w:iCs w:val="0"/>
          <w:color w:val="auto"/>
          <w:sz w:val="24"/>
          <w:szCs w:val="24"/>
          <w:highlight w:val="none"/>
        </w:rPr>
        <w:t xml:space="preserve">苏采云系统</w:t>
      </w:r>
      <w:r>
        <w:rPr>
          <w:rFonts w:hint="eastAsia" w:ascii="宋体" w:hAnsi="宋体" w:eastAsia="宋体" w:cs="宋体"/>
          <w:bCs/>
          <w:i w:val="0"/>
          <w:iCs w:val="0"/>
          <w:color w:val="auto"/>
          <w:sz w:val="24"/>
          <w:szCs w:val="24"/>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.3.6不符合磋商文件中规定的实质性要求和条件的</w:t>
      </w:r>
      <w:r>
        <w:rPr>
          <w:rFonts w:hint="eastAsia" w:ascii="宋体" w:hAnsi="宋体" w:eastAsia="宋体" w:cs="宋体"/>
          <w:bCs/>
          <w:i w:val="0"/>
          <w:iCs w:val="0"/>
          <w:color w:val="auto"/>
          <w:sz w:val="24"/>
          <w:szCs w:val="24"/>
          <w:highlight w:val="none"/>
          <w:u w:val="none"/>
        </w:rPr>
        <w:t xml:space="preserve">。</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.3.8  响应文件含有采购人不能接受的附加条件的。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w:t>
      </w:r>
      <w:r>
        <w:rPr>
          <w:rFonts w:hint="eastAsia" w:ascii="宋体" w:hAnsi="宋体" w:eastAsia="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.5</w:t>
      </w:r>
      <w:r>
        <w:rPr>
          <w:rFonts w:hint="eastAsia" w:ascii="宋体" w:hAnsi="宋体" w:eastAsia="宋体" w:cs="宋体"/>
          <w:bCs/>
          <w:i w:val="0"/>
          <w:iCs w:val="0"/>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bookmarkStart w:id="134" w:name="_Toc20823306"/>
      <w:r/>
      <w:bookmarkStart w:id="135" w:name="_Toc16938550"/>
      <w:r/>
      <w:bookmarkStart w:id="136" w:name="_Toc513029234"/>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.6供应商在项目评审全过程中应保持通讯畅通，并安排专人与</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及磋商小组联系。</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w:t>
      </w:r>
      <w:bookmarkEnd w:id="134"/>
      <w:r/>
      <w:bookmarkEnd w:id="135"/>
      <w:r/>
      <w:bookmarkEnd w:id="136"/>
      <w:r>
        <w:rPr>
          <w:rFonts w:hint="eastAsia" w:ascii="宋体" w:hAnsi="宋体" w:eastAsia="宋体" w:cs="宋体"/>
          <w:i w:val="0"/>
          <w:iCs w:val="0"/>
          <w:color w:val="auto"/>
          <w:sz w:val="24"/>
          <w:szCs w:val="24"/>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.3.3除本磋商文件第二章第2</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.1.2条第三款规定的情形外，在采购过程中符合要求的供应商或者最后报价未超过采购预算的供应商不足3家的。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.3.4在苏采云系统规定时间内成功解密电子响应文件的供应商不足3家的。</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137" w:name="_Toc120614219"/>
      <w:r/>
      <w:bookmarkStart w:id="138" w:name="_Toc20823307"/>
      <w:r/>
      <w:bookmarkStart w:id="139" w:name="_Toc513029235"/>
      <w:r/>
      <w:bookmarkStart w:id="140" w:name="_Toc16938551"/>
      <w:r>
        <w:rPr>
          <w:rFonts w:hint="eastAsia" w:ascii="宋体" w:hAnsi="宋体" w:eastAsia="宋体" w:cs="宋体"/>
          <w:b/>
          <w:bCs/>
          <w:i w:val="0"/>
          <w:iCs w:val="0"/>
          <w:color w:val="auto"/>
          <w:sz w:val="24"/>
          <w:szCs w:val="24"/>
          <w:highlight w:val="none"/>
        </w:rPr>
        <w:t xml:space="preserve">六、</w:t>
      </w:r>
      <w:bookmarkEnd w:id="137"/>
      <w:r/>
      <w:bookmarkEnd w:id="138"/>
      <w:r/>
      <w:bookmarkEnd w:id="139"/>
      <w:r/>
      <w:bookmarkEnd w:id="140"/>
      <w:r>
        <w:rPr>
          <w:rFonts w:hint="eastAsia" w:ascii="宋体" w:hAnsi="宋体" w:eastAsia="宋体" w:cs="宋体"/>
          <w:b/>
          <w:bCs/>
          <w:i w:val="0"/>
          <w:iCs w:val="0"/>
          <w:color w:val="auto"/>
          <w:sz w:val="24"/>
          <w:szCs w:val="24"/>
          <w:highlight w:val="none"/>
        </w:rPr>
        <w:t xml:space="preserve">成交</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bookmarkStart w:id="141" w:name="_Toc513029238"/>
      <w:r/>
      <w:bookmarkStart w:id="142" w:name="_Toc16938554"/>
      <w:r/>
      <w:bookmarkStart w:id="143" w:name="_Toc20823310"/>
      <w:r>
        <w:rPr>
          <w:rFonts w:hint="eastAsia" w:ascii="宋体" w:hAnsi="宋体" w:eastAsia="宋体" w:cs="宋体"/>
          <w:bCs/>
          <w:i w:val="0"/>
          <w:iCs w:val="0"/>
          <w:color w:val="auto"/>
          <w:sz w:val="24"/>
          <w:szCs w:val="24"/>
          <w:highlight w:val="none"/>
        </w:rPr>
        <w:t xml:space="preserve">2</w:t>
      </w:r>
      <w:r>
        <w:rPr>
          <w:rFonts w:hint="eastAsia" w:ascii="宋体" w:hAnsi="宋体" w:eastAsia="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w:t>
      </w:r>
      <w:bookmarkEnd w:id="141"/>
      <w:r>
        <w:rPr>
          <w:rFonts w:hint="eastAsia" w:ascii="宋体" w:hAnsi="宋体" w:eastAsia="宋体" w:cs="宋体"/>
          <w:bCs/>
          <w:i w:val="0"/>
          <w:iCs w:val="0"/>
          <w:color w:val="auto"/>
          <w:sz w:val="24"/>
          <w:szCs w:val="24"/>
          <w:highlight w:val="none"/>
        </w:rPr>
        <w:t xml:space="preserve">确定</w:t>
      </w:r>
      <w:bookmarkEnd w:id="142"/>
      <w:r/>
      <w:bookmarkEnd w:id="143"/>
      <w:r>
        <w:rPr>
          <w:rFonts w:hint="eastAsia" w:ascii="宋体" w:hAnsi="宋体" w:eastAsia="宋体" w:cs="宋体"/>
          <w:bCs/>
          <w:i w:val="0"/>
          <w:iCs w:val="0"/>
          <w:color w:val="auto"/>
          <w:sz w:val="24"/>
          <w:szCs w:val="24"/>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1"/>
          <w:highlight w:val="none"/>
        </w:rPr>
      </w:pPr>
      <w:r/>
      <w:bookmarkStart w:id="144" w:name="_Toc200451960"/>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.3.2与评审专家、采购人、其他供应商或者</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.3.3向评审专家、采购人或</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.3.6成交后无正当理由拒不与采购人签订政府采购合同或者未按照磋商文件确定的事项签订政府采购合同的。</w:t>
      </w:r>
      <w:r/>
    </w:p>
    <w:p>
      <w:pPr>
        <w:ind w:firstLine="480"/>
        <w:keepLines/>
        <w:keepNext/>
        <w:pageBreakBefore w:val="0"/>
        <w:spacing w:line="360" w:lineRule="auto"/>
        <w:widowControl w:val="off"/>
        <w:rPr>
          <w:rFonts w:hint="eastAsia" w:ascii="宋体" w:hAnsi="宋体" w:eastAsia="宋体" w:cs="宋体"/>
          <w:bCs/>
          <w:color w:val="auto"/>
          <w:sz w:val="24"/>
          <w:szCs w:val="21"/>
          <w:highlight w:val="none"/>
        </w:rPr>
        <w:outlineLvl w:val="3"/>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.3.7将政府采购合同转包的。</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、质疑处理</w:t>
      </w:r>
      <w:bookmarkEnd w:id="144"/>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i w:val="0"/>
          <w:iCs w:val="0"/>
          <w:color w:val="auto"/>
          <w:sz w:val="24"/>
          <w:szCs w:val="24"/>
          <w:highlight w:val="none"/>
        </w:rPr>
        <w:br w:type="textWrapping" w:clear="all"/>
      </w:r>
      <w:r>
        <w:rPr>
          <w:rFonts w:hint="eastAsia" w:ascii="宋体" w:hAnsi="宋体" w:eastAsia="宋体" w:cs="宋体"/>
          <w:i w:val="0"/>
          <w:iCs w:val="0"/>
          <w:color w:val="auto"/>
          <w:sz w:val="24"/>
          <w:szCs w:val="24"/>
          <w:highlight w:val="none"/>
        </w:rPr>
        <w:t xml:space="preserve">　　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.2.2对采购过程提出质疑的，为各采购程序环节结束之日。</w:t>
      </w:r>
      <w:r>
        <w:rPr>
          <w:rFonts w:hint="eastAsia" w:ascii="宋体" w:hAnsi="宋体" w:eastAsia="宋体" w:cs="宋体"/>
          <w:i w:val="0"/>
          <w:iCs w:val="0"/>
          <w:color w:val="auto"/>
          <w:sz w:val="24"/>
          <w:szCs w:val="24"/>
          <w:highlight w:val="none"/>
        </w:rPr>
        <w:br w:type="textWrapping" w:clear="all"/>
      </w:r>
      <w:r>
        <w:rPr>
          <w:rFonts w:hint="eastAsia" w:ascii="宋体" w:hAnsi="宋体" w:eastAsia="宋体" w:cs="宋体"/>
          <w:i w:val="0"/>
          <w:iCs w:val="0"/>
          <w:color w:val="auto"/>
          <w:sz w:val="24"/>
          <w:szCs w:val="24"/>
          <w:highlight w:val="none"/>
        </w:rPr>
        <w:t xml:space="preserve">　　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i w:val="0"/>
          <w:iCs w:val="0"/>
          <w:color w:val="auto"/>
          <w:sz w:val="24"/>
          <w:szCs w:val="24"/>
          <w:highlight w:val="none"/>
          <w:lang w:val="en-US" w:eastAsia="zh-CN"/>
        </w:rPr>
        <w:t xml:space="preserve">代理单位</w:t>
      </w:r>
      <w:r>
        <w:rPr>
          <w:rFonts w:hint="eastAsia" w:ascii="宋体" w:hAnsi="宋体" w:eastAsia="宋体" w:cs="宋体"/>
          <w:i w:val="0"/>
          <w:iCs w:val="0"/>
          <w:color w:val="auto"/>
          <w:sz w:val="24"/>
          <w:szCs w:val="24"/>
          <w:highlight w:val="none"/>
        </w:rPr>
        <w:t xml:space="preserve">提出，由</w:t>
      </w:r>
      <w:r>
        <w:rPr>
          <w:rFonts w:hint="eastAsia" w:ascii="宋体" w:hAnsi="宋体" w:eastAsia="宋体" w:cs="宋体"/>
          <w:i w:val="0"/>
          <w:iCs w:val="0"/>
          <w:color w:val="auto"/>
          <w:sz w:val="24"/>
          <w:szCs w:val="24"/>
          <w:highlight w:val="none"/>
          <w:lang w:val="en-US" w:eastAsia="zh-CN"/>
        </w:rPr>
        <w:t xml:space="preserve">代理单位</w:t>
      </w:r>
      <w:r>
        <w:rPr>
          <w:rFonts w:hint="eastAsia" w:ascii="宋体" w:hAnsi="宋体" w:eastAsia="宋体" w:cs="宋体"/>
          <w:i w:val="0"/>
          <w:iCs w:val="0"/>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采购人及</w:t>
      </w:r>
      <w:r>
        <w:rPr>
          <w:rFonts w:hint="eastAsia" w:ascii="宋体" w:hAnsi="宋体" w:eastAsia="宋体" w:cs="宋体"/>
          <w:i w:val="0"/>
          <w:iCs w:val="0"/>
          <w:color w:val="auto"/>
          <w:sz w:val="24"/>
          <w:szCs w:val="24"/>
          <w:highlight w:val="none"/>
          <w:lang w:val="en-US" w:eastAsia="zh-CN"/>
        </w:rPr>
        <w:t xml:space="preserve">代理单位</w:t>
      </w:r>
      <w:r>
        <w:rPr>
          <w:rFonts w:hint="eastAsia" w:ascii="宋体" w:hAnsi="宋体" w:eastAsia="宋体" w:cs="宋体"/>
          <w:i w:val="0"/>
          <w:iCs w:val="0"/>
          <w:color w:val="auto"/>
          <w:sz w:val="24"/>
          <w:szCs w:val="24"/>
          <w:highlight w:val="none"/>
        </w:rPr>
        <w:t xml:space="preserve">只接收以纸质原件形式送达的质疑,建议供应商尽量通过邮寄方式提交质疑（采购人和</w:t>
      </w:r>
      <w:r>
        <w:rPr>
          <w:rFonts w:hint="eastAsia" w:ascii="宋体" w:hAnsi="宋体" w:eastAsia="宋体" w:cs="宋体"/>
          <w:i w:val="0"/>
          <w:iCs w:val="0"/>
          <w:color w:val="auto"/>
          <w:sz w:val="24"/>
          <w:szCs w:val="24"/>
          <w:highlight w:val="none"/>
          <w:lang w:val="en-US" w:eastAsia="zh-CN"/>
        </w:rPr>
        <w:t xml:space="preserve">代理单位</w:t>
      </w:r>
      <w:r>
        <w:rPr>
          <w:rFonts w:hint="eastAsia" w:ascii="宋体" w:hAnsi="宋体" w:eastAsia="宋体" w:cs="宋体"/>
          <w:i w:val="0"/>
          <w:iCs w:val="0"/>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cs="宋体"/>
          <w:bCs/>
          <w:i w:val="0"/>
          <w:iCs w:val="0"/>
          <w:color w:val="auto"/>
          <w:sz w:val="24"/>
          <w:szCs w:val="24"/>
          <w:highlight w:val="none"/>
          <w:lang w:val="en-US" w:eastAsia="zh-CN"/>
        </w:rPr>
        <w:t xml:space="preserve">29</w:t>
      </w:r>
      <w:r>
        <w:rPr>
          <w:rFonts w:hint="eastAsia" w:ascii="宋体" w:hAnsi="宋体" w:eastAsia="宋体" w:cs="宋体"/>
          <w:bCs/>
          <w:i w:val="0"/>
          <w:iCs w:val="0"/>
          <w:color w:val="auto"/>
          <w:sz w:val="24"/>
          <w:szCs w:val="24"/>
          <w:highlight w:val="none"/>
        </w:rPr>
        <w:t xml:space="preserve">、成交通知书</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.1成交结果确定后，</w:t>
      </w:r>
      <w:r>
        <w:rPr>
          <w:rFonts w:hint="eastAsia" w:ascii="宋体" w:hAnsi="宋体" w:eastAsia="宋体" w:cs="宋体"/>
          <w:i w:val="0"/>
          <w:iCs w:val="0"/>
          <w:color w:val="auto"/>
          <w:sz w:val="24"/>
          <w:szCs w:val="24"/>
          <w:highlight w:val="none"/>
          <w:lang w:val="en-US" w:eastAsia="zh-CN"/>
        </w:rPr>
        <w:t xml:space="preserve">招标人</w:t>
      </w:r>
      <w:r>
        <w:rPr>
          <w:rFonts w:hint="eastAsia" w:ascii="宋体" w:hAnsi="宋体" w:eastAsia="宋体" w:cs="宋体"/>
          <w:i w:val="0"/>
          <w:iCs w:val="0"/>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145" w:name="_Toc20823308"/>
      <w:r/>
      <w:bookmarkStart w:id="146" w:name="_Toc513029236"/>
      <w:r/>
      <w:bookmarkStart w:id="147" w:name="_Toc16938552"/>
      <w:r/>
      <w:bookmarkStart w:id="148" w:name="_Toc120614220"/>
      <w:r>
        <w:rPr>
          <w:rFonts w:hint="eastAsia" w:ascii="宋体" w:hAnsi="宋体" w:eastAsia="宋体" w:cs="宋体"/>
          <w:b/>
          <w:bCs/>
          <w:i w:val="0"/>
          <w:iCs w:val="0"/>
          <w:color w:val="auto"/>
          <w:sz w:val="24"/>
          <w:szCs w:val="24"/>
          <w:highlight w:val="none"/>
        </w:rPr>
        <w:t xml:space="preserve">七、授予合同</w:t>
      </w:r>
      <w:bookmarkEnd w:id="145"/>
      <w:r/>
      <w:bookmarkEnd w:id="146"/>
      <w:r/>
      <w:bookmarkEnd w:id="147"/>
      <w:r/>
      <w:bookmarkEnd w:id="148"/>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bookmarkStart w:id="149" w:name="_Toc20823309"/>
      <w:r/>
      <w:bookmarkStart w:id="150" w:name="_Toc16938553"/>
      <w:r/>
      <w:bookmarkStart w:id="151" w:name="_Toc513029237"/>
      <w:r>
        <w:rPr>
          <w:rFonts w:hint="eastAsia" w:ascii="宋体" w:hAnsi="宋体" w:cs="宋体"/>
          <w:bCs/>
          <w:i w:val="0"/>
          <w:iCs w:val="0"/>
          <w:color w:val="auto"/>
          <w:sz w:val="24"/>
          <w:szCs w:val="24"/>
          <w:highlight w:val="none"/>
          <w:lang w:val="en-US" w:eastAsia="zh-CN"/>
        </w:rPr>
        <w:t xml:space="preserve">30</w:t>
      </w:r>
      <w:r>
        <w:rPr>
          <w:rFonts w:hint="eastAsia" w:ascii="宋体" w:hAnsi="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签订合同</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30</w:t>
      </w:r>
      <w:r>
        <w:rPr>
          <w:rFonts w:hint="eastAsia" w:ascii="宋体" w:hAnsi="宋体" w:eastAsia="宋体" w:cs="宋体"/>
          <w:i w:val="0"/>
          <w:iCs w:val="0"/>
          <w:color w:val="auto"/>
          <w:sz w:val="24"/>
          <w:szCs w:val="24"/>
          <w:highlight w:val="none"/>
        </w:rPr>
        <w:t xml:space="preserve">.l成交供应商应当在成交通知书发出之日起三十日内，按照磋商文件确定的事项与采购人签订政府采购合同。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30</w:t>
      </w:r>
      <w:r>
        <w:rPr>
          <w:rFonts w:hint="eastAsia" w:ascii="宋体" w:hAnsi="宋体" w:eastAsia="宋体" w:cs="宋体"/>
          <w:i w:val="0"/>
          <w:iCs w:val="0"/>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0</w:t>
      </w:r>
      <w:r>
        <w:rPr>
          <w:rFonts w:hint="eastAsia" w:ascii="宋体" w:hAnsi="宋体" w:eastAsia="宋体" w:cs="宋体"/>
          <w:i w:val="0"/>
          <w:iCs w:val="0"/>
          <w:color w:val="auto"/>
          <w:sz w:val="24"/>
          <w:szCs w:val="24"/>
          <w:highlight w:val="none"/>
        </w:rPr>
        <w:t xml:space="preserve">.3 签订合同后，</w:t>
      </w:r>
      <w:r>
        <w:rPr>
          <w:rFonts w:hint="eastAsia" w:ascii="宋体" w:hAnsi="宋体" w:eastAsia="宋体" w:cs="宋体"/>
          <w:i w:val="0"/>
          <w:iCs w:val="0"/>
          <w:color w:val="auto"/>
          <w:sz w:val="24"/>
          <w:szCs w:val="24"/>
          <w:highlight w:val="none"/>
          <w:u w:val="single"/>
        </w:rPr>
        <w:t xml:space="preserve">成交供应商不得将合同标的进行转包</w:t>
      </w:r>
      <w:r>
        <w:rPr>
          <w:rFonts w:hint="eastAsia" w:ascii="宋体" w:hAnsi="宋体" w:eastAsia="宋体" w:cs="宋体"/>
          <w:i w:val="0"/>
          <w:iCs w:val="0"/>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cs="宋体"/>
          <w:bCs/>
          <w:i w:val="0"/>
          <w:iCs w:val="0"/>
          <w:color w:val="auto"/>
          <w:sz w:val="24"/>
          <w:szCs w:val="24"/>
          <w:highlight w:val="none"/>
          <w:lang w:val="en-US" w:eastAsia="zh-CN"/>
        </w:rPr>
        <w:t xml:space="preserve">31</w:t>
      </w:r>
      <w:r>
        <w:rPr>
          <w:rFonts w:hint="eastAsia" w:ascii="宋体" w:hAnsi="宋体" w:eastAsia="宋体" w:cs="宋体"/>
          <w:bCs/>
          <w:i w:val="0"/>
          <w:iCs w:val="0"/>
          <w:color w:val="auto"/>
          <w:sz w:val="24"/>
          <w:szCs w:val="24"/>
          <w:highlight w:val="none"/>
        </w:rPr>
        <w:t xml:space="preserve">、标的物的追加</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9"/>
      <w:r/>
      <w:bookmarkEnd w:id="150"/>
      <w:r/>
      <w:bookmarkEnd w:id="151"/>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eastAsia="宋体" w:cs="宋体"/>
          <w:bCs/>
          <w:i w:val="0"/>
          <w:iCs w:val="0"/>
          <w:color w:val="auto"/>
          <w:sz w:val="24"/>
          <w:szCs w:val="24"/>
          <w:highlight w:val="none"/>
          <w:lang w:val="en-US" w:eastAsia="zh-CN"/>
        </w:rPr>
        <w:t xml:space="preserve">32.</w:t>
      </w:r>
      <w:r>
        <w:rPr>
          <w:rFonts w:hint="eastAsia" w:ascii="宋体" w:hAnsi="宋体" w:eastAsia="宋体" w:cs="宋体"/>
          <w:bCs/>
          <w:i w:val="0"/>
          <w:iCs w:val="0"/>
          <w:color w:val="auto"/>
          <w:sz w:val="24"/>
          <w:szCs w:val="24"/>
          <w:highlight w:val="none"/>
        </w:rPr>
        <w:t xml:space="preserve">履约保证金</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32.1</w:t>
      </w:r>
      <w:r>
        <w:rPr>
          <w:rFonts w:hint="eastAsia" w:ascii="宋体" w:hAnsi="宋体" w:eastAsia="宋体" w:cs="宋体"/>
          <w:bCs/>
          <w:i w:val="0"/>
          <w:iCs w:val="0"/>
          <w:color w:val="auto"/>
          <w:sz w:val="24"/>
          <w:szCs w:val="24"/>
          <w:highlight w:val="none"/>
        </w:rPr>
        <w:t xml:space="preserve">中标供应商在收到中标通知书后，在签订合同前向采购人缴纳履约保证金。本项目履约保证金为合同总额的10%，履约保证金应当以支票、汇票、本票或者金融机构、担保机构出具的保函</w:t>
      </w:r>
      <w:r>
        <w:rPr>
          <w:rFonts w:hint="eastAsia" w:ascii="宋体" w:hAnsi="宋体" w:cs="宋体"/>
          <w:bCs/>
          <w:i w:val="0"/>
          <w:iCs w:val="0"/>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需为不可撤销的见索即付独立保函</w:t>
      </w:r>
      <w:r>
        <w:rPr>
          <w:rFonts w:hint="eastAsia" w:ascii="宋体" w:hAnsi="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等非现金形式提交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cs="宋体"/>
          <w:bCs/>
          <w:color w:val="auto"/>
          <w:sz w:val="24"/>
          <w:szCs w:val="24"/>
          <w:highlight w:val="none"/>
          <w:lang w:eastAsia="zh-CN"/>
        </w:rPr>
        <w:t xml:space="preserve">保函担保有效期开具时间为合同约定工期基础延长</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lang w:eastAsia="zh-CN"/>
        </w:rPr>
        <w:t xml:space="preserve">个月）</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逾期视为乙方自动放弃</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资格，甲方有权按照相关程序另行确定</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供应商。</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32.2</w:t>
      </w:r>
      <w:r>
        <w:rPr>
          <w:rFonts w:hint="eastAsia" w:ascii="宋体" w:hAnsi="宋体" w:eastAsia="宋体" w:cs="宋体"/>
          <w:bCs/>
          <w:i w:val="0"/>
          <w:iCs w:val="0"/>
          <w:color w:val="auto"/>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供应商未缴纳履约保证金，采购人有权取消本次采购中标决定。</w:t>
      </w:r>
      <w:r/>
    </w:p>
    <w:p>
      <w:pPr>
        <w:ind w:firstLine="480"/>
        <w:pageBreakBefore w:val="0"/>
        <w:spacing w:line="360" w:lineRule="auto"/>
        <w:widowControl w:val="off"/>
        <w:rPr>
          <w:rFonts w:hint="default" w:eastAsia="宋体"/>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32.3</w:t>
      </w:r>
      <w:r>
        <w:rPr>
          <w:rFonts w:hint="eastAsia" w:ascii="宋体" w:hAnsi="宋体" w:eastAsia="宋体" w:cs="宋体"/>
          <w:bCs/>
          <w:i w:val="0"/>
          <w:iCs w:val="0"/>
          <w:color w:val="auto"/>
          <w:sz w:val="24"/>
          <w:szCs w:val="24"/>
          <w:highlight w:val="none"/>
        </w:rPr>
        <w:t xml:space="preserve">履约保证金的退还：</w:t>
      </w:r>
      <w:r>
        <w:rPr>
          <w:rFonts w:hint="eastAsia" w:ascii="宋体" w:hAnsi="宋体" w:eastAsia="宋体" w:cs="宋体"/>
          <w:color w:val="auto"/>
          <w:sz w:val="24"/>
          <w:szCs w:val="24"/>
          <w:highlight w:val="none"/>
        </w:rPr>
        <w:t xml:space="preserve">合同履行结束后，</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供应商办理履约保证金退还手续。采购人逾期退还履约保证金的，按照同期银行活期存款利率承担违约责任</w:t>
      </w:r>
      <w:r>
        <w:rPr>
          <w:rFonts w:hint="eastAsia" w:ascii="宋体" w:hAnsi="宋体" w:eastAsia="宋体" w:cs="宋体"/>
          <w:color w:val="auto"/>
          <w:sz w:val="24"/>
          <w:szCs w:val="24"/>
          <w:highlight w:val="none"/>
          <w:lang w:eastAsia="zh-CN"/>
        </w:rPr>
        <w:t xml:space="preserve">。</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bookmarkStart w:id="152" w:name="_Toc513029242"/>
      <w:r/>
      <w:bookmarkStart w:id="153" w:name="_Toc20823314"/>
      <w:r/>
      <w:bookmarkStart w:id="154" w:name="_Toc479757207"/>
      <w:r/>
      <w:bookmarkStart w:id="155" w:name="_Toc120614221"/>
      <w:r/>
      <w:bookmarkStart w:id="156" w:name="_Toc16938558"/>
      <w:r>
        <w:rPr>
          <w:rFonts w:hint="eastAsia" w:ascii="宋体" w:hAnsi="宋体" w:cs="宋体"/>
          <w:bCs/>
          <w:i w:val="0"/>
          <w:iCs w:val="0"/>
          <w:color w:val="auto"/>
          <w:sz w:val="24"/>
          <w:szCs w:val="24"/>
          <w:highlight w:val="none"/>
          <w:lang w:val="en-US" w:eastAsia="zh-CN"/>
        </w:rPr>
        <w:t xml:space="preserve">33</w:t>
      </w:r>
      <w:r>
        <w:rPr>
          <w:rFonts w:hint="eastAsia" w:ascii="宋体" w:hAnsi="宋体" w:eastAsia="宋体" w:cs="宋体"/>
          <w:bCs/>
          <w:i w:val="0"/>
          <w:iCs w:val="0"/>
          <w:color w:val="auto"/>
          <w:sz w:val="24"/>
          <w:szCs w:val="24"/>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33.1成交供应商可凭政府采购合同办理融资贷款，详情请见江苏政府采购网“政采贷”专栏。</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34、履约验收</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34.1.履约验收的基本要求：中标供应商应按照合同约定的时间、质量、数量等要求完成本项目。本项目将严格按照项目需求中的质量和技术要求和标准进行履约验收。</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34.2.履约验收的实施主体：由采购人作为实施主体，负责组织开展本项目的履约验收工作。也可根据实际需要委托具有相关专业资质和能力的第三方机构协助开展验收工作。</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34.3.履约验收的时间方式：政府采购合同约定的履约验收条件达到时，采购人应当在30 个工作日内启动履约验收工作，并向供应商发出《政府采购履约验收通知单》（见附件）</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34.4.履约验收的内容：</w:t>
      </w:r>
      <w:r>
        <w:rPr>
          <w:rFonts w:hint="eastAsia" w:ascii="宋体" w:hAnsi="宋体" w:eastAsia="宋体" w:cs="宋体"/>
          <w:b w:val="0"/>
          <w:bCs w:val="0"/>
          <w:color w:val="auto"/>
          <w:sz w:val="24"/>
          <w:szCs w:val="24"/>
          <w:highlight w:val="none"/>
        </w:rPr>
        <w:t xml:space="preserve">涵盖实施项目的完整性，包含项目需求中的质量和技术要求和施工图、工程量清单中的施工标准。</w:t>
      </w:r>
      <w:r>
        <w:rPr>
          <w:rFonts w:hint="eastAsia" w:ascii="宋体" w:hAnsi="宋体" w:eastAsia="宋体" w:cs="宋体"/>
          <w:b w:val="0"/>
          <w:bCs w:val="0"/>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34.5.履约验收的标准：按国家工程竣工验收有关规定的验收要求。</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w:t>
      </w:r>
      <w:r>
        <w:rPr>
          <w:rFonts w:hint="eastAsia" w:ascii="宋体" w:hAnsi="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lang w:val="en-US" w:eastAsia="zh-CN"/>
        </w:rPr>
        <w:t xml:space="preserve">.6采购人、供应商应当对验收小组出具的验收意见进行确认，并形成验收证明。</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35、政府采购履约资金扶持政策</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35.1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rPr>
        <w:sectPr>
          <w:footerReference w:type="default" r:id="rId14"/>
          <w:footerReference w:type="first" r:id="rId15"/>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 w:val="0"/>
          <w:bCs w:val="0"/>
          <w:color w:val="auto"/>
          <w:sz w:val="24"/>
          <w:szCs w:val="24"/>
          <w:highlight w:val="none"/>
          <w:lang w:val="en-US" w:eastAsia="zh-CN"/>
        </w:rPr>
        <w:t xml:space="preserve">35.2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 xml:space="preserve">第三章  合同</w:t>
      </w:r>
      <w:bookmarkEnd w:id="152"/>
      <w:r/>
      <w:bookmarkEnd w:id="153"/>
      <w:r/>
      <w:bookmarkEnd w:id="154"/>
      <w:r/>
      <w:bookmarkEnd w:id="155"/>
      <w:r/>
      <w:bookmarkEnd w:id="156"/>
      <w:r>
        <w:rPr>
          <w:rFonts w:hint="eastAsia" w:ascii="宋体" w:hAnsi="宋体" w:eastAsia="宋体" w:cs="宋体"/>
          <w:bCs/>
          <w:color w:val="auto"/>
          <w:sz w:val="44"/>
          <w:szCs w:val="28"/>
          <w:highlight w:val="none"/>
        </w:rPr>
        <w:t xml:space="preserve">文本</w:t>
      </w:r>
      <w:r/>
    </w:p>
    <w:p>
      <w:pPr>
        <w:ind w:firstLine="480"/>
        <w:spacing w:line="500" w:lineRule="exact"/>
        <w:rPr>
          <w:rFonts w:hint="eastAsia" w:ascii="宋体" w:hAnsi="宋体" w:eastAsia="宋体"/>
          <w:color w:val="auto"/>
          <w:sz w:val="24"/>
          <w:szCs w:val="24"/>
          <w:highlight w:val="none"/>
          <w:lang w:eastAsia="zh-CN"/>
        </w:rPr>
      </w:pPr>
      <w:r/>
      <w:bookmarkStart w:id="157" w:name="_Hlt16619350"/>
      <w:r/>
      <w:bookmarkStart w:id="158" w:name="_Toc20823346"/>
      <w:r/>
      <w:bookmarkStart w:id="159" w:name="_Toc120614244"/>
      <w:r/>
      <w:bookmarkStart w:id="160" w:name="_Toc16938590"/>
      <w:r/>
      <w:bookmarkStart w:id="161" w:name="_Toc479757211"/>
      <w:r/>
      <w:bookmarkStart w:id="162" w:name="_Toc462564139"/>
      <w:r>
        <w:rPr>
          <w:rFonts w:hint="eastAsia" w:ascii="宋体" w:hAnsi="宋体" w:eastAsia="宋体"/>
          <w:color w:val="auto"/>
          <w:sz w:val="24"/>
          <w:szCs w:val="24"/>
          <w:highlight w:val="none"/>
        </w:rPr>
        <w:t xml:space="preserve">以下为成交后</w:t>
      </w:r>
      <w:r>
        <w:rPr>
          <w:rFonts w:hint="eastAsia" w:ascii="宋体" w:hAnsi="宋体" w:eastAsia="宋体"/>
          <w:color w:val="auto"/>
          <w:sz w:val="24"/>
          <w:szCs w:val="24"/>
          <w:highlight w:val="none"/>
          <w:lang w:eastAsia="zh-CN"/>
        </w:rPr>
        <w:t xml:space="preserve">签订</w:t>
      </w:r>
      <w:r>
        <w:rPr>
          <w:rFonts w:hint="eastAsia" w:ascii="宋体" w:hAnsi="宋体" w:eastAsia="宋体"/>
          <w:color w:val="auto"/>
          <w:sz w:val="24"/>
          <w:szCs w:val="24"/>
          <w:highlight w:val="none"/>
        </w:rPr>
        <w:t xml:space="preserve">本项目合同的通用条款，成交供应商不得提出实质性的修改</w:t>
      </w:r>
      <w:r>
        <w:rPr>
          <w:rFonts w:hint="eastAsia" w:ascii="宋体" w:hAnsi="宋体" w:eastAsia="宋体"/>
          <w:color w:val="auto"/>
          <w:sz w:val="24"/>
          <w:szCs w:val="24"/>
          <w:highlight w:val="none"/>
          <w:lang w:eastAsia="zh-CN"/>
        </w:rPr>
        <w:t xml:space="preserve">。</w:t>
      </w:r>
      <w:r/>
    </w:p>
    <w:p>
      <w:pPr>
        <w:ind w:firstLine="2560"/>
        <w:jc w:val="left"/>
        <w:rPr>
          <w:rFonts w:hint="eastAsia" w:ascii="Times New Roman" w:hAnsi="Times New Roman" w:eastAsia="仿宋_GB2312"/>
          <w:color w:val="auto"/>
          <w:sz w:val="32"/>
          <w:szCs w:val="24"/>
          <w:highlight w:val="none"/>
        </w:rPr>
      </w:pPr>
      <w:r/>
      <w:bookmarkStart w:id="163" w:name="_Hlt16619369"/>
      <w:r/>
      <w:bookmarkEnd w:id="163"/>
      <w:r/>
      <w:r/>
    </w:p>
    <w:p>
      <w:pPr>
        <w:ind w:firstLine="2560"/>
        <w:jc w:val="left"/>
        <w:rPr>
          <w:rFonts w:hint="default" w:ascii="Times New Roman" w:hAnsi="Times New Roman" w:eastAsia="仿宋_GB2312"/>
          <w:color w:val="auto"/>
          <w:sz w:val="32"/>
          <w:szCs w:val="24"/>
          <w:highlight w:val="none"/>
        </w:rPr>
      </w:pPr>
      <w:r>
        <w:rPr>
          <w:rFonts w:hint="eastAsia" w:ascii="Times New Roman" w:hAnsi="Times New Roman" w:eastAsia="仿宋_GB2312"/>
          <w:color w:val="auto"/>
          <w:sz w:val="32"/>
          <w:szCs w:val="24"/>
          <w:highlight w:val="none"/>
        </w:rPr>
        <w:t xml:space="preserve">（GF—2017</w:t>
      </w:r>
      <w:r>
        <w:rPr>
          <w:rFonts w:hint="default" w:ascii="Times New Roman" w:hAnsi="Times New Roman" w:eastAsia="仿宋_GB2312"/>
          <w:color w:val="auto"/>
          <w:sz w:val="32"/>
          <w:szCs w:val="24"/>
          <w:highlight w:val="none"/>
        </w:rPr>
        <w:t xml:space="preserve">—</w:t>
      </w:r>
      <w:r>
        <w:rPr>
          <w:rFonts w:hint="eastAsia" w:ascii="Times New Roman" w:hAnsi="Times New Roman" w:eastAsia="仿宋_GB2312"/>
          <w:color w:val="auto"/>
          <w:sz w:val="32"/>
          <w:szCs w:val="24"/>
          <w:highlight w:val="none"/>
        </w:rPr>
        <w:t xml:space="preserve">0201）</w:t>
      </w:r>
      <w:r/>
    </w:p>
    <w:p>
      <w:pPr>
        <w:jc w:val="center"/>
        <w:rPr>
          <w:rFonts w:hint="default" w:ascii="Times New Roman" w:hAnsi="Times New Roman" w:eastAsia="华文中宋"/>
          <w:b/>
          <w:color w:val="auto"/>
          <w:sz w:val="52"/>
          <w:szCs w:val="24"/>
          <w:highlight w:val="none"/>
        </w:rPr>
      </w:pPr>
      <w:r>
        <w:rPr>
          <w:rFonts w:hint="default" w:ascii="Times New Roman" w:hAnsi="Times New Roman" w:eastAsia="华文中宋"/>
          <w:b/>
          <w:color w:val="auto"/>
          <w:sz w:val="52"/>
          <w:szCs w:val="24"/>
          <w:highlight w:val="none"/>
        </w:rPr>
      </w:r>
      <w:r/>
    </w:p>
    <w:p>
      <w:pPr>
        <w:rPr>
          <w:rFonts w:hint="default" w:ascii="Times New Roman" w:hAnsi="Times New Roman" w:eastAsia="华文中宋"/>
          <w:b/>
          <w:color w:val="auto"/>
          <w:sz w:val="52"/>
          <w:szCs w:val="24"/>
          <w:highlight w:val="none"/>
        </w:rPr>
      </w:pPr>
      <w:r>
        <w:rPr>
          <w:rFonts w:hint="default" w:ascii="Times New Roman" w:hAnsi="Times New Roman" w:eastAsia="华文中宋"/>
          <w:b/>
          <w:color w:val="auto"/>
          <w:sz w:val="52"/>
          <w:szCs w:val="24"/>
          <w:highlight w:val="none"/>
        </w:rPr>
      </w:r>
      <w:r/>
    </w:p>
    <w:p>
      <w:pPr>
        <w:rPr>
          <w:rFonts w:hint="default" w:ascii="Times New Roman" w:hAnsi="Times New Roman" w:eastAsia="华文中宋"/>
          <w:b/>
          <w:color w:val="auto"/>
          <w:sz w:val="52"/>
          <w:szCs w:val="24"/>
          <w:highlight w:val="none"/>
        </w:rPr>
      </w:pPr>
      <w:r>
        <w:rPr>
          <w:rFonts w:hint="default" w:ascii="Times New Roman" w:hAnsi="Times New Roman" w:eastAsia="华文中宋"/>
          <w:b/>
          <w:color w:val="auto"/>
          <w:sz w:val="52"/>
          <w:szCs w:val="24"/>
          <w:highlight w:val="none"/>
        </w:rPr>
      </w:r>
      <w:r/>
    </w:p>
    <w:p>
      <w:pPr>
        <w:jc w:val="center"/>
        <w:rPr>
          <w:rFonts w:hint="default" w:ascii="Times New Roman" w:hAnsi="Times New Roman" w:eastAsia="华文中宋"/>
          <w:b/>
          <w:color w:val="auto"/>
          <w:sz w:val="52"/>
          <w:szCs w:val="24"/>
          <w:highlight w:val="none"/>
        </w:rPr>
      </w:pPr>
      <w:r>
        <w:rPr>
          <w:rFonts w:hint="default" w:ascii="Times New Roman" w:hAnsi="Times New Roman" w:eastAsia="华文中宋"/>
          <w:b/>
          <w:color w:val="auto"/>
          <w:sz w:val="52"/>
          <w:szCs w:val="24"/>
          <w:highlight w:val="none"/>
        </w:rPr>
      </w:r>
      <w:r/>
    </w:p>
    <w:p>
      <w:pPr>
        <w:jc w:val="center"/>
        <w:rPr>
          <w:rFonts w:hint="default"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 xml:space="preserve">建设工程施工合同</w:t>
      </w:r>
      <w:r/>
    </w:p>
    <w:p>
      <w:pPr>
        <w:jc w:val="center"/>
        <w:rPr>
          <w:rFonts w:hint="default" w:ascii="Times New Roman" w:hAnsi="Times New Roman" w:eastAsia="华文中宋"/>
          <w:b/>
          <w:color w:val="auto"/>
          <w:sz w:val="52"/>
          <w:szCs w:val="24"/>
          <w:highlight w:val="none"/>
        </w:rPr>
      </w:pPr>
      <w:r>
        <w:rPr>
          <w:rFonts w:hint="eastAsia" w:ascii="Times New Roman" w:hAnsi="Times New Roman" w:eastAsia="华文中宋"/>
          <w:b/>
          <w:color w:val="auto"/>
          <w:sz w:val="52"/>
          <w:szCs w:val="24"/>
          <w:highlight w:val="none"/>
        </w:rPr>
        <w:t xml:space="preserve">（示范文本）</w:t>
      </w:r>
      <w:r/>
    </w:p>
    <w:p>
      <w:pPr>
        <w:jc w:val="center"/>
        <w:rPr>
          <w:rFonts w:hint="default" w:ascii="Times New Roman" w:hAnsi="Times New Roman" w:eastAsia="华文中宋"/>
          <w:b/>
          <w:color w:val="auto"/>
          <w:sz w:val="52"/>
          <w:szCs w:val="24"/>
          <w:highlight w:val="none"/>
        </w:rPr>
      </w:pPr>
      <w:r>
        <w:rPr>
          <w:rFonts w:hint="default" w:ascii="Times New Roman" w:hAnsi="Times New Roman" w:eastAsia="华文中宋"/>
          <w:b/>
          <w:color w:val="auto"/>
          <w:sz w:val="52"/>
          <w:szCs w:val="24"/>
          <w:highlight w:val="none"/>
        </w:rPr>
      </w:r>
      <w:r/>
    </w:p>
    <w:p>
      <w:pPr>
        <w:rPr>
          <w:rFonts w:hint="default"/>
          <w:b/>
          <w:color w:val="auto"/>
          <w:sz w:val="28"/>
          <w:szCs w:val="24"/>
          <w:highlight w:val="none"/>
        </w:rPr>
      </w:pPr>
      <w:r>
        <w:rPr>
          <w:rFonts w:hint="default"/>
          <w:b/>
          <w:color w:val="auto"/>
          <w:sz w:val="28"/>
          <w:szCs w:val="24"/>
          <w:highlight w:val="none"/>
        </w:rPr>
      </w:r>
      <w:r/>
    </w:p>
    <w:p>
      <w:pPr>
        <w:rPr>
          <w:rFonts w:hint="default"/>
          <w:b/>
          <w:color w:val="auto"/>
          <w:sz w:val="28"/>
          <w:szCs w:val="24"/>
          <w:highlight w:val="none"/>
        </w:rPr>
      </w:pPr>
      <w:r>
        <w:rPr>
          <w:rFonts w:hint="default"/>
          <w:b/>
          <w:color w:val="auto"/>
          <w:sz w:val="28"/>
          <w:szCs w:val="24"/>
          <w:highlight w:val="none"/>
        </w:rPr>
      </w:r>
      <w:r/>
    </w:p>
    <w:p>
      <w:pPr>
        <w:rPr>
          <w:rFonts w:hint="default"/>
          <w:b/>
          <w:color w:val="auto"/>
          <w:sz w:val="28"/>
          <w:szCs w:val="24"/>
          <w:highlight w:val="none"/>
        </w:rPr>
      </w:pPr>
      <w:r>
        <w:rPr>
          <w:rFonts w:hint="default"/>
          <w:b/>
          <w:color w:val="auto"/>
          <w:sz w:val="28"/>
          <w:szCs w:val="24"/>
          <w:highlight w:val="none"/>
        </w:rPr>
      </w:r>
      <w:r/>
    </w:p>
    <w:p>
      <w:pPr>
        <w:rPr>
          <w:rFonts w:hint="default"/>
          <w:b/>
          <w:color w:val="auto"/>
          <w:sz w:val="28"/>
          <w:szCs w:val="24"/>
          <w:highlight w:val="none"/>
        </w:rPr>
      </w:pPr>
      <w:r>
        <w:rPr>
          <w:rFonts w:hint="default"/>
          <w:b/>
          <w:color w:val="auto"/>
          <w:sz w:val="28"/>
          <w:szCs w:val="24"/>
          <w:highlight w:val="none"/>
        </w:rPr>
      </w:r>
      <w:r/>
    </w:p>
    <w:p>
      <w:pPr>
        <w:rPr>
          <w:rFonts w:hint="default"/>
          <w:b/>
          <w:color w:val="auto"/>
          <w:sz w:val="28"/>
          <w:szCs w:val="24"/>
          <w:highlight w:val="none"/>
        </w:rPr>
      </w:pPr>
      <w:r>
        <w:rPr>
          <w:rFonts w:hint="default"/>
          <w:b/>
          <w:color w:val="auto"/>
          <w:sz w:val="28"/>
          <w:szCs w:val="24"/>
          <w:highlight w:val="none"/>
        </w:rPr>
      </w:r>
      <w:r/>
    </w:p>
    <w:p>
      <w:pPr>
        <w:ind w:right="2719" w:firstLine="2738"/>
        <w:jc w:val="both"/>
        <w:rPr>
          <w:rFonts w:hint="default"/>
          <w:b/>
          <w:color w:val="auto"/>
          <w:sz w:val="32"/>
          <w:szCs w:val="24"/>
          <w:highlight w:val="none"/>
        </w:rPr>
      </w:pPr>
      <w:r>
        <w:rPr>
          <w:rFonts w:hint="default"/>
          <w:color w:val="auto"/>
          <w:sz w:val="2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default"/>
                                <w:b/>
                                <w:sz w:val="32"/>
                                <w:szCs w:val="24"/>
                              </w:rPr>
                            </w:pPr>
                            <w:r>
                              <w:rPr>
                                <w:rFonts w:hint="eastAsia" w:eastAsia="宋体"/>
                                <w:b/>
                                <w:sz w:val="32"/>
                                <w:szCs w:val="24"/>
                              </w:rPr>
                              <w:t xml:space="preserve">制定</w:t>
                            </w:r>
                            <w:r/>
                          </w:p>
                        </w:txbxContent>
                      </wps:txbx>
                      <wps:bodyPr upright="1"/>
                    </wps:wsp>
                  </a:graphicData>
                </a:graphic>
              </wp:anchor>
            </w:drawing>
          </mc:Choice>
          <mc:Fallback>
            <w:pict>
              <v:shape id="shape 1" o:spid="_x0000_s1" o:spt="202" type="#_x0000_t202" style="position:absolute;z-index:251659264;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default"/>
                          <w:b/>
                          <w:sz w:val="32"/>
                          <w:szCs w:val="24"/>
                        </w:rPr>
                      </w:pPr>
                      <w:r>
                        <w:rPr>
                          <w:rFonts w:hint="eastAsia" w:eastAsia="宋体"/>
                          <w:b/>
                          <w:sz w:val="32"/>
                          <w:szCs w:val="24"/>
                        </w:rPr>
                        <w:t xml:space="preserve">制定</w:t>
                      </w:r>
                      <w:r/>
                    </w:p>
                  </w:txbxContent>
                </v:textbox>
              </v:shape>
            </w:pict>
          </mc:Fallback>
        </mc:AlternateContent>
      </w:r>
      <w:r>
        <w:rPr>
          <w:rFonts w:hint="eastAsia" w:eastAsia="宋体"/>
          <w:b/>
          <w:color w:val="auto"/>
          <w:sz w:val="32"/>
          <w:szCs w:val="24"/>
          <w:highlight w:val="none"/>
        </w:rPr>
        <w:t xml:space="preserve">住房城乡建设部</w:t>
      </w:r>
      <w:r/>
    </w:p>
    <w:p>
      <w:pPr>
        <w:ind w:right="2719" w:firstLine="2750"/>
        <w:jc w:val="both"/>
        <w:rPr>
          <w:rFonts w:hint="default"/>
          <w:b/>
          <w:color w:val="auto"/>
          <w:sz w:val="32"/>
          <w:szCs w:val="24"/>
          <w:highlight w:val="none"/>
        </w:rPr>
      </w:pPr>
      <w:r>
        <w:rPr>
          <w:rFonts w:hint="eastAsia" w:eastAsia="宋体"/>
          <w:b/>
          <w:color w:val="auto"/>
          <w:sz w:val="32"/>
          <w:szCs w:val="24"/>
          <w:highlight w:val="none"/>
        </w:rPr>
        <w:t xml:space="preserve">国家工商行政管理总局</w:t>
      </w:r>
      <w:r/>
    </w:p>
    <w:p>
      <w:pPr>
        <w:rPr>
          <w:rFonts w:hint="default"/>
          <w:b/>
          <w:color w:val="auto"/>
          <w:sz w:val="21"/>
          <w:szCs w:val="24"/>
          <w:highlight w:val="none"/>
        </w:rPr>
      </w:pPr>
      <w:r>
        <w:rPr>
          <w:rFonts w:hint="default"/>
          <w:b/>
          <w:color w:val="auto"/>
          <w:sz w:val="21"/>
          <w:szCs w:val="24"/>
          <w:highlight w:val="none"/>
        </w:rPr>
      </w:r>
      <w:r/>
    </w:p>
    <w:p>
      <w:pPr>
        <w:pStyle w:val="753"/>
        <w:jc w:val="center"/>
        <w:rPr>
          <w:rFonts w:hint="eastAsia" w:ascii="宋体" w:hAnsi="宋体" w:eastAsia="宋体"/>
          <w:b w:val="0"/>
          <w:color w:val="auto"/>
          <w:sz w:val="24"/>
          <w:szCs w:val="24"/>
          <w:highlight w:val="none"/>
        </w:rPr>
      </w:pPr>
      <w:r>
        <w:rPr>
          <w:rFonts w:hint="default"/>
          <w:b w:val="0"/>
          <w:color w:val="auto"/>
          <w:sz w:val="32"/>
          <w:szCs w:val="24"/>
          <w:highlight w:val="none"/>
        </w:rPr>
        <w:br w:type="page" w:clear="all"/>
      </w:r>
      <w:bookmarkStart w:id="164" w:name="_Toc26644"/>
      <w:r>
        <w:rPr>
          <w:rFonts w:hint="eastAsia" w:ascii="宋体" w:hAnsi="宋体" w:eastAsia="宋体"/>
          <w:color w:val="auto"/>
          <w:sz w:val="24"/>
          <w:szCs w:val="24"/>
          <w:highlight w:val="none"/>
        </w:rPr>
        <w:t xml:space="preserve">第一部分 合同协议书</w:t>
      </w:r>
      <w:bookmarkEnd w:id="164"/>
      <w:r/>
      <w:r/>
    </w:p>
    <w:p>
      <w:pPr>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发包人（全称）：</w:t>
      </w:r>
      <w:r>
        <w:rPr>
          <w:rFonts w:hint="eastAsia" w:ascii="宋体" w:hAnsi="宋体"/>
          <w:b/>
          <w:color w:val="auto"/>
          <w:sz w:val="24"/>
          <w:szCs w:val="24"/>
          <w:highlight w:val="none"/>
          <w:u w:val="single"/>
          <w:lang w:eastAsia="zh-CN"/>
        </w:rPr>
        <w:t xml:space="preserve">南通市通州区东社镇人民政府</w:t>
      </w:r>
      <w:r>
        <w:rPr>
          <w:rFonts w:hint="eastAsia" w:ascii="宋体" w:hAnsi="宋体" w:eastAsia="宋体"/>
          <w:b/>
          <w:color w:val="auto"/>
          <w:sz w:val="24"/>
          <w:szCs w:val="24"/>
          <w:highlight w:val="none"/>
          <w:u w:val="single"/>
        </w:rPr>
        <w:t xml:space="preserve">  </w:t>
      </w:r>
      <w:r/>
    </w:p>
    <w:p>
      <w:pPr>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承包人（全称）</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包号</w:t>
      </w:r>
      <w:r>
        <w:rPr>
          <w:rFonts w:hint="eastAsia" w:ascii="宋体" w:hAnsi="宋体"/>
          <w:b/>
          <w:color w:val="auto"/>
          <w:sz w:val="24"/>
          <w:szCs w:val="24"/>
          <w:highlight w:val="none"/>
          <w:lang w:eastAsia="zh-CN"/>
        </w:rPr>
        <w:t xml:space="preserve">）</w:t>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u w:val="single"/>
        </w:rPr>
        <w:t xml:space="preserve">                            </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南通市通州区东社镇社北路道路工程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施工及有关事项协商一致，共同达成如下协议：</w:t>
      </w:r>
      <w:r/>
    </w:p>
    <w:p>
      <w:pPr>
        <w:pStyle w:val="754"/>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165" w:name="_Toc351203481"/>
      <w:r>
        <w:rPr>
          <w:rFonts w:hint="eastAsia" w:ascii="宋体" w:hAnsi="宋体"/>
          <w:b w:val="0"/>
          <w:color w:val="auto"/>
          <w:sz w:val="24"/>
          <w:szCs w:val="24"/>
          <w:highlight w:val="none"/>
        </w:rPr>
        <w:t xml:space="preserve">一、工程概况</w:t>
      </w:r>
      <w:bookmarkEnd w:id="165"/>
      <w:r/>
      <w:r/>
    </w:p>
    <w:p>
      <w:pPr>
        <w:ind w:firstLine="411"/>
        <w:spacing w:line="44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1.工程名称：</w:t>
      </w:r>
      <w:r>
        <w:rPr>
          <w:rFonts w:hint="eastAsia" w:ascii="宋体" w:hAnsi="宋体"/>
          <w:color w:val="auto"/>
          <w:sz w:val="24"/>
          <w:szCs w:val="24"/>
          <w:highlight w:val="none"/>
          <w:u w:val="single"/>
          <w:lang w:eastAsia="zh-CN"/>
        </w:rPr>
        <w:t xml:space="preserve">南通市通州区东社镇社北路道路工程</w:t>
      </w:r>
      <w:r>
        <w:rPr>
          <w:rFonts w:hint="eastAsia" w:ascii="宋体" w:hAnsi="宋体" w:eastAsia="宋体"/>
          <w:color w:val="auto"/>
          <w:sz w:val="24"/>
          <w:szCs w:val="24"/>
          <w:highlight w:val="none"/>
        </w:rPr>
        <w:t xml:space="preserve">。</w:t>
      </w:r>
      <w:r/>
    </w:p>
    <w:p>
      <w:pPr>
        <w:ind w:firstLine="411"/>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2.工程地点：</w:t>
      </w:r>
      <w:r>
        <w:rPr>
          <w:rFonts w:hint="eastAsia" w:ascii="宋体" w:hAnsi="宋体"/>
          <w:color w:val="auto"/>
          <w:sz w:val="24"/>
          <w:szCs w:val="24"/>
          <w:highlight w:val="none"/>
          <w:u w:val="single"/>
          <w:lang w:eastAsia="zh-CN"/>
        </w:rPr>
        <w:t xml:space="preserve">通州区东社镇</w:t>
      </w:r>
      <w:r>
        <w:rPr>
          <w:rFonts w:hint="eastAsia" w:ascii="宋体" w:hAnsi="宋体" w:eastAsia="宋体"/>
          <w:color w:val="auto"/>
          <w:sz w:val="24"/>
          <w:szCs w:val="24"/>
          <w:highlight w:val="none"/>
        </w:rPr>
        <w:t xml:space="preserve">。</w:t>
      </w:r>
      <w:r/>
    </w:p>
    <w:p>
      <w:pPr>
        <w:ind w:firstLine="411"/>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3.工程立项批准文号：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11"/>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4.资金来源：</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镇财政资金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11"/>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5.工程内容：</w:t>
      </w:r>
      <w:r>
        <w:rPr>
          <w:rFonts w:hint="eastAsia" w:ascii="宋体" w:hAnsi="宋体" w:eastAsia="宋体"/>
          <w:color w:val="auto"/>
          <w:sz w:val="24"/>
          <w:szCs w:val="24"/>
          <w:highlight w:val="none"/>
          <w:u w:val="single"/>
        </w:rPr>
        <w:t xml:space="preserve">详见竞争性</w:t>
      </w:r>
      <w:r>
        <w:rPr>
          <w:rFonts w:hint="eastAsia" w:ascii="宋体" w:hAnsi="宋体" w:eastAsia="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w:t>
      </w:r>
      <w:r>
        <w:rPr>
          <w:rFonts w:hint="eastAsia" w:ascii="宋体" w:hAnsi="宋体" w:eastAsia="宋体"/>
          <w:color w:val="auto"/>
          <w:sz w:val="24"/>
          <w:szCs w:val="24"/>
          <w:highlight w:val="none"/>
          <w:u w:val="single"/>
          <w:lang w:eastAsia="zh-CN"/>
        </w:rPr>
        <w:t xml:space="preserve">、</w:t>
      </w:r>
      <w:r>
        <w:rPr>
          <w:rFonts w:hint="eastAsia" w:ascii="宋体" w:hAnsi="宋体"/>
          <w:color w:val="auto"/>
          <w:sz w:val="24"/>
          <w:szCs w:val="24"/>
          <w:highlight w:val="none"/>
          <w:u w:val="single"/>
          <w:lang w:eastAsia="zh-CN"/>
        </w:rPr>
        <w:t xml:space="preserve">施工要求</w:t>
      </w:r>
      <w:r>
        <w:rPr>
          <w:rFonts w:hint="eastAsia" w:ascii="宋体" w:hAnsi="宋体" w:eastAsia="宋体"/>
          <w:color w:val="auto"/>
          <w:sz w:val="24"/>
          <w:szCs w:val="24"/>
          <w:highlight w:val="none"/>
          <w:u w:val="single"/>
        </w:rPr>
        <w:t xml:space="preserve">所含内容 </w:t>
      </w:r>
      <w:r>
        <w:rPr>
          <w:rFonts w:hint="eastAsia" w:ascii="宋体" w:hAnsi="宋体" w:eastAsia="宋体"/>
          <w:color w:val="auto"/>
          <w:sz w:val="24"/>
          <w:szCs w:val="24"/>
          <w:highlight w:val="none"/>
        </w:rPr>
        <w:t xml:space="preserve">。</w:t>
      </w:r>
      <w:r/>
    </w:p>
    <w:p>
      <w:pPr>
        <w:ind w:firstLine="411"/>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群体工程应附《承包人承揽工程项目一览表》（附件1）。</w:t>
      </w:r>
      <w:r/>
    </w:p>
    <w:p>
      <w:pPr>
        <w:ind w:firstLine="411"/>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6.工程承包范围：</w:t>
      </w:r>
      <w:r/>
    </w:p>
    <w:p>
      <w:pPr>
        <w:ind w:firstLine="405"/>
        <w:spacing w:line="440" w:lineRule="exact"/>
        <w:rPr>
          <w:rFonts w:hint="default" w:ascii="Times New Roman" w:hAnsi="Times New Roman" w:eastAsia="幼圆"/>
          <w:color w:val="auto"/>
          <w:sz w:val="24"/>
          <w:szCs w:val="24"/>
          <w:highlight w:val="none"/>
        </w:rPr>
      </w:pPr>
      <w:r>
        <w:rPr>
          <w:rFonts w:hint="eastAsia" w:ascii="宋体" w:hAnsi="宋体" w:eastAsia="宋体"/>
          <w:color w:val="auto"/>
          <w:sz w:val="24"/>
          <w:szCs w:val="24"/>
          <w:highlight w:val="none"/>
          <w:u w:val="single"/>
        </w:rPr>
        <w:t xml:space="preserve">  竞争性</w:t>
      </w:r>
      <w:r>
        <w:rPr>
          <w:rFonts w:hint="eastAsia" w:ascii="宋体" w:hAnsi="宋体" w:eastAsia="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w:t>
      </w:r>
      <w:r>
        <w:rPr>
          <w:rFonts w:hint="eastAsia" w:ascii="宋体" w:hAnsi="宋体"/>
          <w:color w:val="auto"/>
          <w:sz w:val="24"/>
          <w:szCs w:val="24"/>
          <w:highlight w:val="none"/>
          <w:u w:val="single"/>
          <w:lang w:eastAsia="zh-CN"/>
        </w:rPr>
        <w:t xml:space="preserve">、施工要求</w:t>
      </w:r>
      <w:r>
        <w:rPr>
          <w:rFonts w:hint="eastAsia" w:ascii="宋体" w:hAnsi="宋体" w:eastAsia="宋体"/>
          <w:color w:val="auto"/>
          <w:sz w:val="24"/>
          <w:szCs w:val="24"/>
          <w:highlight w:val="none"/>
          <w:u w:val="single"/>
        </w:rPr>
        <w:t xml:space="preserve">所含内容  </w:t>
      </w:r>
      <w:r>
        <w:rPr>
          <w:rFonts w:hint="eastAsia" w:ascii="宋体" w:hAnsi="宋体" w:eastAsia="宋体"/>
          <w:color w:val="auto"/>
          <w:sz w:val="24"/>
          <w:szCs w:val="24"/>
          <w:highlight w:val="none"/>
        </w:rPr>
        <w:t xml:space="preserve">。</w:t>
      </w:r>
      <w:r/>
    </w:p>
    <w:p>
      <w:pPr>
        <w:pStyle w:val="754"/>
        <w:spacing w:before="120" w:after="120" w:line="440" w:lineRule="exact"/>
        <w:rPr>
          <w:rFonts w:hint="eastAsia" w:ascii="宋体" w:hAnsi="宋体"/>
          <w:b w:val="0"/>
          <w:color w:val="auto"/>
          <w:sz w:val="24"/>
          <w:szCs w:val="24"/>
          <w:highlight w:val="none"/>
        </w:rPr>
      </w:pPr>
      <w:r>
        <w:rPr>
          <w:rFonts w:hint="default" w:ascii="Times New Roman" w:hAnsi="Times New Roman"/>
          <w:b w:val="0"/>
          <w:color w:val="auto"/>
          <w:sz w:val="24"/>
          <w:szCs w:val="24"/>
          <w:highlight w:val="none"/>
        </w:rPr>
        <w:t xml:space="preserve">  </w:t>
      </w:r>
      <w:r>
        <w:rPr>
          <w:rFonts w:hint="eastAsia" w:ascii="宋体" w:hAnsi="宋体"/>
          <w:b w:val="0"/>
          <w:color w:val="auto"/>
          <w:sz w:val="24"/>
          <w:szCs w:val="24"/>
          <w:highlight w:val="none"/>
        </w:rPr>
        <w:t xml:space="preserve"> </w:t>
      </w:r>
      <w:bookmarkStart w:id="166" w:name="_Toc351203482"/>
      <w:r>
        <w:rPr>
          <w:rFonts w:hint="eastAsia" w:ascii="宋体" w:hAnsi="宋体"/>
          <w:b w:val="0"/>
          <w:color w:val="auto"/>
          <w:sz w:val="24"/>
          <w:szCs w:val="24"/>
          <w:highlight w:val="none"/>
        </w:rPr>
        <w:t xml:space="preserve">二、合同工期</w:t>
      </w:r>
      <w:bookmarkEnd w:id="166"/>
      <w:r/>
      <w:r/>
    </w:p>
    <w:p>
      <w:pPr>
        <w:ind w:firstLine="459"/>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5月底</w:t>
      </w:r>
      <w:r>
        <w:rPr>
          <w:rFonts w:hint="eastAsia" w:ascii="宋体" w:hAnsi="宋体" w:eastAsia="宋体" w:cs="Times New Roman"/>
          <w:color w:val="auto"/>
          <w:sz w:val="24"/>
          <w:szCs w:val="24"/>
          <w:highlight w:val="none"/>
          <w:lang w:val="en-US" w:eastAsia="zh-CN"/>
        </w:rPr>
        <w:t xml:space="preserve">前</w:t>
      </w:r>
      <w:r>
        <w:rPr>
          <w:rFonts w:hint="eastAsia" w:ascii="宋体" w:hAnsi="宋体" w:eastAsia="宋体" w:cs="Times New Roman"/>
          <w:color w:val="auto"/>
          <w:sz w:val="24"/>
          <w:szCs w:val="24"/>
          <w:highlight w:val="none"/>
        </w:rPr>
        <w:t xml:space="preserve">完工。</w:t>
      </w:r>
      <w:r/>
    </w:p>
    <w:p>
      <w:pPr>
        <w:ind w:firstLine="459"/>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计划开工日期：</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59"/>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计划竣工日期：</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59"/>
        <w:spacing w:line="440" w:lineRule="exact"/>
        <w:rPr>
          <w:rFonts w:hint="eastAsia" w:ascii="宋体" w:hAnsi="宋体" w:eastAsia="宋体" w:cs="Times New Roman"/>
          <w:color w:val="auto"/>
          <w:sz w:val="24"/>
          <w:szCs w:val="24"/>
          <w:highlight w:val="none"/>
        </w:rPr>
      </w:pPr>
      <w:r/>
      <w:bookmarkStart w:id="167" w:name="_Toc351203483"/>
      <w:r>
        <w:rPr>
          <w:rFonts w:hint="eastAsia" w:ascii="宋体" w:hAnsi="宋体" w:eastAsia="宋体" w:cs="Times New Roman"/>
          <w:color w:val="auto"/>
          <w:sz w:val="24"/>
          <w:szCs w:val="24"/>
          <w:highlight w:val="none"/>
        </w:rPr>
        <w:t xml:space="preserve">工期总日历天数：</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lang w:val="en-US" w:eastAsia="zh-CN"/>
        </w:rPr>
        <w:t xml:space="preserve">90</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日历天</w:t>
      </w:r>
      <w:r>
        <w:rPr>
          <w:rFonts w:hint="eastAsia" w:ascii="宋体" w:hAnsi="宋体" w:eastAsia="宋体" w:cs="Times New Roman"/>
          <w:color w:val="auto"/>
          <w:sz w:val="24"/>
          <w:szCs w:val="24"/>
          <w:highlight w:val="none"/>
        </w:rPr>
        <w:t xml:space="preserve">。</w:t>
      </w:r>
      <w:r/>
    </w:p>
    <w:p>
      <w:pPr>
        <w:pStyle w:val="754"/>
        <w:ind w:firstLine="240"/>
        <w:spacing w:before="120" w:after="120" w:line="440" w:lineRule="exact"/>
        <w:rPr>
          <w:rFonts w:hint="eastAsia" w:ascii="宋体" w:hAnsi="宋体"/>
          <w:color w:val="auto"/>
          <w:sz w:val="24"/>
          <w:szCs w:val="24"/>
          <w:highlight w:val="none"/>
        </w:rPr>
      </w:pPr>
      <w:r>
        <w:rPr>
          <w:rFonts w:hint="eastAsia" w:ascii="宋体" w:hAnsi="宋体"/>
          <w:b w:val="0"/>
          <w:color w:val="auto"/>
          <w:sz w:val="24"/>
          <w:szCs w:val="24"/>
          <w:highlight w:val="none"/>
        </w:rPr>
        <w:t xml:space="preserve">三、质量标准</w:t>
      </w:r>
      <w:bookmarkEnd w:id="167"/>
      <w:r/>
      <w:r/>
    </w:p>
    <w:p>
      <w:pPr>
        <w:ind w:firstLine="459"/>
        <w:spacing w:line="440" w:lineRule="exac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工程质量符合</w:t>
      </w:r>
      <w:r>
        <w:rPr>
          <w:rFonts w:hint="eastAsia" w:ascii="宋体" w:hAnsi="宋体" w:eastAsia="宋体"/>
          <w:color w:val="auto"/>
          <w:sz w:val="24"/>
          <w:szCs w:val="24"/>
          <w:highlight w:val="none"/>
          <w:u w:val="single"/>
        </w:rPr>
        <w:t xml:space="preserve">合格</w:t>
      </w:r>
      <w:r>
        <w:rPr>
          <w:rFonts w:hint="eastAsia" w:ascii="宋体" w:hAnsi="宋体" w:eastAsia="宋体"/>
          <w:color w:val="auto"/>
          <w:sz w:val="24"/>
          <w:szCs w:val="24"/>
          <w:highlight w:val="none"/>
        </w:rPr>
        <w:t xml:space="preserve">标准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质保期三年。（其中绿化一级养护两年。）</w:t>
      </w:r>
      <w:r/>
    </w:p>
    <w:p>
      <w:pPr>
        <w:pStyle w:val="754"/>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168" w:name="_Toc351203484"/>
      <w:r>
        <w:rPr>
          <w:rFonts w:hint="eastAsia" w:ascii="宋体" w:hAnsi="宋体"/>
          <w:b w:val="0"/>
          <w:color w:val="auto"/>
          <w:sz w:val="24"/>
          <w:szCs w:val="24"/>
          <w:highlight w:val="none"/>
        </w:rPr>
        <w:t xml:space="preserve">四、签约合同价与合同价格形式</w:t>
      </w:r>
      <w:bookmarkEnd w:id="168"/>
      <w:r>
        <w:rPr>
          <w:rFonts w:hint="eastAsia" w:ascii="宋体" w:hAnsi="宋体"/>
          <w:b w:val="0"/>
          <w:color w:val="auto"/>
          <w:sz w:val="24"/>
          <w:szCs w:val="24"/>
          <w:highlight w:val="none"/>
        </w:rPr>
        <w:tab/>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1.签约合同价为：</w:t>
      </w:r>
      <w:r/>
    </w:p>
    <w:p>
      <w:pPr>
        <w:ind w:firstLine="525"/>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其中：</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安全生产文明施工</w:t>
      </w:r>
      <w:r>
        <w:rPr>
          <w:rFonts w:hint="eastAsia" w:ascii="宋体" w:hAnsi="宋体" w:eastAsia="宋体"/>
          <w:color w:val="auto"/>
          <w:sz w:val="24"/>
          <w:szCs w:val="24"/>
          <w:highlight w:val="none"/>
        </w:rPr>
        <w:t xml:space="preserve">：</w:t>
      </w:r>
      <w:r/>
    </w:p>
    <w:p>
      <w:pPr>
        <w:ind w:firstLine="945"/>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（2）材料和工程设备暂估价金额：</w:t>
      </w:r>
      <w:r/>
    </w:p>
    <w:p>
      <w:pPr>
        <w:ind w:firstLine="945"/>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（3）专业工程暂估价金额：</w:t>
      </w:r>
      <w:r/>
    </w:p>
    <w:p>
      <w:pPr>
        <w:ind w:firstLine="945"/>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（4）暂列金额：</w:t>
      </w:r>
      <w:r/>
    </w:p>
    <w:p>
      <w:pPr>
        <w:ind w:firstLine="945"/>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numPr>
          <w:ilvl w:val="0"/>
          <w:numId w:val="5"/>
        </w:numPr>
        <w:ind w:firstLine="420"/>
        <w:spacing w:line="440" w:lineRule="exact"/>
        <w:rPr>
          <w:rFonts w:hint="default"/>
          <w:color w:val="auto"/>
          <w:sz w:val="24"/>
          <w:szCs w:val="24"/>
          <w:highlight w:val="none"/>
          <w:lang w:val="en-US"/>
        </w:rPr>
      </w:pPr>
      <w:r>
        <w:rPr>
          <w:rFonts w:hint="eastAsia" w:ascii="宋体" w:hAnsi="宋体" w:eastAsia="宋体"/>
          <w:color w:val="auto"/>
          <w:sz w:val="24"/>
          <w:szCs w:val="24"/>
          <w:highlight w:val="none"/>
        </w:rPr>
        <w:t xml:space="preserve">合同价格形式：</w:t>
      </w:r>
      <w:r>
        <w:rPr>
          <w:rFonts w:hint="eastAsia" w:ascii="宋体" w:hAnsi="宋体" w:eastAsia="宋体"/>
          <w:color w:val="auto"/>
          <w:sz w:val="24"/>
          <w:szCs w:val="24"/>
          <w:highlight w:val="none"/>
          <w:u w:val="single"/>
        </w:rPr>
        <w:t xml:space="preserve">固定单价合同</w:t>
      </w:r>
      <w:r>
        <w:rPr>
          <w:rFonts w:hint="eastAsia" w:ascii="宋体" w:hAnsi="宋体" w:eastAsia="宋体"/>
          <w:color w:val="auto"/>
          <w:sz w:val="24"/>
          <w:szCs w:val="24"/>
          <w:highlight w:val="none"/>
        </w:rPr>
        <w:t xml:space="preserve">。</w:t>
      </w:r>
      <w:r/>
    </w:p>
    <w:p>
      <w:pPr>
        <w:pStyle w:val="754"/>
        <w:spacing w:before="120" w:after="120" w:line="440" w:lineRule="exact"/>
        <w:rPr>
          <w:rFonts w:hint="eastAsia" w:ascii="宋体" w:hAnsi="宋体"/>
          <w:b w:val="0"/>
          <w:color w:val="auto"/>
          <w:sz w:val="24"/>
          <w:szCs w:val="24"/>
          <w:highlight w:val="none"/>
        </w:rPr>
      </w:pPr>
      <w:r>
        <w:rPr>
          <w:rFonts w:hint="default" w:ascii="Times New Roman" w:hAnsi="Times New Roman"/>
          <w:color w:val="auto"/>
          <w:sz w:val="24"/>
          <w:szCs w:val="24"/>
          <w:highlight w:val="none"/>
        </w:rPr>
        <w:t xml:space="preserve">   </w:t>
      </w:r>
      <w:r>
        <w:rPr>
          <w:rFonts w:hint="eastAsia" w:ascii="宋体" w:hAnsi="宋体"/>
          <w:b w:val="0"/>
          <w:color w:val="auto"/>
          <w:sz w:val="24"/>
          <w:szCs w:val="24"/>
          <w:highlight w:val="none"/>
        </w:rPr>
        <w:t xml:space="preserve"> </w:t>
      </w:r>
      <w:bookmarkStart w:id="169" w:name="_Toc351203485"/>
      <w:r>
        <w:rPr>
          <w:rFonts w:hint="eastAsia" w:ascii="宋体" w:hAnsi="宋体"/>
          <w:b w:val="0"/>
          <w:color w:val="auto"/>
          <w:sz w:val="24"/>
          <w:szCs w:val="24"/>
          <w:highlight w:val="none"/>
        </w:rPr>
        <w:t xml:space="preserve">五、</w:t>
      </w:r>
      <w:bookmarkEnd w:id="169"/>
      <w:r>
        <w:rPr>
          <w:rFonts w:hint="eastAsia" w:ascii="宋体" w:hAnsi="宋体"/>
          <w:b w:val="0"/>
          <w:color w:val="auto"/>
          <w:sz w:val="24"/>
          <w:szCs w:val="24"/>
          <w:highlight w:val="none"/>
        </w:rPr>
        <w:t xml:space="preserve">项目经理</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承包人项目经理：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754"/>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170" w:name="_Toc351203486"/>
      <w:r>
        <w:rPr>
          <w:rFonts w:hint="eastAsia" w:ascii="宋体" w:hAnsi="宋体"/>
          <w:b w:val="0"/>
          <w:color w:val="auto"/>
          <w:sz w:val="24"/>
          <w:szCs w:val="24"/>
          <w:highlight w:val="none"/>
        </w:rPr>
        <w:t xml:space="preserve">六、合同文件构成</w:t>
      </w:r>
      <w:bookmarkEnd w:id="170"/>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本协议书与下列文件一起构成合同文件：</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成交</w:t>
      </w:r>
      <w:r>
        <w:rPr>
          <w:rFonts w:hint="eastAsia" w:ascii="宋体" w:hAnsi="宋体" w:eastAsia="宋体"/>
          <w:color w:val="auto"/>
          <w:sz w:val="24"/>
          <w:szCs w:val="24"/>
          <w:highlight w:val="none"/>
        </w:rPr>
        <w:t xml:space="preserve">通知书（如果有）；</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（2）投标函及其附录（如果有）； </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（3）专用合同条款及其附件；</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（4）通用合同条款；</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（5）技术标准和要求；</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（6）图纸；</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（7）已标价工程量清单或预算书；</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（8）其他合同文件。</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在合同订立及履行过程中形成的与合同有关的文件均构成合同文件组成部分。</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54"/>
        <w:spacing w:before="120" w:after="120" w:line="440" w:lineRule="exact"/>
        <w:rPr>
          <w:rFonts w:hint="eastAsia" w:ascii="宋体" w:hAnsi="宋体"/>
          <w:b w:val="0"/>
          <w:color w:val="auto"/>
          <w:sz w:val="24"/>
          <w:szCs w:val="24"/>
          <w:highlight w:val="none"/>
        </w:rPr>
      </w:pPr>
      <w:r>
        <w:rPr>
          <w:rFonts w:hint="eastAsia" w:ascii="宋体" w:hAnsi="宋体"/>
          <w:b w:val="0"/>
          <w:color w:val="auto"/>
          <w:sz w:val="24"/>
          <w:szCs w:val="24"/>
          <w:highlight w:val="none"/>
        </w:rPr>
        <w:t xml:space="preserve">    </w:t>
      </w:r>
      <w:bookmarkStart w:id="171" w:name="_Toc351203487"/>
      <w:r>
        <w:rPr>
          <w:rFonts w:hint="eastAsia" w:ascii="宋体" w:hAnsi="宋体"/>
          <w:b w:val="0"/>
          <w:color w:val="auto"/>
          <w:sz w:val="24"/>
          <w:szCs w:val="24"/>
          <w:highlight w:val="none"/>
        </w:rPr>
        <w:t xml:space="preserve">七、承诺</w:t>
      </w:r>
      <w:bookmarkEnd w:id="171"/>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1.发包人承诺按照法律规定履行项目审批手续、筹集工程建设资金并按照合同约定的期限和方式支付合同价款。</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3.发包人和承包人通过招投标形式签订合同的，双方理解并承诺不再就同一工程另行签订与合同实质性内容相背离的协议。</w:t>
      </w:r>
      <w:r/>
    </w:p>
    <w:p>
      <w:pPr>
        <w:spacing w:line="440" w:lineRule="exact"/>
        <w:rPr>
          <w:rFonts w:hint="eastAsia" w:ascii="宋体" w:hAnsi="宋体" w:eastAsia="宋体"/>
          <w:color w:val="auto"/>
          <w:sz w:val="24"/>
          <w:szCs w:val="24"/>
          <w:highlight w:val="none"/>
        </w:rPr>
      </w:pPr>
      <w:r/>
      <w:bookmarkStart w:id="172" w:name="_Toc351203488"/>
      <w:r>
        <w:rPr>
          <w:rFonts w:hint="eastAsia" w:ascii="Times New Roman" w:hAnsi="Times New Roman" w:eastAsia="黑体"/>
          <w:b/>
          <w:color w:val="auto"/>
          <w:sz w:val="24"/>
          <w:szCs w:val="24"/>
          <w:highlight w:val="none"/>
        </w:rPr>
        <w:t xml:space="preserve">   </w:t>
      </w:r>
      <w:r>
        <w:rPr>
          <w:rFonts w:hint="eastAsia" w:ascii="宋体" w:hAnsi="宋体" w:eastAsia="宋体"/>
          <w:b/>
          <w:color w:val="auto"/>
          <w:sz w:val="24"/>
          <w:szCs w:val="24"/>
          <w:highlight w:val="none"/>
        </w:rPr>
        <w:t xml:space="preserve"> 八、词语含义</w:t>
      </w:r>
      <w:bookmarkEnd w:id="172"/>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本协议书中词语含义与第二部分通用合同条款中赋予的含义相同。</w:t>
      </w:r>
      <w:r/>
    </w:p>
    <w:p>
      <w:pPr>
        <w:pStyle w:val="754"/>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173" w:name="_Toc351203489"/>
      <w:r>
        <w:rPr>
          <w:rFonts w:hint="eastAsia" w:ascii="宋体" w:hAnsi="宋体"/>
          <w:b w:val="0"/>
          <w:color w:val="auto"/>
          <w:sz w:val="24"/>
          <w:szCs w:val="24"/>
          <w:highlight w:val="none"/>
        </w:rPr>
        <w:t xml:space="preserve">九、签订时间</w:t>
      </w:r>
      <w:bookmarkEnd w:id="173"/>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日签订。</w:t>
      </w:r>
      <w:r/>
    </w:p>
    <w:p>
      <w:pPr>
        <w:pStyle w:val="754"/>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74" w:name="_Toc351203490"/>
      <w:r>
        <w:rPr>
          <w:rFonts w:hint="eastAsia" w:ascii="宋体" w:hAnsi="宋体"/>
          <w:b w:val="0"/>
          <w:color w:val="auto"/>
          <w:sz w:val="24"/>
          <w:szCs w:val="24"/>
          <w:highlight w:val="none"/>
        </w:rPr>
        <w:t xml:space="preserve">十、签订地点</w:t>
      </w:r>
      <w:bookmarkEnd w:id="174"/>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本合同在</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w:t>
      </w:r>
      <w:r/>
    </w:p>
    <w:p>
      <w:pPr>
        <w:pStyle w:val="754"/>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75" w:name="_Toc351203491"/>
      <w:r>
        <w:rPr>
          <w:rFonts w:hint="eastAsia" w:ascii="宋体" w:hAnsi="宋体"/>
          <w:b w:val="0"/>
          <w:color w:val="auto"/>
          <w:sz w:val="24"/>
          <w:szCs w:val="24"/>
          <w:highlight w:val="none"/>
        </w:rPr>
        <w:t xml:space="preserve">十一、补充协议</w:t>
      </w:r>
      <w:bookmarkEnd w:id="175"/>
      <w:r/>
      <w:r/>
    </w:p>
    <w:p>
      <w:pPr>
        <w:ind w:firstLine="420"/>
        <w:spacing w:line="440" w:lineRule="exact"/>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合同未尽事宜，合同当事人另行签订补充协议，补充协议是合同的组成部分。</w:t>
      </w:r>
      <w:r/>
    </w:p>
    <w:p>
      <w:pPr>
        <w:pStyle w:val="754"/>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76" w:name="_Toc351203492"/>
      <w:r>
        <w:rPr>
          <w:rFonts w:hint="eastAsia" w:ascii="宋体" w:hAnsi="宋体"/>
          <w:b w:val="0"/>
          <w:color w:val="auto"/>
          <w:sz w:val="24"/>
          <w:szCs w:val="24"/>
          <w:highlight w:val="none"/>
        </w:rPr>
        <w:t xml:space="preserve">十二、合同生效</w:t>
      </w:r>
      <w:bookmarkEnd w:id="176"/>
      <w:r/>
      <w:r/>
    </w:p>
    <w:p>
      <w:pPr>
        <w:ind w:firstLine="420"/>
        <w:spacing w:line="440" w:lineRule="exact"/>
        <w:rPr>
          <w:rFonts w:hint="default"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本合同自</w:t>
      </w:r>
      <w:r>
        <w:rPr>
          <w:rFonts w:hint="eastAsia" w:ascii="宋体" w:hAnsi="宋体" w:eastAsia="宋体"/>
          <w:color w:val="auto"/>
          <w:sz w:val="24"/>
          <w:szCs w:val="24"/>
          <w:highlight w:val="none"/>
          <w:u w:val="single"/>
        </w:rPr>
        <w:t xml:space="preserve">双方法定代表人或委托代表人签字并</w:t>
      </w:r>
      <w:r>
        <w:rPr>
          <w:rFonts w:hint="eastAsia" w:ascii="宋体" w:hAnsi="宋体" w:eastAsia="宋体"/>
          <w:color w:val="auto"/>
          <w:sz w:val="24"/>
          <w:szCs w:val="24"/>
          <w:highlight w:val="none"/>
          <w:u w:val="single"/>
          <w:lang w:eastAsia="zh-CN"/>
        </w:rPr>
        <w:t xml:space="preserve">加盖</w:t>
      </w:r>
      <w:r>
        <w:rPr>
          <w:rFonts w:hint="eastAsia" w:ascii="宋体" w:hAnsi="宋体" w:eastAsia="宋体"/>
          <w:color w:val="auto"/>
          <w:sz w:val="24"/>
          <w:szCs w:val="24"/>
          <w:highlight w:val="none"/>
          <w:u w:val="single"/>
        </w:rPr>
        <w:t xml:space="preserve">法人公章</w:t>
      </w:r>
      <w:r>
        <w:rPr>
          <w:rFonts w:hint="eastAsia" w:ascii="宋体" w:hAnsi="宋体" w:eastAsia="宋体"/>
          <w:color w:val="auto"/>
          <w:sz w:val="24"/>
          <w:szCs w:val="24"/>
          <w:highlight w:val="none"/>
        </w:rPr>
        <w:t xml:space="preserve">生效。</w:t>
      </w:r>
      <w:r/>
    </w:p>
    <w:p>
      <w:pPr>
        <w:pStyle w:val="754"/>
        <w:spacing w:before="120" w:after="120" w:line="440" w:lineRule="exact"/>
        <w:rPr>
          <w:rFonts w:hint="eastAsia" w:ascii="宋体" w:hAnsi="宋体"/>
          <w:color w:val="auto"/>
          <w:sz w:val="24"/>
          <w:szCs w:val="24"/>
          <w:highlight w:val="none"/>
        </w:rPr>
      </w:pPr>
      <w:r>
        <w:rPr>
          <w:rFonts w:hint="default" w:ascii="Times New Roman" w:hAnsi="Times New Roman"/>
          <w:color w:val="auto"/>
          <w:sz w:val="24"/>
          <w:szCs w:val="24"/>
          <w:highlight w:val="none"/>
        </w:rPr>
        <w:t xml:space="preserve">   </w:t>
      </w:r>
      <w:r>
        <w:rPr>
          <w:rFonts w:hint="eastAsia" w:ascii="宋体" w:hAnsi="宋体"/>
          <w:color w:val="auto"/>
          <w:sz w:val="24"/>
          <w:szCs w:val="24"/>
          <w:highlight w:val="none"/>
        </w:rPr>
        <w:t xml:space="preserve"> </w:t>
      </w:r>
      <w:bookmarkStart w:id="177" w:name="_Toc351203493"/>
      <w:r>
        <w:rPr>
          <w:rFonts w:hint="eastAsia" w:ascii="宋体" w:hAnsi="宋体"/>
          <w:b w:val="0"/>
          <w:color w:val="auto"/>
          <w:sz w:val="24"/>
          <w:szCs w:val="24"/>
          <w:highlight w:val="none"/>
        </w:rPr>
        <w:t xml:space="preserve">十三、合同份数</w:t>
      </w:r>
      <w:bookmarkEnd w:id="177"/>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本合同一式</w:t>
      </w:r>
      <w:r>
        <w:rPr>
          <w:rFonts w:hint="eastAsia" w:ascii="宋体" w:hAnsi="宋体" w:eastAsia="宋体"/>
          <w:color w:val="auto"/>
          <w:sz w:val="24"/>
          <w:szCs w:val="24"/>
          <w:highlight w:val="none"/>
          <w:u w:val="single"/>
        </w:rPr>
        <w:t xml:space="preserve">捌</w:t>
      </w:r>
      <w:r>
        <w:rPr>
          <w:rFonts w:hint="eastAsia" w:ascii="宋体" w:hAnsi="宋体" w:eastAsia="宋体"/>
          <w:color w:val="auto"/>
          <w:sz w:val="24"/>
          <w:szCs w:val="24"/>
          <w:highlight w:val="none"/>
        </w:rPr>
        <w:t xml:space="preserve">份，均具有同等法律效力，发包人执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份，承包人执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w:t>
      </w:r>
      <w:r/>
    </w:p>
    <w:p>
      <w:pPr>
        <w:spacing w:line="440" w:lineRule="exact"/>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承包人：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p>
    <w:p>
      <w:pPr>
        <w:spacing w:line="44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法定代表人或其委托代理人：            法定代表人或其委托代理人：</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（签字）                               （签字）</w:t>
      </w:r>
      <w:r/>
    </w:p>
    <w:p>
      <w:pPr>
        <w:spacing w:line="44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r>
      <w:r/>
    </w:p>
    <w:p>
      <w:pPr>
        <w:spacing w:line="440" w:lineRule="exact"/>
        <w:tabs>
          <w:tab w:val="left" w:pos="441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电子信箱：</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spacing w:line="440" w:lineRule="exact"/>
        <w:rPr>
          <w:rFonts w:hint="default"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rPr>
          <w:rFonts w:hint="default" w:ascii="Times New Roman" w:hAnsi="Times New Roman" w:eastAsia="仿宋_GB2312"/>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p>
    <w:p>
      <w:pPr>
        <w:pStyle w:val="753"/>
        <w:jc w:val="center"/>
        <w:rPr>
          <w:rFonts w:hint="eastAsia" w:ascii="华文中宋" w:hAnsi="华文中宋" w:eastAsia="华文中宋"/>
          <w:color w:val="auto"/>
          <w:sz w:val="24"/>
          <w:szCs w:val="24"/>
          <w:highlight w:val="none"/>
        </w:rPr>
      </w:pPr>
      <w:r>
        <w:rPr>
          <w:rFonts w:hint="default" w:ascii="Times New Roman" w:hAnsi="Times New Roman" w:eastAsia="仿宋_GB2312"/>
          <w:color w:val="auto"/>
          <w:sz w:val="24"/>
          <w:szCs w:val="24"/>
          <w:highlight w:val="none"/>
        </w:rPr>
        <w:br w:type="page" w:clear="all"/>
      </w:r>
      <w:bookmarkStart w:id="178" w:name="_Toc28167"/>
      <w:r/>
      <w:bookmarkStart w:id="179" w:name="_Toc351203494"/>
      <w:r>
        <w:rPr>
          <w:rFonts w:hint="eastAsia" w:ascii="宋体" w:hAnsi="宋体" w:eastAsia="宋体"/>
          <w:color w:val="auto"/>
          <w:sz w:val="24"/>
          <w:szCs w:val="24"/>
          <w:highlight w:val="none"/>
        </w:rPr>
        <w:t xml:space="preserve">第二部分 通用合同条款</w:t>
      </w:r>
      <w:bookmarkEnd w:id="178"/>
      <w:r/>
      <w:bookmarkEnd w:id="179"/>
      <w:r/>
      <w:bookmarkStart w:id="180" w:name="_Toc337558727"/>
      <w:r/>
      <w:bookmarkEnd w:id="180"/>
      <w:r/>
      <w:r/>
    </w:p>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略 详见（GF—2017—0201）</w:t>
      </w:r>
      <w:bookmarkStart w:id="181" w:name="_Toc351203632"/>
      <w:r/>
      <w:r/>
    </w:p>
    <w:p>
      <w:pPr>
        <w:jc w:val="center"/>
        <w:rPr>
          <w:rFonts w:hint="eastAsia" w:ascii="宋体" w:hAnsi="宋体" w:eastAsia="宋体"/>
          <w:color w:val="auto"/>
          <w:sz w:val="24"/>
          <w:szCs w:val="24"/>
          <w:highlight w:val="none"/>
        </w:rPr>
      </w:pPr>
      <w:r/>
      <w:bookmarkStart w:id="182" w:name="_Toc25770"/>
      <w:r/>
      <w:r/>
    </w:p>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第三部分 专用合同条款</w:t>
      </w:r>
      <w:bookmarkEnd w:id="181"/>
      <w:r/>
      <w:bookmarkEnd w:id="182"/>
      <w:r/>
      <w:r/>
    </w:p>
    <w:p>
      <w:pPr>
        <w:pStyle w:val="754"/>
        <w:ind w:left="0"/>
        <w:pageBreakBefore w:val="0"/>
        <w:spacing w:before="0" w:after="0" w:line="360" w:lineRule="auto"/>
        <w:rPr>
          <w:rFonts w:hint="eastAsia" w:ascii="宋体" w:hAnsi="宋体"/>
          <w:color w:val="auto"/>
          <w:sz w:val="24"/>
          <w:szCs w:val="24"/>
          <w:highlight w:val="none"/>
        </w:rPr>
      </w:pPr>
      <w:r/>
      <w:bookmarkStart w:id="183" w:name="_Toc351203633"/>
      <w:r>
        <w:rPr>
          <w:rFonts w:hint="eastAsia" w:ascii="宋体" w:hAnsi="宋体"/>
          <w:color w:val="auto"/>
          <w:sz w:val="24"/>
          <w:szCs w:val="24"/>
          <w:highlight w:val="none"/>
        </w:rPr>
        <w:t xml:space="preserve">1</w:t>
      </w:r>
      <w:bookmarkStart w:id="184" w:name="_Toc297120456"/>
      <w:r/>
      <w:bookmarkStart w:id="185" w:name="_Toc296891196"/>
      <w:r/>
      <w:bookmarkStart w:id="186" w:name="_Toc296503156"/>
      <w:r/>
      <w:bookmarkStart w:id="187" w:name="_Toc292559866"/>
      <w:r/>
      <w:bookmarkStart w:id="188" w:name="_Toc296890984"/>
      <w:r/>
      <w:bookmarkStart w:id="189" w:name="_Toc296944495"/>
      <w:r/>
      <w:bookmarkStart w:id="190" w:name="_Toc292559361"/>
      <w:r/>
      <w:bookmarkStart w:id="191" w:name="_Toc296346657"/>
      <w:r/>
      <w:bookmarkStart w:id="192" w:name="_Toc297048342"/>
      <w:r/>
      <w:bookmarkStart w:id="193" w:name="_Toc296347155"/>
      <w:r>
        <w:rPr>
          <w:rFonts w:hint="eastAsia" w:ascii="宋体" w:hAnsi="宋体"/>
          <w:color w:val="auto"/>
          <w:sz w:val="24"/>
          <w:szCs w:val="24"/>
          <w:highlight w:val="none"/>
        </w:rPr>
        <w:t xml:space="preserve">. 一般约定</w:t>
      </w:r>
      <w:bookmarkEnd w:id="183"/>
      <w:r/>
      <w:bookmarkEnd w:id="184"/>
      <w:r/>
      <w:bookmarkEnd w:id="185"/>
      <w:r/>
      <w:bookmarkEnd w:id="186"/>
      <w:r/>
      <w:bookmarkEnd w:id="187"/>
      <w:r/>
      <w:bookmarkEnd w:id="188"/>
      <w:r/>
      <w:bookmarkEnd w:id="189"/>
      <w:r/>
      <w:bookmarkEnd w:id="190"/>
      <w:r/>
      <w:bookmarkEnd w:id="191"/>
      <w:r/>
      <w:bookmarkEnd w:id="192"/>
      <w:r/>
      <w:bookmarkEnd w:id="193"/>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194" w:name="_Toc7931"/>
      <w:r>
        <w:rPr>
          <w:rFonts w:hint="eastAsia" w:ascii="宋体" w:hAnsi="宋体" w:eastAsia="宋体"/>
          <w:b/>
          <w:color w:val="auto"/>
          <w:sz w:val="24"/>
          <w:szCs w:val="24"/>
          <w:highlight w:val="none"/>
        </w:rPr>
        <w:t xml:space="preserve">1.1 词语定义</w:t>
      </w:r>
      <w:bookmarkEnd w:id="194"/>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1.1.1合同</w:t>
      </w:r>
      <w:r/>
    </w:p>
    <w:p>
      <w:pPr>
        <w:ind w:left="0" w:firstLine="42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1.1.1.10其他合同文件包括：</w:t>
      </w:r>
      <w:r>
        <w:rPr>
          <w:rFonts w:hint="eastAsia" w:ascii="宋体" w:hAnsi="宋体" w:eastAsia="宋体"/>
          <w:color w:val="auto"/>
          <w:sz w:val="24"/>
          <w:szCs w:val="24"/>
          <w:highlight w:val="none"/>
          <w:u w:val="single"/>
        </w:rPr>
        <w:t xml:space="preserve">经监理工程师、发包人代表签字并经发包人盖章确认的涉及工期、质量、价款调整内容的签证单、联系函、技术核定单等。</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 合同当事人及其他相关方</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1.1.2.4监理人：</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1.1.2.5 设计人：</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 工程和设备</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1.1.3.7 作为施工现场组成部分的其他场所包括：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1.1.3.9 永久占地包括：</w:t>
      </w:r>
      <w:r>
        <w:rPr>
          <w:rFonts w:hint="eastAsia" w:ascii="宋体" w:hAnsi="宋体" w:eastAsia="宋体"/>
          <w:color w:val="auto"/>
          <w:sz w:val="24"/>
          <w:szCs w:val="24"/>
          <w:highlight w:val="none"/>
          <w:u w:val="single"/>
        </w:rPr>
        <w:t xml:space="preserve">发包人项目红线范围内的用地</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1.1.3.10 临时占地包括：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1.3法律 </w:t>
      </w:r>
      <w:r/>
    </w:p>
    <w:p>
      <w:pPr>
        <w:ind w:left="0" w:firstLine="42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适用于合同的其他规范性文件：</w:t>
      </w:r>
      <w:r>
        <w:rPr>
          <w:rFonts w:hint="eastAsia" w:ascii="宋体" w:hAnsi="宋体" w:eastAsia="宋体" w:cs="宋体"/>
          <w:b w:val="0"/>
          <w:bCs w:val="0"/>
          <w:color w:val="auto"/>
          <w:sz w:val="21"/>
          <w:szCs w:val="21"/>
          <w:highlight w:val="none"/>
          <w:u w:val="single"/>
        </w:rPr>
        <w:t xml:space="preserve">《中华人民共和国建筑法》、《中华人民共和国民法典》、《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1.4 标准和规范</w:t>
      </w:r>
      <w:r/>
    </w:p>
    <w:p>
      <w:pPr>
        <w:ind w:left="0" w:firstLine="420"/>
        <w:pageBreakBefore w:val="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1.4.1适用于工程的标准规范包括：现行建筑工程相关的规范、规程、标准、规定、图集等。</w:t>
      </w:r>
      <w:r/>
    </w:p>
    <w:p>
      <w:pPr>
        <w:ind w:left="0" w:firstLine="420"/>
        <w:pageBreakBefore w:val="0"/>
        <w:spacing w:line="360" w:lineRule="auto"/>
        <w:rPr>
          <w:rFonts w:hint="eastAsia" w:ascii="宋体" w:hAnsi="宋体" w:eastAsia="宋体"/>
          <w:color w:val="auto"/>
          <w:sz w:val="24"/>
          <w:szCs w:val="24"/>
          <w:highlight w:val="none"/>
        </w:rPr>
        <w:outlineLvl w:val="0"/>
      </w:pPr>
      <w:r/>
      <w:bookmarkStart w:id="195" w:name="_Toc21365"/>
      <w:r>
        <w:rPr>
          <w:rFonts w:hint="eastAsia" w:ascii="宋体" w:hAnsi="宋体" w:eastAsia="宋体"/>
          <w:color w:val="auto"/>
          <w:sz w:val="24"/>
          <w:szCs w:val="24"/>
          <w:highlight w:val="none"/>
        </w:rPr>
        <w:t xml:space="preserve">1.4.2 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bookmarkEnd w:id="195"/>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发包人提供国外标准、规范的份数：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1.4.3发包人对工程的技术标准和功能要求的特殊要求：</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196" w:name="_Toc25091"/>
      <w:r>
        <w:rPr>
          <w:rFonts w:hint="eastAsia" w:ascii="宋体" w:hAnsi="宋体" w:eastAsia="宋体"/>
          <w:b/>
          <w:color w:val="auto"/>
          <w:sz w:val="24"/>
          <w:szCs w:val="24"/>
          <w:highlight w:val="none"/>
        </w:rPr>
        <w:t xml:space="preserve">1.5 合同文件的优先顺序</w:t>
      </w:r>
      <w:bookmarkEnd w:id="196"/>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合同文件组成及优先顺序为：</w:t>
      </w:r>
      <w:r>
        <w:rPr>
          <w:rFonts w:hint="eastAsia" w:ascii="宋体" w:hAnsi="宋体" w:eastAsia="宋体"/>
          <w:color w:val="auto"/>
          <w:sz w:val="24"/>
          <w:szCs w:val="24"/>
          <w:highlight w:val="none"/>
          <w:u w:val="single"/>
        </w:rPr>
        <w:t xml:space="preserve">（1）合同协议书；（2）</w:t>
      </w:r>
      <w:r>
        <w:rPr>
          <w:rFonts w:hint="eastAsia" w:ascii="宋体" w:hAnsi="宋体" w:eastAsia="宋体"/>
          <w:color w:val="auto"/>
          <w:sz w:val="24"/>
          <w:szCs w:val="24"/>
          <w:highlight w:val="none"/>
          <w:u w:val="single"/>
          <w:lang w:val="en-US" w:eastAsia="zh-CN"/>
        </w:rPr>
        <w:t xml:space="preserve">成交</w:t>
      </w:r>
      <w:r>
        <w:rPr>
          <w:rFonts w:hint="eastAsia" w:ascii="宋体" w:hAnsi="宋体" w:eastAsia="宋体"/>
          <w:color w:val="auto"/>
          <w:sz w:val="24"/>
          <w:szCs w:val="24"/>
          <w:highlight w:val="none"/>
          <w:u w:val="single"/>
        </w:rPr>
        <w:t xml:space="preserve">通知书；（3）投标函及其附录；（4）专用合同条款及其附件；（5）通用合同条款；（6）技术标准和要求；（7）图纸；（8）已标价的工程量清单或预算书；（9）其他合同文件</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197" w:name="_Toc8793"/>
      <w:r>
        <w:rPr>
          <w:rFonts w:hint="eastAsia" w:ascii="宋体" w:hAnsi="宋体" w:eastAsia="宋体"/>
          <w:b/>
          <w:color w:val="auto"/>
          <w:sz w:val="24"/>
          <w:szCs w:val="24"/>
          <w:highlight w:val="none"/>
        </w:rPr>
        <w:t xml:space="preserve">1.6 图纸和承包人文件</w:t>
      </w:r>
      <w:bookmarkEnd w:id="197"/>
      <w:r>
        <w:rPr>
          <w:rFonts w:hint="eastAsia" w:ascii="宋体" w:hAnsi="宋体" w:eastAsia="宋体"/>
          <w:b/>
          <w:color w:val="auto"/>
          <w:sz w:val="24"/>
          <w:szCs w:val="24"/>
          <w:highlight w:val="none"/>
        </w:rPr>
        <w:tab/>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 图纸的提供</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发包人向承包人提供图纸的期限：</w:t>
      </w:r>
      <w:r>
        <w:rPr>
          <w:rFonts w:hint="eastAsia" w:ascii="宋体" w:hAnsi="宋体" w:eastAsia="宋体"/>
          <w:color w:val="auto"/>
          <w:sz w:val="24"/>
          <w:szCs w:val="24"/>
          <w:highlight w:val="none"/>
          <w:u w:val="single"/>
        </w:rPr>
        <w:t xml:space="preserve">工程开工前</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发包人向承包人提供图纸的数量：</w:t>
      </w:r>
      <w:r>
        <w:rPr>
          <w:rFonts w:hint="eastAsia" w:ascii="宋体" w:hAnsi="宋体" w:eastAsia="宋体"/>
          <w:color w:val="auto"/>
          <w:sz w:val="24"/>
          <w:szCs w:val="24"/>
          <w:highlight w:val="none"/>
          <w:u w:val="single"/>
        </w:rPr>
        <w:t xml:space="preserve">按工程实际提供</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发包人向承包人提供图纸的内容：</w:t>
      </w:r>
      <w:r>
        <w:rPr>
          <w:rFonts w:hint="eastAsia" w:ascii="宋体" w:hAnsi="宋体" w:eastAsia="宋体"/>
          <w:color w:val="auto"/>
          <w:sz w:val="24"/>
          <w:szCs w:val="24"/>
          <w:highlight w:val="none"/>
          <w:u w:val="single"/>
        </w:rPr>
        <w:t xml:space="preserve">本合同承包范围内的全部工程的图纸</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1.6.4 承包人文件</w:t>
      </w:r>
      <w:r/>
    </w:p>
    <w:p>
      <w:pPr>
        <w:ind w:left="0" w:firstLine="42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需要由承包人提供的文件，包括：</w:t>
      </w:r>
      <w:r>
        <w:rPr>
          <w:rFonts w:hint="eastAsia" w:ascii="宋体" w:hAnsi="宋体" w:eastAsia="宋体"/>
          <w:color w:val="auto"/>
          <w:sz w:val="24"/>
          <w:szCs w:val="24"/>
          <w:highlight w:val="none"/>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承包人提供的文件的期限为：</w:t>
      </w:r>
      <w:r>
        <w:rPr>
          <w:rFonts w:hint="eastAsia" w:ascii="宋体" w:hAnsi="宋体" w:eastAsia="宋体"/>
          <w:color w:val="auto"/>
          <w:sz w:val="24"/>
          <w:szCs w:val="24"/>
          <w:highlight w:val="none"/>
          <w:u w:val="single"/>
        </w:rPr>
        <w:t xml:space="preserve">      同上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承包人提供的文件的数量为：</w:t>
      </w:r>
      <w:r>
        <w:rPr>
          <w:rFonts w:hint="eastAsia" w:ascii="宋体" w:hAnsi="宋体" w:eastAsia="宋体"/>
          <w:color w:val="auto"/>
          <w:sz w:val="24"/>
          <w:szCs w:val="24"/>
          <w:highlight w:val="none"/>
          <w:u w:val="single"/>
        </w:rPr>
        <w:t xml:space="preserve">      一式四套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承包人提供的文件的形式为：</w:t>
      </w:r>
      <w:r>
        <w:rPr>
          <w:rFonts w:hint="eastAsia" w:ascii="宋体" w:hAnsi="宋体" w:eastAsia="宋体"/>
          <w:color w:val="auto"/>
          <w:sz w:val="24"/>
          <w:szCs w:val="24"/>
          <w:highlight w:val="none"/>
          <w:u w:val="single"/>
        </w:rPr>
        <w:t xml:space="preserve">   书面版和电子版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发包人审批承包人文件的期限：</w:t>
      </w:r>
      <w:r>
        <w:rPr>
          <w:rFonts w:hint="eastAsia" w:ascii="宋体" w:hAnsi="宋体" w:eastAsia="宋体"/>
          <w:color w:val="auto"/>
          <w:sz w:val="24"/>
          <w:szCs w:val="24"/>
          <w:highlight w:val="none"/>
          <w:u w:val="single"/>
        </w:rPr>
        <w:t xml:space="preserve"> 书面版和电子版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1.6.5 现场图纸准备</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关于现场图纸准备的约定：</w:t>
      </w:r>
      <w:r>
        <w:rPr>
          <w:rFonts w:hint="eastAsia" w:ascii="宋体" w:hAnsi="宋体" w:eastAsia="宋体"/>
          <w:color w:val="auto"/>
          <w:sz w:val="24"/>
          <w:szCs w:val="24"/>
          <w:highlight w:val="none"/>
          <w:u w:val="single"/>
        </w:rPr>
        <w:t xml:space="preserve">由承包人负责准备现场图纸</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198" w:name="_Toc3468"/>
      <w:r>
        <w:rPr>
          <w:rFonts w:hint="eastAsia" w:ascii="宋体" w:hAnsi="宋体" w:eastAsia="宋体"/>
          <w:b/>
          <w:color w:val="auto"/>
          <w:sz w:val="24"/>
          <w:szCs w:val="24"/>
          <w:highlight w:val="none"/>
        </w:rPr>
        <w:t xml:space="preserve">1.7 联络</w:t>
      </w:r>
      <w:bookmarkEnd w:id="198"/>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1.7.1发包人和承包人应当在</w:t>
      </w:r>
      <w:r>
        <w:rPr>
          <w:rFonts w:hint="eastAsia" w:ascii="宋体" w:hAnsi="宋体" w:eastAsia="宋体"/>
          <w:color w:val="auto"/>
          <w:sz w:val="24"/>
          <w:szCs w:val="24"/>
          <w:highlight w:val="none"/>
          <w:u w:val="single"/>
        </w:rPr>
        <w:t xml:space="preserve">3</w:t>
      </w:r>
      <w:r>
        <w:rPr>
          <w:rFonts w:hint="eastAsia" w:ascii="宋体" w:hAnsi="宋体" w:eastAsia="宋体"/>
          <w:color w:val="auto"/>
          <w:sz w:val="24"/>
          <w:szCs w:val="24"/>
          <w:highlight w:val="none"/>
        </w:rPr>
        <w:t xml:space="preserve">天内将与合同有关的通知、批准、证明、证书、指示、指令、要求、请求、同意、意见、确定和决定等书面函件送达对方当事人。</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1.7.2 发包人接收文件的地点：</w:t>
      </w:r>
      <w:r>
        <w:rPr>
          <w:rFonts w:hint="eastAsia" w:ascii="宋体" w:hAnsi="宋体" w:eastAsia="宋体"/>
          <w:color w:val="auto"/>
          <w:sz w:val="24"/>
          <w:szCs w:val="24"/>
          <w:highlight w:val="none"/>
          <w:u w:val="single"/>
        </w:rPr>
        <w:t xml:space="preserve">发包人办公室</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发包人指定的接收人为：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承包人接收文件的地点：</w:t>
      </w:r>
      <w:r>
        <w:rPr>
          <w:rFonts w:hint="eastAsia" w:ascii="宋体" w:hAnsi="宋体" w:eastAsia="宋体"/>
          <w:color w:val="auto"/>
          <w:sz w:val="24"/>
          <w:szCs w:val="24"/>
          <w:highlight w:val="none"/>
          <w:u w:val="single"/>
        </w:rPr>
        <w:t xml:space="preserve">项目现场办公室或承包人住所地</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承包人指定的接收人为：</w:t>
      </w:r>
      <w:r>
        <w:rPr>
          <w:rFonts w:hint="eastAsia" w:ascii="宋体" w:hAnsi="宋体" w:eastAsia="宋体"/>
          <w:color w:val="auto"/>
          <w:sz w:val="24"/>
          <w:szCs w:val="24"/>
          <w:highlight w:val="none"/>
          <w:u w:val="single"/>
        </w:rPr>
        <w:t xml:space="preserve">项目部人员</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监理人接收文件的地点：</w:t>
      </w:r>
      <w:r>
        <w:rPr>
          <w:rFonts w:hint="eastAsia" w:ascii="宋体" w:hAnsi="宋体" w:eastAsia="宋体"/>
          <w:color w:val="auto"/>
          <w:sz w:val="24"/>
          <w:szCs w:val="24"/>
          <w:highlight w:val="none"/>
          <w:u w:val="single"/>
        </w:rPr>
        <w:t xml:space="preserve">项目现场办公室</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监理人指定的接收人为：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199" w:name="_Toc14019"/>
      <w:r>
        <w:rPr>
          <w:rFonts w:hint="eastAsia" w:ascii="宋体" w:hAnsi="宋体" w:eastAsia="宋体"/>
          <w:b/>
          <w:color w:val="auto"/>
          <w:sz w:val="24"/>
          <w:szCs w:val="24"/>
          <w:highlight w:val="none"/>
        </w:rPr>
        <w:t xml:space="preserve">1.10 交通运输</w:t>
      </w:r>
      <w:bookmarkEnd w:id="199"/>
      <w:r/>
      <w:r/>
    </w:p>
    <w:p>
      <w:pPr>
        <w:ind w:left="0" w:firstLine="420"/>
        <w:pageBreakBefore w:val="0"/>
        <w:spacing w:line="360" w:lineRule="auto"/>
        <w:rPr>
          <w:rFonts w:hint="eastAsia" w:ascii="宋体" w:hAnsi="宋体" w:eastAsia="宋体"/>
          <w:color w:val="auto"/>
          <w:sz w:val="24"/>
          <w:szCs w:val="24"/>
          <w:highlight w:val="none"/>
        </w:rPr>
        <w:outlineLvl w:val="0"/>
      </w:pPr>
      <w:r/>
      <w:bookmarkStart w:id="200" w:name="_Toc27740"/>
      <w:r>
        <w:rPr>
          <w:rFonts w:hint="eastAsia" w:ascii="宋体" w:hAnsi="宋体" w:eastAsia="宋体"/>
          <w:color w:val="auto"/>
          <w:sz w:val="24"/>
          <w:szCs w:val="24"/>
          <w:highlight w:val="none"/>
        </w:rPr>
        <w:t xml:space="preserve">1</w:t>
      </w:r>
      <w:bookmarkStart w:id="201" w:name="_Toc312677986"/>
      <w:r/>
      <w:bookmarkStart w:id="202" w:name="_Toc318581155"/>
      <w:r/>
      <w:bookmarkStart w:id="203" w:name="_Toc303539100"/>
      <w:r/>
      <w:bookmarkStart w:id="204" w:name="_Toc304295521"/>
      <w:r/>
      <w:bookmarkStart w:id="205" w:name="_Toc300934943"/>
      <w:r>
        <w:rPr>
          <w:rFonts w:hint="eastAsia" w:ascii="宋体" w:hAnsi="宋体" w:eastAsia="宋体"/>
          <w:color w:val="auto"/>
          <w:sz w:val="24"/>
          <w:szCs w:val="24"/>
          <w:highlight w:val="none"/>
        </w:rPr>
        <w:t xml:space="preserve">.10.1 出入现场的权利</w:t>
      </w:r>
      <w:bookmarkEnd w:id="200"/>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关于出入现场的权利的约定：</w:t>
      </w:r>
      <w:r>
        <w:rPr>
          <w:rFonts w:hint="eastAsia" w:ascii="宋体" w:hAnsi="宋体" w:eastAsia="宋体"/>
          <w:color w:val="auto"/>
          <w:sz w:val="24"/>
          <w:szCs w:val="24"/>
          <w:highlight w:val="none"/>
          <w:u w:val="single"/>
        </w:rPr>
        <w:t xml:space="preserve">承包人已对施工场地现场勘察，由发包人按现状交付承包人施工，且施工场地平整等费用已包含在合同价款中。</w:t>
      </w:r>
      <w:bookmarkEnd w:id="201"/>
      <w:r/>
      <w:bookmarkEnd w:id="202"/>
      <w:r/>
      <w:bookmarkEnd w:id="203"/>
      <w:r/>
      <w:bookmarkEnd w:id="204"/>
      <w:r/>
      <w:bookmarkEnd w:id="205"/>
      <w:r/>
      <w:r/>
    </w:p>
    <w:p>
      <w:pPr>
        <w:ind w:left="0" w:firstLine="420"/>
        <w:jc w:val="left"/>
        <w:pageBreakBefore w:val="0"/>
        <w:spacing w:line="360" w:lineRule="auto"/>
        <w:rPr>
          <w:rFonts w:hint="eastAsia" w:ascii="宋体" w:hAnsi="宋体" w:eastAsia="宋体"/>
          <w:color w:val="auto"/>
          <w:sz w:val="24"/>
          <w:szCs w:val="24"/>
          <w:highlight w:val="none"/>
        </w:rPr>
        <w:outlineLvl w:val="0"/>
      </w:pPr>
      <w:r/>
      <w:bookmarkStart w:id="206" w:name="_Toc8902"/>
      <w:r>
        <w:rPr>
          <w:rFonts w:hint="eastAsia" w:ascii="宋体" w:hAnsi="宋体" w:eastAsia="宋体"/>
          <w:color w:val="auto"/>
          <w:sz w:val="24"/>
          <w:szCs w:val="24"/>
          <w:highlight w:val="none"/>
        </w:rPr>
        <w:t xml:space="preserve">1</w:t>
      </w:r>
      <w:bookmarkStart w:id="207" w:name="_Toc318581156"/>
      <w:r/>
      <w:bookmarkStart w:id="208" w:name="_Toc312677987"/>
      <w:r/>
      <w:bookmarkStart w:id="209" w:name="_Toc300934944"/>
      <w:r/>
      <w:bookmarkStart w:id="210" w:name="_Toc304295522"/>
      <w:r/>
      <w:bookmarkStart w:id="211" w:name="_Toc303539101"/>
      <w:r>
        <w:rPr>
          <w:rFonts w:hint="eastAsia" w:ascii="宋体" w:hAnsi="宋体" w:eastAsia="宋体"/>
          <w:color w:val="auto"/>
          <w:sz w:val="24"/>
          <w:szCs w:val="24"/>
          <w:highlight w:val="none"/>
        </w:rPr>
        <w:t xml:space="preserve">.10.3 场内交通</w:t>
      </w:r>
      <w:bookmarkEnd w:id="206"/>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关于场外交通和场内交通的边界的约定：</w:t>
      </w:r>
      <w:r>
        <w:rPr>
          <w:rFonts w:hint="eastAsia" w:ascii="宋体" w:hAnsi="宋体" w:eastAsia="宋体"/>
          <w:color w:val="auto"/>
          <w:sz w:val="24"/>
          <w:szCs w:val="24"/>
          <w:highlight w:val="none"/>
          <w:u w:val="single"/>
        </w:rPr>
        <w:t xml:space="preserve">发包人的用地红线范围为边界</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关于发包人向承包人免费提供满足工程施工需要的场内道路和交通设施的约定：</w:t>
      </w:r>
      <w:bookmarkEnd w:id="207"/>
      <w:r/>
      <w:bookmarkEnd w:id="208"/>
      <w:r/>
      <w:bookmarkEnd w:id="209"/>
      <w:r/>
      <w:bookmarkEnd w:id="210"/>
      <w:r/>
      <w:bookmarkEnd w:id="211"/>
      <w:r>
        <w:rPr>
          <w:rFonts w:hint="eastAsia" w:ascii="宋体" w:hAnsi="宋体" w:eastAsia="宋体"/>
          <w:color w:val="auto"/>
          <w:sz w:val="24"/>
          <w:szCs w:val="24"/>
          <w:highlight w:val="none"/>
          <w:u w:val="single"/>
        </w:rPr>
        <w:t xml:space="preserve">均由承包人完成，费用已含在约定的合同价款计价方法中</w:t>
      </w:r>
      <w:r>
        <w:rPr>
          <w:rFonts w:hint="eastAsia" w:ascii="宋体" w:hAnsi="宋体" w:eastAsia="宋体"/>
          <w:color w:val="auto"/>
          <w:sz w:val="24"/>
          <w:szCs w:val="24"/>
          <w:highlight w:val="none"/>
        </w:rPr>
        <w:t xml:space="preserve">。  </w:t>
      </w:r>
      <w:bookmarkStart w:id="212" w:name="_Toc318581157"/>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1.10.4超大件和超重件的运输</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运输超大件或超重件所需的道路和桥梁临时加固改造费用和其他有关费用由</w:t>
      </w:r>
      <w:r>
        <w:rPr>
          <w:rFonts w:hint="eastAsia" w:ascii="宋体" w:hAnsi="宋体" w:eastAsia="宋体"/>
          <w:color w:val="auto"/>
          <w:sz w:val="24"/>
          <w:szCs w:val="24"/>
          <w:highlight w:val="none"/>
          <w:u w:val="single"/>
        </w:rPr>
        <w:t xml:space="preserve">承包人</w:t>
      </w:r>
      <w:r>
        <w:rPr>
          <w:rFonts w:hint="eastAsia" w:ascii="宋体" w:hAnsi="宋体" w:eastAsia="宋体"/>
          <w:color w:val="auto"/>
          <w:sz w:val="24"/>
          <w:szCs w:val="24"/>
          <w:highlight w:val="none"/>
        </w:rPr>
        <w:t xml:space="preserve">承担。</w:t>
      </w:r>
      <w:bookmarkEnd w:id="212"/>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213" w:name="_Toc30998"/>
      <w:r>
        <w:rPr>
          <w:rFonts w:hint="eastAsia" w:ascii="宋体" w:hAnsi="宋体" w:eastAsia="宋体"/>
          <w:b/>
          <w:color w:val="auto"/>
          <w:sz w:val="24"/>
          <w:szCs w:val="24"/>
          <w:highlight w:val="none"/>
        </w:rPr>
        <w:t xml:space="preserve">1.11 知识产权</w:t>
      </w:r>
      <w:bookmarkEnd w:id="213"/>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pageBreakBefore w:val="0"/>
        <w:spacing w:line="360" w:lineRule="auto"/>
        <w:rPr>
          <w:rFonts w:hint="eastAsia" w:ascii="宋体" w:hAnsi="宋体" w:eastAsia="宋体"/>
          <w:color w:val="auto"/>
          <w:sz w:val="24"/>
          <w:szCs w:val="24"/>
          <w:highlight w:val="none"/>
        </w:rPr>
        <w:outlineLvl w:val="0"/>
      </w:pPr>
      <w:r/>
      <w:bookmarkStart w:id="214" w:name="_Toc19436"/>
      <w:r>
        <w:rPr>
          <w:rFonts w:hint="eastAsia" w:ascii="宋体" w:hAnsi="宋体" w:eastAsia="宋体"/>
          <w:color w:val="auto"/>
          <w:sz w:val="24"/>
          <w:szCs w:val="24"/>
          <w:highlight w:val="none"/>
        </w:rPr>
        <w:t xml:space="preserve">1.11.2 关于承包人为实施工程所编制文件的著作权的归属：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bookmarkEnd w:id="214"/>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outlineLvl w:val="0"/>
      </w:pPr>
      <w:r/>
      <w:bookmarkStart w:id="215" w:name="_Toc19142"/>
      <w:r>
        <w:rPr>
          <w:rFonts w:hint="eastAsia" w:ascii="宋体" w:hAnsi="宋体" w:eastAsia="宋体"/>
          <w:color w:val="auto"/>
          <w:sz w:val="24"/>
          <w:szCs w:val="24"/>
          <w:highlight w:val="none"/>
        </w:rPr>
        <w:t xml:space="preserve">1.11.4 承包人在施工过程中所采用的专利、专有技术、技术秘密的使用费的承担方式：</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bookmarkEnd w:id="215"/>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1.13工程量清单错误的修正</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出现工程量清单错误时，是否调整合同价格：</w:t>
      </w:r>
      <w:r>
        <w:rPr>
          <w:rFonts w:hint="eastAsia" w:ascii="宋体" w:hAnsi="宋体" w:eastAsia="宋体"/>
          <w:color w:val="auto"/>
          <w:sz w:val="24"/>
          <w:szCs w:val="24"/>
          <w:highlight w:val="none"/>
          <w:u w:val="single"/>
        </w:rPr>
        <w:t xml:space="preserve">是</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允许调整合同价格的工程量偏差范围：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754"/>
        <w:ind w:left="0"/>
        <w:pageBreakBefore w:val="0"/>
        <w:spacing w:before="0" w:after="0" w:line="360" w:lineRule="auto"/>
        <w:rPr>
          <w:rFonts w:hint="eastAsia" w:ascii="宋体" w:hAnsi="宋体"/>
          <w:color w:val="auto"/>
          <w:sz w:val="24"/>
          <w:szCs w:val="24"/>
          <w:highlight w:val="none"/>
        </w:rPr>
      </w:pPr>
      <w:r/>
      <w:bookmarkStart w:id="216" w:name="_Toc351203634"/>
      <w:r>
        <w:rPr>
          <w:rFonts w:hint="eastAsia" w:ascii="宋体" w:hAnsi="宋体"/>
          <w:color w:val="auto"/>
          <w:sz w:val="24"/>
          <w:szCs w:val="24"/>
          <w:highlight w:val="none"/>
        </w:rPr>
        <w:t xml:space="preserve">2</w:t>
      </w:r>
      <w:bookmarkStart w:id="217" w:name="_Toc296503157"/>
      <w:r/>
      <w:bookmarkStart w:id="218" w:name="_Toc297048343"/>
      <w:r/>
      <w:bookmarkStart w:id="219" w:name="_Toc296890985"/>
      <w:r/>
      <w:bookmarkStart w:id="220" w:name="_Toc292559362"/>
      <w:r/>
      <w:bookmarkStart w:id="221" w:name="_Toc296346658"/>
      <w:r/>
      <w:bookmarkStart w:id="222" w:name="_Toc292559867"/>
      <w:r/>
      <w:bookmarkStart w:id="223" w:name="_Toc296944496"/>
      <w:r/>
      <w:bookmarkStart w:id="224" w:name="_Toc296891197"/>
      <w:r/>
      <w:bookmarkStart w:id="225" w:name="_Toc296347156"/>
      <w:r/>
      <w:bookmarkStart w:id="226" w:name="_Toc297120457"/>
      <w:r>
        <w:rPr>
          <w:rFonts w:hint="eastAsia" w:ascii="宋体" w:hAnsi="宋体"/>
          <w:color w:val="auto"/>
          <w:sz w:val="24"/>
          <w:szCs w:val="24"/>
          <w:highlight w:val="none"/>
        </w:rPr>
        <w:t xml:space="preserve">. 发包人</w:t>
      </w:r>
      <w:bookmarkEnd w:id="216"/>
      <w:r/>
      <w:bookmarkEnd w:id="217"/>
      <w:r/>
      <w:bookmarkEnd w:id="218"/>
      <w:r/>
      <w:bookmarkEnd w:id="219"/>
      <w:r/>
      <w:bookmarkEnd w:id="220"/>
      <w:r/>
      <w:bookmarkEnd w:id="221"/>
      <w:r/>
      <w:bookmarkEnd w:id="222"/>
      <w:r/>
      <w:bookmarkEnd w:id="223"/>
      <w:r/>
      <w:bookmarkEnd w:id="224"/>
      <w:r/>
      <w:bookmarkEnd w:id="225"/>
      <w:r/>
      <w:bookmarkEnd w:id="226"/>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227" w:name="_Toc15891"/>
      <w:r>
        <w:rPr>
          <w:rFonts w:hint="eastAsia" w:ascii="宋体" w:hAnsi="宋体" w:eastAsia="宋体"/>
          <w:b/>
          <w:color w:val="auto"/>
          <w:sz w:val="24"/>
          <w:szCs w:val="24"/>
          <w:highlight w:val="none"/>
        </w:rPr>
        <w:t xml:space="preserve">2.2 发包人代表</w:t>
      </w:r>
      <w:bookmarkEnd w:id="227"/>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发包人代表：</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职    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发包人对发包人代表的授权范围如下：</w:t>
      </w:r>
      <w:r>
        <w:rPr>
          <w:rFonts w:hint="eastAsia" w:ascii="宋体" w:hAnsi="宋体" w:eastAsia="宋体"/>
          <w:color w:val="auto"/>
          <w:sz w:val="24"/>
          <w:szCs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2.4 施工现场、施工条件和基础资料的提供</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2.4.1 提供施工现场</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关于发包人移交施工现场的期限要求：</w:t>
      </w:r>
      <w:r>
        <w:rPr>
          <w:rFonts w:hint="eastAsia" w:ascii="宋体" w:hAnsi="宋体" w:eastAsia="宋体"/>
          <w:color w:val="auto"/>
          <w:sz w:val="24"/>
          <w:szCs w:val="24"/>
          <w:highlight w:val="none"/>
          <w:u w:val="single"/>
        </w:rPr>
        <w:t xml:space="preserve">已具备移交条件</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2.4.2 提供施工条件</w:t>
      </w:r>
      <w:r/>
    </w:p>
    <w:p>
      <w:pPr>
        <w:ind w:left="0" w:firstLine="420"/>
        <w:jc w:val="left"/>
        <w:pageBreakBefore w:val="0"/>
        <w:spacing w:line="360" w:lineRule="auto"/>
        <w:widowControl/>
        <w:rPr>
          <w:rFonts w:hint="eastAsia"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关于发包人应负责提供施工所需要的条件，包括：</w:t>
      </w:r>
      <w:r>
        <w:rPr>
          <w:rFonts w:hint="eastAsia" w:ascii="宋体" w:hAnsi="宋体" w:eastAsia="宋体"/>
          <w:color w:val="auto"/>
          <w:sz w:val="24"/>
          <w:szCs w:val="24"/>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水准点与坐标控制点以书面形式交给承包人，并于开工前进行现场交验；</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left="0" w:firstLine="420"/>
        <w:pageBreakBefore w:val="0"/>
        <w:spacing w:line="360" w:lineRule="auto"/>
        <w:rPr>
          <w:rFonts w:hint="eastAsia" w:ascii="宋体" w:hAnsi="宋体" w:eastAsia="宋体"/>
          <w:color w:val="auto"/>
          <w:sz w:val="24"/>
          <w:szCs w:val="24"/>
          <w:highlight w:val="none"/>
        </w:rPr>
        <w:outlineLvl w:val="0"/>
      </w:pPr>
      <w:r/>
      <w:bookmarkStart w:id="228" w:name="_Toc21199"/>
      <w:r>
        <w:rPr>
          <w:rFonts w:hint="eastAsia" w:ascii="宋体" w:hAnsi="宋体" w:eastAsia="宋体"/>
          <w:color w:val="auto"/>
          <w:sz w:val="24"/>
          <w:szCs w:val="24"/>
          <w:highlight w:val="none"/>
        </w:rPr>
        <w:t xml:space="preserve">2.5 资金来源证明及支付担保</w:t>
      </w:r>
      <w:bookmarkEnd w:id="228"/>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发包人提供资金来源证明的期限要求：</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发包人是否提供支付担保：</w:t>
      </w:r>
      <w:r>
        <w:rPr>
          <w:rFonts w:hint="eastAsia" w:ascii="宋体" w:hAnsi="宋体" w:eastAsia="宋体"/>
          <w:color w:val="auto"/>
          <w:sz w:val="24"/>
          <w:szCs w:val="24"/>
          <w:highlight w:val="none"/>
          <w:u w:val="single"/>
        </w:rPr>
        <w:t xml:space="preserve">  无支付担保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default" w:ascii="Times New Roman" w:hAnsi="Times New Roman" w:eastAsia="仿宋_GB2312"/>
          <w:color w:val="auto"/>
          <w:sz w:val="24"/>
          <w:szCs w:val="24"/>
          <w:highlight w:val="none"/>
          <w:u w:val="single"/>
        </w:rPr>
      </w:pPr>
      <w:r>
        <w:rPr>
          <w:rFonts w:hint="eastAsia" w:ascii="宋体" w:hAnsi="宋体" w:eastAsia="宋体"/>
          <w:color w:val="auto"/>
          <w:sz w:val="24"/>
          <w:szCs w:val="24"/>
          <w:highlight w:val="none"/>
        </w:rPr>
        <w:t xml:space="preserve">发包人提供支付担保的形式：</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pStyle w:val="754"/>
        <w:ind w:left="0"/>
        <w:pageBreakBefore w:val="0"/>
        <w:spacing w:before="0" w:after="0" w:line="360" w:lineRule="auto"/>
        <w:rPr>
          <w:rFonts w:hint="eastAsia" w:ascii="宋体" w:hAnsi="宋体"/>
          <w:color w:val="auto"/>
          <w:sz w:val="24"/>
          <w:szCs w:val="24"/>
          <w:highlight w:val="none"/>
        </w:rPr>
      </w:pPr>
      <w:r/>
      <w:bookmarkStart w:id="229" w:name="_Toc351203635"/>
      <w:r>
        <w:rPr>
          <w:rFonts w:hint="eastAsia" w:ascii="宋体" w:hAnsi="宋体"/>
          <w:color w:val="auto"/>
          <w:sz w:val="24"/>
          <w:szCs w:val="24"/>
          <w:highlight w:val="none"/>
        </w:rPr>
        <w:t xml:space="preserve">3</w:t>
      </w:r>
      <w:bookmarkStart w:id="230" w:name="_Toc296347157"/>
      <w:r/>
      <w:bookmarkStart w:id="231" w:name="_Toc296503158"/>
      <w:r/>
      <w:bookmarkStart w:id="232" w:name="_Toc296944497"/>
      <w:r/>
      <w:bookmarkStart w:id="233" w:name="_Toc292559868"/>
      <w:r/>
      <w:bookmarkStart w:id="234" w:name="_Toc296890986"/>
      <w:r/>
      <w:bookmarkStart w:id="235" w:name="_Toc297120458"/>
      <w:r/>
      <w:bookmarkStart w:id="236" w:name="_Toc297048344"/>
      <w:r/>
      <w:bookmarkStart w:id="237" w:name="_Toc296346659"/>
      <w:r/>
      <w:bookmarkStart w:id="238" w:name="_Toc296891198"/>
      <w:r/>
      <w:bookmarkStart w:id="239" w:name="_Toc292559363"/>
      <w:r>
        <w:rPr>
          <w:rFonts w:hint="eastAsia" w:ascii="宋体" w:hAnsi="宋体"/>
          <w:color w:val="auto"/>
          <w:sz w:val="24"/>
          <w:szCs w:val="24"/>
          <w:highlight w:val="none"/>
        </w:rPr>
        <w:t xml:space="preserve">. 承包人</w:t>
      </w:r>
      <w:bookmarkEnd w:id="229"/>
      <w:r/>
      <w:bookmarkEnd w:id="230"/>
      <w:r/>
      <w:bookmarkEnd w:id="231"/>
      <w:r/>
      <w:bookmarkEnd w:id="232"/>
      <w:r/>
      <w:bookmarkEnd w:id="233"/>
      <w:r/>
      <w:bookmarkEnd w:id="234"/>
      <w:r/>
      <w:bookmarkEnd w:id="235"/>
      <w:r/>
      <w:bookmarkEnd w:id="236"/>
      <w:r/>
      <w:bookmarkEnd w:id="237"/>
      <w:r/>
      <w:bookmarkEnd w:id="238"/>
      <w:r/>
      <w:bookmarkEnd w:id="239"/>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3.1 承包人的一般义务</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（1）承包人提交的竣工资料的内容：</w:t>
      </w:r>
      <w:r>
        <w:rPr>
          <w:rFonts w:hint="eastAsia" w:ascii="宋体" w:hAnsi="宋体" w:eastAsia="宋体"/>
          <w:color w:val="auto"/>
          <w:sz w:val="24"/>
          <w:szCs w:val="24"/>
          <w:highlight w:val="none"/>
          <w:u w:val="single"/>
        </w:rPr>
        <w:t xml:space="preserve">承包人应按《建设工程文件归档规范》（GB/T50328-201</w:t>
      </w:r>
      <w:r>
        <w:rPr>
          <w:rFonts w:hint="eastAsia" w:ascii="宋体" w:hAnsi="宋体"/>
          <w:color w:val="auto"/>
          <w:sz w:val="24"/>
          <w:szCs w:val="24"/>
          <w:highlight w:val="none"/>
          <w:u w:val="single"/>
          <w:lang w:val="en-US" w:eastAsia="zh-CN"/>
        </w:rPr>
        <w:t xml:space="preserve">9</w:t>
      </w:r>
      <w:r>
        <w:rPr>
          <w:rFonts w:hint="eastAsia" w:ascii="宋体" w:hAnsi="宋体" w:eastAsia="宋体"/>
          <w:color w:val="auto"/>
          <w:sz w:val="24"/>
          <w:szCs w:val="24"/>
          <w:highlight w:val="none"/>
          <w:u w:val="single"/>
        </w:rPr>
        <w:t xml:space="preserve">）及建设部建城[2002]221号文关于《市政基础设施工程施工技术文件管理规定》的要求，向发包人提供经过总监理工程师审核认可的完整并符合要求的竣工资料，含竣工图及其它资料。</w:t>
      </w:r>
      <w:r/>
    </w:p>
    <w:p>
      <w:pPr>
        <w:ind w:left="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承包人需要提交的竣工资料套数：</w:t>
      </w:r>
      <w:r>
        <w:rPr>
          <w:rFonts w:hint="eastAsia" w:ascii="宋体" w:hAnsi="宋体" w:eastAsia="宋体"/>
          <w:color w:val="auto"/>
          <w:sz w:val="24"/>
          <w:szCs w:val="24"/>
          <w:highlight w:val="none"/>
          <w:u w:val="single"/>
        </w:rPr>
        <w:t xml:space="preserve">三套</w:t>
      </w:r>
      <w:r>
        <w:rPr>
          <w:rFonts w:hint="eastAsia" w:ascii="宋体" w:hAnsi="宋体" w:eastAsia="宋体"/>
          <w:color w:val="auto"/>
          <w:sz w:val="24"/>
          <w:szCs w:val="24"/>
          <w:highlight w:val="none"/>
        </w:rPr>
        <w:t xml:space="preserve">。</w:t>
      </w:r>
      <w:r/>
    </w:p>
    <w:p>
      <w:pPr>
        <w:ind w:left="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承包人提交的竣工资料的费用承担：</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left="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承包人提交的竣工资料移交时间：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63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承包人提交的竣工资料形式要求：</w:t>
      </w:r>
      <w:r>
        <w:rPr>
          <w:rFonts w:hint="eastAsia" w:ascii="宋体" w:hAnsi="宋体" w:eastAsia="宋体"/>
          <w:color w:val="auto"/>
          <w:sz w:val="24"/>
          <w:szCs w:val="24"/>
          <w:highlight w:val="none"/>
          <w:u w:val="single"/>
        </w:rPr>
        <w:t xml:space="preserve">书面及电子文档</w:t>
      </w:r>
      <w:r>
        <w:rPr>
          <w:rFonts w:hint="eastAsia" w:ascii="宋体" w:hAnsi="宋体" w:eastAsia="宋体"/>
          <w:color w:val="auto"/>
          <w:sz w:val="24"/>
          <w:szCs w:val="24"/>
          <w:highlight w:val="none"/>
        </w:rPr>
        <w:t xml:space="preserve">。</w:t>
      </w:r>
      <w:r/>
    </w:p>
    <w:p>
      <w:pPr>
        <w:ind w:left="0" w:firstLine="525"/>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（2）承包人应履行的其他义务：</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在本合同签订后至开工前，承包人应积极做好开工前的各项准备工作。</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场内外道路：场外道路已开通，场地内施工临时道路、硬化等由承包人自行安排，相关费用由承包人承担。</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3）独立、有效</w:t>
      </w:r>
      <w:r>
        <w:rPr>
          <w:rFonts w:hint="eastAsia" w:ascii="宋体" w:hAnsi="宋体" w:eastAsia="宋体"/>
          <w:color w:val="auto"/>
          <w:sz w:val="24"/>
          <w:szCs w:val="24"/>
          <w:highlight w:val="none"/>
          <w:u w:val="single"/>
          <w:lang w:eastAsia="zh-CN"/>
        </w:rPr>
        <w:t xml:space="preserve">地</w:t>
      </w:r>
      <w:r>
        <w:rPr>
          <w:rFonts w:hint="eastAsia" w:ascii="宋体" w:hAnsi="宋体" w:eastAsia="宋体"/>
          <w:color w:val="auto"/>
          <w:sz w:val="24"/>
          <w:szCs w:val="24"/>
          <w:highlight w:val="none"/>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应提供计划、报表的名称及完成时间：每周五下午5：00前提供下周计划和本周完成情况统计表，完成工程量价款汇总（一式三份）交监理机构。</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left="0" w:firstLine="514"/>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向发包人提供的办公用房及设施的要求：无偿提供监理、发包人办公室等办公用房，费用已列入合同价款范围。</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 需承包人办理的有关施工场地交通、环卫环保和施工噪音管理等手续：</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遵守政府有关主管部门对施工场地交通、施工噪音、环境保护和安全生产等的管理规定，按规定办理有关手续，并以书面形式通知发包人，所有费用均已含在合同价款中。</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 已完工程成品保护的特殊要求及费用承担： 已竣工工程未交付发包人之前，承包人负责已完成工程的保护工作，所需费用含在合同价款内。</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10) 施工场地周围地下管线和邻近建筑物、构筑物（含文物保护</w:t>
      </w:r>
      <w:r>
        <w:rPr>
          <w:rFonts w:hint="eastAsia" w:ascii="宋体" w:hAnsi="宋体" w:eastAsia="宋体"/>
          <w:color w:val="auto"/>
          <w:sz w:val="24"/>
          <w:szCs w:val="24"/>
          <w:highlight w:val="none"/>
          <w:u w:val="single"/>
          <w:lang w:eastAsia="zh-CN"/>
        </w:rPr>
        <w:t xml:space="preserve">建筑</w:t>
      </w:r>
      <w:r>
        <w:rPr>
          <w:rFonts w:hint="eastAsia" w:ascii="宋体" w:hAnsi="宋体" w:eastAsia="宋体"/>
          <w:color w:val="auto"/>
          <w:sz w:val="24"/>
          <w:szCs w:val="24"/>
          <w:highlight w:val="none"/>
          <w:u w:val="single"/>
        </w:rPr>
        <w:t xml:space="preserve">）、古树名木的保护要求及费用承担：负责做好施工场地周围地下管线和邻近建筑物、构筑物（含文物保护建筑）、古树名木保护措施，费用含在合同价款中。</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11) 施工场地清洁卫生的要求：施工现场材料堆放要整齐，并有遮盖，不得扬尘，机械停放有序，符合清洁卫生要求，承担因自身原因违反有关规定造成的损失和罚款。</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13) 双方约定承包人应做的其他工作：施工场地要设立标语、标牌，做到文明施工，树立企业形象，主动接受社会监督和有关部门的管理。</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left="0" w:firstLine="518"/>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15）承包人已仔细勘察并充分考虑施工范围内地面以上及地面以下将产生的建筑垃圾、杂土清运的工程量，且费用已包含在合同价款中。</w:t>
      </w:r>
      <w:r/>
    </w:p>
    <w:p>
      <w:pPr>
        <w:ind w:left="0" w:firstLine="518"/>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p>
    <w:p>
      <w:pPr>
        <w:ind w:left="0" w:firstLine="518"/>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17）对于施工过程中承包人不得因承包方前期手续而索赔或消极施工，需积极配合，保证工程按计划进行。如发生类似情形，发现一次扣除履约保证金的</w:t>
      </w:r>
      <w:r>
        <w:rPr>
          <w:rFonts w:hint="default" w:ascii="宋体" w:hAnsi="宋体" w:eastAsia="宋体"/>
          <w:color w:val="auto"/>
          <w:sz w:val="24"/>
          <w:szCs w:val="24"/>
          <w:highlight w:val="none"/>
          <w:u w:val="single"/>
        </w:rPr>
        <w:t xml:space="preserve">10%</w:t>
      </w:r>
      <w:r>
        <w:rPr>
          <w:rFonts w:hint="eastAsia" w:ascii="宋体" w:hAnsi="宋体" w:eastAsia="宋体"/>
          <w:color w:val="auto"/>
          <w:sz w:val="24"/>
          <w:szCs w:val="24"/>
          <w:highlight w:val="none"/>
          <w:u w:val="single"/>
        </w:rPr>
        <w:t xml:space="preserve"> 。</w:t>
      </w:r>
      <w:r/>
    </w:p>
    <w:p>
      <w:pPr>
        <w:ind w:left="0" w:firstLine="518"/>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3.2 项目经理</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 项目经理：</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建造师执业资格等级：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建造师注册证书号：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建造师执业印章号：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安全生产考核合格证书号：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承包人对项目经理的授权范围如下：</w:t>
      </w:r>
      <w:r>
        <w:rPr>
          <w:rFonts w:hint="eastAsia" w:ascii="宋体" w:hAnsi="宋体" w:eastAsia="宋体"/>
          <w:color w:val="auto"/>
          <w:sz w:val="24"/>
          <w:szCs w:val="24"/>
          <w:highlight w:val="none"/>
          <w:u w:val="single"/>
        </w:rPr>
        <w:t xml:space="preserve">作为承包人代表，负责本工程项目施工全过程中全面管理的责任和义务，全权代表承包人履行合同义务</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关于项目经理每月在施工现场的时间要求：</w:t>
      </w:r>
      <w:r>
        <w:rPr>
          <w:rFonts w:hint="eastAsia" w:ascii="宋体" w:hAnsi="宋体" w:eastAsia="宋体"/>
          <w:color w:val="auto"/>
          <w:sz w:val="24"/>
          <w:szCs w:val="24"/>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承包人未提交劳动合同，以及没有为项目经理缴纳社会保险证明的违约责任：</w:t>
      </w:r>
      <w:r>
        <w:rPr>
          <w:rFonts w:hint="eastAsia" w:ascii="宋体" w:hAnsi="宋体" w:eastAsia="宋体"/>
          <w:color w:val="auto"/>
          <w:sz w:val="24"/>
          <w:szCs w:val="24"/>
          <w:highlight w:val="none"/>
          <w:u w:val="single"/>
        </w:rPr>
        <w:t xml:space="preserve">处以3万元罚款，责令限期提交劳动合同并补缴社会保险；承包人承担因此产生的全部损失和责任，工期不予顺延 。</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项目经理未经批准，擅自离开施工现场的违约责任：</w:t>
      </w:r>
      <w:r>
        <w:rPr>
          <w:rFonts w:hint="eastAsia" w:ascii="宋体" w:hAnsi="宋体" w:eastAsia="宋体"/>
          <w:color w:val="auto"/>
          <w:sz w:val="24"/>
          <w:szCs w:val="24"/>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3.2.3 承包人擅自更换项目经理的违约责任：</w:t>
      </w:r>
      <w:r>
        <w:rPr>
          <w:rFonts w:hint="eastAsia" w:ascii="宋体" w:hAnsi="宋体" w:eastAsia="宋体"/>
          <w:color w:val="auto"/>
          <w:sz w:val="24"/>
          <w:szCs w:val="24"/>
          <w:highlight w:val="none"/>
          <w:u w:val="single"/>
        </w:rPr>
        <w:t xml:space="preserve">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left="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3.2.4 承包人无正当理由拒绝更换项目经理的违约责任：</w:t>
      </w:r>
      <w:r>
        <w:rPr>
          <w:rFonts w:hint="eastAsia" w:ascii="宋体" w:hAnsi="宋体" w:eastAsia="宋体"/>
          <w:color w:val="auto"/>
          <w:sz w:val="24"/>
          <w:szCs w:val="24"/>
          <w:highlight w:val="none"/>
          <w:u w:val="single"/>
        </w:rPr>
        <w:t xml:space="preserve"> 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3.3 承包人人员</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3.3.1 承包人提交项目管理机构及施工现场管理人员安排报告的期限：</w:t>
      </w:r>
      <w:r>
        <w:rPr>
          <w:rFonts w:hint="eastAsia" w:ascii="宋体" w:hAnsi="宋体" w:eastAsia="宋体"/>
          <w:color w:val="auto"/>
          <w:sz w:val="24"/>
          <w:szCs w:val="24"/>
          <w:highlight w:val="none"/>
          <w:u w:val="single"/>
        </w:rPr>
        <w:t xml:space="preserve">工程开工前7天</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3.3.3 承包人无正当理由拒绝撤换主要施工管理人员的违约责任：</w:t>
      </w:r>
      <w:r>
        <w:rPr>
          <w:rFonts w:hint="eastAsia" w:ascii="宋体" w:hAnsi="宋体" w:eastAsia="宋体"/>
          <w:color w:val="auto"/>
          <w:sz w:val="24"/>
          <w:szCs w:val="24"/>
          <w:highlight w:val="none"/>
          <w:u w:val="single"/>
        </w:rPr>
        <w:t xml:space="preserve">处以2万元罚款，承包人承担上述违约给发包人造成的一切损失，发包人有权单方面解除合同，已完工程不做结算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3.3.4 承包人主要施工管理人员离开施工现场的批准要求：</w:t>
      </w:r>
      <w:r>
        <w:rPr>
          <w:rFonts w:hint="eastAsia" w:ascii="宋体" w:hAnsi="宋体" w:eastAsia="宋体"/>
          <w:color w:val="auto"/>
          <w:sz w:val="24"/>
          <w:szCs w:val="24"/>
          <w:highlight w:val="none"/>
          <w:u w:val="single"/>
        </w:rPr>
        <w:t xml:space="preserve">由总监理工程师批准，发包人书面认可后方可离开</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3.3.5承包人擅自更换主要施工管理人员的违约责任：</w:t>
      </w:r>
      <w:r>
        <w:rPr>
          <w:rFonts w:hint="eastAsia" w:ascii="宋体" w:hAnsi="宋体" w:eastAsia="宋体"/>
          <w:color w:val="auto"/>
          <w:sz w:val="24"/>
          <w:szCs w:val="24"/>
          <w:highlight w:val="none"/>
          <w:u w:val="single"/>
        </w:rPr>
        <w:t xml:space="preserve">处以1000元罚款，承包人承担上述违约给发包人造成的一切损失，发包人有权单方面解除合同，已完工程不做结算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承包人主要施工管理人员擅自离开施工现场的违约责任：</w:t>
      </w:r>
      <w:r>
        <w:rPr>
          <w:rFonts w:hint="eastAsia" w:ascii="宋体" w:hAnsi="宋体" w:eastAsia="宋体"/>
          <w:color w:val="auto"/>
          <w:sz w:val="24"/>
          <w:szCs w:val="24"/>
          <w:highlight w:val="none"/>
          <w:u w:val="single"/>
        </w:rPr>
        <w:t xml:space="preserve">处以200元罚款，承包人承担上述违约给发包人造成的一切损失</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bookmarkStart w:id="240" w:name="_Toc297120459"/>
      <w:r/>
      <w:bookmarkStart w:id="241" w:name="_Toc296347158"/>
      <w:r/>
      <w:bookmarkStart w:id="242" w:name="_Toc304295523"/>
      <w:r/>
      <w:bookmarkStart w:id="243" w:name="_Toc296944498"/>
      <w:r/>
      <w:bookmarkStart w:id="244" w:name="_Toc292559364"/>
      <w:r/>
      <w:bookmarkStart w:id="245" w:name="_Toc297123492"/>
      <w:r/>
      <w:bookmarkStart w:id="246" w:name="_Toc296346660"/>
      <w:r/>
      <w:bookmarkStart w:id="247" w:name="_Toc312677988"/>
      <w:r/>
      <w:bookmarkStart w:id="248" w:name="_Toc300934945"/>
      <w:r/>
      <w:bookmarkStart w:id="249" w:name="_Toc297048345"/>
      <w:r/>
      <w:bookmarkStart w:id="250" w:name="_Toc297216151"/>
      <w:r/>
      <w:bookmarkStart w:id="251" w:name="_Toc296891199"/>
      <w:r/>
      <w:bookmarkStart w:id="252" w:name="_Toc303539102"/>
      <w:r/>
      <w:bookmarkStart w:id="253" w:name="_Toc296503159"/>
      <w:r/>
      <w:bookmarkStart w:id="254" w:name="_Toc296890987"/>
      <w:r/>
      <w:bookmarkStart w:id="255" w:name="_Toc292559869"/>
      <w:r>
        <w:rPr>
          <w:rFonts w:hint="eastAsia" w:ascii="宋体" w:hAnsi="宋体" w:eastAsia="宋体"/>
          <w:b/>
          <w:color w:val="auto"/>
          <w:sz w:val="24"/>
          <w:szCs w:val="24"/>
          <w:highlight w:val="none"/>
        </w:rPr>
        <w:t xml:space="preserve">.5 分包</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56" w:name="_Toc296944499"/>
      <w:r/>
      <w:bookmarkStart w:id="257" w:name="_Toc318581158"/>
      <w:r/>
      <w:bookmarkStart w:id="258" w:name="_Toc312677989"/>
      <w:r/>
      <w:bookmarkStart w:id="259" w:name="_Toc296503160"/>
      <w:r/>
      <w:bookmarkStart w:id="260" w:name="_Toc297048346"/>
      <w:r/>
      <w:bookmarkStart w:id="261" w:name="_Toc296891200"/>
      <w:r/>
      <w:bookmarkStart w:id="262" w:name="_Toc304295524"/>
      <w:r/>
      <w:bookmarkStart w:id="263" w:name="_Toc297120460"/>
      <w:r/>
      <w:bookmarkStart w:id="264" w:name="_Toc296890988"/>
      <w:r/>
      <w:bookmarkStart w:id="265" w:name="_Toc303539103"/>
      <w:r/>
      <w:bookmarkStart w:id="266" w:name="_Toc297216152"/>
      <w:r/>
      <w:bookmarkStart w:id="267" w:name="_Toc292559870"/>
      <w:r/>
      <w:bookmarkStart w:id="268" w:name="_Toc296347159"/>
      <w:r/>
      <w:bookmarkStart w:id="269" w:name="_Toc297123493"/>
      <w:r/>
      <w:bookmarkStart w:id="270" w:name="_Toc292559365"/>
      <w:r/>
      <w:bookmarkStart w:id="271" w:name="_Toc296346661"/>
      <w:r/>
      <w:bookmarkStart w:id="272" w:name="_Toc300934946"/>
      <w:r>
        <w:rPr>
          <w:rFonts w:hint="eastAsia" w:ascii="宋体" w:hAnsi="宋体" w:eastAsia="宋体"/>
          <w:color w:val="auto"/>
          <w:sz w:val="24"/>
          <w:szCs w:val="24"/>
          <w:highlight w:val="none"/>
        </w:rPr>
        <w:t xml:space="preserve">.5.1 分包的一般约定</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禁止分包的工程包括：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主体结构、关键性工作的范围：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Start w:id="273" w:name="_Toc297048347"/>
      <w:r/>
      <w:bookmarkEnd w:id="273"/>
      <w:r/>
      <w:bookmarkStart w:id="274" w:name="_Toc296944500"/>
      <w:r/>
      <w:bookmarkEnd w:id="274"/>
      <w:r/>
      <w:bookmarkStart w:id="275" w:name="_Toc296891201"/>
      <w:r/>
      <w:bookmarkEnd w:id="275"/>
      <w:r/>
      <w:bookmarkStart w:id="276" w:name="_Toc296346662"/>
      <w:r/>
      <w:bookmarkEnd w:id="276"/>
      <w:r/>
      <w:bookmarkStart w:id="277" w:name="_Toc303539104"/>
      <w:r/>
      <w:bookmarkEnd w:id="277"/>
      <w:r/>
      <w:bookmarkStart w:id="278" w:name="_Toc297123494"/>
      <w:r/>
      <w:bookmarkEnd w:id="278"/>
      <w:r/>
      <w:bookmarkStart w:id="279" w:name="_Toc296503161"/>
      <w:r/>
      <w:bookmarkEnd w:id="279"/>
      <w:r/>
      <w:bookmarkStart w:id="280" w:name="_Toc304295525"/>
      <w:r/>
      <w:bookmarkEnd w:id="280"/>
      <w:r/>
      <w:bookmarkStart w:id="281" w:name="_Toc300934947"/>
      <w:r/>
      <w:bookmarkEnd w:id="281"/>
      <w:r/>
      <w:bookmarkStart w:id="282" w:name="_Toc297216153"/>
      <w:r/>
      <w:bookmarkEnd w:id="282"/>
      <w:r/>
      <w:bookmarkStart w:id="283" w:name="_Toc297120461"/>
      <w:r/>
      <w:bookmarkEnd w:id="283"/>
      <w:r/>
      <w:bookmarkStart w:id="284" w:name="_Toc296890989"/>
      <w:r/>
      <w:bookmarkEnd w:id="284"/>
      <w:r/>
      <w:bookmarkStart w:id="285" w:name="_Toc296347160"/>
      <w:r/>
      <w:bookmarkEnd w:id="285"/>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3</w:t>
      </w:r>
      <w:bookmarkStart w:id="286" w:name="_Toc312677990"/>
      <w:r/>
      <w:bookmarkStart w:id="287" w:name="_Toc318581159"/>
      <w:r>
        <w:rPr>
          <w:rFonts w:hint="eastAsia" w:ascii="宋体" w:hAnsi="宋体" w:eastAsia="宋体"/>
          <w:color w:val="auto"/>
          <w:sz w:val="24"/>
          <w:szCs w:val="24"/>
          <w:highlight w:val="none"/>
        </w:rPr>
        <w:t xml:space="preserve">.5.2分包的确定</w:t>
      </w:r>
      <w:r/>
    </w:p>
    <w:p>
      <w:pPr>
        <w:ind w:left="0" w:firstLine="42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允许分包的专业工程包括：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其他关于分包的约定：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3.5.4 分包合同价款</w:t>
      </w:r>
      <w:r/>
    </w:p>
    <w:p>
      <w:pPr>
        <w:ind w:left="0" w:firstLine="420"/>
        <w:pageBreakBefore w:val="0"/>
        <w:spacing w:line="360" w:lineRule="auto"/>
        <w:rPr>
          <w:rFonts w:hint="default"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关于分包合同价款支付的约定：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86"/>
      <w:r/>
      <w:bookmarkEnd w:id="287"/>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3.6 工程照管与成品、半成品保护</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承包人负责照管工程及工程相关的材料、工程设备的起始时间：</w:t>
      </w:r>
      <w:r>
        <w:rPr>
          <w:rFonts w:hint="eastAsia" w:ascii="宋体" w:hAnsi="宋体" w:eastAsia="宋体"/>
          <w:color w:val="auto"/>
          <w:sz w:val="24"/>
          <w:szCs w:val="24"/>
          <w:highlight w:val="none"/>
          <w:u w:val="single"/>
        </w:rPr>
        <w:t xml:space="preserve">从承包人设备、材料进场之日起，到竣工移交手续办理之日止。</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3.7 履约担保</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承包人是否提供履约担保：</w:t>
      </w:r>
      <w:r>
        <w:rPr>
          <w:rFonts w:hint="eastAsia" w:ascii="宋体" w:hAnsi="宋体" w:eastAsia="宋体"/>
          <w:color w:val="auto"/>
          <w:sz w:val="24"/>
          <w:szCs w:val="24"/>
          <w:highlight w:val="none"/>
          <w:u w:val="single"/>
        </w:rPr>
        <w:t xml:space="preserve">提供</w:t>
      </w:r>
      <w:r>
        <w:rPr>
          <w:rFonts w:hint="eastAsia" w:ascii="宋体" w:hAnsi="宋体" w:eastAsia="宋体"/>
          <w:color w:val="auto"/>
          <w:sz w:val="24"/>
          <w:szCs w:val="24"/>
          <w:highlight w:val="none"/>
        </w:rPr>
        <w:t xml:space="preserve">。</w:t>
      </w:r>
      <w:r/>
    </w:p>
    <w:p>
      <w:pPr>
        <w:ind w:left="0" w:firstLine="42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u w:val="single"/>
        </w:rPr>
        <w:t xml:space="preserve">承包人提供履约担保的形式、金额及期限的：提供合同价款的10%作为履约保证金，其中：工期履约保证金为3%，质量履约保证金为3%，安全履约保证金为2%，竣工资料履约保证金为1%，廉政履约保证金为1%；履约保证金可以以支票、汇票、本票或者金融机构出具的保函等非现金形式提交。提交时间为本合同签订前。上述履约保证金分别的、共同</w:t>
      </w:r>
      <w:r>
        <w:rPr>
          <w:rFonts w:hint="eastAsia" w:ascii="宋体" w:hAnsi="宋体" w:eastAsia="宋体"/>
          <w:color w:val="auto"/>
          <w:sz w:val="21"/>
          <w:szCs w:val="21"/>
          <w:highlight w:val="none"/>
          <w:u w:val="single"/>
          <w:lang w:eastAsia="zh-CN"/>
        </w:rPr>
        <w:t xml:space="preserve">地</w:t>
      </w:r>
      <w:r>
        <w:rPr>
          <w:rFonts w:hint="eastAsia" w:ascii="宋体" w:hAnsi="宋体" w:eastAsia="宋体"/>
          <w:color w:val="auto"/>
          <w:sz w:val="21"/>
          <w:szCs w:val="21"/>
          <w:highlight w:val="none"/>
          <w:u w:val="single"/>
        </w:rPr>
        <w:t xml:space="preserve">承担合同义务和责任。</w:t>
      </w:r>
      <w:r/>
    </w:p>
    <w:p>
      <w:pPr>
        <w:ind w:left="0" w:firstLine="420"/>
        <w:pageBreakBefore w:val="0"/>
        <w:spacing w:line="360" w:lineRule="auto"/>
        <w:widowControl w:val="off"/>
        <w:rPr>
          <w:rFonts w:hint="default"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双方约定本工程的履约担保的效力期间为工程开工至本合同范围内的所有工程项目完工并验收合格。履约保证金依约剩余的余额，在工程竣工验收合格后可申请退还；依约扣除的履约保证金不予退还。采购人逾期退还履约保证金的，按照同期银行活期存款利率承担违约责任</w:t>
      </w:r>
      <w:r>
        <w:rPr>
          <w:rFonts w:hint="eastAsia" w:ascii="宋体" w:hAnsi="宋体" w:eastAsia="宋体"/>
          <w:color w:val="auto"/>
          <w:sz w:val="24"/>
          <w:szCs w:val="24"/>
          <w:highlight w:val="none"/>
          <w:u w:val="single"/>
          <w:lang w:eastAsia="zh-CN"/>
        </w:rPr>
        <w:t xml:space="preserve">。</w:t>
      </w:r>
      <w:r/>
    </w:p>
    <w:p>
      <w:pPr>
        <w:pStyle w:val="754"/>
        <w:ind w:left="0"/>
        <w:pageBreakBefore w:val="0"/>
        <w:spacing w:before="0" w:after="0" w:line="360" w:lineRule="auto"/>
        <w:rPr>
          <w:rFonts w:hint="eastAsia" w:ascii="宋体" w:hAnsi="宋体"/>
          <w:color w:val="auto"/>
          <w:sz w:val="24"/>
          <w:szCs w:val="24"/>
          <w:highlight w:val="none"/>
        </w:rPr>
      </w:pPr>
      <w:r/>
      <w:bookmarkStart w:id="288" w:name="_Toc351203636"/>
      <w:r>
        <w:rPr>
          <w:rFonts w:hint="eastAsia" w:ascii="宋体" w:hAnsi="宋体"/>
          <w:color w:val="auto"/>
          <w:sz w:val="24"/>
          <w:szCs w:val="24"/>
          <w:highlight w:val="none"/>
        </w:rPr>
        <w:t xml:space="preserve">4</w:t>
      </w:r>
      <w:bookmarkStart w:id="289" w:name="_Toc296346663"/>
      <w:r/>
      <w:bookmarkStart w:id="290" w:name="_Toc296944501"/>
      <w:r/>
      <w:bookmarkStart w:id="291" w:name="_Toc296891202"/>
      <w:r/>
      <w:bookmarkStart w:id="292" w:name="_Toc292559366"/>
      <w:r/>
      <w:bookmarkStart w:id="293" w:name="_Toc297120462"/>
      <w:r/>
      <w:bookmarkStart w:id="294" w:name="_Toc296347161"/>
      <w:r/>
      <w:bookmarkStart w:id="295" w:name="_Toc267251413"/>
      <w:r/>
      <w:bookmarkStart w:id="296" w:name="_Toc296890990"/>
      <w:r/>
      <w:bookmarkStart w:id="297" w:name="_Toc292559871"/>
      <w:r/>
      <w:bookmarkStart w:id="298" w:name="_Toc296503162"/>
      <w:r/>
      <w:bookmarkStart w:id="299" w:name="_Toc297048348"/>
      <w:r>
        <w:rPr>
          <w:rFonts w:hint="eastAsia" w:ascii="宋体" w:hAnsi="宋体"/>
          <w:color w:val="auto"/>
          <w:sz w:val="24"/>
          <w:szCs w:val="24"/>
          <w:highlight w:val="none"/>
        </w:rPr>
        <w:t xml:space="preserve">. 监</w:t>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color w:val="auto"/>
          <w:sz w:val="24"/>
          <w:szCs w:val="24"/>
          <w:highlight w:val="none"/>
        </w:rPr>
        <w:t xml:space="preserve">理人</w:t>
      </w:r>
      <w:bookmarkEnd w:id="288"/>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4.1监理人的一般规定</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关于监理人的监理内容：</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关于监理人的监理权限：</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 </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关于监理人在施工现场的办公场所、生活场所的提供和费用承担的约定：</w:t>
      </w:r>
      <w:r>
        <w:rPr>
          <w:rFonts w:hint="eastAsia" w:ascii="宋体" w:hAnsi="宋体" w:eastAsia="宋体"/>
          <w:color w:val="auto"/>
          <w:sz w:val="24"/>
          <w:szCs w:val="24"/>
          <w:highlight w:val="none"/>
          <w:u w:val="single"/>
        </w:rPr>
        <w:t xml:space="preserve">提供2间办公用房（30平米），费用由承包人承担，不再单独计取费用</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4.2 监理人员</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总监理工程师：</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职    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监理工程师执业资格证书号：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关于监理人的其他约定：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4.4 商定或确定</w:t>
      </w:r>
      <w:r/>
    </w:p>
    <w:p>
      <w:pPr>
        <w:ind w:left="0" w:firstLine="420"/>
        <w:pageBreakBefore w:val="0"/>
        <w:spacing w:line="360" w:lineRule="auto"/>
        <w:rPr>
          <w:rFonts w:hint="eastAsia" w:ascii="宋体" w:hAnsi="宋体" w:eastAsia="宋体"/>
          <w:color w:val="auto"/>
          <w:sz w:val="24"/>
          <w:szCs w:val="24"/>
          <w:highlight w:val="none"/>
        </w:rPr>
      </w:pPr>
      <w:r/>
      <w:bookmarkStart w:id="300" w:name="_Toc267251418"/>
      <w:r>
        <w:rPr>
          <w:rFonts w:hint="eastAsia" w:ascii="宋体" w:hAnsi="宋体" w:eastAsia="宋体"/>
          <w:color w:val="auto"/>
          <w:sz w:val="24"/>
          <w:szCs w:val="24"/>
          <w:highlight w:val="none"/>
        </w:rPr>
        <w:t xml:space="preserve">在发包人和承包人不能通过协商达成一致意见时，发包人授权监理人对以下事项进行确定：</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754"/>
        <w:ind w:left="0"/>
        <w:pageBreakBefore w:val="0"/>
        <w:spacing w:before="0" w:after="0" w:line="360" w:lineRule="auto"/>
        <w:rPr>
          <w:rFonts w:hint="eastAsia" w:ascii="宋体" w:hAnsi="宋体"/>
          <w:color w:val="auto"/>
          <w:sz w:val="24"/>
          <w:szCs w:val="24"/>
          <w:highlight w:val="none"/>
        </w:rPr>
      </w:pPr>
      <w:r/>
      <w:bookmarkStart w:id="301" w:name="_Toc351203637"/>
      <w:r>
        <w:rPr>
          <w:rFonts w:hint="eastAsia" w:ascii="宋体" w:hAnsi="宋体"/>
          <w:color w:val="auto"/>
          <w:sz w:val="24"/>
          <w:szCs w:val="24"/>
          <w:highlight w:val="none"/>
        </w:rPr>
        <w:t xml:space="preserve">5</w:t>
      </w:r>
      <w:bookmarkEnd w:id="300"/>
      <w:r/>
      <w:bookmarkStart w:id="302" w:name="_Toc296890991"/>
      <w:r/>
      <w:bookmarkStart w:id="303" w:name="_Toc292559872"/>
      <w:r/>
      <w:bookmarkStart w:id="304" w:name="_Toc296944502"/>
      <w:r/>
      <w:bookmarkStart w:id="305" w:name="_Toc296346664"/>
      <w:r/>
      <w:bookmarkStart w:id="306" w:name="_Toc296347162"/>
      <w:r/>
      <w:bookmarkStart w:id="307" w:name="_Toc292559367"/>
      <w:r/>
      <w:bookmarkStart w:id="308" w:name="_Toc297048349"/>
      <w:r/>
      <w:bookmarkStart w:id="309" w:name="_Toc296503163"/>
      <w:r/>
      <w:bookmarkStart w:id="310" w:name="_Toc296891203"/>
      <w:r/>
      <w:bookmarkStart w:id="311" w:name="_Toc297120463"/>
      <w:r>
        <w:rPr>
          <w:rFonts w:hint="eastAsia" w:ascii="宋体" w:hAnsi="宋体"/>
          <w:color w:val="auto"/>
          <w:sz w:val="24"/>
          <w:szCs w:val="24"/>
          <w:highlight w:val="none"/>
        </w:rPr>
        <w:t xml:space="preserve">. 工程质量</w:t>
      </w:r>
      <w:bookmarkEnd w:id="301"/>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312" w:name="_Toc20002"/>
      <w:r>
        <w:rPr>
          <w:rFonts w:hint="eastAsia" w:ascii="宋体" w:hAnsi="宋体" w:eastAsia="宋体"/>
          <w:b/>
          <w:color w:val="auto"/>
          <w:sz w:val="24"/>
          <w:szCs w:val="24"/>
          <w:highlight w:val="none"/>
        </w:rPr>
        <w:t xml:space="preserve">5.1 质量要求</w:t>
      </w:r>
      <w:bookmarkEnd w:id="312"/>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5</w:t>
      </w:r>
      <w:bookmarkStart w:id="313" w:name="_Toc297216155"/>
      <w:r/>
      <w:bookmarkStart w:id="314" w:name="_Toc318581164"/>
      <w:r/>
      <w:bookmarkStart w:id="315" w:name="_Toc303539106"/>
      <w:r/>
      <w:bookmarkStart w:id="316" w:name="_Toc304295527"/>
      <w:r/>
      <w:bookmarkStart w:id="317" w:name="_Toc312677997"/>
      <w:r/>
      <w:bookmarkStart w:id="318" w:name="_Toc300934949"/>
      <w:r/>
      <w:bookmarkStart w:id="319" w:name="_Toc297123496"/>
      <w:r>
        <w:rPr>
          <w:rFonts w:hint="eastAsia" w:ascii="宋体" w:hAnsi="宋体" w:eastAsia="宋体"/>
          <w:color w:val="auto"/>
          <w:sz w:val="24"/>
          <w:szCs w:val="24"/>
          <w:highlight w:val="none"/>
        </w:rPr>
        <w:t xml:space="preserve">.1.1 特殊质量标准和要求：</w:t>
      </w:r>
      <w:r>
        <w:rPr>
          <w:rFonts w:hint="eastAsia" w:ascii="宋体" w:hAnsi="宋体" w:eastAsia="宋体"/>
          <w:color w:val="auto"/>
          <w:sz w:val="24"/>
          <w:szCs w:val="24"/>
          <w:highlight w:val="none"/>
          <w:u w:val="single"/>
        </w:rPr>
        <w:t xml:space="preserve">工程质量达不到本合同约定要求，发包人有权没收全部的质量保证金，施工单位须无偿返工直至达到合格。</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技术处理（含地基处理、暗河清理、回填等）必须满足施工要求，处理方法在施工前必须获得设计单位的书面同意。</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关于工程奖项的约定：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320" w:name="_Toc24386"/>
      <w:r>
        <w:rPr>
          <w:rFonts w:hint="eastAsia" w:ascii="宋体" w:hAnsi="宋体" w:eastAsia="宋体"/>
          <w:b/>
          <w:color w:val="auto"/>
          <w:sz w:val="24"/>
          <w:szCs w:val="24"/>
          <w:highlight w:val="none"/>
        </w:rPr>
        <w:t xml:space="preserve">5.3 隐蔽工程检查</w:t>
      </w:r>
      <w:bookmarkEnd w:id="320"/>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5.3.2承包人提前通知监理人隐蔽工程检查的期限的约定：</w:t>
      </w:r>
      <w:r>
        <w:rPr>
          <w:rFonts w:hint="eastAsia" w:ascii="宋体" w:hAnsi="宋体" w:eastAsia="宋体"/>
          <w:color w:val="auto"/>
          <w:sz w:val="24"/>
          <w:szCs w:val="24"/>
          <w:highlight w:val="none"/>
          <w:u w:val="single"/>
        </w:rPr>
        <w:t xml:space="preserve">共同检查前24小时书面通知监理人</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监理人不能按时进行检查时，应提前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pStyle w:val="754"/>
        <w:ind w:left="0"/>
        <w:pageBreakBefore w:val="0"/>
        <w:spacing w:before="0" w:after="0" w:line="360" w:lineRule="auto"/>
        <w:rPr>
          <w:rFonts w:hint="eastAsia" w:ascii="宋体" w:hAnsi="宋体"/>
          <w:color w:val="auto"/>
          <w:sz w:val="24"/>
          <w:szCs w:val="24"/>
          <w:highlight w:val="none"/>
        </w:rPr>
      </w:pPr>
      <w:r/>
      <w:bookmarkStart w:id="321" w:name="_Toc351203638"/>
      <w:r>
        <w:rPr>
          <w:rFonts w:hint="eastAsia" w:ascii="宋体" w:hAnsi="宋体"/>
          <w:color w:val="auto"/>
          <w:sz w:val="24"/>
          <w:szCs w:val="24"/>
          <w:highlight w:val="none"/>
        </w:rPr>
        <w:t xml:space="preserve">6. 安全文明施工与环境保护</w:t>
      </w:r>
      <w:bookmarkEnd w:id="321"/>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6.1安全文明施工</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6.1.1 项目安全生产的达标目标及相应事项的约定：</w:t>
      </w:r>
      <w:r>
        <w:rPr>
          <w:rFonts w:hint="eastAsia" w:ascii="宋体" w:hAnsi="宋体" w:eastAsia="宋体"/>
          <w:color w:val="auto"/>
          <w:sz w:val="24"/>
          <w:szCs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提供和维修施工使用照明、警示照明、围栏设施，指示标志、警告标志、禁止标志等安全防护措施。</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承包人若不按工程建设安全生产的有关规定组织施工及设置安全设施，或发生较大安全责任事故的，发包人有权没收安全保证金。</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6.1.4 关于治安保卫的特别约定：</w:t>
      </w:r>
      <w:r>
        <w:rPr>
          <w:rFonts w:hint="eastAsia" w:ascii="宋体" w:hAnsi="宋体" w:eastAsia="宋体"/>
          <w:color w:val="auto"/>
          <w:sz w:val="24"/>
          <w:szCs w:val="24"/>
          <w:highlight w:val="none"/>
          <w:u w:val="single"/>
        </w:rPr>
        <w:t xml:space="preserve">按通用条款执行</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关于编制施工场地治安管理计划的约定：</w:t>
      </w:r>
      <w:r>
        <w:rPr>
          <w:rFonts w:hint="eastAsia" w:ascii="宋体" w:hAnsi="宋体" w:eastAsia="宋体"/>
          <w:color w:val="auto"/>
          <w:sz w:val="24"/>
          <w:szCs w:val="24"/>
          <w:highlight w:val="none"/>
          <w:u w:val="single"/>
        </w:rPr>
        <w:t xml:space="preserve">承包人在开工前提供施工场地治安管理计划，负责夜间和非夜间的安全巡逻和保卫，统一管理施工场地治安保卫事项并承担相应责任。</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6.1.5 文明施工</w:t>
      </w:r>
      <w:r/>
    </w:p>
    <w:p>
      <w:pPr>
        <w:ind w:left="0" w:firstLine="21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合同当事人对文明施工的要求：</w:t>
      </w:r>
      <w:r>
        <w:rPr>
          <w:rFonts w:hint="eastAsia" w:ascii="宋体" w:hAnsi="宋体" w:eastAsia="宋体"/>
          <w:color w:val="auto"/>
          <w:sz w:val="24"/>
          <w:szCs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现场施工扬尘控制，必须严格按《通州区扬尘整治“654”专项行动方案》要求逐项落实，现场应编制“扬尘”控制专项方案报监理方审核，如措施不到位，处 </w:t>
      </w:r>
      <w:r>
        <w:rPr>
          <w:rFonts w:hint="default" w:ascii="宋体" w:hAnsi="宋体" w:eastAsia="宋体"/>
          <w:color w:val="auto"/>
          <w:sz w:val="24"/>
          <w:szCs w:val="24"/>
          <w:highlight w:val="none"/>
          <w:u w:val="single"/>
        </w:rPr>
        <w:t xml:space="preserve">1</w:t>
      </w:r>
      <w:r>
        <w:rPr>
          <w:rFonts w:hint="eastAsia" w:ascii="宋体" w:hAnsi="宋体" w:eastAsia="宋体"/>
          <w:color w:val="auto"/>
          <w:sz w:val="24"/>
          <w:szCs w:val="24"/>
          <w:highlight w:val="none"/>
          <w:u w:val="single"/>
        </w:rPr>
        <w:t xml:space="preserve">〜</w:t>
      </w:r>
      <w:r>
        <w:rPr>
          <w:rFonts w:hint="default" w:ascii="宋体" w:hAnsi="宋体" w:eastAsia="宋体"/>
          <w:color w:val="auto"/>
          <w:sz w:val="24"/>
          <w:szCs w:val="24"/>
          <w:highlight w:val="none"/>
          <w:u w:val="single"/>
        </w:rPr>
        <w:t xml:space="preserve">5 </w:t>
      </w:r>
      <w:r>
        <w:rPr>
          <w:rFonts w:hint="eastAsia" w:ascii="宋体" w:hAnsi="宋体" w:eastAsia="宋体"/>
          <w:color w:val="auto"/>
          <w:sz w:val="24"/>
          <w:szCs w:val="24"/>
          <w:highlight w:val="none"/>
          <w:u w:val="single"/>
        </w:rPr>
        <w:t xml:space="preserve">万元违约金。</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6.1.6 关于安全文明施工费支付比例和支付期限的约定：</w:t>
      </w:r>
      <w:bookmarkEnd w:id="313"/>
      <w:r/>
      <w:bookmarkEnd w:id="314"/>
      <w:r/>
      <w:bookmarkEnd w:id="315"/>
      <w:r/>
      <w:bookmarkEnd w:id="316"/>
      <w:r/>
      <w:bookmarkEnd w:id="317"/>
      <w:r/>
      <w:bookmarkEnd w:id="318"/>
      <w:r/>
      <w:bookmarkEnd w:id="319"/>
      <w:r/>
      <w:bookmarkStart w:id="322" w:name="_Toc351203639"/>
      <w:r>
        <w:rPr>
          <w:rFonts w:hint="eastAsia" w:ascii="宋体" w:hAnsi="宋体" w:eastAsia="宋体"/>
          <w:color w:val="auto"/>
          <w:sz w:val="24"/>
          <w:szCs w:val="24"/>
          <w:highlight w:val="none"/>
          <w:u w:val="single"/>
        </w:rPr>
        <w:t xml:space="preserve">纳入合同价款支付。</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6.1.7安全生产责任承包人应严格按《建设工程安全生产管理条例》等</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left="0" w:firstLine="42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 工期和进度</w:t>
      </w:r>
      <w:bookmarkEnd w:id="322"/>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7.1 施工组织设计</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7.1.1 合同当事人约定的施工组织设计应包括的其他内容：</w:t>
      </w:r>
      <w:r>
        <w:rPr>
          <w:rFonts w:hint="eastAsia" w:ascii="宋体" w:hAnsi="宋体" w:eastAsia="宋体"/>
          <w:color w:val="auto"/>
          <w:sz w:val="24"/>
          <w:szCs w:val="24"/>
          <w:highlight w:val="none"/>
          <w:u w:val="single"/>
        </w:rPr>
        <w:t xml:space="preserve">按招标文件约定，招标文件无约定的按通用条款或双方另行约定。</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7.1.2 施工组织设计的提交和修改</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承包人提交详细施工组织设计的期限的约定：</w:t>
      </w:r>
      <w:r>
        <w:rPr>
          <w:rFonts w:hint="eastAsia" w:ascii="宋体" w:hAnsi="宋体" w:eastAsia="宋体"/>
          <w:color w:val="auto"/>
          <w:sz w:val="24"/>
          <w:szCs w:val="24"/>
          <w:highlight w:val="none"/>
          <w:u w:val="single"/>
        </w:rPr>
        <w:t xml:space="preserve">开工前7日。</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发包人和监理人在收到详细的施工组织设计后确认或提出修改意见的期限：</w:t>
      </w:r>
      <w:r>
        <w:rPr>
          <w:rFonts w:hint="eastAsia" w:ascii="宋体" w:hAnsi="宋体" w:eastAsia="宋体"/>
          <w:color w:val="auto"/>
          <w:sz w:val="24"/>
          <w:szCs w:val="24"/>
          <w:highlight w:val="none"/>
          <w:u w:val="single"/>
        </w:rPr>
        <w:t xml:space="preserve">收到后5天内予以确认或提出修改意见</w:t>
      </w:r>
      <w:r>
        <w:rPr>
          <w:rFonts w:hint="eastAsia" w:ascii="宋体" w:hAnsi="宋体" w:eastAsia="宋体"/>
          <w:b/>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3" w:name="_Toc297123514"/>
      <w:r/>
      <w:bookmarkStart w:id="324" w:name="_Toc300934966"/>
      <w:r/>
      <w:bookmarkStart w:id="325" w:name="_Toc303539123"/>
      <w:r/>
      <w:bookmarkStart w:id="326" w:name="_Toc297216173"/>
      <w:r/>
      <w:bookmarkStart w:id="327" w:name="_Toc304295541"/>
      <w:r/>
      <w:bookmarkStart w:id="328" w:name="_Toc312678005"/>
      <w:r/>
      <w:bookmarkStart w:id="329" w:name="_Toc312677479"/>
      <w:r>
        <w:rPr>
          <w:rFonts w:hint="eastAsia" w:ascii="宋体" w:hAnsi="宋体" w:eastAsia="宋体"/>
          <w:b/>
          <w:color w:val="auto"/>
          <w:sz w:val="24"/>
          <w:szCs w:val="24"/>
          <w:highlight w:val="none"/>
        </w:rPr>
        <w:t xml:space="preserve">.2 施工进度计划</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7.2.2 施工进度计划的修订</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发包人和监理人在收到修订的施工进度计划后确认或提出修改意见的期限：</w:t>
      </w:r>
      <w:r>
        <w:rPr>
          <w:rFonts w:hint="eastAsia" w:ascii="宋体" w:hAnsi="宋体" w:eastAsia="宋体"/>
          <w:color w:val="auto"/>
          <w:sz w:val="24"/>
          <w:szCs w:val="24"/>
          <w:highlight w:val="none"/>
          <w:u w:val="single"/>
        </w:rPr>
        <w:t xml:space="preserve">收到后5天内；</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承包人每周五下午5：00前提供下周计划和本周完成情况统计表（一式三份）交监理机构。</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施工月进度计划：第一次在开工前7日，以后在上月25日前提供；在每月25日前，将本月进度统计报表及纠偏措施与下月施工进度计划同时提供。</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7.3 开工</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7.3.1 开工准备</w:t>
      </w:r>
      <w:r/>
    </w:p>
    <w:p>
      <w:pPr>
        <w:ind w:left="0" w:firstLine="645"/>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关于承包人提交工程开工报审表的期限：</w:t>
      </w:r>
      <w:r>
        <w:rPr>
          <w:rFonts w:hint="eastAsia" w:ascii="宋体" w:hAnsi="宋体" w:eastAsia="宋体"/>
          <w:color w:val="auto"/>
          <w:sz w:val="24"/>
          <w:szCs w:val="24"/>
          <w:highlight w:val="none"/>
          <w:u w:val="single"/>
        </w:rPr>
        <w:t xml:space="preserve">合同签订后、开工前</w:t>
      </w:r>
      <w:r>
        <w:rPr>
          <w:rFonts w:hint="eastAsia" w:ascii="宋体" w:hAnsi="宋体" w:eastAsia="宋体"/>
          <w:color w:val="auto"/>
          <w:sz w:val="24"/>
          <w:szCs w:val="24"/>
          <w:highlight w:val="none"/>
        </w:rPr>
        <w:t xml:space="preserve">。</w:t>
      </w:r>
      <w:r/>
    </w:p>
    <w:p>
      <w:pPr>
        <w:ind w:left="0" w:firstLine="645"/>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7.3.2开工通知</w:t>
      </w:r>
      <w:r/>
    </w:p>
    <w:p>
      <w:pPr>
        <w:ind w:left="0" w:firstLine="420"/>
        <w:jc w:val="left"/>
        <w:pageBreakBefore w:val="0"/>
        <w:spacing w:line="360" w:lineRule="auto"/>
        <w:rPr>
          <w:rFonts w:hint="default"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因发包人原因造成监理人未能在计划开工日期之日起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天内发出开工通知的，承包人有权提出价格调整要求，或者解除合同。</w:t>
      </w:r>
      <w:bookmarkEnd w:id="323"/>
      <w:r/>
      <w:bookmarkEnd w:id="324"/>
      <w:r/>
      <w:bookmarkEnd w:id="325"/>
      <w:r/>
      <w:bookmarkEnd w:id="326"/>
      <w:r/>
      <w:bookmarkEnd w:id="327"/>
      <w:r/>
      <w:bookmarkEnd w:id="328"/>
      <w:r/>
      <w:bookmarkEnd w:id="329"/>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7.4 测量放线</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7.4.1发包人通过监理人向承包人提供测量基准点、基准线和水准点及其书面资料的期限：</w:t>
      </w:r>
      <w:r>
        <w:rPr>
          <w:rFonts w:hint="eastAsia" w:ascii="宋体" w:hAnsi="宋体" w:eastAsia="宋体"/>
          <w:color w:val="auto"/>
          <w:sz w:val="24"/>
          <w:szCs w:val="24"/>
          <w:highlight w:val="none"/>
          <w:u w:val="single"/>
        </w:rPr>
        <w:t xml:space="preserve">按通用条款。</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30" w:name="_Toc312678010"/>
      <w:r/>
      <w:bookmarkStart w:id="331" w:name="_Toc300934968"/>
      <w:r/>
      <w:bookmarkStart w:id="332" w:name="_Toc297216175"/>
      <w:r/>
      <w:bookmarkStart w:id="333" w:name="_Toc303539125"/>
      <w:r/>
      <w:bookmarkStart w:id="334" w:name="_Toc304295546"/>
      <w:r/>
      <w:bookmarkStart w:id="335" w:name="_Toc297123516"/>
      <w:r/>
      <w:bookmarkStart w:id="336" w:name="_Toc312677484"/>
      <w:r>
        <w:rPr>
          <w:rFonts w:hint="eastAsia" w:ascii="宋体" w:hAnsi="宋体" w:eastAsia="宋体"/>
          <w:b/>
          <w:color w:val="auto"/>
          <w:sz w:val="24"/>
          <w:szCs w:val="24"/>
          <w:highlight w:val="none"/>
        </w:rPr>
        <w:t xml:space="preserve">.5 工期延误</w:t>
      </w:r>
      <w:bookmarkEnd w:id="330"/>
      <w:r/>
      <w:bookmarkEnd w:id="331"/>
      <w:r/>
      <w:bookmarkEnd w:id="332"/>
      <w:r/>
      <w:bookmarkEnd w:id="333"/>
      <w:r/>
      <w:bookmarkEnd w:id="334"/>
      <w:r/>
      <w:bookmarkEnd w:id="335"/>
      <w:r/>
      <w:bookmarkEnd w:id="336"/>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7.5.1 因发包人原因导致工期延误</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（7）因发包人原因导致工期延误的其他情形：</w:t>
      </w:r>
      <w:r>
        <w:rPr>
          <w:rFonts w:hint="eastAsia" w:ascii="宋体" w:hAnsi="宋体" w:eastAsia="宋体"/>
          <w:color w:val="auto"/>
          <w:sz w:val="24"/>
          <w:szCs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bookmarkStart w:id="337" w:name="_Toc318581169"/>
      <w:r/>
      <w:bookmarkStart w:id="338" w:name="_Toc312677486"/>
      <w:r/>
      <w:bookmarkStart w:id="339" w:name="_Toc312678012"/>
      <w:r/>
      <w:bookmarkStart w:id="340" w:name="_Toc300934970"/>
      <w:r/>
      <w:bookmarkStart w:id="341" w:name="_Toc297216177"/>
      <w:r/>
      <w:bookmarkStart w:id="342" w:name="_Toc304295548"/>
      <w:r/>
      <w:bookmarkStart w:id="343" w:name="_Toc297123518"/>
      <w:r/>
      <w:bookmarkStart w:id="344" w:name="_Toc303539127"/>
      <w:r>
        <w:rPr>
          <w:rFonts w:hint="eastAsia" w:ascii="宋体" w:hAnsi="宋体" w:eastAsia="宋体"/>
          <w:color w:val="auto"/>
          <w:sz w:val="24"/>
          <w:szCs w:val="24"/>
          <w:highlight w:val="none"/>
        </w:rPr>
        <w:t xml:space="preserve">.5.2 因承包人原因导致工期延误</w:t>
      </w:r>
      <w:bookmarkEnd w:id="337"/>
      <w:r/>
      <w:bookmarkEnd w:id="338"/>
      <w:r/>
      <w:bookmarkEnd w:id="339"/>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因</w:t>
      </w:r>
      <w:bookmarkStart w:id="345" w:name="_Toc318581170"/>
      <w:r/>
      <w:bookmarkStart w:id="346" w:name="_Toc312678013"/>
      <w:r/>
      <w:bookmarkStart w:id="347" w:name="_Toc312677487"/>
      <w:r>
        <w:rPr>
          <w:rFonts w:hint="eastAsia" w:ascii="宋体" w:hAnsi="宋体" w:eastAsia="宋体"/>
          <w:color w:val="auto"/>
          <w:sz w:val="24"/>
          <w:szCs w:val="24"/>
          <w:highlight w:val="none"/>
        </w:rPr>
        <w:t xml:space="preserve">承包人原因造成工期延误，逾期竣工违约金的计算方法为：</w:t>
      </w:r>
      <w:bookmarkEnd w:id="340"/>
      <w:r/>
      <w:bookmarkEnd w:id="341"/>
      <w:r/>
      <w:bookmarkEnd w:id="342"/>
      <w:r/>
      <w:bookmarkEnd w:id="343"/>
      <w:r/>
      <w:bookmarkEnd w:id="344"/>
      <w:r/>
      <w:bookmarkEnd w:id="345"/>
      <w:r/>
      <w:bookmarkEnd w:id="346"/>
      <w:r/>
      <w:bookmarkEnd w:id="347"/>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因承包人原因延误总工期每延迟一天罚款10000元，超过15天（含15天）工期履约保证金不退还，并处以工程结算价为基数每天千分之五罚款，其他按通用条款中约定的内容执行。</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因承包人原因未及时开工，按照约定的开工日期，每拖延一天罚款10000元。</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未经发包人书面批准，承包人超过本合同约定的开工日期10天仍未开工或连续停工5天以上的，发包人有权单方解除本合同，对已完成的工程量不支付工程款。</w:t>
      </w:r>
      <w:r/>
    </w:p>
    <w:p>
      <w:pPr>
        <w:ind w:left="0" w:firstLine="420"/>
        <w:jc w:val="left"/>
        <w:pageBreakBefore w:val="0"/>
        <w:spacing w:line="360" w:lineRule="auto"/>
        <w:rPr>
          <w:rFonts w:hint="default"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因承包人原因造成工期延误，逾</w:t>
      </w:r>
      <w:bookmarkStart w:id="348" w:name="_Toc312678014"/>
      <w:r/>
      <w:bookmarkStart w:id="349" w:name="_Toc318581171"/>
      <w:r>
        <w:rPr>
          <w:rFonts w:hint="eastAsia" w:ascii="宋体" w:hAnsi="宋体" w:eastAsia="宋体"/>
          <w:color w:val="auto"/>
          <w:sz w:val="24"/>
          <w:szCs w:val="24"/>
          <w:highlight w:val="none"/>
        </w:rPr>
        <w:t xml:space="preserve">期竣工违约金的上限：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348"/>
      <w:r/>
      <w:bookmarkEnd w:id="349"/>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50" w:name="_Toc303539128"/>
      <w:r/>
      <w:bookmarkStart w:id="351" w:name="_Toc304295549"/>
      <w:r/>
      <w:bookmarkStart w:id="352" w:name="_Toc312678015"/>
      <w:r/>
      <w:bookmarkStart w:id="353" w:name="_Toc300934971"/>
      <w:r/>
      <w:bookmarkStart w:id="354" w:name="_Toc297216178"/>
      <w:r/>
      <w:bookmarkStart w:id="355" w:name="_Toc297123519"/>
      <w:r>
        <w:rPr>
          <w:rFonts w:hint="eastAsia" w:ascii="宋体" w:hAnsi="宋体" w:eastAsia="宋体"/>
          <w:b/>
          <w:color w:val="auto"/>
          <w:sz w:val="24"/>
          <w:szCs w:val="24"/>
          <w:highlight w:val="none"/>
        </w:rPr>
        <w:t xml:space="preserve">.6 不</w:t>
      </w:r>
      <w:bookmarkEnd w:id="350"/>
      <w:r/>
      <w:bookmarkEnd w:id="351"/>
      <w:r/>
      <w:bookmarkEnd w:id="352"/>
      <w:r/>
      <w:bookmarkEnd w:id="353"/>
      <w:r/>
      <w:bookmarkEnd w:id="354"/>
      <w:r/>
      <w:bookmarkEnd w:id="355"/>
      <w:r>
        <w:rPr>
          <w:rFonts w:hint="eastAsia" w:ascii="宋体" w:hAnsi="宋体" w:eastAsia="宋体"/>
          <w:b/>
          <w:color w:val="auto"/>
          <w:sz w:val="24"/>
          <w:szCs w:val="24"/>
          <w:highlight w:val="none"/>
        </w:rPr>
        <w:t xml:space="preserve">利物质条件</w:t>
      </w:r>
      <w:r/>
    </w:p>
    <w:p>
      <w:pPr>
        <w:ind w:left="0" w:firstLine="420"/>
        <w:jc w:val="left"/>
        <w:pageBreakBefore w:val="0"/>
        <w:spacing w:line="360" w:lineRule="auto"/>
        <w:rPr>
          <w:rFonts w:hint="eastAsia" w:ascii="宋体" w:hAnsi="宋体" w:eastAsia="宋体"/>
          <w:color w:val="auto"/>
          <w:sz w:val="24"/>
          <w:szCs w:val="24"/>
          <w:highlight w:val="none"/>
        </w:rPr>
      </w:pPr>
      <w:r/>
      <w:bookmarkStart w:id="356" w:name="_Toc297123520"/>
      <w:r/>
      <w:bookmarkStart w:id="357" w:name="_Toc304295550"/>
      <w:r/>
      <w:bookmarkStart w:id="358" w:name="_Toc303539129"/>
      <w:r/>
      <w:bookmarkStart w:id="359" w:name="_Toc297216179"/>
      <w:r/>
      <w:bookmarkStart w:id="360" w:name="_Toc300934972"/>
      <w:r/>
      <w:bookmarkStart w:id="361" w:name="_Toc318581172"/>
      <w:r/>
      <w:bookmarkStart w:id="362" w:name="_Toc312678016"/>
      <w:r>
        <w:rPr>
          <w:rFonts w:hint="eastAsia" w:ascii="宋体" w:hAnsi="宋体" w:eastAsia="宋体"/>
          <w:color w:val="auto"/>
          <w:sz w:val="24"/>
          <w:szCs w:val="24"/>
          <w:highlight w:val="none"/>
        </w:rPr>
        <w:t xml:space="preserve">不利物质条件的其他情形和有关约定：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356"/>
      <w:r/>
      <w:bookmarkEnd w:id="357"/>
      <w:r/>
      <w:bookmarkEnd w:id="358"/>
      <w:r/>
      <w:bookmarkEnd w:id="359"/>
      <w:r/>
      <w:bookmarkEnd w:id="360"/>
      <w:r/>
      <w:bookmarkEnd w:id="361"/>
      <w:r/>
      <w:bookmarkEnd w:id="362"/>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63" w:name="_Toc312678017"/>
      <w:r/>
      <w:bookmarkStart w:id="364" w:name="_Toc297123521"/>
      <w:r/>
      <w:bookmarkStart w:id="365" w:name="_Toc297216180"/>
      <w:r/>
      <w:bookmarkStart w:id="366" w:name="_Toc300934973"/>
      <w:r/>
      <w:bookmarkStart w:id="367" w:name="_Toc303539130"/>
      <w:r/>
      <w:bookmarkStart w:id="368" w:name="_Toc304295551"/>
      <w:r>
        <w:rPr>
          <w:rFonts w:hint="eastAsia" w:ascii="宋体" w:hAnsi="宋体" w:eastAsia="宋体"/>
          <w:b/>
          <w:color w:val="auto"/>
          <w:sz w:val="24"/>
          <w:szCs w:val="24"/>
          <w:highlight w:val="none"/>
        </w:rPr>
        <w:t xml:space="preserve">.7异常恶劣的气候条件</w:t>
      </w:r>
      <w:bookmarkEnd w:id="363"/>
      <w:r/>
      <w:bookmarkEnd w:id="364"/>
      <w:r/>
      <w:bookmarkEnd w:id="365"/>
      <w:r/>
      <w:bookmarkEnd w:id="366"/>
      <w:r/>
      <w:bookmarkEnd w:id="367"/>
      <w:r/>
      <w:bookmarkEnd w:id="368"/>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发包人和承包人同意以下情形视为异常恶劣的气候条件：</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由市级以上有关部门正式发布和认定的自然灾害</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outlineLvl w:val="0"/>
      </w:pPr>
      <w:r/>
      <w:bookmarkStart w:id="369" w:name="_Toc21388"/>
      <w:r>
        <w:rPr>
          <w:rFonts w:hint="eastAsia" w:ascii="宋体" w:hAnsi="宋体" w:eastAsia="宋体"/>
          <w:color w:val="auto"/>
          <w:sz w:val="24"/>
          <w:szCs w:val="24"/>
          <w:highlight w:val="none"/>
        </w:rPr>
        <w:t xml:space="preserve">7.8 提前竣工的奖励</w:t>
      </w:r>
      <w:bookmarkEnd w:id="369"/>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7.8.1提前竣工的奖励：</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 xml:space="preserve">。</w:t>
      </w:r>
      <w:r/>
    </w:p>
    <w:p>
      <w:pPr>
        <w:pStyle w:val="754"/>
        <w:ind w:left="0" w:firstLine="420"/>
        <w:pageBreakBefore w:val="0"/>
        <w:spacing w:before="0" w:after="0" w:line="360" w:lineRule="auto"/>
        <w:rPr>
          <w:rFonts w:hint="eastAsia" w:ascii="宋体" w:hAnsi="宋体" w:eastAsia="宋体"/>
          <w:color w:val="auto"/>
          <w:sz w:val="24"/>
          <w:szCs w:val="24"/>
          <w:highlight w:val="none"/>
        </w:rPr>
      </w:pPr>
      <w:r/>
      <w:bookmarkStart w:id="370" w:name="_Toc351203640"/>
      <w:r>
        <w:rPr>
          <w:rFonts w:hint="eastAsia" w:ascii="宋体" w:hAnsi="宋体"/>
          <w:color w:val="auto"/>
          <w:sz w:val="24"/>
          <w:szCs w:val="24"/>
          <w:highlight w:val="none"/>
        </w:rPr>
        <w:t xml:space="preserve">8. 材料与设备</w:t>
      </w:r>
      <w:bookmarkEnd w:id="370"/>
      <w:r/>
      <w:r/>
    </w:p>
    <w:p>
      <w:pPr>
        <w:ind w:left="0" w:firstLine="420"/>
        <w:pageBreakBefore w:val="0"/>
        <w:spacing w:line="360" w:lineRule="auto"/>
        <w:rPr>
          <w:rStyle w:val="791"/>
          <w:rFonts w:hint="default"/>
          <w:color w:val="auto"/>
          <w:sz w:val="24"/>
          <w:szCs w:val="24"/>
          <w:highlight w:val="none"/>
        </w:rPr>
      </w:pPr>
      <w:r>
        <w:rPr>
          <w:rFonts w:hint="default"/>
          <w:color w:val="auto"/>
          <w:sz w:val="24"/>
          <w:szCs w:val="24"/>
          <w:highlight w:val="none"/>
        </w:rPr>
        <w:t xml:space="preserve">8.2</w:t>
      </w:r>
      <w:r>
        <w:rPr>
          <w:rStyle w:val="791"/>
          <w:rFonts w:hint="eastAsia" w:eastAsia="宋体"/>
          <w:color w:val="auto"/>
          <w:sz w:val="24"/>
          <w:szCs w:val="24"/>
          <w:highlight w:val="none"/>
        </w:rPr>
        <w:t xml:space="preserve">承包人采购材料与工程设备</w:t>
      </w:r>
      <w:r/>
    </w:p>
    <w:p>
      <w:pPr>
        <w:ind w:left="0" w:firstLine="420"/>
        <w:pageBreakBefore w:val="0"/>
        <w:spacing w:line="360" w:lineRule="auto"/>
        <w:rPr>
          <w:rStyle w:val="791"/>
          <w:rFonts w:hint="default"/>
          <w:color w:val="auto"/>
          <w:sz w:val="24"/>
          <w:szCs w:val="24"/>
          <w:highlight w:val="none"/>
        </w:rPr>
      </w:pPr>
      <w:r>
        <w:rPr>
          <w:rStyle w:val="791"/>
          <w:rFonts w:hint="default"/>
          <w:color w:val="auto"/>
          <w:sz w:val="24"/>
          <w:szCs w:val="24"/>
          <w:highlight w:val="none"/>
        </w:rPr>
        <w:t xml:space="preserve">8.2.1 </w:t>
      </w:r>
      <w:r>
        <w:rPr>
          <w:rStyle w:val="791"/>
          <w:rFonts w:hint="eastAsia" w:eastAsia="宋体"/>
          <w:color w:val="auto"/>
          <w:sz w:val="24"/>
          <w:szCs w:val="24"/>
          <w:highlight w:val="none"/>
        </w:rPr>
        <w:t xml:space="preserve">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p>
    <w:p>
      <w:pPr>
        <w:ind w:left="0" w:firstLine="420"/>
        <w:pageBreakBefore w:val="0"/>
        <w:spacing w:line="360" w:lineRule="auto"/>
        <w:rPr>
          <w:rStyle w:val="791"/>
          <w:rFonts w:hint="default"/>
          <w:color w:val="auto"/>
          <w:sz w:val="24"/>
          <w:szCs w:val="24"/>
          <w:highlight w:val="none"/>
        </w:rPr>
      </w:pPr>
      <w:r>
        <w:rPr>
          <w:rStyle w:val="791"/>
          <w:rFonts w:hint="default"/>
          <w:color w:val="auto"/>
          <w:sz w:val="24"/>
          <w:szCs w:val="24"/>
          <w:highlight w:val="none"/>
        </w:rPr>
        <w:t xml:space="preserve">8.2.2</w:t>
      </w:r>
      <w:r>
        <w:rPr>
          <w:rStyle w:val="791"/>
          <w:rFonts w:hint="eastAsia" w:eastAsia="宋体"/>
          <w:color w:val="auto"/>
          <w:sz w:val="24"/>
          <w:szCs w:val="24"/>
          <w:highlight w:val="none"/>
        </w:rPr>
        <w:t xml:space="preserve">工程师或其代表可能要求在承包人或其他代表在场的情况下从每一材料中抽样用作检验，经工程师决定，这样抽取的样品应视为一批材料的代表。</w:t>
      </w:r>
      <w:r/>
    </w:p>
    <w:p>
      <w:pPr>
        <w:ind w:left="0" w:firstLine="420"/>
        <w:pageBreakBefore w:val="0"/>
        <w:spacing w:line="360" w:lineRule="auto"/>
        <w:rPr>
          <w:rStyle w:val="791"/>
          <w:rFonts w:hint="default"/>
          <w:color w:val="auto"/>
          <w:sz w:val="24"/>
          <w:szCs w:val="24"/>
          <w:highlight w:val="none"/>
        </w:rPr>
      </w:pPr>
      <w:r>
        <w:rPr>
          <w:rStyle w:val="791"/>
          <w:rFonts w:hint="default"/>
          <w:color w:val="auto"/>
          <w:sz w:val="24"/>
          <w:szCs w:val="24"/>
          <w:highlight w:val="none"/>
        </w:rPr>
        <w:t xml:space="preserve">8.2.3</w:t>
      </w:r>
      <w:r>
        <w:rPr>
          <w:rStyle w:val="791"/>
          <w:rFonts w:hint="eastAsia" w:eastAsia="宋体"/>
          <w:color w:val="auto"/>
          <w:sz w:val="24"/>
          <w:szCs w:val="24"/>
          <w:highlight w:val="none"/>
        </w:rPr>
        <w:t xml:space="preserve">如果任何一批材料中的样品不符合合同要求的，材料全部均予退货，无论是否已经采用与否，其费用全部由承包人支付，且不允许由于更换而延长工期。</w:t>
      </w:r>
      <w:r/>
    </w:p>
    <w:p>
      <w:pPr>
        <w:ind w:left="0" w:firstLine="420"/>
        <w:pageBreakBefore w:val="0"/>
        <w:spacing w:line="360" w:lineRule="auto"/>
        <w:rPr>
          <w:rStyle w:val="791"/>
          <w:rFonts w:hint="default"/>
          <w:color w:val="auto"/>
          <w:sz w:val="24"/>
          <w:szCs w:val="24"/>
          <w:highlight w:val="none"/>
        </w:rPr>
      </w:pPr>
      <w:r>
        <w:rPr>
          <w:rStyle w:val="791"/>
          <w:rFonts w:hint="default"/>
          <w:color w:val="auto"/>
          <w:sz w:val="24"/>
          <w:szCs w:val="24"/>
          <w:highlight w:val="none"/>
        </w:rPr>
        <w:t xml:space="preserve">8.2.4</w:t>
      </w:r>
      <w:r>
        <w:rPr>
          <w:rStyle w:val="791"/>
          <w:rFonts w:hint="eastAsia" w:eastAsia="宋体"/>
          <w:color w:val="auto"/>
          <w:sz w:val="24"/>
          <w:szCs w:val="24"/>
          <w:highlight w:val="none"/>
        </w:rPr>
        <w:t xml:space="preserve">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left="0" w:firstLine="420"/>
        <w:pageBreakBefore w:val="0"/>
        <w:spacing w:line="360" w:lineRule="auto"/>
        <w:rPr>
          <w:rStyle w:val="791"/>
          <w:rFonts w:hint="default"/>
          <w:color w:val="auto"/>
          <w:sz w:val="24"/>
          <w:szCs w:val="24"/>
          <w:highlight w:val="none"/>
        </w:rPr>
      </w:pPr>
      <w:r>
        <w:rPr>
          <w:rStyle w:val="791"/>
          <w:rFonts w:hint="default"/>
          <w:color w:val="auto"/>
          <w:sz w:val="24"/>
          <w:szCs w:val="24"/>
          <w:highlight w:val="none"/>
        </w:rPr>
        <w:t xml:space="preserve">8.2.5</w:t>
      </w:r>
      <w:r>
        <w:rPr>
          <w:rStyle w:val="791"/>
          <w:rFonts w:hint="eastAsia" w:eastAsia="宋体"/>
          <w:color w:val="auto"/>
          <w:sz w:val="24"/>
          <w:szCs w:val="24"/>
          <w:highlight w:val="none"/>
        </w:rPr>
        <w:t xml:space="preserve">运抵到现场的所有材料，无论在施工进度款中是否已付款，未经总监的书面批准，不得</w:t>
      </w:r>
      <w:r>
        <w:rPr>
          <w:rStyle w:val="791"/>
          <w:rFonts w:hint="eastAsia" w:eastAsia="宋体"/>
          <w:color w:val="auto"/>
          <w:sz w:val="24"/>
          <w:szCs w:val="24"/>
          <w:highlight w:val="none"/>
          <w:lang w:eastAsia="zh-CN"/>
        </w:rPr>
        <w:t xml:space="preserve">从现</w:t>
      </w:r>
      <w:r>
        <w:rPr>
          <w:rStyle w:val="791"/>
          <w:rFonts w:hint="eastAsia" w:eastAsia="宋体"/>
          <w:color w:val="auto"/>
          <w:sz w:val="24"/>
          <w:szCs w:val="24"/>
          <w:highlight w:val="none"/>
        </w:rPr>
        <w:t xml:space="preserve">场搬移出去。</w:t>
      </w:r>
      <w:r/>
    </w:p>
    <w:p>
      <w:pPr>
        <w:ind w:left="0" w:firstLine="420"/>
        <w:pageBreakBefore w:val="0"/>
        <w:spacing w:line="360" w:lineRule="auto"/>
        <w:rPr>
          <w:rStyle w:val="791"/>
          <w:rFonts w:hint="default"/>
          <w:color w:val="auto"/>
          <w:sz w:val="24"/>
          <w:szCs w:val="24"/>
          <w:highlight w:val="none"/>
        </w:rPr>
      </w:pPr>
      <w:r>
        <w:rPr>
          <w:rStyle w:val="791"/>
          <w:rFonts w:hint="default"/>
          <w:color w:val="auto"/>
          <w:sz w:val="24"/>
          <w:szCs w:val="24"/>
          <w:highlight w:val="none"/>
        </w:rPr>
        <w:t xml:space="preserve">8.2.6 </w:t>
      </w:r>
      <w:r>
        <w:rPr>
          <w:rStyle w:val="791"/>
          <w:rFonts w:hint="eastAsia" w:eastAsia="宋体"/>
          <w:color w:val="auto"/>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left="0" w:firstLine="420"/>
        <w:pageBreakBefore w:val="0"/>
        <w:spacing w:line="360" w:lineRule="auto"/>
        <w:rPr>
          <w:rFonts w:hint="default"/>
          <w:color w:val="auto"/>
          <w:sz w:val="24"/>
          <w:szCs w:val="24"/>
          <w:highlight w:val="none"/>
        </w:rPr>
      </w:pPr>
      <w:r>
        <w:rPr>
          <w:rStyle w:val="791"/>
          <w:rFonts w:hint="default"/>
          <w:color w:val="auto"/>
          <w:sz w:val="24"/>
          <w:szCs w:val="24"/>
          <w:highlight w:val="none"/>
        </w:rPr>
        <w:t xml:space="preserve">8.2.7 </w:t>
      </w:r>
      <w:r>
        <w:rPr>
          <w:rStyle w:val="791"/>
          <w:rFonts w:hint="eastAsia" w:eastAsia="宋体"/>
          <w:color w:val="auto"/>
          <w:sz w:val="24"/>
          <w:szCs w:val="24"/>
          <w:highlight w:val="none"/>
        </w:rPr>
        <w:t xml:space="preserve">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检验或试验费用均由承包人承担。</w:t>
      </w:r>
      <w:bookmarkEnd w:id="302"/>
      <w:r/>
      <w:bookmarkEnd w:id="303"/>
      <w:r/>
      <w:bookmarkEnd w:id="304"/>
      <w:r/>
      <w:bookmarkEnd w:id="305"/>
      <w:r/>
      <w:bookmarkEnd w:id="306"/>
      <w:r/>
      <w:bookmarkEnd w:id="307"/>
      <w:r/>
      <w:bookmarkEnd w:id="308"/>
      <w:r/>
      <w:bookmarkEnd w:id="309"/>
      <w:r/>
      <w:bookmarkEnd w:id="310"/>
      <w:r/>
      <w:bookmarkEnd w:id="311"/>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71" w:name="_Toc296347166"/>
      <w:r/>
      <w:bookmarkStart w:id="372" w:name="_Toc297216186"/>
      <w:r/>
      <w:bookmarkStart w:id="373" w:name="_Toc297123527"/>
      <w:r/>
      <w:bookmarkStart w:id="374" w:name="_Toc297048353"/>
      <w:r/>
      <w:bookmarkStart w:id="375" w:name="_Toc296503167"/>
      <w:r/>
      <w:bookmarkStart w:id="376" w:name="_Toc300934979"/>
      <w:r/>
      <w:bookmarkStart w:id="377" w:name="_Toc304295556"/>
      <w:r/>
      <w:bookmarkStart w:id="378" w:name="_Toc296346668"/>
      <w:r/>
      <w:bookmarkStart w:id="379" w:name="_Toc312677493"/>
      <w:r/>
      <w:bookmarkStart w:id="380" w:name="_Toc296944506"/>
      <w:r/>
      <w:bookmarkStart w:id="381" w:name="_Toc312678019"/>
      <w:r/>
      <w:bookmarkStart w:id="382" w:name="_Toc296890995"/>
      <w:r/>
      <w:bookmarkStart w:id="383" w:name="_Toc280868654"/>
      <w:r/>
      <w:bookmarkStart w:id="384" w:name="_Toc296891207"/>
      <w:r/>
      <w:bookmarkStart w:id="385" w:name="_Toc303539136"/>
      <w:r/>
      <w:bookmarkStart w:id="386" w:name="_Toc297120467"/>
      <w:r/>
      <w:bookmarkStart w:id="387" w:name="_Toc292559877"/>
      <w:r/>
      <w:bookmarkStart w:id="388" w:name="_Toc292559372"/>
      <w:r/>
      <w:bookmarkStart w:id="389" w:name="_Toc280868655"/>
      <w:r/>
      <w:bookmarkStart w:id="390" w:name="_Toc280868656"/>
      <w:r/>
      <w:bookmarkStart w:id="391" w:name="_Toc267251424"/>
      <w:r>
        <w:rPr>
          <w:rFonts w:hint="eastAsia" w:ascii="宋体" w:hAnsi="宋体" w:eastAsia="宋体"/>
          <w:color w:val="auto"/>
          <w:sz w:val="24"/>
          <w:szCs w:val="24"/>
          <w:highlight w:val="none"/>
        </w:rPr>
        <w:t xml:space="preserve">.4材料与工程设备的保管与使用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92" w:name="_Toc292559373"/>
      <w:r/>
      <w:bookmarkStart w:id="393" w:name="_Toc292559878"/>
      <w:r/>
      <w:bookmarkStart w:id="394" w:name="_Toc318581173"/>
      <w:r/>
      <w:bookmarkStart w:id="395" w:name="_Toc312678020"/>
      <w:r/>
      <w:bookmarkStart w:id="396" w:name="_Toc297216187"/>
      <w:r/>
      <w:bookmarkStart w:id="397" w:name="_Toc303539137"/>
      <w:r/>
      <w:bookmarkStart w:id="398" w:name="_Toc296346669"/>
      <w:r/>
      <w:bookmarkStart w:id="399" w:name="_Toc312677494"/>
      <w:r/>
      <w:bookmarkStart w:id="400" w:name="_Toc304295557"/>
      <w:r/>
      <w:bookmarkStart w:id="401" w:name="_Toc296503168"/>
      <w:r/>
      <w:bookmarkStart w:id="402" w:name="_Toc296890996"/>
      <w:r/>
      <w:bookmarkStart w:id="403" w:name="_Toc297120468"/>
      <w:r/>
      <w:bookmarkStart w:id="404" w:name="_Toc296944507"/>
      <w:r/>
      <w:bookmarkStart w:id="405" w:name="_Toc297048354"/>
      <w:r/>
      <w:bookmarkStart w:id="406" w:name="_Toc297123528"/>
      <w:r/>
      <w:bookmarkStart w:id="407" w:name="_Toc300934980"/>
      <w:r/>
      <w:bookmarkStart w:id="408" w:name="_Toc296347167"/>
      <w:r/>
      <w:bookmarkStart w:id="409" w:name="_Toc296891208"/>
      <w:r>
        <w:rPr>
          <w:rFonts w:hint="eastAsia" w:ascii="宋体" w:hAnsi="宋体" w:eastAsia="宋体"/>
          <w:color w:val="auto"/>
          <w:sz w:val="24"/>
          <w:szCs w:val="24"/>
          <w:highlight w:val="none"/>
        </w:rPr>
        <w:t xml:space="preserve">.4.1发包人供应的材料设备的保管费用的承担：</w:t>
      </w:r>
      <w:bookmarkEnd w:id="392"/>
      <w:r/>
      <w:bookmarkEnd w:id="393"/>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8.6 样品</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8.6.1样品的报送与封存</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需要承包人报送样品的材料或工程设备，样品的种类、名称、规格、数量要求：</w:t>
      </w:r>
      <w:r>
        <w:rPr>
          <w:rFonts w:hint="eastAsia" w:ascii="宋体" w:hAnsi="宋体" w:eastAsia="宋体"/>
          <w:color w:val="auto"/>
          <w:sz w:val="24"/>
          <w:szCs w:val="24"/>
          <w:highlight w:val="none"/>
          <w:u w:val="single"/>
        </w:rPr>
        <w:t xml:space="preserve">按管理部门要求和发包人需求确定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Style w:val="791"/>
          <w:rFonts w:hint="default"/>
          <w:color w:val="auto"/>
          <w:sz w:val="24"/>
          <w:szCs w:val="24"/>
          <w:highlight w:val="none"/>
        </w:rPr>
      </w:pPr>
      <w:r>
        <w:rPr>
          <w:rFonts w:hint="eastAsia" w:ascii="宋体" w:hAnsi="宋体" w:eastAsia="宋体"/>
          <w:color w:val="auto"/>
          <w:sz w:val="24"/>
          <w:szCs w:val="24"/>
          <w:highlight w:val="none"/>
        </w:rPr>
        <w:t xml:space="preserve">8.6.1.1</w:t>
      </w:r>
      <w:r>
        <w:rPr>
          <w:rStyle w:val="791"/>
          <w:rFonts w:hint="eastAsia" w:eastAsia="宋体"/>
          <w:color w:val="auto"/>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left="0" w:firstLine="420"/>
        <w:jc w:val="left"/>
        <w:pageBreakBefore w:val="0"/>
        <w:spacing w:line="360" w:lineRule="auto"/>
        <w:rPr>
          <w:rFonts w:hint="eastAsia" w:ascii="宋体" w:hAnsi="宋体" w:eastAsia="宋体"/>
          <w:color w:val="auto"/>
          <w:sz w:val="24"/>
          <w:szCs w:val="24"/>
          <w:highlight w:val="none"/>
        </w:rPr>
      </w:pPr>
      <w:r>
        <w:rPr>
          <w:rStyle w:val="791"/>
          <w:rFonts w:hint="default"/>
          <w:color w:val="auto"/>
          <w:sz w:val="24"/>
          <w:szCs w:val="24"/>
          <w:highlight w:val="none"/>
        </w:rPr>
        <w:t xml:space="preserve">8.6.1.2 </w:t>
      </w:r>
      <w:r>
        <w:rPr>
          <w:rStyle w:val="791"/>
          <w:rFonts w:hint="eastAsia" w:eastAsia="宋体"/>
          <w:color w:val="auto"/>
          <w:sz w:val="24"/>
          <w:szCs w:val="24"/>
          <w:highlight w:val="none"/>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检验或试验费用均由承包人承担。</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8.8 施工设备和临时设施</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8.8.1 承包人提供的施工设备和临时设施</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关于修建临时设施费用承担的约定：</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Start w:id="410" w:name="_Toc351203641"/>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left="0" w:firstLine="42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9</w:t>
      </w:r>
      <w:bookmarkEnd w:id="389"/>
      <w:r/>
      <w:bookmarkEnd w:id="390"/>
      <w:r/>
      <w:bookmarkEnd w:id="391"/>
      <w:r/>
      <w:bookmarkStart w:id="411" w:name="_Toc297123533"/>
      <w:r/>
      <w:bookmarkStart w:id="412" w:name="_Toc303539139"/>
      <w:r/>
      <w:bookmarkStart w:id="413" w:name="_Toc297216192"/>
      <w:r/>
      <w:bookmarkStart w:id="414" w:name="_Toc300934982"/>
      <w:r/>
      <w:bookmarkStart w:id="415" w:name="_Toc312678021"/>
      <w:r/>
      <w:bookmarkStart w:id="416" w:name="_Toc304295559"/>
      <w:r/>
      <w:bookmarkStart w:id="417" w:name="_Toc312677495"/>
      <w:r/>
      <w:bookmarkStart w:id="418" w:name="_Toc296347172"/>
      <w:r/>
      <w:bookmarkStart w:id="419" w:name="_Toc267251427"/>
      <w:r/>
      <w:bookmarkStart w:id="420" w:name="_Toc297048359"/>
      <w:r/>
      <w:bookmarkStart w:id="421" w:name="_Toc297120473"/>
      <w:r/>
      <w:bookmarkStart w:id="422" w:name="_Toc296346674"/>
      <w:r/>
      <w:bookmarkStart w:id="423" w:name="_Toc296891213"/>
      <w:r/>
      <w:bookmarkStart w:id="424" w:name="_Toc296503173"/>
      <w:r/>
      <w:bookmarkStart w:id="425" w:name="_Toc296944512"/>
      <w:r/>
      <w:bookmarkStart w:id="426" w:name="_Toc292559378"/>
      <w:r/>
      <w:bookmarkStart w:id="427" w:name="_Toc292559883"/>
      <w:r/>
      <w:bookmarkStart w:id="428" w:name="_Toc296891001"/>
      <w:r/>
      <w:bookmarkStart w:id="429" w:name="_Toc267251428"/>
      <w:r>
        <w:rPr>
          <w:rFonts w:hint="eastAsia" w:ascii="宋体" w:hAnsi="宋体" w:eastAsia="宋体"/>
          <w:b/>
          <w:color w:val="auto"/>
          <w:sz w:val="24"/>
          <w:szCs w:val="24"/>
          <w:highlight w:val="none"/>
        </w:rPr>
        <w:t xml:space="preserve">. 试验与检验</w:t>
      </w:r>
      <w:bookmarkEnd w:id="410"/>
      <w:r/>
      <w:bookmarkEnd w:id="411"/>
      <w:r/>
      <w:bookmarkEnd w:id="412"/>
      <w:r/>
      <w:bookmarkEnd w:id="413"/>
      <w:r/>
      <w:bookmarkEnd w:id="414"/>
      <w:r/>
      <w:bookmarkEnd w:id="415"/>
      <w:r/>
      <w:bookmarkEnd w:id="416"/>
      <w:r/>
      <w:bookmarkEnd w:id="417"/>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30" w:name="_Toc297123534"/>
      <w:r/>
      <w:bookmarkStart w:id="431" w:name="_Toc303539140"/>
      <w:r/>
      <w:bookmarkStart w:id="432" w:name="_Toc312677496"/>
      <w:r/>
      <w:bookmarkStart w:id="433" w:name="_Toc300934983"/>
      <w:r/>
      <w:bookmarkStart w:id="434" w:name="_Toc312678022"/>
      <w:r/>
      <w:bookmarkStart w:id="435" w:name="_Toc297216193"/>
      <w:r/>
      <w:bookmarkStart w:id="436" w:name="_Toc304295560"/>
      <w:r>
        <w:rPr>
          <w:rFonts w:hint="eastAsia" w:ascii="宋体" w:hAnsi="宋体" w:eastAsia="宋体"/>
          <w:color w:val="auto"/>
          <w:sz w:val="24"/>
          <w:szCs w:val="24"/>
          <w:highlight w:val="none"/>
        </w:rPr>
        <w:t xml:space="preserve">.1试验设备与试验人员</w:t>
      </w:r>
      <w:bookmarkEnd w:id="430"/>
      <w:r/>
      <w:bookmarkEnd w:id="431"/>
      <w:r/>
      <w:bookmarkEnd w:id="432"/>
      <w:r/>
      <w:bookmarkEnd w:id="433"/>
      <w:r/>
      <w:bookmarkEnd w:id="434"/>
      <w:r/>
      <w:bookmarkEnd w:id="435"/>
      <w:r/>
      <w:bookmarkEnd w:id="436"/>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37" w:name="_Toc303539141"/>
      <w:r/>
      <w:bookmarkStart w:id="438" w:name="_Toc297123535"/>
      <w:r/>
      <w:bookmarkStart w:id="439" w:name="_Toc297216194"/>
      <w:r/>
      <w:bookmarkStart w:id="440" w:name="_Toc312677497"/>
      <w:r/>
      <w:bookmarkStart w:id="441" w:name="_Toc300934984"/>
      <w:r/>
      <w:bookmarkStart w:id="442" w:name="_Toc312678023"/>
      <w:r/>
      <w:bookmarkStart w:id="443" w:name="_Toc304295561"/>
      <w:r/>
      <w:bookmarkStart w:id="444" w:name="_Toc318581174"/>
      <w:r>
        <w:rPr>
          <w:rFonts w:hint="eastAsia" w:ascii="宋体" w:hAnsi="宋体" w:eastAsia="宋体"/>
          <w:color w:val="auto"/>
          <w:sz w:val="24"/>
          <w:szCs w:val="24"/>
          <w:highlight w:val="none"/>
        </w:rPr>
        <w:t xml:space="preserve">.1.2 试验设备</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施工现场需要配置的试验场所：</w:t>
      </w:r>
      <w:bookmarkEnd w:id="437"/>
      <w:r/>
      <w:bookmarkEnd w:id="438"/>
      <w:r/>
      <w:bookmarkEnd w:id="439"/>
      <w:r/>
      <w:bookmarkEnd w:id="440"/>
      <w:r/>
      <w:bookmarkEnd w:id="441"/>
      <w:r/>
      <w:bookmarkEnd w:id="442"/>
      <w:r/>
      <w:bookmarkEnd w:id="443"/>
      <w:r/>
      <w:bookmarkStart w:id="445" w:name="_Toc312678024"/>
      <w:r/>
      <w:bookmarkStart w:id="446" w:name="_Toc297216195"/>
      <w:r/>
      <w:bookmarkStart w:id="447" w:name="_Toc303539142"/>
      <w:r/>
      <w:bookmarkStart w:id="448" w:name="_Toc304295562"/>
      <w:r/>
      <w:bookmarkStart w:id="449" w:name="_Toc312677498"/>
      <w:r/>
      <w:bookmarkStart w:id="450" w:name="_Toc297123536"/>
      <w:r/>
      <w:bookmarkStart w:id="451" w:name="_Toc300934985"/>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 </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施工现场需要配备的试验设备：</w:t>
      </w:r>
      <w:r>
        <w:rPr>
          <w:rFonts w:hint="eastAsia" w:ascii="宋体" w:hAnsi="宋体" w:eastAsia="宋体"/>
          <w:color w:val="auto"/>
          <w:sz w:val="24"/>
          <w:szCs w:val="24"/>
          <w:highlight w:val="none"/>
          <w:u w:val="single"/>
        </w:rPr>
        <w:t xml:space="preserve"> 按有关规定执行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施工现场需要具备的其他试验条件：</w:t>
      </w:r>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outlineLvl w:val="0"/>
      </w:pPr>
      <w:r/>
      <w:bookmarkStart w:id="452" w:name="_Toc11489"/>
      <w:r>
        <w:rPr>
          <w:rFonts w:hint="eastAsia" w:ascii="宋体" w:hAnsi="宋体" w:eastAsia="宋体"/>
          <w:color w:val="auto"/>
          <w:sz w:val="24"/>
          <w:szCs w:val="24"/>
          <w:highlight w:val="none"/>
        </w:rPr>
        <w:t xml:space="preserve">9.4 现场工艺试验</w:t>
      </w:r>
      <w:bookmarkEnd w:id="452"/>
      <w:r>
        <w:rPr>
          <w:rFonts w:hint="eastAsia" w:ascii="宋体" w:hAnsi="宋体" w:eastAsia="宋体"/>
          <w:color w:val="auto"/>
          <w:sz w:val="24"/>
          <w:szCs w:val="24"/>
          <w:highlight w:val="none"/>
        </w:rPr>
        <w:t xml:space="preserve"> </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现场工艺试验的有关约定：</w:t>
      </w:r>
      <w:r>
        <w:rPr>
          <w:rFonts w:hint="eastAsia" w:ascii="宋体" w:hAnsi="宋体" w:eastAsia="宋体"/>
          <w:color w:val="auto"/>
          <w:sz w:val="24"/>
          <w:szCs w:val="24"/>
          <w:highlight w:val="none"/>
          <w:u w:val="single"/>
        </w:rPr>
        <w:t xml:space="preserve">按有关规定执行</w:t>
      </w:r>
      <w:r>
        <w:rPr>
          <w:rFonts w:hint="eastAsia" w:ascii="宋体" w:hAnsi="宋体" w:eastAsia="宋体"/>
          <w:color w:val="auto"/>
          <w:sz w:val="24"/>
          <w:szCs w:val="24"/>
          <w:highlight w:val="none"/>
        </w:rPr>
        <w:t xml:space="preserve">。</w:t>
      </w:r>
      <w:bookmarkEnd w:id="444"/>
      <w:r/>
      <w:bookmarkEnd w:id="445"/>
      <w:r/>
      <w:bookmarkEnd w:id="446"/>
      <w:r/>
      <w:bookmarkEnd w:id="447"/>
      <w:r/>
      <w:bookmarkEnd w:id="448"/>
      <w:r/>
      <w:bookmarkEnd w:id="449"/>
      <w:r/>
      <w:bookmarkEnd w:id="450"/>
      <w:r/>
      <w:bookmarkEnd w:id="451"/>
      <w:r/>
      <w:r/>
    </w:p>
    <w:p>
      <w:pPr>
        <w:pStyle w:val="754"/>
        <w:ind w:left="0"/>
        <w:pageBreakBefore w:val="0"/>
        <w:spacing w:before="0" w:after="0" w:line="360" w:lineRule="auto"/>
        <w:rPr>
          <w:rFonts w:hint="eastAsia" w:ascii="宋体" w:hAnsi="宋体"/>
          <w:color w:val="auto"/>
          <w:sz w:val="24"/>
          <w:szCs w:val="24"/>
          <w:highlight w:val="none"/>
        </w:rPr>
      </w:pPr>
      <w:r/>
      <w:bookmarkStart w:id="453" w:name="_Toc351203642"/>
      <w:r>
        <w:rPr>
          <w:rFonts w:hint="eastAsia" w:ascii="宋体" w:hAnsi="宋体"/>
          <w:color w:val="auto"/>
          <w:sz w:val="24"/>
          <w:szCs w:val="24"/>
          <w:highlight w:val="none"/>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54" w:name="_Toc297120493"/>
      <w:r/>
      <w:bookmarkStart w:id="455" w:name="_Toc292559398"/>
      <w:r/>
      <w:bookmarkStart w:id="456" w:name="_Toc296347192"/>
      <w:r/>
      <w:bookmarkStart w:id="457" w:name="_Toc296944532"/>
      <w:r/>
      <w:bookmarkStart w:id="458" w:name="_Toc297216199"/>
      <w:r/>
      <w:bookmarkStart w:id="459" w:name="_Toc312677499"/>
      <w:r/>
      <w:bookmarkStart w:id="460" w:name="_Toc297048379"/>
      <w:r/>
      <w:bookmarkStart w:id="461" w:name="_Toc297123540"/>
      <w:r/>
      <w:bookmarkStart w:id="462" w:name="_Toc300934989"/>
      <w:r/>
      <w:bookmarkStart w:id="463" w:name="_Toc304295566"/>
      <w:r/>
      <w:bookmarkStart w:id="464" w:name="_Toc312678025"/>
      <w:r/>
      <w:bookmarkStart w:id="465" w:name="_Toc296503193"/>
      <w:r/>
      <w:bookmarkStart w:id="466" w:name="_Toc296891021"/>
      <w:r/>
      <w:bookmarkStart w:id="467" w:name="_Toc296346694"/>
      <w:r/>
      <w:bookmarkStart w:id="468" w:name="_Toc292559903"/>
      <w:r/>
      <w:bookmarkStart w:id="469" w:name="_Toc296891233"/>
      <w:r/>
      <w:bookmarkStart w:id="470" w:name="_Toc303539146"/>
      <w:r/>
      <w:bookmarkStart w:id="471" w:name="_Toc267251435"/>
      <w:r/>
      <w:bookmarkStart w:id="472" w:name="_Toc267251437"/>
      <w:r/>
      <w:bookmarkStart w:id="473" w:name="_Toc267251441"/>
      <w:r/>
      <w:bookmarkStart w:id="474" w:name="_Toc267251440"/>
      <w:r/>
      <w:bookmarkStart w:id="475" w:name="_Toc267251439"/>
      <w:r/>
      <w:bookmarkStart w:id="476" w:name="_Toc267251433"/>
      <w:r>
        <w:rPr>
          <w:rFonts w:hint="eastAsia" w:ascii="宋体" w:hAnsi="宋体"/>
          <w:color w:val="auto"/>
          <w:sz w:val="24"/>
          <w:szCs w:val="24"/>
          <w:highlight w:val="none"/>
        </w:rPr>
        <w:t xml:space="preserve">0. 变更</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Start w:id="477" w:name="_Toc296503194"/>
      <w:r/>
      <w:bookmarkStart w:id="478" w:name="_Toc312677500"/>
      <w:r/>
      <w:bookmarkStart w:id="479" w:name="_Toc296891022"/>
      <w:r/>
      <w:bookmarkStart w:id="480" w:name="_Toc296347193"/>
      <w:r/>
      <w:bookmarkStart w:id="481" w:name="_Toc300934990"/>
      <w:r/>
      <w:bookmarkStart w:id="482" w:name="_Toc304295567"/>
      <w:r/>
      <w:bookmarkStart w:id="483" w:name="_Toc297048380"/>
      <w:r/>
      <w:bookmarkStart w:id="484" w:name="_Toc296891234"/>
      <w:r/>
      <w:bookmarkStart w:id="485" w:name="_Toc312678026"/>
      <w:r/>
      <w:bookmarkStart w:id="486" w:name="_Toc303539147"/>
      <w:r/>
      <w:bookmarkStart w:id="487" w:name="_Toc296346695"/>
      <w:r/>
      <w:bookmarkStart w:id="488" w:name="_Toc297120494"/>
      <w:r/>
      <w:bookmarkStart w:id="489" w:name="_Toc297123541"/>
      <w:r/>
      <w:bookmarkStart w:id="490" w:name="_Toc296944533"/>
      <w:r/>
      <w:bookmarkStart w:id="491" w:name="_Toc297216200"/>
      <w:r/>
      <w:bookmarkStart w:id="492" w:name="_Toc292559904"/>
      <w:r/>
      <w:bookmarkStart w:id="493" w:name="_Toc292559399"/>
      <w:r>
        <w:rPr>
          <w:rFonts w:hint="eastAsia" w:ascii="宋体" w:hAnsi="宋体" w:eastAsia="宋体"/>
          <w:b/>
          <w:color w:val="auto"/>
          <w:sz w:val="24"/>
          <w:szCs w:val="24"/>
          <w:highlight w:val="none"/>
        </w:rPr>
        <w:t xml:space="preserve">0.1变更的范围</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关于变更的范围的约定：</w:t>
      </w:r>
      <w:r>
        <w:rPr>
          <w:rFonts w:hint="eastAsia" w:ascii="宋体" w:hAnsi="宋体" w:eastAsia="宋体"/>
          <w:color w:val="auto"/>
          <w:sz w:val="24"/>
          <w:szCs w:val="24"/>
          <w:highlight w:val="none"/>
          <w:u w:val="single"/>
        </w:rPr>
        <w:t xml:space="preserve">（1）工程设计变更（2）不可预见性变更（3）工程量清单特征不符、清单缺项、工程量偏差（4）涉及工程造价、质量标准等政策调整的变更（5）其他实质性变更。</w:t>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494" w:name="_Toc14006"/>
      <w:r>
        <w:rPr>
          <w:rFonts w:hint="eastAsia" w:ascii="宋体" w:hAnsi="宋体" w:eastAsia="宋体"/>
          <w:b/>
          <w:color w:val="auto"/>
          <w:sz w:val="24"/>
          <w:szCs w:val="24"/>
          <w:highlight w:val="none"/>
        </w:rPr>
        <w:t xml:space="preserve">10.4 变更估价</w:t>
      </w:r>
      <w:bookmarkEnd w:id="494"/>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10.4.1 变更估价原则</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关于变更估价的约定</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工程变更引起已标价工程量清单项目或其工程数量发生变化，应按照下列规定调整：</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2.已标价工程量清单中没有适用但有类似于变更工程项目的，可在合理范围内参照类似项目的单价调整；如果参照类似项目的单价调整的，应经发（承）包方和监理工程师签认。</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w:t>
      </w:r>
      <w:r>
        <w:rPr>
          <w:rFonts w:hint="eastAsia" w:ascii="宋体" w:hAnsi="宋体" w:eastAsia="宋体"/>
          <w:color w:val="auto"/>
          <w:sz w:val="24"/>
          <w:szCs w:val="24"/>
          <w:highlight w:val="none"/>
          <w:u w:val="single"/>
          <w:lang w:val="en-US" w:eastAsia="zh-CN"/>
        </w:rPr>
        <w:t xml:space="preserve">中标</w:t>
      </w:r>
      <w:r>
        <w:rPr>
          <w:rFonts w:hint="eastAsia" w:ascii="宋体" w:hAnsi="宋体" w:eastAsia="宋体"/>
          <w:color w:val="auto"/>
          <w:sz w:val="24"/>
          <w:szCs w:val="24"/>
          <w:highlight w:val="none"/>
          <w:u w:val="single"/>
        </w:rPr>
        <w:t xml:space="preserve">价/审定标底价即未按控制价调整系数调整前的价格)*100%，下浮率的计算均需扣除采购人暂列金额、暂估价、规费、安全文明施工措施费及税金。</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（1）安全文明施工费按照实际发生变化的措施项目依据规范规定计算。</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（2）采用单价计算的措施项目费，按照实际发生变化的措施项目的规定确定单价。</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（3）按总价（或系数）计算的措施项目费，按照实际发生变化的措施项目调整，但应考虑承包人报价浮动因素，即调整金额按照实际调整金额乘以规定的承包人报价浮动率计算。</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如果承包人未事先将拟实施的方案提交给发包人确认，则视为工程变更不引起措施项目费的调整或承包人放弃调整措施项目费的权利。</w:t>
      </w:r>
      <w:r/>
    </w:p>
    <w:p>
      <w:pPr>
        <w:ind w:left="0" w:firstLine="42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5" w:name="_Toc296346698"/>
      <w:r/>
      <w:bookmarkStart w:id="496" w:name="_Toc303539150"/>
      <w:r/>
      <w:bookmarkStart w:id="497" w:name="_Toc292559907"/>
      <w:r/>
      <w:bookmarkStart w:id="498" w:name="_Toc296944536"/>
      <w:r/>
      <w:bookmarkStart w:id="499" w:name="_Toc300934993"/>
      <w:r/>
      <w:bookmarkStart w:id="500" w:name="_Toc297048383"/>
      <w:r/>
      <w:bookmarkStart w:id="501" w:name="_Toc296891237"/>
      <w:r/>
      <w:bookmarkStart w:id="502" w:name="_Toc296347196"/>
      <w:r/>
      <w:bookmarkStart w:id="503" w:name="_Toc292559402"/>
      <w:r/>
      <w:bookmarkStart w:id="504" w:name="_Toc296891025"/>
      <w:r/>
      <w:bookmarkStart w:id="505" w:name="_Toc297216203"/>
      <w:r/>
      <w:bookmarkStart w:id="506" w:name="_Toc297123544"/>
      <w:r/>
      <w:bookmarkStart w:id="507" w:name="_Toc297120497"/>
      <w:r/>
      <w:bookmarkStart w:id="508" w:name="_Toc296503197"/>
      <w:r/>
      <w:bookmarkStart w:id="509" w:name="_Toc312678029"/>
      <w:r/>
      <w:bookmarkStart w:id="510" w:name="_Toc312677503"/>
      <w:r/>
      <w:bookmarkStart w:id="511" w:name="_Toc304295570"/>
      <w:r>
        <w:rPr>
          <w:rFonts w:hint="eastAsia" w:ascii="宋体" w:hAnsi="宋体" w:eastAsia="宋体"/>
          <w:b/>
          <w:color w:val="auto"/>
          <w:sz w:val="24"/>
          <w:szCs w:val="24"/>
          <w:highlight w:val="none"/>
        </w:rPr>
        <w:t xml:space="preserve">0.5承</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Start w:id="512" w:name="_Toc303539151"/>
      <w:r/>
      <w:bookmarkStart w:id="513" w:name="_Toc296346704"/>
      <w:r/>
      <w:bookmarkStart w:id="514" w:name="_Toc296891243"/>
      <w:r/>
      <w:bookmarkStart w:id="515" w:name="_Toc296347202"/>
      <w:r/>
      <w:bookmarkStart w:id="516" w:name="_Toc292559408"/>
      <w:r/>
      <w:bookmarkStart w:id="517" w:name="_Toc297048389"/>
      <w:r/>
      <w:bookmarkStart w:id="518" w:name="_Toc292559913"/>
      <w:r/>
      <w:bookmarkStart w:id="519" w:name="_Toc297120503"/>
      <w:r/>
      <w:bookmarkStart w:id="520" w:name="_Toc296891031"/>
      <w:r/>
      <w:bookmarkStart w:id="521" w:name="_Toc296944542"/>
      <w:r/>
      <w:bookmarkStart w:id="522" w:name="_Toc296503203"/>
      <w:r/>
      <w:bookmarkStart w:id="523" w:name="_Toc300934994"/>
      <w:r/>
      <w:bookmarkStart w:id="524" w:name="_Toc297216204"/>
      <w:r/>
      <w:bookmarkStart w:id="525" w:name="_Toc297123545"/>
      <w:r>
        <w:rPr>
          <w:rFonts w:hint="eastAsia" w:ascii="宋体" w:hAnsi="宋体" w:eastAsia="宋体"/>
          <w:b/>
          <w:color w:val="auto"/>
          <w:sz w:val="24"/>
          <w:szCs w:val="24"/>
          <w:highlight w:val="none"/>
        </w:rPr>
        <w:t xml:space="preserve">包人的合理化建议</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监理人审查承包人合理化建议的期限：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w:t>
      </w:r>
      <w:bookmarkStart w:id="526" w:name="_Toc318581175"/>
      <w:r/>
      <w:bookmarkStart w:id="527" w:name="_Toc296347203"/>
      <w:r/>
      <w:bookmarkStart w:id="528" w:name="_Toc296346705"/>
      <w:r/>
      <w:bookmarkStart w:id="529" w:name="_Toc297048390"/>
      <w:r/>
      <w:bookmarkStart w:id="530" w:name="_Toc297120504"/>
      <w:r/>
      <w:bookmarkStart w:id="531" w:name="_Toc312678030"/>
      <w:r/>
      <w:bookmarkStart w:id="532" w:name="_Toc312677504"/>
      <w:r/>
      <w:bookmarkStart w:id="533" w:name="_Toc296891032"/>
      <w:r/>
      <w:bookmarkStart w:id="534" w:name="_Toc303539152"/>
      <w:r/>
      <w:bookmarkStart w:id="535" w:name="_Toc297123546"/>
      <w:r/>
      <w:bookmarkStart w:id="536" w:name="_Toc297216205"/>
      <w:r/>
      <w:bookmarkStart w:id="537" w:name="_Toc304295571"/>
      <w:r/>
      <w:bookmarkStart w:id="538" w:name="_Toc296503204"/>
      <w:r/>
      <w:bookmarkStart w:id="539" w:name="_Toc300934995"/>
      <w:r/>
      <w:bookmarkStart w:id="540" w:name="_Toc296944543"/>
      <w:r/>
      <w:bookmarkStart w:id="541" w:name="_Toc296891244"/>
      <w:r/>
      <w:bookmarkStart w:id="542" w:name="_Toc292559914"/>
      <w:r/>
      <w:bookmarkStart w:id="543" w:name="_Toc292559409"/>
      <w:r>
        <w:rPr>
          <w:rFonts w:hint="eastAsia" w:ascii="宋体" w:hAnsi="宋体" w:eastAsia="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544" w:name="_Toc28262"/>
      <w:r>
        <w:rPr>
          <w:rFonts w:hint="eastAsia" w:ascii="宋体" w:hAnsi="宋体" w:eastAsia="宋体"/>
          <w:b/>
          <w:color w:val="auto"/>
          <w:sz w:val="24"/>
          <w:szCs w:val="24"/>
          <w:highlight w:val="none"/>
        </w:rPr>
        <w:t xml:space="preserve">1</w:t>
      </w:r>
      <w:bookmarkStart w:id="545" w:name="_Toc296347198"/>
      <w:r/>
      <w:bookmarkStart w:id="546" w:name="_Toc303539154"/>
      <w:r/>
      <w:bookmarkStart w:id="547" w:name="_Toc296944538"/>
      <w:r/>
      <w:bookmarkStart w:id="548" w:name="_Toc297123548"/>
      <w:r/>
      <w:bookmarkStart w:id="549" w:name="_Toc312678033"/>
      <w:r/>
      <w:bookmarkStart w:id="550" w:name="_Toc297120499"/>
      <w:r/>
      <w:bookmarkStart w:id="551" w:name="_Toc296891239"/>
      <w:r/>
      <w:bookmarkStart w:id="552" w:name="_Toc292559909"/>
      <w:r/>
      <w:bookmarkStart w:id="553" w:name="_Toc296891027"/>
      <w:r/>
      <w:bookmarkStart w:id="554" w:name="_Toc292559404"/>
      <w:r/>
      <w:bookmarkStart w:id="555" w:name="_Toc300934997"/>
      <w:r/>
      <w:bookmarkStart w:id="556" w:name="_Toc312677507"/>
      <w:r/>
      <w:bookmarkStart w:id="557" w:name="_Toc296346700"/>
      <w:r/>
      <w:bookmarkStart w:id="558" w:name="_Toc297048385"/>
      <w:r/>
      <w:bookmarkStart w:id="559" w:name="_Toc304295574"/>
      <w:r/>
      <w:bookmarkStart w:id="560" w:name="_Toc297216207"/>
      <w:r/>
      <w:bookmarkStart w:id="561" w:name="_Toc296503199"/>
      <w:r>
        <w:rPr>
          <w:rFonts w:hint="eastAsia" w:ascii="宋体" w:hAnsi="宋体" w:eastAsia="宋体"/>
          <w:b/>
          <w:color w:val="auto"/>
          <w:sz w:val="24"/>
          <w:szCs w:val="24"/>
          <w:highlight w:val="none"/>
        </w:rPr>
        <w:t xml:space="preserve">0.7 暂估价</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暂</w:t>
      </w:r>
      <w:bookmarkStart w:id="562" w:name="_Toc312677508"/>
      <w:r/>
      <w:bookmarkStart w:id="563" w:name="_Toc318581176"/>
      <w:r/>
      <w:bookmarkStart w:id="564" w:name="_Toc312678034"/>
      <w:r>
        <w:rPr>
          <w:rFonts w:hint="eastAsia" w:ascii="宋体" w:hAnsi="宋体" w:eastAsia="宋体"/>
          <w:color w:val="auto"/>
          <w:sz w:val="24"/>
          <w:szCs w:val="24"/>
          <w:highlight w:val="none"/>
        </w:rPr>
        <w:t xml:space="preserve">估价材料和工程设备的明细详见附件11：《暂估价一览表》。</w:t>
      </w:r>
      <w:bookmarkEnd w:id="562"/>
      <w:r/>
      <w:bookmarkEnd w:id="563"/>
      <w:r/>
      <w:bookmarkEnd w:id="564"/>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bookmarkStart w:id="565" w:name="_Toc318581177"/>
      <w:r/>
      <w:bookmarkStart w:id="566" w:name="_Toc312678035"/>
      <w:r/>
      <w:bookmarkStart w:id="567" w:name="_Toc312677509"/>
      <w:r>
        <w:rPr>
          <w:rFonts w:hint="eastAsia" w:ascii="宋体" w:hAnsi="宋体" w:eastAsia="宋体"/>
          <w:color w:val="auto"/>
          <w:sz w:val="24"/>
          <w:szCs w:val="24"/>
          <w:highlight w:val="none"/>
        </w:rPr>
        <w:t xml:space="preserve">0.7.1 依法必须招标的暂估价项目</w:t>
      </w:r>
      <w:bookmarkEnd w:id="565"/>
      <w:r/>
      <w:bookmarkEnd w:id="566"/>
      <w:r/>
      <w:bookmarkEnd w:id="567"/>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10.7.2 不属于依法必须招标的暂估价项目</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对于不属于依法必须招标的暂估价项目的确认和批准采取第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第3种方式：承包人直接实施的暂估价项目</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承包人直接实施的暂估价项目的约定：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10.8 暂列金额</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合同当事人关于暂列金额使用的约定：</w:t>
      </w:r>
      <w:r>
        <w:rPr>
          <w:rFonts w:hint="eastAsia" w:ascii="宋体" w:hAnsi="宋体" w:eastAsia="宋体"/>
          <w:color w:val="auto"/>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p>
    <w:p>
      <w:pPr>
        <w:pStyle w:val="754"/>
        <w:ind w:left="0"/>
        <w:pageBreakBefore w:val="0"/>
        <w:spacing w:before="0" w:after="0" w:line="360" w:lineRule="auto"/>
        <w:rPr>
          <w:rFonts w:hint="eastAsia" w:ascii="宋体" w:hAnsi="宋体"/>
          <w:color w:val="auto"/>
          <w:sz w:val="24"/>
          <w:szCs w:val="24"/>
          <w:highlight w:val="none"/>
        </w:rPr>
      </w:pPr>
      <w:r/>
      <w:bookmarkStart w:id="568" w:name="_Toc351203643"/>
      <w:r>
        <w:rPr>
          <w:rFonts w:hint="eastAsia" w:ascii="宋体" w:hAnsi="宋体"/>
          <w:color w:val="auto"/>
          <w:sz w:val="24"/>
          <w:szCs w:val="24"/>
          <w:highlight w:val="none"/>
        </w:rPr>
        <w:t xml:space="preserve">11. 价格调整</w:t>
      </w:r>
      <w:bookmarkEnd w:id="568"/>
      <w:r/>
      <w:r/>
    </w:p>
    <w:p>
      <w:pPr>
        <w:ind w:left="0" w:firstLine="422"/>
        <w:pageBreakBefore w:val="0"/>
        <w:spacing w:line="360" w:lineRule="auto"/>
        <w:rPr>
          <w:rFonts w:hint="eastAsia" w:ascii="宋体" w:hAnsi="宋体" w:eastAsia="宋体"/>
          <w:b/>
          <w:color w:val="auto"/>
          <w:sz w:val="24"/>
          <w:szCs w:val="24"/>
          <w:highlight w:val="none"/>
        </w:rPr>
      </w:pPr>
      <w:r/>
      <w:bookmarkStart w:id="569" w:name="_Toc297048387"/>
      <w:r/>
      <w:bookmarkStart w:id="570" w:name="_Toc292559406"/>
      <w:r/>
      <w:bookmarkStart w:id="571" w:name="_Toc296891029"/>
      <w:r/>
      <w:bookmarkStart w:id="572" w:name="_Toc297123550"/>
      <w:r/>
      <w:bookmarkStart w:id="573" w:name="_Toc296346702"/>
      <w:r/>
      <w:bookmarkStart w:id="574" w:name="_Toc300935000"/>
      <w:r/>
      <w:bookmarkStart w:id="575" w:name="_Toc292559911"/>
      <w:r/>
      <w:bookmarkStart w:id="576" w:name="_Toc296503201"/>
      <w:r/>
      <w:bookmarkStart w:id="577" w:name="_Toc297216209"/>
      <w:r/>
      <w:bookmarkStart w:id="578" w:name="_Toc303539157"/>
      <w:r/>
      <w:bookmarkStart w:id="579" w:name="_Toc296891241"/>
      <w:r/>
      <w:bookmarkStart w:id="580" w:name="_Toc304295577"/>
      <w:r/>
      <w:bookmarkStart w:id="581" w:name="_Toc312678039"/>
      <w:r/>
      <w:bookmarkStart w:id="582" w:name="_Toc297120501"/>
      <w:r/>
      <w:bookmarkStart w:id="583" w:name="_Toc296347200"/>
      <w:r/>
      <w:bookmarkStart w:id="584" w:name="_Toc296944540"/>
      <w:r>
        <w:rPr>
          <w:rFonts w:hint="eastAsia" w:ascii="宋体" w:hAnsi="宋体" w:eastAsia="宋体"/>
          <w:b/>
          <w:color w:val="auto"/>
          <w:sz w:val="24"/>
          <w:szCs w:val="24"/>
          <w:highlight w:val="none"/>
        </w:rPr>
        <w:t xml:space="preserve">11.1 市场价格波动引起的调整：</w:t>
      </w:r>
      <w:r/>
    </w:p>
    <w:p>
      <w:pPr>
        <w:ind w:left="0"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市场价格波动是否调整合同价格的约定：</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人工费结算不再调整，由承包人按照江苏省人工费调整幅度预测，在投标报价时综合考虑上涨因素进行报价，风险由承包人承担。</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物价波动引起价格的调整参照执行南通市建设工程造价管理处（通建价[2016]22号）“关于建筑业实施营改增后进一步明确建设工程材料价格风险控制及价差调整计算方法的通知”。</w:t>
      </w:r>
      <w:r/>
    </w:p>
    <w:p>
      <w:pPr>
        <w:ind w:lef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因市场价格波动调整合同价格，采用以下第</w:t>
      </w:r>
      <w:r>
        <w:rPr>
          <w:rFonts w:hint="eastAsia" w:ascii="宋体" w:hAnsi="宋体" w:eastAsia="宋体" w:cs="宋体"/>
          <w:color w:val="auto"/>
          <w:sz w:val="24"/>
          <w:szCs w:val="24"/>
          <w:highlight w:val="none"/>
          <w:u w:val="single"/>
          <w:lang w:bidi="ar"/>
        </w:rPr>
        <w:t xml:space="preserve">2</w:t>
      </w:r>
      <w:r>
        <w:rPr>
          <w:rFonts w:hint="eastAsia" w:ascii="宋体" w:hAnsi="宋体" w:eastAsia="宋体" w:cs="宋体"/>
          <w:color w:val="auto"/>
          <w:sz w:val="24"/>
          <w:szCs w:val="24"/>
          <w:highlight w:val="none"/>
          <w:lang w:bidi="ar"/>
        </w:rPr>
        <w:t xml:space="preserve">种方式对合同价格进行调整：</w:t>
      </w:r>
      <w:r/>
    </w:p>
    <w:p>
      <w:pPr>
        <w:ind w:lef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第1种方式：采用价格指数进行价格调整。</w:t>
      </w:r>
      <w:r/>
    </w:p>
    <w:p>
      <w:pPr>
        <w:ind w:left="0"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 xml:space="preserve">关于各可调因子、定值和变值权重，以及基本价格指数及其来源的约定：</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  </w:t>
      </w:r>
      <w:r/>
    </w:p>
    <w:p>
      <w:pPr>
        <w:ind w:lef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第2种方式：采用造价信息进行价格调整。</w:t>
      </w:r>
      <w:r/>
    </w:p>
    <w:p>
      <w:pPr>
        <w:ind w:left="0"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（2）关于基准价格的约定：</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1)．主要建筑材料费用占单位工程费用的比值a确定方法：</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a=【单位工程某类别建筑材料工程总数量（包括变更调整数量）×中标单价／单位工程结算总造价（不含人工、材料风险价差部分）】×100%。</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当a值＞5%时，该建筑材料为主要建筑材料，当a值≤5%，该建筑材料为非主要建筑材料。</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2).承包人应承担的主要建筑材料价格涨跌风险幅度b应为5%：</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3)．主要建筑材料单价价差的取定：</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施工期间主要建筑材料加权平均指导价=Σ（每月实际使用量×当月材料指导价）／该材料总用量。</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4．主要建筑材料数量的取定：</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原则上调整主要建筑材料的数量应为已标价工程量清单及其综合单价分析表中的含量乘以实际完成的相应工程量。</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5．主要建筑材料价差调整金额的计算：</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①上涨超出b时，差价（正值）=【施工期间可调价材料加权平均指导价格-基准日档期的月份指导价格×(1+b)）】×该类主要建筑材料数量</w:t>
      </w:r>
      <w:r>
        <w:rPr>
          <w:rFonts w:hint="eastAsia" w:ascii="宋体" w:hAnsi="宋体" w:eastAsia="宋体" w:cs="宋体"/>
          <w:color w:val="auto"/>
          <w:sz w:val="24"/>
          <w:szCs w:val="24"/>
          <w:highlight w:val="none"/>
          <w:u w:val="single"/>
          <w:lang w:eastAsia="zh-CN" w:bidi="ar"/>
        </w:rPr>
        <w:t xml:space="preserve">；</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②下跌超出b时，差价（负值）=【施工期间可调价材料加权平均指导价格-基准日档期的月份指导价格×（1-b）】× 该类主要建筑材料数量。</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6．主要建筑材料差价应根据计价定额规则计取相关费用和税金，并作为追加（减）合同价款和工程进度款同期支付。</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7．因发包人原因造成工期延误的，延误期间发生的材料价格上涨差额由发包人承担；因承包人原因造成工期延误的，延误期间发生的材料价格上涨差额由承包人承担。</w:t>
      </w:r>
      <w:r/>
    </w:p>
    <w:p>
      <w:pPr>
        <w:ind w:left="0" w:firstLine="42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s="宋体"/>
          <w:color w:val="auto"/>
          <w:sz w:val="24"/>
          <w:szCs w:val="24"/>
          <w:highlight w:val="none"/>
          <w:lang w:bidi="ar"/>
        </w:rPr>
        <w:t xml:space="preserve">第3种方式：其他价格调整方式：</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w:t>
      </w:r>
      <w:bookmarkEnd w:id="471"/>
      <w:r/>
      <w:bookmarkEnd w:id="472"/>
      <w:r/>
      <w:bookmarkEnd w:id="473"/>
      <w:r/>
      <w:bookmarkEnd w:id="474"/>
      <w:r/>
      <w:bookmarkEnd w:id="475"/>
      <w:r/>
      <w:bookmarkEnd w:id="476"/>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
    </w:p>
    <w:p>
      <w:pPr>
        <w:pStyle w:val="754"/>
        <w:ind w:left="0"/>
        <w:pageBreakBefore w:val="0"/>
        <w:spacing w:before="0" w:after="0" w:line="360" w:lineRule="auto"/>
        <w:rPr>
          <w:rFonts w:hint="eastAsia" w:ascii="宋体" w:hAnsi="宋体"/>
          <w:color w:val="auto"/>
          <w:sz w:val="24"/>
          <w:szCs w:val="24"/>
          <w:highlight w:val="none"/>
        </w:rPr>
      </w:pPr>
      <w:r/>
      <w:bookmarkStart w:id="585" w:name="_Toc296347204"/>
      <w:r/>
      <w:bookmarkStart w:id="586" w:name="_Toc296346706"/>
      <w:r/>
      <w:bookmarkStart w:id="587" w:name="_Toc297048391"/>
      <w:r/>
      <w:bookmarkStart w:id="588" w:name="_Toc297120505"/>
      <w:r/>
      <w:bookmarkStart w:id="589" w:name="_Toc296891033"/>
      <w:r/>
      <w:bookmarkStart w:id="590" w:name="_Toc296891245"/>
      <w:r/>
      <w:bookmarkStart w:id="591" w:name="_Toc296503205"/>
      <w:r/>
      <w:bookmarkStart w:id="592" w:name="_Toc292559915"/>
      <w:r/>
      <w:bookmarkStart w:id="593" w:name="_Toc292559410"/>
      <w:r/>
      <w:bookmarkStart w:id="594" w:name="_Toc296944544"/>
      <w:r/>
      <w:bookmarkStart w:id="595" w:name="_Toc297123552"/>
      <w:r/>
      <w:bookmarkStart w:id="596" w:name="_Toc297216211"/>
      <w:r/>
      <w:bookmarkStart w:id="597" w:name="_Toc303539159"/>
      <w:r/>
      <w:bookmarkStart w:id="598" w:name="_Toc312678040"/>
      <w:r/>
      <w:bookmarkStart w:id="599" w:name="_Toc304295579"/>
      <w:r/>
      <w:bookmarkStart w:id="600" w:name="_Toc300935002"/>
      <w:r/>
      <w:bookmarkStart w:id="601" w:name="_Toc351203644"/>
      <w:r>
        <w:rPr>
          <w:rFonts w:hint="eastAsia" w:ascii="宋体" w:hAnsi="宋体"/>
          <w:color w:val="auto"/>
          <w:sz w:val="24"/>
          <w:szCs w:val="24"/>
          <w:highlight w:val="none"/>
        </w:rPr>
        <w:t xml:space="preserve">12. </w:t>
      </w:r>
      <w:bookmarkEnd w:id="585"/>
      <w:r/>
      <w:bookmarkEnd w:id="586"/>
      <w:r/>
      <w:bookmarkEnd w:id="587"/>
      <w:r/>
      <w:bookmarkEnd w:id="588"/>
      <w:r/>
      <w:bookmarkEnd w:id="589"/>
      <w:r/>
      <w:bookmarkEnd w:id="590"/>
      <w:r/>
      <w:bookmarkEnd w:id="591"/>
      <w:r/>
      <w:bookmarkEnd w:id="592"/>
      <w:r/>
      <w:bookmarkEnd w:id="593"/>
      <w:r/>
      <w:bookmarkEnd w:id="594"/>
      <w:r>
        <w:rPr>
          <w:rFonts w:hint="eastAsia" w:ascii="宋体" w:hAnsi="宋体"/>
          <w:color w:val="auto"/>
          <w:sz w:val="24"/>
          <w:szCs w:val="24"/>
          <w:highlight w:val="none"/>
        </w:rPr>
        <w:t xml:space="preserve">合同价格、计量与支付</w:t>
      </w:r>
      <w:bookmarkEnd w:id="595"/>
      <w:r/>
      <w:bookmarkEnd w:id="596"/>
      <w:r/>
      <w:bookmarkEnd w:id="597"/>
      <w:r/>
      <w:bookmarkEnd w:id="598"/>
      <w:r/>
      <w:bookmarkEnd w:id="599"/>
      <w:r/>
      <w:bookmarkEnd w:id="600"/>
      <w:r/>
      <w:bookmarkEnd w:id="601"/>
      <w:r/>
      <w:r/>
    </w:p>
    <w:p>
      <w:pPr>
        <w:ind w:left="0" w:firstLine="422"/>
        <w:pageBreakBefore w:val="0"/>
        <w:spacing w:line="360" w:lineRule="auto"/>
        <w:rPr>
          <w:rFonts w:hint="eastAsia" w:ascii="宋体" w:hAnsi="宋体" w:eastAsia="宋体"/>
          <w:b/>
          <w:color w:val="auto"/>
          <w:sz w:val="24"/>
          <w:szCs w:val="24"/>
          <w:highlight w:val="none"/>
        </w:rPr>
      </w:pPr>
      <w:r/>
      <w:bookmarkStart w:id="602" w:name="_Toc292559916"/>
      <w:r/>
      <w:bookmarkStart w:id="603" w:name="_Toc267251461"/>
      <w:r/>
      <w:bookmarkStart w:id="604" w:name="_Toc292559411"/>
      <w:r/>
      <w:bookmarkStart w:id="605" w:name="_Toc296891034"/>
      <w:r/>
      <w:bookmarkStart w:id="606" w:name="_Toc296346707"/>
      <w:r/>
      <w:bookmarkStart w:id="607" w:name="_Toc297120506"/>
      <w:r/>
      <w:bookmarkStart w:id="608" w:name="_Toc296891246"/>
      <w:r/>
      <w:bookmarkStart w:id="609" w:name="_Toc297048392"/>
      <w:r/>
      <w:bookmarkStart w:id="610" w:name="_Toc296347205"/>
      <w:r/>
      <w:bookmarkStart w:id="611" w:name="_Toc296944545"/>
      <w:r/>
      <w:bookmarkStart w:id="612" w:name="_Toc296503206"/>
      <w:r/>
      <w:bookmarkStart w:id="613" w:name="_Toc312678041"/>
      <w:r/>
      <w:bookmarkStart w:id="614" w:name="_Toc304295580"/>
      <w:r/>
      <w:bookmarkStart w:id="615" w:name="_Toc297123553"/>
      <w:r/>
      <w:bookmarkStart w:id="616" w:name="_Toc303539160"/>
      <w:r/>
      <w:bookmarkStart w:id="617" w:name="_Toc300935003"/>
      <w:r/>
      <w:bookmarkStart w:id="618" w:name="_Toc297216212"/>
      <w:r>
        <w:rPr>
          <w:rFonts w:hint="eastAsia" w:ascii="宋体" w:hAnsi="宋体" w:eastAsia="宋体"/>
          <w:b/>
          <w:color w:val="auto"/>
          <w:sz w:val="24"/>
          <w:szCs w:val="24"/>
          <w:highlight w:val="none"/>
        </w:rPr>
        <w:t xml:space="preserve">12.1 合</w:t>
      </w:r>
      <w:bookmarkEnd w:id="602"/>
      <w:r/>
      <w:bookmarkEnd w:id="603"/>
      <w:r/>
      <w:bookmarkEnd w:id="604"/>
      <w:r>
        <w:rPr>
          <w:rFonts w:hint="eastAsia" w:ascii="宋体" w:hAnsi="宋体" w:eastAsia="宋体"/>
          <w:b/>
          <w:color w:val="auto"/>
          <w:sz w:val="24"/>
          <w:szCs w:val="24"/>
          <w:highlight w:val="none"/>
        </w:rPr>
        <w:t xml:space="preserve">同价</w:t>
      </w:r>
      <w:bookmarkEnd w:id="605"/>
      <w:r/>
      <w:bookmarkEnd w:id="606"/>
      <w:r/>
      <w:bookmarkEnd w:id="607"/>
      <w:r/>
      <w:bookmarkEnd w:id="608"/>
      <w:r/>
      <w:bookmarkEnd w:id="609"/>
      <w:r/>
      <w:bookmarkEnd w:id="610"/>
      <w:r/>
      <w:bookmarkEnd w:id="611"/>
      <w:r/>
      <w:bookmarkEnd w:id="612"/>
      <w:r>
        <w:rPr>
          <w:rFonts w:hint="eastAsia" w:ascii="宋体" w:hAnsi="宋体" w:eastAsia="宋体"/>
          <w:b/>
          <w:color w:val="auto"/>
          <w:sz w:val="24"/>
          <w:szCs w:val="24"/>
          <w:highlight w:val="none"/>
        </w:rPr>
        <w:t xml:space="preserve">格形式</w:t>
      </w:r>
      <w:bookmarkEnd w:id="613"/>
      <w:r/>
      <w:bookmarkEnd w:id="614"/>
      <w:r/>
      <w:bookmarkEnd w:id="615"/>
      <w:r/>
      <w:bookmarkEnd w:id="616"/>
      <w:r/>
      <w:bookmarkEnd w:id="617"/>
      <w:r/>
      <w:bookmarkEnd w:id="618"/>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综合单价包含的风险范围：</w:t>
      </w:r>
      <w:r>
        <w:rPr>
          <w:rFonts w:hint="eastAsia" w:ascii="宋体" w:hAnsi="宋体" w:eastAsia="宋体"/>
          <w:color w:val="auto"/>
          <w:sz w:val="24"/>
          <w:szCs w:val="24"/>
          <w:highlight w:val="none"/>
          <w:u w:val="single"/>
        </w:rPr>
        <w:t xml:space="preserve">各种因素引起的人工工资、施工机械使用费、管理费、利润等变化及风险因素均不作调整。</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均不作调整</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总价包含的风险范围：</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bookmarkStart w:id="619" w:name="_Toc297216213"/>
      <w:r/>
      <w:bookmarkStart w:id="620" w:name="_Toc312678042"/>
      <w:r/>
      <w:bookmarkStart w:id="621" w:name="_Toc297123554"/>
      <w:r/>
      <w:bookmarkStart w:id="622" w:name="_Toc300935004"/>
      <w:r/>
      <w:bookmarkStart w:id="623" w:name="_Toc303539161"/>
      <w:r/>
      <w:bookmarkStart w:id="624" w:name="_Toc304295581"/>
      <w:r/>
      <w:bookmarkStart w:id="625" w:name="_Toc292559917"/>
      <w:r/>
      <w:bookmarkStart w:id="626" w:name="_Toc297048393"/>
      <w:r/>
      <w:bookmarkStart w:id="627" w:name="_Toc296503207"/>
      <w:r/>
      <w:bookmarkStart w:id="628" w:name="_Toc296346708"/>
      <w:r/>
      <w:bookmarkStart w:id="629" w:name="_Toc297120507"/>
      <w:r/>
      <w:bookmarkStart w:id="630" w:name="_Toc296347206"/>
      <w:r/>
      <w:bookmarkStart w:id="631" w:name="_Toc296891035"/>
      <w:r/>
      <w:bookmarkStart w:id="632" w:name="_Toc296944546"/>
      <w:r/>
      <w:bookmarkStart w:id="633" w:name="_Toc292559412"/>
      <w:r/>
      <w:bookmarkStart w:id="634" w:name="_Toc296891247"/>
      <w:r>
        <w:rPr>
          <w:rFonts w:hint="eastAsia" w:ascii="宋体" w:hAnsi="宋体" w:eastAsia="宋体"/>
          <w:color w:val="auto"/>
          <w:sz w:val="24"/>
          <w:szCs w:val="24"/>
          <w:highlight w:val="none"/>
        </w:rPr>
        <w:t xml:space="preserve">12.2 预付款</w:t>
      </w:r>
      <w:bookmarkEnd w:id="619"/>
      <w:r/>
      <w:bookmarkEnd w:id="620"/>
      <w:r/>
      <w:bookmarkEnd w:id="621"/>
      <w:r/>
      <w:bookmarkEnd w:id="622"/>
      <w:r/>
      <w:bookmarkEnd w:id="623"/>
      <w:r/>
      <w:bookmarkEnd w:id="624"/>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12.2.1 预付款的支付</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预付款支付比例或金额：</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预付款扣回的方式：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12.2.2 预付款担保</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承包人提交预付款担保的期限：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预付款担保的形式为：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25"/>
      <w:r/>
      <w:bookmarkEnd w:id="626"/>
      <w:r/>
      <w:bookmarkEnd w:id="627"/>
      <w:r/>
      <w:bookmarkEnd w:id="628"/>
      <w:r/>
      <w:bookmarkEnd w:id="629"/>
      <w:r/>
      <w:bookmarkEnd w:id="630"/>
      <w:r/>
      <w:bookmarkEnd w:id="631"/>
      <w:r/>
      <w:bookmarkEnd w:id="632"/>
      <w:r/>
      <w:bookmarkEnd w:id="633"/>
      <w:r/>
      <w:bookmarkEnd w:id="634"/>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 计量</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12.3.1 计量原则</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工程量计算规则：</w:t>
      </w:r>
      <w:r>
        <w:rPr>
          <w:rFonts w:hint="eastAsia" w:ascii="宋体" w:hAnsi="宋体" w:eastAsia="宋体"/>
          <w:color w:val="auto"/>
          <w:sz w:val="24"/>
          <w:szCs w:val="24"/>
          <w:highlight w:val="none"/>
          <w:u w:val="single"/>
        </w:rPr>
        <w:t xml:space="preserve">《建设工程工程量清单计价规范》（2013）、《江苏省建筑与装饰工程计价表》（2014年）、《江苏省土建工程计价定额》（2014）、《江苏省建设工程费用定额》（2014）、《关于发布省住房城乡建设厅关于发布建设工程人工工资指导价的通知》。</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12.3.2 计量周期</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关于计量周期的约定：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12.3.3 单价合同的计量</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关于单价合同计量的约定：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12.3.4 总价合同的计量</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关于总价合同计量的约定：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12.3.6 其他价格形式合同的计量</w:t>
      </w:r>
      <w:r/>
    </w:p>
    <w:p>
      <w:pPr>
        <w:ind w:left="0" w:firstLine="420"/>
        <w:jc w:val="left"/>
        <w:pageBreakBefore w:val="0"/>
        <w:spacing w:line="360" w:lineRule="auto"/>
        <w:rPr>
          <w:rFonts w:hint="default"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其他价格形式的计量方式和程序：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 工程进度款支付</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12.4.1 付款周期</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关于付款周期的约定：</w:t>
      </w:r>
      <w:r/>
    </w:p>
    <w:p>
      <w:pPr>
        <w:ind w:left="0" w:firstLine="422"/>
        <w:jc w:val="left"/>
        <w:pageBreakBefore w:val="0"/>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工程竣工验收合格后于2028年春节前付至合同价的40%，</w:t>
      </w:r>
      <w:r>
        <w:rPr>
          <w:rFonts w:hint="eastAsia" w:ascii="宋体" w:hAnsi="宋体" w:eastAsia="宋体" w:cs="宋体"/>
          <w:b/>
          <w:color w:val="auto"/>
          <w:sz w:val="24"/>
          <w:szCs w:val="24"/>
          <w:highlight w:val="none"/>
        </w:rPr>
        <w:t xml:space="preserve">审计结束后于2029年春节前付至工程审计价的70%，余款2030年春节前付清</w:t>
      </w:r>
      <w:r>
        <w:rPr>
          <w:rFonts w:hint="eastAsia" w:ascii="宋体" w:hAnsi="宋体" w:cs="宋体"/>
          <w:b/>
          <w:color w:val="auto"/>
          <w:sz w:val="24"/>
          <w:szCs w:val="24"/>
          <w:highlight w:val="none"/>
          <w:lang w:val="en-US" w:eastAsia="zh-CN"/>
        </w:rPr>
        <w:t xml:space="preserve">。</w:t>
      </w:r>
      <w:r/>
    </w:p>
    <w:p>
      <w:pPr>
        <w:ind w:left="0" w:firstLine="422"/>
        <w:jc w:val="left"/>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cs="宋体"/>
          <w:b/>
          <w:color w:val="auto"/>
          <w:sz w:val="24"/>
          <w:szCs w:val="24"/>
          <w:highlight w:val="none"/>
        </w:rPr>
        <w:t xml:space="preserve">每次支付前，承包人均应出具税务部门开具的相应金额的税务发票。否则发包人有权拒付工程款，且不承担延期支付款项的违约责任。</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12.4.2 进度付款申请单的编制</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关于进度付款申请单编制的约定：</w:t>
      </w:r>
      <w:r>
        <w:rPr>
          <w:rFonts w:hint="eastAsia" w:ascii="宋体" w:hAnsi="宋体" w:eastAsia="宋体"/>
          <w:color w:val="auto"/>
          <w:sz w:val="24"/>
          <w:szCs w:val="24"/>
          <w:highlight w:val="none"/>
          <w:u w:val="single"/>
        </w:rPr>
        <w:t xml:space="preserve">已完成约定进度的证明，相应金额的税务发票</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12.4.3 进度付款申请单的提交</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（1）单价合同进度付款申请单提交的约定：</w:t>
      </w:r>
      <w:r>
        <w:rPr>
          <w:rFonts w:hint="eastAsia" w:ascii="宋体" w:hAnsi="宋体" w:eastAsia="宋体"/>
          <w:color w:val="auto"/>
          <w:sz w:val="24"/>
          <w:szCs w:val="24"/>
          <w:highlight w:val="none"/>
          <w:u w:val="single"/>
        </w:rPr>
        <w:t xml:space="preserve">按节点提交</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（3）其他价格形式合同进度付款申请单提交的约定：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12.4.4 进度款审核和支付</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（1）监理人审查并报送发包人的期限：</w:t>
      </w:r>
      <w:r>
        <w:rPr>
          <w:rFonts w:hint="eastAsia" w:ascii="宋体" w:hAnsi="宋体" w:eastAsia="宋体"/>
          <w:color w:val="auto"/>
          <w:sz w:val="24"/>
          <w:szCs w:val="24"/>
          <w:highlight w:val="none"/>
          <w:u w:val="single"/>
        </w:rPr>
        <w:t xml:space="preserve">  收到申请7天内   </w:t>
      </w:r>
      <w:r>
        <w:rPr>
          <w:rFonts w:hint="eastAsia" w:ascii="宋体" w:hAnsi="宋体" w:eastAsia="宋体"/>
          <w:color w:val="auto"/>
          <w:sz w:val="24"/>
          <w:szCs w:val="24"/>
          <w:highlight w:val="none"/>
        </w:rPr>
        <w:t xml:space="preserve">。</w:t>
      </w:r>
      <w:r/>
    </w:p>
    <w:p>
      <w:pPr>
        <w:ind w:left="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发包人完成审批并签发进度款支付证书的期限：</w:t>
      </w:r>
      <w:r>
        <w:rPr>
          <w:rFonts w:hint="eastAsia" w:ascii="宋体" w:hAnsi="宋体" w:eastAsia="宋体"/>
          <w:color w:val="auto"/>
          <w:sz w:val="24"/>
          <w:szCs w:val="24"/>
          <w:highlight w:val="none"/>
          <w:u w:val="single"/>
        </w:rPr>
        <w:t xml:space="preserve">收到通过监理审查的审核表后10天内。</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（2）发包人支付进度款的期限：</w:t>
      </w:r>
      <w:r>
        <w:rPr>
          <w:rFonts w:hint="eastAsia" w:ascii="宋体" w:hAnsi="宋体" w:eastAsia="宋体"/>
          <w:color w:val="auto"/>
          <w:sz w:val="24"/>
          <w:szCs w:val="24"/>
          <w:highlight w:val="none"/>
          <w:u w:val="single"/>
        </w:rPr>
        <w:t xml:space="preserve">按合同要求执行</w:t>
      </w:r>
      <w:r>
        <w:rPr>
          <w:rFonts w:hint="eastAsia" w:ascii="宋体" w:hAnsi="宋体" w:eastAsia="宋体"/>
          <w:color w:val="auto"/>
          <w:sz w:val="24"/>
          <w:szCs w:val="24"/>
          <w:highlight w:val="none"/>
        </w:rPr>
        <w:t xml:space="preserve">。</w:t>
      </w:r>
      <w:r/>
    </w:p>
    <w:p>
      <w:pPr>
        <w:ind w:left="0" w:firstLine="525"/>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发包人逾期支付进度款的违约金的计算方式：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525"/>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12.4.6 支付分解表的编制</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、总价合同支付分解表的编制与审批：</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、单价合同的总价项目支付分解表的编制与审批：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754"/>
        <w:ind w:left="0"/>
        <w:pageBreakBefore w:val="0"/>
        <w:spacing w:before="0" w:after="0" w:line="360" w:lineRule="auto"/>
        <w:rPr>
          <w:rFonts w:hint="eastAsia" w:ascii="宋体" w:hAnsi="宋体"/>
          <w:b w:val="0"/>
          <w:color w:val="auto"/>
          <w:sz w:val="24"/>
          <w:szCs w:val="24"/>
          <w:highlight w:val="none"/>
        </w:rPr>
      </w:pPr>
      <w:r/>
      <w:bookmarkStart w:id="635" w:name="_Toc296346720"/>
      <w:r/>
      <w:bookmarkStart w:id="636" w:name="_Toc297048405"/>
      <w:r/>
      <w:bookmarkStart w:id="637" w:name="_Toc296347218"/>
      <w:r/>
      <w:bookmarkStart w:id="638" w:name="_Toc296891047"/>
      <w:r/>
      <w:bookmarkStart w:id="639" w:name="_Toc304295593"/>
      <w:r/>
      <w:bookmarkStart w:id="640" w:name="_Toc351203645"/>
      <w:r/>
      <w:bookmarkStart w:id="641" w:name="_Toc292559929"/>
      <w:r/>
      <w:bookmarkStart w:id="642" w:name="_Toc300935015"/>
      <w:r/>
      <w:bookmarkStart w:id="643" w:name="_Toc297120519"/>
      <w:r/>
      <w:bookmarkStart w:id="644" w:name="_Toc312678053"/>
      <w:r/>
      <w:bookmarkStart w:id="645" w:name="_Toc296503219"/>
      <w:r/>
      <w:bookmarkStart w:id="646" w:name="_Toc303539172"/>
      <w:r/>
      <w:bookmarkStart w:id="647" w:name="_Toc296891259"/>
      <w:r/>
      <w:bookmarkStart w:id="648" w:name="_Toc297123564"/>
      <w:r/>
      <w:bookmarkStart w:id="649" w:name="_Toc292559424"/>
      <w:r/>
      <w:bookmarkStart w:id="650" w:name="_Toc297216223"/>
      <w:r/>
      <w:bookmarkStart w:id="651" w:name="_Toc296944558"/>
      <w:r>
        <w:rPr>
          <w:rFonts w:hint="eastAsia" w:ascii="宋体" w:hAnsi="宋体"/>
          <w:b w:val="0"/>
          <w:color w:val="auto"/>
          <w:sz w:val="24"/>
          <w:szCs w:val="24"/>
          <w:highlight w:val="none"/>
        </w:rPr>
        <w:t xml:space="preserve">13. 验收和工程试车</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 分部分项工程验收</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13.1.2监理人不能按时进行验收时，应提前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left="0" w:firstLine="42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ind w:left="0" w:firstLine="420"/>
        <w:pageBreakBefore w:val="0"/>
        <w:spacing w:line="360" w:lineRule="auto"/>
        <w:rPr>
          <w:rFonts w:hint="eastAsia" w:ascii="宋体" w:hAnsi="宋体" w:eastAsia="宋体"/>
          <w:color w:val="auto"/>
          <w:sz w:val="24"/>
          <w:szCs w:val="24"/>
          <w:highlight w:val="none"/>
        </w:rPr>
      </w:pPr>
      <w:r/>
      <w:bookmarkStart w:id="652" w:name="_Toc296503223"/>
      <w:r/>
      <w:bookmarkStart w:id="653" w:name="_Toc292559933"/>
      <w:r/>
      <w:bookmarkStart w:id="654" w:name="_Toc297123565"/>
      <w:r/>
      <w:bookmarkStart w:id="655" w:name="_Toc303539173"/>
      <w:r/>
      <w:bookmarkStart w:id="656" w:name="_Toc296944562"/>
      <w:r/>
      <w:bookmarkStart w:id="657" w:name="_Toc297120523"/>
      <w:r/>
      <w:bookmarkStart w:id="658" w:name="_Toc300935016"/>
      <w:r/>
      <w:bookmarkStart w:id="659" w:name="_Toc296346724"/>
      <w:r/>
      <w:bookmarkStart w:id="660" w:name="_Toc304295596"/>
      <w:r/>
      <w:bookmarkStart w:id="661" w:name="_Toc297216224"/>
      <w:r/>
      <w:bookmarkStart w:id="662" w:name="_Toc296347222"/>
      <w:r/>
      <w:bookmarkStart w:id="663" w:name="_Toc296891051"/>
      <w:r/>
      <w:bookmarkStart w:id="664" w:name="_Toc296891263"/>
      <w:r/>
      <w:bookmarkStart w:id="665" w:name="_Toc312678056"/>
      <w:r/>
      <w:bookmarkStart w:id="666" w:name="_Toc297048409"/>
      <w:r/>
      <w:bookmarkStart w:id="667" w:name="_Toc292559428"/>
      <w:r/>
      <w:bookmarkStart w:id="668" w:name="_Toc267251476"/>
      <w:r/>
      <w:bookmarkStart w:id="669" w:name="_Toc267251470"/>
      <w:r/>
      <w:bookmarkStart w:id="670" w:name="_Toc267251472"/>
      <w:r/>
      <w:bookmarkStart w:id="671" w:name="_Toc267251475"/>
      <w:r/>
      <w:bookmarkStart w:id="672" w:name="_Toc267251474"/>
      <w:r/>
      <w:bookmarkStart w:id="673" w:name="_Toc267251473"/>
      <w:r/>
      <w:bookmarkStart w:id="674" w:name="_Toc267251471"/>
      <w:r>
        <w:rPr>
          <w:rFonts w:hint="eastAsia" w:ascii="宋体" w:hAnsi="宋体" w:eastAsia="宋体"/>
          <w:color w:val="auto"/>
          <w:sz w:val="24"/>
          <w:szCs w:val="24"/>
          <w:highlight w:val="none"/>
        </w:rPr>
        <w:t xml:space="preserve">13.2 竣工验收</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
    </w:p>
    <w:p>
      <w:pPr>
        <w:ind w:left="0" w:firstLine="420"/>
        <w:jc w:val="left"/>
        <w:pageBreakBefore w:val="0"/>
        <w:spacing w:line="360" w:lineRule="auto"/>
        <w:rPr>
          <w:rFonts w:hint="eastAsia" w:ascii="宋体" w:hAnsi="宋体" w:eastAsia="宋体"/>
          <w:color w:val="auto"/>
          <w:sz w:val="24"/>
          <w:szCs w:val="24"/>
          <w:highlight w:val="none"/>
        </w:rPr>
      </w:pPr>
      <w:r/>
      <w:bookmarkStart w:id="675" w:name="_Toc280868704"/>
      <w:r/>
      <w:bookmarkStart w:id="676" w:name="_Toc280868705"/>
      <w:r/>
      <w:bookmarkStart w:id="677" w:name="_Toc280868706"/>
      <w:r/>
      <w:bookmarkStart w:id="678" w:name="_Toc280868707"/>
      <w:r/>
      <w:bookmarkStart w:id="679" w:name="_Toc280868708"/>
      <w:r/>
      <w:bookmarkStart w:id="680" w:name="_Toc280868709"/>
      <w:r>
        <w:rPr>
          <w:rFonts w:hint="eastAsia" w:ascii="宋体" w:hAnsi="宋体" w:eastAsia="宋体"/>
          <w:color w:val="auto"/>
          <w:sz w:val="24"/>
          <w:szCs w:val="24"/>
          <w:highlight w:val="none"/>
        </w:rPr>
        <w:t xml:space="preserve">13.2.2竣工验收程序</w:t>
      </w:r>
      <w:bookmarkEnd w:id="675"/>
      <w:r/>
      <w:r/>
    </w:p>
    <w:p>
      <w:pPr>
        <w:ind w:left="0" w:firstLine="396"/>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关于竣工验收程序的约定：</w:t>
      </w:r>
      <w:r>
        <w:rPr>
          <w:rFonts w:hint="eastAsia" w:ascii="宋体" w:hAnsi="宋体" w:eastAsia="宋体"/>
          <w:color w:val="auto"/>
          <w:sz w:val="24"/>
          <w:szCs w:val="24"/>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left="0" w:firstLine="41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left="0" w:firstLine="41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（3）承包人竣工验收通过后30天内向发包人移交完整的竣工资料及竣工图纸三套及相应的电子文档资料（竣工资料及竣工图纸必须准确真实的反映实际施工情况）。另外，</w:t>
      </w:r>
      <w:r>
        <w:rPr>
          <w:rFonts w:hint="eastAsia" w:ascii="宋体" w:hAnsi="宋体"/>
          <w:color w:val="auto"/>
          <w:sz w:val="24"/>
          <w:szCs w:val="24"/>
          <w:highlight w:val="none"/>
          <w:u w:val="single"/>
          <w:lang w:val="en-US" w:eastAsia="zh-CN"/>
        </w:rPr>
        <w:t xml:space="preserve">如有需要的，</w:t>
      </w:r>
      <w:r>
        <w:rPr>
          <w:rFonts w:hint="eastAsia" w:ascii="宋体" w:hAnsi="宋体" w:eastAsia="宋体"/>
          <w:color w:val="auto"/>
          <w:sz w:val="24"/>
          <w:szCs w:val="24"/>
          <w:highlight w:val="none"/>
          <w:u w:val="single"/>
        </w:rPr>
        <w:t xml:space="preserve">承包人应大力配合发包人办理工程资料验收和移交。属于发包人应提供的资料，由发包人负责及时提供给承包人，由承包人汇总整理后，交由发包人移交档案馆。承包人未按规定向发包人移交资料造成的损失，由承包人承担。</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w:t>
      </w:r>
      <w:r>
        <w:rPr>
          <w:rFonts w:hint="eastAsia" w:ascii="宋体" w:hAnsi="宋体" w:eastAsia="宋体"/>
          <w:color w:val="auto"/>
          <w:sz w:val="24"/>
          <w:szCs w:val="24"/>
          <w:highlight w:val="none"/>
          <w:u w:val="single"/>
        </w:rPr>
        <w:t xml:space="preserve">竣工资料履约保证金不予退还，并额外承担违约金，违约金的计算方法：按通用条款执行</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发包人不按照本项约定组织竣工验收、颁发工程接收证书的违约金的计算方法：</w:t>
      </w:r>
      <w:bookmarkEnd w:id="676"/>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13.2.5移交、接收全部与部分工程</w:t>
      </w:r>
      <w:bookmarkEnd w:id="677"/>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承包人向发包人移交工程的期限：</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发包人未按本合同约定接收全部或部分工程的，违约金的计算方法为：</w:t>
      </w:r>
      <w:r>
        <w:rPr>
          <w:rFonts w:hint="eastAsia" w:ascii="宋体" w:hAnsi="宋体" w:eastAsia="宋体"/>
          <w:color w:val="auto"/>
          <w:sz w:val="24"/>
          <w:szCs w:val="24"/>
          <w:highlight w:val="none"/>
          <w:u w:val="single"/>
        </w:rPr>
        <w:t xml:space="preserve">                               </w:t>
      </w:r>
      <w:bookmarkEnd w:id="678"/>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承包人未按时移交工程的，违约金的计算方法为：</w:t>
      </w:r>
      <w:r>
        <w:rPr>
          <w:rFonts w:hint="eastAsia" w:ascii="宋体" w:hAnsi="宋体" w:eastAsia="宋体"/>
          <w:color w:val="auto"/>
          <w:sz w:val="24"/>
          <w:szCs w:val="24"/>
          <w:highlight w:val="none"/>
          <w:u w:val="single"/>
        </w:rPr>
        <w:t xml:space="preserve">承包人每日需向发包人按照工程合同暂定造价0.5‰承担违约责任，赔偿未按时移交工程给发包人产生的其他直接和间接损失。</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 工程试车</w:t>
      </w:r>
      <w:bookmarkEnd w:id="679"/>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13.3.1 试车程序</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工程试车内容：</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（1）单机无负荷试车费用由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（2）无负荷联动试车费用由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13.3.3 投料试车</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关于投料试车相关事项的约定：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outlineLvl w:val="0"/>
      </w:pPr>
      <w:r/>
      <w:bookmarkStart w:id="681" w:name="_Toc17339"/>
      <w:r>
        <w:rPr>
          <w:rFonts w:hint="eastAsia" w:ascii="宋体" w:hAnsi="宋体" w:eastAsia="宋体"/>
          <w:color w:val="auto"/>
          <w:sz w:val="24"/>
          <w:szCs w:val="24"/>
          <w:highlight w:val="none"/>
        </w:rPr>
        <w:t xml:space="preserve">13.6 竣工退场</w:t>
      </w:r>
      <w:bookmarkEnd w:id="681"/>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13.6.1 竣工退场</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承包人完成竣工退场的期限：</w:t>
      </w:r>
      <w:r>
        <w:rPr>
          <w:rFonts w:hint="eastAsia" w:ascii="宋体" w:hAnsi="宋体" w:eastAsia="宋体"/>
          <w:color w:val="auto"/>
          <w:sz w:val="24"/>
          <w:szCs w:val="24"/>
          <w:highlight w:val="none"/>
          <w:u w:val="single"/>
        </w:rPr>
        <w:t xml:space="preserve">工程竣工验收后15天内</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pStyle w:val="754"/>
        <w:ind w:left="0"/>
        <w:pageBreakBefore w:val="0"/>
        <w:spacing w:before="0" w:after="0" w:line="360" w:lineRule="auto"/>
        <w:rPr>
          <w:rFonts w:hint="eastAsia" w:ascii="宋体" w:hAnsi="宋体"/>
          <w:b w:val="0"/>
          <w:color w:val="auto"/>
          <w:sz w:val="24"/>
          <w:szCs w:val="24"/>
          <w:highlight w:val="none"/>
        </w:rPr>
      </w:pPr>
      <w:r/>
      <w:bookmarkStart w:id="682" w:name="_Toc351203646"/>
      <w:r>
        <w:rPr>
          <w:rFonts w:hint="eastAsia" w:ascii="宋体" w:hAnsi="宋体"/>
          <w:b w:val="0"/>
          <w:color w:val="auto"/>
          <w:sz w:val="24"/>
          <w:szCs w:val="24"/>
          <w:highlight w:val="none"/>
        </w:rPr>
        <w:t xml:space="preserve">14. 竣工结算</w:t>
      </w:r>
      <w:bookmarkEnd w:id="682"/>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14.1 竣工结算申请</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承包人提交竣工结算申请单的期限：</w:t>
      </w:r>
      <w:r>
        <w:rPr>
          <w:rFonts w:hint="eastAsia" w:ascii="宋体" w:hAnsi="宋体" w:eastAsia="宋体"/>
          <w:color w:val="auto"/>
          <w:sz w:val="24"/>
          <w:szCs w:val="24"/>
          <w:highlight w:val="none"/>
          <w:u w:val="single"/>
        </w:rPr>
        <w:t xml:space="preserve">工程竣工验收合格，经验收且工程竣工验收备案通过后30天内向发包人和监理人提交竣工结算申请单，并提交完整的结算资料。</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竣工结算申请单应包括的内容：</w:t>
      </w:r>
      <w:r>
        <w:rPr>
          <w:rFonts w:hint="eastAsia" w:ascii="宋体" w:hAnsi="宋体" w:eastAsia="宋体"/>
          <w:color w:val="auto"/>
          <w:sz w:val="24"/>
          <w:szCs w:val="24"/>
          <w:highlight w:val="none"/>
          <w:u w:val="single"/>
        </w:rPr>
        <w:t xml:space="preserve">按通用条款，提交的竣工结算资料必须完整，发包人不分次接受竣工结算资料；承包人逾期提交结算资料，造成竣工结算迟延支付的，发包人不承担违约责任。</w:t>
      </w:r>
      <w:r/>
    </w:p>
    <w:p>
      <w:pPr>
        <w:ind w:left="0" w:firstLine="420"/>
        <w:pageBreakBefore w:val="0"/>
        <w:spacing w:line="360" w:lineRule="auto"/>
        <w:rPr>
          <w:rFonts w:hint="eastAsia" w:ascii="宋体" w:hAnsi="宋体" w:eastAsia="宋体"/>
          <w:color w:val="auto"/>
          <w:sz w:val="24"/>
          <w:szCs w:val="24"/>
          <w:highlight w:val="none"/>
        </w:rPr>
        <w:outlineLvl w:val="0"/>
      </w:pPr>
      <w:r/>
      <w:bookmarkStart w:id="683" w:name="_Toc6846"/>
      <w:r>
        <w:rPr>
          <w:rFonts w:hint="eastAsia" w:ascii="宋体" w:hAnsi="宋体" w:eastAsia="宋体"/>
          <w:color w:val="auto"/>
          <w:sz w:val="24"/>
          <w:szCs w:val="24"/>
          <w:highlight w:val="none"/>
        </w:rPr>
        <w:t xml:space="preserve">14.2 竣工结算审核</w:t>
      </w:r>
      <w:bookmarkEnd w:id="683"/>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发包人审批竣工付款申请单的期限：</w:t>
      </w:r>
      <w:r>
        <w:rPr>
          <w:rFonts w:hint="eastAsia" w:ascii="宋体" w:hAnsi="宋体" w:eastAsia="宋体"/>
          <w:color w:val="auto"/>
          <w:sz w:val="24"/>
          <w:szCs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auto"/>
          <w:sz w:val="24"/>
          <w:szCs w:val="24"/>
          <w:highlight w:val="none"/>
          <w:u w:val="single"/>
          <w:lang w:eastAsia="zh-CN"/>
        </w:rPr>
        <w:t xml:space="preserve">及时给予</w:t>
      </w:r>
      <w:r>
        <w:rPr>
          <w:rFonts w:hint="eastAsia" w:ascii="宋体" w:hAnsi="宋体" w:eastAsia="宋体"/>
          <w:color w:val="auto"/>
          <w:sz w:val="24"/>
          <w:szCs w:val="24"/>
          <w:highlight w:val="none"/>
          <w:u w:val="single"/>
        </w:rPr>
        <w:t xml:space="preserve">修正和确认，承包人不配合、不及时修正、不及时确认的，发包人有权相应顺延审计期；竣工结算的审计单位为发包人指定的具有相应资质的审计单位。</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发包人完成竣工付款的期限：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关于竣工付款证书异议部分复核的方式和程序：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14.4 最终结清</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14.4.1 最终结清申请单</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承包人提交最终结清申请单的份数：</w:t>
      </w:r>
      <w:r>
        <w:rPr>
          <w:rFonts w:hint="eastAsia" w:ascii="宋体" w:hAnsi="宋体" w:eastAsia="宋体"/>
          <w:color w:val="auto"/>
          <w:sz w:val="24"/>
          <w:szCs w:val="24"/>
          <w:highlight w:val="none"/>
          <w:u w:val="single"/>
        </w:rPr>
        <w:t xml:space="preserve">四份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承包人提交最终结算申请单的期限：</w:t>
      </w:r>
      <w:r>
        <w:rPr>
          <w:rFonts w:hint="eastAsia" w:ascii="宋体" w:hAnsi="宋体" w:eastAsia="宋体"/>
          <w:color w:val="auto"/>
          <w:sz w:val="24"/>
          <w:szCs w:val="24"/>
          <w:highlight w:val="none"/>
          <w:u w:val="single"/>
        </w:rPr>
        <w:t xml:space="preserve">质量保修期满</w:t>
      </w:r>
      <w:r>
        <w:rPr>
          <w:rFonts w:hint="eastAsia" w:ascii="宋体" w:hAnsi="宋体" w:eastAsia="宋体"/>
          <w:color w:val="auto"/>
          <w:sz w:val="24"/>
          <w:szCs w:val="24"/>
          <w:highlight w:val="none"/>
        </w:rPr>
        <w:t xml:space="preserve">。 </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14.4.2 最终结清证书和支付</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（1）发包人完成最终结清申请单的审批并颁发最终结清证书的期限：</w:t>
      </w:r>
      <w:r>
        <w:rPr>
          <w:rFonts w:hint="eastAsia" w:ascii="宋体" w:hAnsi="宋体" w:eastAsia="宋体"/>
          <w:color w:val="auto"/>
          <w:sz w:val="24"/>
          <w:szCs w:val="24"/>
          <w:highlight w:val="none"/>
          <w:u w:val="single"/>
        </w:rPr>
        <w:t xml:space="preserve">收到申请28天内</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（2）发包人完成支付的期限：</w:t>
      </w:r>
      <w:r>
        <w:rPr>
          <w:rFonts w:hint="eastAsia" w:ascii="宋体" w:hAnsi="宋体" w:eastAsia="宋体"/>
          <w:color w:val="auto"/>
          <w:sz w:val="24"/>
          <w:szCs w:val="24"/>
          <w:highlight w:val="none"/>
          <w:u w:val="single"/>
        </w:rPr>
        <w:t xml:space="preserve">申请签发14天内</w:t>
      </w:r>
      <w:r>
        <w:rPr>
          <w:rFonts w:hint="eastAsia" w:ascii="宋体" w:hAnsi="宋体" w:eastAsia="宋体"/>
          <w:color w:val="auto"/>
          <w:sz w:val="24"/>
          <w:szCs w:val="24"/>
          <w:highlight w:val="none"/>
        </w:rPr>
        <w:t xml:space="preserve">。</w:t>
      </w:r>
      <w:bookmarkEnd w:id="668"/>
      <w:r/>
      <w:bookmarkEnd w:id="669"/>
      <w:r/>
      <w:bookmarkEnd w:id="670"/>
      <w:r/>
      <w:bookmarkEnd w:id="671"/>
      <w:r/>
      <w:bookmarkEnd w:id="672"/>
      <w:r/>
      <w:bookmarkEnd w:id="673"/>
      <w:r/>
      <w:bookmarkEnd w:id="674"/>
      <w:r/>
      <w:bookmarkEnd w:id="680"/>
      <w:r/>
      <w:r/>
    </w:p>
    <w:p>
      <w:pPr>
        <w:pStyle w:val="754"/>
        <w:ind w:left="0"/>
        <w:pageBreakBefore w:val="0"/>
        <w:spacing w:before="0" w:after="0" w:line="360" w:lineRule="auto"/>
        <w:rPr>
          <w:rFonts w:hint="eastAsia" w:ascii="宋体" w:hAnsi="宋体"/>
          <w:color w:val="auto"/>
          <w:sz w:val="24"/>
          <w:szCs w:val="24"/>
          <w:highlight w:val="none"/>
        </w:rPr>
      </w:pPr>
      <w:r/>
      <w:bookmarkStart w:id="684" w:name="_Toc351203647"/>
      <w:r/>
      <w:bookmarkStart w:id="685" w:name="_Toc267251484"/>
      <w:r/>
      <w:bookmarkStart w:id="686" w:name="_Toc267251488"/>
      <w:r/>
      <w:bookmarkStart w:id="687" w:name="_Toc267251483"/>
      <w:r/>
      <w:bookmarkStart w:id="688" w:name="_Toc267251485"/>
      <w:r/>
      <w:bookmarkStart w:id="689" w:name="_Toc267251482"/>
      <w:r/>
      <w:bookmarkStart w:id="690" w:name="_Toc267251489"/>
      <w:r/>
      <w:bookmarkStart w:id="691" w:name="_Toc267251490"/>
      <w:r/>
      <w:bookmarkStart w:id="692" w:name="_Toc267251486"/>
      <w:r/>
      <w:bookmarkStart w:id="693" w:name="_Toc267251499"/>
      <w:r/>
      <w:bookmarkStart w:id="694" w:name="_Toc267251497"/>
      <w:r/>
      <w:bookmarkStart w:id="695" w:name="_Toc267251501"/>
      <w:r/>
      <w:bookmarkStart w:id="696" w:name="_Toc267251495"/>
      <w:r/>
      <w:bookmarkStart w:id="697" w:name="_Toc267251493"/>
      <w:r/>
      <w:bookmarkStart w:id="698" w:name="_Toc267251494"/>
      <w:r/>
      <w:bookmarkStart w:id="699" w:name="_Toc267251496"/>
      <w:r/>
      <w:bookmarkStart w:id="700" w:name="_Toc267251503"/>
      <w:r/>
      <w:bookmarkStart w:id="701" w:name="_Toc267251498"/>
      <w:r/>
      <w:bookmarkStart w:id="702" w:name="_Toc267251491"/>
      <w:r/>
      <w:bookmarkStart w:id="703" w:name="_Toc267251492"/>
      <w:r/>
      <w:bookmarkStart w:id="704" w:name="_Toc267251502"/>
      <w:r/>
      <w:bookmarkStart w:id="705" w:name="_Toc267251504"/>
      <w:r/>
      <w:bookmarkStart w:id="706" w:name="_Toc267251506"/>
      <w:r/>
      <w:bookmarkStart w:id="707" w:name="_Toc267251507"/>
      <w:r/>
      <w:bookmarkStart w:id="708" w:name="_Toc267251508"/>
      <w:r/>
      <w:bookmarkStart w:id="709" w:name="_Toc267251515"/>
      <w:r/>
      <w:bookmarkStart w:id="710" w:name="_Toc267251514"/>
      <w:r/>
      <w:bookmarkStart w:id="711" w:name="_Toc267251513"/>
      <w:r/>
      <w:bookmarkStart w:id="712" w:name="_Toc267251509"/>
      <w:r/>
      <w:bookmarkStart w:id="713" w:name="_Toc267251511"/>
      <w:r/>
      <w:bookmarkStart w:id="714" w:name="_Toc267251510"/>
      <w:r>
        <w:rPr>
          <w:rFonts w:hint="eastAsia" w:ascii="宋体" w:hAnsi="宋体"/>
          <w:color w:val="auto"/>
          <w:sz w:val="24"/>
          <w:szCs w:val="24"/>
          <w:highlight w:val="none"/>
        </w:rPr>
        <w:t xml:space="preserve">15. 缺陷责任期与保修</w:t>
      </w:r>
      <w:bookmarkEnd w:id="684"/>
      <w:r/>
      <w:bookmarkEnd w:id="685"/>
      <w:r/>
      <w:bookmarkEnd w:id="686"/>
      <w:r/>
      <w:bookmarkEnd w:id="687"/>
      <w:r/>
      <w:bookmarkEnd w:id="688"/>
      <w:r/>
      <w:bookmarkEnd w:id="689"/>
      <w:r/>
      <w:bookmarkEnd w:id="690"/>
      <w:r/>
      <w:bookmarkEnd w:id="691"/>
      <w:r/>
      <w:bookmarkEnd w:id="692"/>
      <w:r/>
      <w:r/>
    </w:p>
    <w:p>
      <w:pPr>
        <w:ind w:left="0" w:firstLine="420"/>
        <w:pageBreakBefore w:val="0"/>
        <w:spacing w:line="360" w:lineRule="auto"/>
        <w:rPr>
          <w:rFonts w:hint="eastAsia" w:ascii="宋体" w:hAnsi="宋体" w:eastAsia="宋体" w:cs="Times New Roman"/>
          <w:color w:val="auto"/>
          <w:sz w:val="24"/>
          <w:szCs w:val="24"/>
          <w:highlight w:val="none"/>
        </w:rPr>
      </w:pPr>
      <w:r/>
      <w:bookmarkStart w:id="715" w:name="_Toc351203648"/>
      <w:r/>
      <w:bookmarkStart w:id="716" w:name="_Toc280868717"/>
      <w:r/>
      <w:bookmarkStart w:id="717" w:name="_Toc280868718"/>
      <w:r>
        <w:rPr>
          <w:rFonts w:hint="eastAsia" w:ascii="宋体" w:hAnsi="宋体" w:eastAsia="宋体" w:cs="Times New Roman"/>
          <w:color w:val="auto"/>
          <w:sz w:val="24"/>
          <w:szCs w:val="24"/>
          <w:highlight w:val="none"/>
        </w:rPr>
        <w:t xml:space="preserve">15.2缺陷责任期</w:t>
      </w:r>
      <w:r/>
    </w:p>
    <w:p>
      <w:pPr>
        <w:ind w:left="0" w:firstLine="420"/>
        <w:jc w:val="left"/>
        <w:pageBreakBefore w:val="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缺陷责任期的具体期限：</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rPr>
        <w:t xml:space="preserve">个月。</w:t>
      </w:r>
      <w:r/>
    </w:p>
    <w:p>
      <w:pPr>
        <w:ind w:left="0" w:firstLine="420"/>
        <w:pageBreakBefore w:val="0"/>
        <w:spacing w:line="360" w:lineRule="auto"/>
        <w:rPr>
          <w:rFonts w:hint="eastAsia" w:ascii="宋体" w:hAnsi="宋体" w:eastAsia="宋体" w:cs="Times New Roman"/>
          <w:color w:val="auto"/>
          <w:sz w:val="24"/>
          <w:szCs w:val="24"/>
          <w:highlight w:val="none"/>
        </w:rPr>
        <w:outlineLvl w:val="0"/>
      </w:pPr>
      <w:r/>
      <w:bookmarkStart w:id="718" w:name="_Toc27683"/>
      <w:r>
        <w:rPr>
          <w:rFonts w:hint="eastAsia" w:ascii="宋体" w:hAnsi="宋体" w:eastAsia="宋体" w:cs="Times New Roman"/>
          <w:color w:val="auto"/>
          <w:sz w:val="24"/>
          <w:szCs w:val="24"/>
          <w:highlight w:val="none"/>
        </w:rPr>
        <w:t xml:space="preserve">15.3 质量保证金</w:t>
      </w:r>
      <w:bookmarkEnd w:id="718"/>
      <w:r/>
      <w:r/>
    </w:p>
    <w:p>
      <w:pPr>
        <w:ind w:left="0" w:firstLine="420"/>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关于是否扣留质量保证金的约定：</w:t>
      </w:r>
      <w:r>
        <w:rPr>
          <w:rFonts w:hint="eastAsia" w:ascii="宋体" w:hAnsi="宋体" w:eastAsia="宋体" w:cs="Times New Roman"/>
          <w:color w:val="auto"/>
          <w:sz w:val="24"/>
          <w:szCs w:val="24"/>
          <w:highlight w:val="none"/>
          <w:u w:val="single"/>
        </w:rPr>
        <w:t xml:space="preserve">  扣留   </w:t>
      </w:r>
      <w:r>
        <w:rPr>
          <w:rFonts w:hint="eastAsia" w:ascii="宋体" w:hAnsi="宋体" w:eastAsia="宋体" w:cs="Times New Roman"/>
          <w:color w:val="auto"/>
          <w:sz w:val="24"/>
          <w:szCs w:val="24"/>
          <w:highlight w:val="none"/>
        </w:rPr>
        <w:t xml:space="preserve">。在工程项目竣工前，承包人按专用合同条款第3.7条提供履约担保的，发包人不得同时预留工程质量保证金。</w:t>
      </w:r>
      <w:r/>
    </w:p>
    <w:p>
      <w:pPr>
        <w:ind w:left="0" w:firstLine="420"/>
        <w:jc w:val="left"/>
        <w:pageBreakBefore w:val="0"/>
        <w:spacing w:line="360" w:lineRule="auto"/>
        <w:rPr>
          <w:rFonts w:hint="eastAsia" w:ascii="宋体" w:hAnsi="宋体" w:eastAsia="宋体" w:cs="Times New Roman"/>
          <w:color w:val="auto"/>
          <w:sz w:val="24"/>
          <w:szCs w:val="24"/>
          <w:highlight w:val="none"/>
        </w:rPr>
        <w:outlineLvl w:val="0"/>
      </w:pPr>
      <w:r/>
      <w:bookmarkStart w:id="719" w:name="_Toc8790"/>
      <w:r>
        <w:rPr>
          <w:rFonts w:hint="eastAsia" w:ascii="宋体" w:hAnsi="宋体" w:eastAsia="宋体" w:cs="Times New Roman"/>
          <w:color w:val="auto"/>
          <w:sz w:val="24"/>
          <w:szCs w:val="24"/>
          <w:highlight w:val="none"/>
        </w:rPr>
        <w:t xml:space="preserve">15.3.1 承包人提供质量保证金的方式</w:t>
      </w:r>
      <w:bookmarkEnd w:id="719"/>
      <w:r/>
      <w:r/>
    </w:p>
    <w:p>
      <w:pPr>
        <w:ind w:left="0" w:firstLine="420"/>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质量保证金采用以下第</w:t>
      </w:r>
      <w:r>
        <w:rPr>
          <w:rFonts w:hint="eastAsia" w:ascii="宋体" w:hAnsi="宋体" w:eastAsia="宋体" w:cs="Times New Roman"/>
          <w:color w:val="auto"/>
          <w:sz w:val="24"/>
          <w:szCs w:val="24"/>
          <w:highlight w:val="none"/>
          <w:u w:val="single"/>
        </w:rPr>
        <w:t xml:space="preserve"> 2</w:t>
      </w:r>
      <w:r>
        <w:rPr>
          <w:rFonts w:hint="eastAsia" w:ascii="宋体" w:hAnsi="宋体" w:eastAsia="宋体" w:cs="Times New Roman"/>
          <w:color w:val="auto"/>
          <w:sz w:val="24"/>
          <w:szCs w:val="24"/>
          <w:highlight w:val="none"/>
        </w:rPr>
        <w:t xml:space="preserve">种方式：</w:t>
      </w:r>
      <w:r/>
    </w:p>
    <w:p>
      <w:pPr>
        <w:ind w:left="0" w:firstLine="420"/>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（1）质量保证金保函，保证金额为：</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 </w:t>
      </w:r>
      <w:r/>
    </w:p>
    <w:p>
      <w:pPr>
        <w:ind w:left="0" w:firstLine="420"/>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3 </w:t>
      </w:r>
      <w:r>
        <w:rPr>
          <w:rFonts w:hint="eastAsia" w:ascii="宋体" w:hAnsi="宋体" w:eastAsia="宋体" w:cs="Times New Roman"/>
          <w:color w:val="auto"/>
          <w:sz w:val="24"/>
          <w:szCs w:val="24"/>
          <w:highlight w:val="none"/>
        </w:rPr>
        <w:t xml:space="preserve">%的工程款；</w:t>
      </w:r>
      <w:r/>
    </w:p>
    <w:p>
      <w:pPr>
        <w:ind w:left="0" w:firstLine="420"/>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（3）其他方式:</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w:t>
      </w:r>
      <w:r/>
    </w:p>
    <w:p>
      <w:pPr>
        <w:ind w:left="0" w:firstLine="420"/>
        <w:jc w:val="left"/>
        <w:pageBreakBefore w:val="0"/>
        <w:spacing w:line="360" w:lineRule="auto"/>
        <w:rPr>
          <w:rFonts w:hint="eastAsia" w:ascii="宋体" w:hAnsi="宋体" w:eastAsia="宋体" w:cs="Times New Roman"/>
          <w:color w:val="auto"/>
          <w:sz w:val="24"/>
          <w:szCs w:val="24"/>
          <w:highlight w:val="none"/>
        </w:rPr>
        <w:outlineLvl w:val="0"/>
      </w:pPr>
      <w:r/>
      <w:bookmarkStart w:id="720" w:name="_Toc14219"/>
      <w:r>
        <w:rPr>
          <w:rFonts w:hint="eastAsia" w:ascii="宋体" w:hAnsi="宋体" w:eastAsia="宋体" w:cs="Times New Roman"/>
          <w:color w:val="auto"/>
          <w:sz w:val="24"/>
          <w:szCs w:val="24"/>
          <w:highlight w:val="none"/>
        </w:rPr>
        <w:t xml:space="preserve">15.3.2 质量保证金的扣留</w:t>
      </w:r>
      <w:bookmarkEnd w:id="720"/>
      <w:r>
        <w:rPr>
          <w:rFonts w:hint="eastAsia" w:ascii="宋体" w:hAnsi="宋体" w:eastAsia="宋体" w:cs="Times New Roman"/>
          <w:color w:val="auto"/>
          <w:sz w:val="24"/>
          <w:szCs w:val="24"/>
          <w:highlight w:val="none"/>
        </w:rPr>
        <w:t xml:space="preserve"> </w:t>
      </w:r>
      <w:r/>
    </w:p>
    <w:p>
      <w:pPr>
        <w:ind w:left="0" w:firstLine="420"/>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质量保证金的扣留采取以下第</w:t>
      </w:r>
      <w:r>
        <w:rPr>
          <w:rFonts w:hint="eastAsia" w:ascii="宋体" w:hAnsi="宋体" w:eastAsia="宋体" w:cs="Times New Roman"/>
          <w:color w:val="auto"/>
          <w:sz w:val="24"/>
          <w:szCs w:val="24"/>
          <w:highlight w:val="none"/>
          <w:u w:val="single"/>
        </w:rPr>
        <w:t xml:space="preserve">2</w:t>
      </w:r>
      <w:r>
        <w:rPr>
          <w:rFonts w:hint="eastAsia" w:ascii="宋体" w:hAnsi="宋体" w:eastAsia="宋体" w:cs="Times New Roman"/>
          <w:color w:val="auto"/>
          <w:sz w:val="24"/>
          <w:szCs w:val="24"/>
          <w:highlight w:val="none"/>
        </w:rPr>
        <w:t xml:space="preserve">种方式：</w:t>
      </w:r>
      <w:r/>
    </w:p>
    <w:p>
      <w:pPr>
        <w:ind w:left="0" w:firstLine="420"/>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60" w:lineRule="auto"/>
        <w:rPr>
          <w:rFonts w:hint="eastAsia" w:ascii="宋体" w:hAnsi="宋体" w:eastAsia="宋体" w:cs="Times New Roman"/>
          <w:color w:val="auto"/>
          <w:sz w:val="24"/>
          <w:szCs w:val="24"/>
          <w:highlight w:val="none"/>
        </w:rPr>
        <w:outlineLvl w:val="0"/>
      </w:pPr>
      <w:r/>
      <w:bookmarkStart w:id="721" w:name="_Toc27572"/>
      <w:r>
        <w:rPr>
          <w:rFonts w:hint="eastAsia" w:ascii="宋体" w:hAnsi="宋体" w:eastAsia="宋体" w:cs="Times New Roman"/>
          <w:color w:val="auto"/>
          <w:sz w:val="24"/>
          <w:szCs w:val="24"/>
          <w:highlight w:val="none"/>
        </w:rPr>
        <w:t xml:space="preserve">（2）退回履约保证金后，在工程竣工结算时一次性扣留质量保证金；</w:t>
      </w:r>
      <w:bookmarkEnd w:id="721"/>
      <w:r/>
      <w:r/>
    </w:p>
    <w:p>
      <w:pPr>
        <w:ind w:left="0" w:firstLine="420"/>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（3）其他扣留方式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left="0" w:firstLine="420"/>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关于质量保证金的补充约定：</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w:t>
      </w:r>
      <w:r/>
    </w:p>
    <w:p>
      <w:pPr>
        <w:ind w:left="0" w:firstLine="42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15.4保修</w:t>
      </w:r>
      <w:r/>
    </w:p>
    <w:p>
      <w:pPr>
        <w:ind w:left="0" w:firstLine="409"/>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15.4.1 保修责任</w:t>
      </w:r>
      <w:r/>
    </w:p>
    <w:p>
      <w:pPr>
        <w:ind w:left="0" w:firstLine="409"/>
        <w:jc w:val="left"/>
        <w:pageBreakBefore w:val="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工程保修期为：</w:t>
      </w:r>
      <w:r>
        <w:rPr>
          <w:rFonts w:hint="eastAsia" w:ascii="宋体" w:hAnsi="宋体" w:eastAsia="宋体" w:cs="Times New Roman"/>
          <w:color w:val="auto"/>
          <w:sz w:val="24"/>
          <w:szCs w:val="24"/>
          <w:highlight w:val="none"/>
          <w:u w:val="single"/>
        </w:rPr>
        <w:t xml:space="preserve">详见质量保修协议。</w:t>
      </w:r>
      <w:r/>
    </w:p>
    <w:p>
      <w:pPr>
        <w:ind w:left="0" w:firstLine="409"/>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15.4.3 修复通知</w:t>
      </w:r>
      <w:r/>
    </w:p>
    <w:p>
      <w:pPr>
        <w:ind w:left="0" w:firstLine="420"/>
        <w:jc w:val="both"/>
        <w:keepLines/>
        <w:keepNext/>
        <w:pageBreakBefore w:val="0"/>
        <w:spacing w:before="0" w:after="0" w:line="360" w:lineRule="auto"/>
        <w:widowControl w:val="off"/>
        <w:rPr>
          <w:rFonts w:hint="eastAsia" w:ascii="宋体" w:hAnsi="宋体" w:eastAsia="宋体" w:cs="宋体"/>
          <w:color w:val="auto"/>
          <w:sz w:val="21"/>
          <w:szCs w:val="21"/>
          <w:highlight w:val="none"/>
          <w:u w:val="single"/>
        </w:rPr>
        <w:outlineLvl w:val="3"/>
      </w:pPr>
      <w:r>
        <w:rPr>
          <w:rFonts w:hint="eastAsia" w:ascii="宋体" w:hAnsi="宋体" w:eastAsia="宋体" w:cs="Times New Roman"/>
          <w:color w:val="auto"/>
          <w:sz w:val="21"/>
          <w:szCs w:val="21"/>
          <w:highlight w:val="none"/>
        </w:rPr>
        <w:t xml:space="preserve">承包人收到保修通知并到达工程现场的合理时间：</w:t>
      </w:r>
      <w:r>
        <w:rPr>
          <w:rFonts w:hint="eastAsia" w:ascii="宋体" w:hAnsi="宋体" w:eastAsia="宋体" w:cs="Times New Roman"/>
          <w:color w:val="auto"/>
          <w:sz w:val="21"/>
          <w:szCs w:val="21"/>
          <w:highlight w:val="none"/>
          <w:u w:val="single"/>
        </w:rPr>
        <w:t xml:space="preserve">详见质量保修协议。</w:t>
      </w:r>
      <w:r/>
    </w:p>
    <w:p>
      <w:pPr>
        <w:pStyle w:val="754"/>
        <w:ind w:left="0"/>
        <w:pageBreakBefore w:val="0"/>
        <w:spacing w:before="0"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16. 违约</w:t>
      </w:r>
      <w:bookmarkEnd w:id="715"/>
      <w:r/>
      <w:r/>
    </w:p>
    <w:p>
      <w:pPr>
        <w:ind w:left="0" w:firstLine="420"/>
        <w:pageBreakBefore w:val="0"/>
        <w:spacing w:line="360" w:lineRule="auto"/>
        <w:rPr>
          <w:rFonts w:hint="eastAsia" w:ascii="宋体" w:hAnsi="宋体" w:eastAsia="宋体"/>
          <w:color w:val="auto"/>
          <w:sz w:val="24"/>
          <w:szCs w:val="24"/>
          <w:highlight w:val="none"/>
        </w:rPr>
        <w:outlineLvl w:val="0"/>
      </w:pPr>
      <w:r/>
      <w:bookmarkStart w:id="722" w:name="_Toc25166"/>
      <w:r>
        <w:rPr>
          <w:rFonts w:hint="eastAsia" w:ascii="宋体" w:hAnsi="宋体" w:eastAsia="宋体"/>
          <w:color w:val="auto"/>
          <w:sz w:val="24"/>
          <w:szCs w:val="24"/>
          <w:highlight w:val="none"/>
        </w:rPr>
        <w:t xml:space="preserve">16.1 发包人违约</w:t>
      </w:r>
      <w:bookmarkEnd w:id="722"/>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16.1.1发包人违约的情形</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发包人违约的其他情形：</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hanging="105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16.1.2 发包人违约的责任</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发包人违约责任的承担方式和计算方法：</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（1）因发包人原因未能在计划开工日期前7天内下达开工通知的违约责任：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（2）因发包人原因未能按合同约定支付合同价款的违约责任：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olor w:val="auto"/>
          <w:sz w:val="24"/>
          <w:szCs w:val="24"/>
          <w:highlight w:val="none"/>
          <w:u w:val="single"/>
        </w:rPr>
        <w:t xml:space="preserve">发包人有权根据实际情况增减部分工程量，承包人对此不提出索赔</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（5）因发包人违反合同约定造成暂停施工的违约责任：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（7）其他：</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16.1.3 因发包人违约解除合同</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承包人按16.1.1项〔发包人违约的情形〕约定暂停施工满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天后发包人仍不纠正其违约行为并致使合同目的不能实现的，承包人有权解除合同。</w:t>
      </w:r>
      <w:r/>
    </w:p>
    <w:p>
      <w:pPr>
        <w:ind w:left="0" w:firstLine="420"/>
        <w:pageBreakBefore w:val="0"/>
        <w:spacing w:line="360" w:lineRule="auto"/>
        <w:rPr>
          <w:rFonts w:hint="eastAsia" w:ascii="宋体" w:hAnsi="宋体" w:eastAsia="宋体"/>
          <w:color w:val="auto"/>
          <w:sz w:val="24"/>
          <w:szCs w:val="24"/>
          <w:highlight w:val="none"/>
        </w:rPr>
        <w:outlineLvl w:val="0"/>
      </w:pPr>
      <w:r/>
      <w:bookmarkStart w:id="723" w:name="_Toc14831"/>
      <w:r>
        <w:rPr>
          <w:rFonts w:hint="eastAsia" w:ascii="宋体" w:hAnsi="宋体" w:eastAsia="宋体"/>
          <w:color w:val="auto"/>
          <w:sz w:val="24"/>
          <w:szCs w:val="24"/>
          <w:highlight w:val="none"/>
        </w:rPr>
        <w:t xml:space="preserve">16.2 承包人违约</w:t>
      </w:r>
      <w:bookmarkEnd w:id="723"/>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16.2.1 承包人违约的情形</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承包人违约的其他情形：</w:t>
      </w:r>
      <w:r>
        <w:rPr>
          <w:rFonts w:hint="eastAsia" w:ascii="宋体" w:hAnsi="宋体" w:eastAsia="宋体"/>
          <w:color w:val="auto"/>
          <w:sz w:val="24"/>
          <w:szCs w:val="24"/>
          <w:highlight w:val="none"/>
          <w:u w:val="single"/>
        </w:rPr>
        <w:t xml:space="preserve">按本合同16.2.2条及其它条款的约定。</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16.2.2承包人违约的责任</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承包人违约责任的承担方式和计算方法：</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 承包人明确表示或者以其行为表明不</w:t>
      </w:r>
      <w:r>
        <w:rPr>
          <w:rFonts w:hint="eastAsia" w:ascii="宋体" w:hAnsi="宋体" w:eastAsia="宋体"/>
          <w:color w:val="auto"/>
          <w:sz w:val="24"/>
          <w:szCs w:val="24"/>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left="0" w:firstLine="411"/>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7.承包人未能按施工进度计划及时完成合同约定的工作，造成工期延误的违约责任：按7.5条约定 。</w:t>
      </w:r>
      <w:r/>
    </w:p>
    <w:p>
      <w:pPr>
        <w:ind w:left="0" w:firstLine="411"/>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left="0" w:firstLine="411"/>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9.承包人未能按照合同约定履行其他义务的违约责任：</w:t>
      </w:r>
      <w:r/>
    </w:p>
    <w:p>
      <w:pPr>
        <w:ind w:left="0" w:firstLine="411"/>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left="0" w:firstLine="411"/>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③承包人要做到减少噪音及环境污染，文明施工达标，如因承包人原因导致工地在市、区检查中被评为不合格工地的，按每有一起罚款4000元。</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auto"/>
          <w:sz w:val="24"/>
          <w:szCs w:val="24"/>
          <w:highlight w:val="none"/>
        </w:rPr>
        <w:t xml:space="preserve">    </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16.2.3 因承包人违约解除合同</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关于承包人违约解除合同的特别约定：</w:t>
      </w:r>
      <w:r>
        <w:rPr>
          <w:rFonts w:hint="eastAsia" w:ascii="宋体" w:hAnsi="宋体" w:eastAsia="宋体"/>
          <w:color w:val="auto"/>
          <w:sz w:val="24"/>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4"/>
          <w:szCs w:val="24"/>
          <w:highlight w:val="none"/>
          <w:u w:val="single"/>
        </w:rPr>
        <w:t xml:space="preserve">不计费用</w:t>
      </w:r>
      <w:r>
        <w:rPr>
          <w:rFonts w:hint="eastAsia" w:ascii="宋体" w:hAnsi="宋体" w:eastAsia="宋体"/>
          <w:color w:val="auto"/>
          <w:sz w:val="24"/>
          <w:szCs w:val="24"/>
          <w:highlight w:val="none"/>
        </w:rPr>
        <w:t xml:space="preserve">。</w:t>
      </w:r>
      <w:r/>
    </w:p>
    <w:p>
      <w:pPr>
        <w:pStyle w:val="754"/>
        <w:ind w:left="0"/>
        <w:pageBreakBefore w:val="0"/>
        <w:spacing w:before="0" w:after="0" w:line="360" w:lineRule="auto"/>
        <w:rPr>
          <w:rFonts w:hint="eastAsia" w:ascii="宋体" w:hAnsi="宋体"/>
          <w:color w:val="auto"/>
          <w:sz w:val="24"/>
          <w:szCs w:val="24"/>
          <w:highlight w:val="none"/>
        </w:rPr>
      </w:pPr>
      <w:r/>
      <w:bookmarkStart w:id="724" w:name="_Toc351203649"/>
      <w:r>
        <w:rPr>
          <w:rFonts w:hint="eastAsia" w:ascii="宋体" w:hAnsi="宋体"/>
          <w:color w:val="auto"/>
          <w:sz w:val="24"/>
          <w:szCs w:val="24"/>
          <w:highlight w:val="none"/>
        </w:rPr>
        <w:t xml:space="preserve">17. 不可抗力</w:t>
      </w:r>
      <w:bookmarkEnd w:id="724"/>
      <w:r>
        <w:rPr>
          <w:rFonts w:hint="eastAsia" w:ascii="宋体" w:hAnsi="宋体"/>
          <w:color w:val="auto"/>
          <w:sz w:val="24"/>
          <w:szCs w:val="24"/>
          <w:highlight w:val="none"/>
        </w:rPr>
        <w:t xml:space="preserve"> </w:t>
      </w:r>
      <w:bookmarkEnd w:id="716"/>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17.1 不可抗力的确认</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除通用合同条款约定的不可抗力事件之外，视为不可抗力的其他情形：</w:t>
      </w:r>
      <w:r>
        <w:rPr>
          <w:rFonts w:hint="eastAsia" w:ascii="宋体" w:hAnsi="宋体" w:eastAsia="宋体"/>
          <w:color w:val="auto"/>
          <w:sz w:val="24"/>
          <w:szCs w:val="24"/>
          <w:highlight w:val="none"/>
          <w:u w:val="single"/>
        </w:rPr>
        <w:t xml:space="preserve">由市级以上有关部门正式发布和认定的自然灾害。</w:t>
      </w:r>
      <w:r/>
    </w:p>
    <w:p>
      <w:pPr>
        <w:ind w:left="0" w:firstLine="420"/>
        <w:pageBreakBefore w:val="0"/>
        <w:spacing w:line="360" w:lineRule="auto"/>
        <w:rPr>
          <w:rFonts w:hint="eastAsia" w:ascii="宋体" w:hAnsi="宋体" w:eastAsia="宋体"/>
          <w:color w:val="auto"/>
          <w:sz w:val="24"/>
          <w:szCs w:val="24"/>
          <w:highlight w:val="none"/>
        </w:rPr>
        <w:outlineLvl w:val="0"/>
      </w:pPr>
      <w:r/>
      <w:bookmarkStart w:id="725" w:name="_Toc25261"/>
      <w:r>
        <w:rPr>
          <w:rFonts w:hint="eastAsia" w:ascii="宋体" w:hAnsi="宋体" w:eastAsia="宋体"/>
          <w:color w:val="auto"/>
          <w:sz w:val="24"/>
          <w:szCs w:val="24"/>
          <w:highlight w:val="none"/>
        </w:rPr>
        <w:t xml:space="preserve">17.4 因不可抗力解除合同</w:t>
      </w:r>
      <w:bookmarkEnd w:id="725"/>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合同解除后，发包人应在商定或确定发包人应支付款项后</w:t>
      </w:r>
      <w:r>
        <w:rPr>
          <w:rFonts w:hint="eastAsia" w:ascii="宋体" w:hAnsi="宋体" w:eastAsia="宋体"/>
          <w:color w:val="auto"/>
          <w:sz w:val="24"/>
          <w:szCs w:val="24"/>
          <w:highlight w:val="none"/>
          <w:u w:val="single"/>
        </w:rPr>
        <w:t xml:space="preserve">60</w:t>
      </w:r>
      <w:r>
        <w:rPr>
          <w:rFonts w:hint="eastAsia" w:ascii="宋体" w:hAnsi="宋体" w:eastAsia="宋体"/>
          <w:color w:val="auto"/>
          <w:sz w:val="24"/>
          <w:szCs w:val="24"/>
          <w:highlight w:val="none"/>
        </w:rPr>
        <w:t xml:space="preserve">天内完成款项的支付。</w:t>
      </w:r>
      <w:r/>
    </w:p>
    <w:p>
      <w:pPr>
        <w:pStyle w:val="754"/>
        <w:ind w:left="0"/>
        <w:pageBreakBefore w:val="0"/>
        <w:spacing w:before="0" w:after="0" w:line="360" w:lineRule="auto"/>
        <w:rPr>
          <w:rFonts w:hint="eastAsia" w:ascii="宋体" w:hAnsi="宋体"/>
          <w:color w:val="auto"/>
          <w:sz w:val="24"/>
          <w:szCs w:val="24"/>
          <w:highlight w:val="none"/>
        </w:rPr>
      </w:pPr>
      <w:r/>
      <w:bookmarkStart w:id="726" w:name="_Toc351203650"/>
      <w:r>
        <w:rPr>
          <w:rFonts w:hint="eastAsia" w:ascii="宋体" w:hAnsi="宋体"/>
          <w:color w:val="auto"/>
          <w:sz w:val="24"/>
          <w:szCs w:val="24"/>
          <w:highlight w:val="none"/>
        </w:rPr>
        <w:t xml:space="preserve">18. 保险</w:t>
      </w:r>
      <w:bookmarkEnd w:id="717"/>
      <w:r/>
      <w:bookmarkEnd w:id="726"/>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18.1 工程保险</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关于工程保险的特别约定：</w:t>
      </w:r>
      <w:r>
        <w:rPr>
          <w:rFonts w:hint="eastAsia" w:ascii="宋体" w:hAnsi="宋体" w:eastAsia="宋体"/>
          <w:color w:val="auto"/>
          <w:sz w:val="24"/>
          <w:szCs w:val="24"/>
          <w:highlight w:val="none"/>
          <w:u w:val="single"/>
        </w:rPr>
        <w:t xml:space="preserve">发包人投保内容：建设工程和施工场地内的自有人员生命财产险。</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发包人委托承包人办理的保险事项：         /          。</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left="0" w:firstLine="420"/>
        <w:pageBreakBefore w:val="0"/>
        <w:spacing w:line="360" w:lineRule="auto"/>
        <w:rPr>
          <w:rFonts w:hint="eastAsia" w:ascii="宋体" w:hAnsi="宋体" w:eastAsia="宋体"/>
          <w:color w:val="auto"/>
          <w:sz w:val="24"/>
          <w:szCs w:val="24"/>
          <w:highlight w:val="none"/>
        </w:rPr>
        <w:outlineLvl w:val="0"/>
      </w:pPr>
      <w:r/>
      <w:bookmarkStart w:id="727" w:name="_Toc29633"/>
      <w:r>
        <w:rPr>
          <w:rFonts w:hint="eastAsia" w:ascii="宋体" w:hAnsi="宋体" w:eastAsia="宋体"/>
          <w:color w:val="auto"/>
          <w:sz w:val="24"/>
          <w:szCs w:val="24"/>
          <w:highlight w:val="none"/>
        </w:rPr>
        <w:t xml:space="preserve">18.3 其他保险</w:t>
      </w:r>
      <w:bookmarkEnd w:id="727"/>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关于其他保险的约定：</w:t>
      </w:r>
      <w:r>
        <w:rPr>
          <w:rFonts w:hint="eastAsia" w:ascii="宋体" w:hAnsi="宋体" w:eastAsia="宋体"/>
          <w:color w:val="auto"/>
          <w:sz w:val="24"/>
          <w:szCs w:val="24"/>
          <w:highlight w:val="none"/>
          <w:u w:val="single"/>
        </w:rPr>
        <w:t xml:space="preserve">各自办理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u w:val="single"/>
        </w:rPr>
        <w:outlineLvl w:val="0"/>
      </w:pPr>
      <w:r/>
      <w:bookmarkStart w:id="728" w:name="_Toc4108"/>
      <w:r>
        <w:rPr>
          <w:rFonts w:hint="eastAsia" w:ascii="宋体" w:hAnsi="宋体" w:eastAsia="宋体"/>
          <w:color w:val="auto"/>
          <w:sz w:val="24"/>
          <w:szCs w:val="24"/>
          <w:highlight w:val="none"/>
        </w:rPr>
        <w:t xml:space="preserve">承包人是否应为其施工设备等办理财产保险：</w:t>
      </w:r>
      <w:r>
        <w:rPr>
          <w:rFonts w:hint="eastAsia" w:ascii="宋体" w:hAnsi="宋体" w:eastAsia="宋体"/>
          <w:color w:val="auto"/>
          <w:sz w:val="24"/>
          <w:szCs w:val="24"/>
          <w:highlight w:val="none"/>
          <w:u w:val="single"/>
        </w:rPr>
        <w:t xml:space="preserve">按通用条款执行。</w:t>
      </w:r>
      <w:bookmarkEnd w:id="728"/>
      <w:r/>
      <w:r/>
    </w:p>
    <w:p>
      <w:pPr>
        <w:ind w:left="0" w:firstLine="420"/>
        <w:pageBreakBefore w:val="0"/>
        <w:spacing w:line="360" w:lineRule="auto"/>
        <w:rPr>
          <w:rFonts w:hint="eastAsia" w:ascii="宋体" w:hAnsi="宋体" w:eastAsia="宋体"/>
          <w:color w:val="auto"/>
          <w:sz w:val="24"/>
          <w:szCs w:val="24"/>
          <w:highlight w:val="none"/>
        </w:rPr>
        <w:outlineLvl w:val="0"/>
      </w:pPr>
      <w:r/>
      <w:bookmarkStart w:id="729" w:name="_Toc14405"/>
      <w:r>
        <w:rPr>
          <w:rFonts w:hint="eastAsia" w:ascii="宋体" w:hAnsi="宋体" w:eastAsia="宋体"/>
          <w:color w:val="auto"/>
          <w:sz w:val="24"/>
          <w:szCs w:val="24"/>
          <w:highlight w:val="none"/>
        </w:rPr>
        <w:t xml:space="preserve">18.7 通知义务</w:t>
      </w:r>
      <w:bookmarkEnd w:id="729"/>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关于变更保险合同时的通知义务的约定：</w:t>
      </w:r>
      <w:r>
        <w:rPr>
          <w:rFonts w:hint="eastAsia" w:ascii="宋体" w:hAnsi="宋体" w:eastAsia="宋体"/>
          <w:color w:val="auto"/>
          <w:sz w:val="24"/>
          <w:szCs w:val="24"/>
          <w:highlight w:val="none"/>
          <w:u w:val="single"/>
        </w:rPr>
        <w:t xml:space="preserve">按通用条款执行。</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
    </w:p>
    <w:p>
      <w:pPr>
        <w:pStyle w:val="754"/>
        <w:ind w:left="0"/>
        <w:pageBreakBefore w:val="0"/>
        <w:spacing w:before="0" w:after="0" w:line="360" w:lineRule="auto"/>
        <w:rPr>
          <w:rFonts w:hint="eastAsia" w:ascii="宋体" w:hAnsi="宋体"/>
          <w:color w:val="auto"/>
          <w:sz w:val="24"/>
          <w:szCs w:val="24"/>
          <w:highlight w:val="none"/>
        </w:rPr>
      </w:pPr>
      <w:r/>
      <w:bookmarkStart w:id="730" w:name="_Toc351203651"/>
      <w:r>
        <w:rPr>
          <w:rFonts w:hint="eastAsia" w:ascii="宋体" w:hAnsi="宋体"/>
          <w:color w:val="auto"/>
          <w:sz w:val="24"/>
          <w:szCs w:val="24"/>
          <w:highlight w:val="none"/>
        </w:rPr>
        <w:t xml:space="preserve">20. 争议解决</w:t>
      </w:r>
      <w:bookmarkEnd w:id="705"/>
      <w:r/>
      <w:bookmarkEnd w:id="706"/>
      <w:r/>
      <w:bookmarkEnd w:id="730"/>
      <w:r/>
      <w:r/>
    </w:p>
    <w:p>
      <w:pPr>
        <w:ind w:left="0" w:firstLine="420"/>
        <w:pageBreakBefore w:val="0"/>
        <w:spacing w:line="360" w:lineRule="auto"/>
        <w:rPr>
          <w:rFonts w:hint="eastAsia" w:ascii="宋体" w:hAnsi="宋体" w:eastAsia="宋体"/>
          <w:color w:val="auto"/>
          <w:sz w:val="24"/>
          <w:szCs w:val="24"/>
          <w:highlight w:val="none"/>
        </w:rPr>
        <w:outlineLvl w:val="0"/>
      </w:pPr>
      <w:r/>
      <w:bookmarkStart w:id="731" w:name="_Toc17723"/>
      <w:r>
        <w:rPr>
          <w:rFonts w:hint="eastAsia" w:ascii="宋体" w:hAnsi="宋体" w:eastAsia="宋体"/>
          <w:color w:val="auto"/>
          <w:sz w:val="24"/>
          <w:szCs w:val="24"/>
          <w:highlight w:val="none"/>
        </w:rPr>
        <w:t xml:space="preserve">20.3 争</w:t>
      </w:r>
      <w:bookmarkEnd w:id="707"/>
      <w:r>
        <w:rPr>
          <w:rFonts w:hint="eastAsia" w:ascii="宋体" w:hAnsi="宋体" w:eastAsia="宋体"/>
          <w:color w:val="auto"/>
          <w:sz w:val="24"/>
          <w:szCs w:val="24"/>
          <w:highlight w:val="none"/>
        </w:rPr>
        <w:t xml:space="preserve">议评审</w:t>
      </w:r>
      <w:bookmarkEnd w:id="731"/>
      <w:r/>
      <w:r/>
    </w:p>
    <w:p>
      <w:pPr>
        <w:ind w:left="0" w:firstLine="315"/>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合同当事人是否同意将工程争议提交争议评审小组决定：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left="0" w:firstLine="420"/>
        <w:jc w:val="left"/>
        <w:pageBreakBefore w:val="0"/>
        <w:spacing w:line="360" w:lineRule="auto"/>
        <w:rPr>
          <w:rFonts w:hint="eastAsia" w:ascii="宋体" w:hAnsi="宋体" w:eastAsia="宋体"/>
          <w:color w:val="auto"/>
          <w:sz w:val="24"/>
          <w:szCs w:val="24"/>
          <w:highlight w:val="none"/>
        </w:rPr>
        <w:outlineLvl w:val="0"/>
      </w:pPr>
      <w:r/>
      <w:bookmarkStart w:id="732" w:name="_Toc22184"/>
      <w:r>
        <w:rPr>
          <w:rFonts w:hint="eastAsia" w:ascii="宋体" w:hAnsi="宋体" w:eastAsia="宋体"/>
          <w:color w:val="auto"/>
          <w:sz w:val="24"/>
          <w:szCs w:val="24"/>
          <w:highlight w:val="none"/>
        </w:rPr>
        <w:t xml:space="preserve">20.3.1 争议评审小组的确定</w:t>
      </w:r>
      <w:bookmarkEnd w:id="732"/>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争议评审小组成员的确定：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选定争议评审员的期限：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争议评审小组成员的报酬承担方式：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其他事项的约定：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outlineLvl w:val="0"/>
      </w:pPr>
      <w:r/>
      <w:bookmarkStart w:id="733" w:name="_Toc24037"/>
      <w:r>
        <w:rPr>
          <w:rFonts w:hint="eastAsia" w:ascii="宋体" w:hAnsi="宋体" w:eastAsia="宋体"/>
          <w:color w:val="auto"/>
          <w:sz w:val="24"/>
          <w:szCs w:val="24"/>
          <w:highlight w:val="none"/>
        </w:rPr>
        <w:t xml:space="preserve">20.3.2 争议评审小组的决定</w:t>
      </w:r>
      <w:bookmarkEnd w:id="733"/>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合同当事人关于本项的约定：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outlineLvl w:val="0"/>
      </w:pPr>
      <w:r/>
      <w:bookmarkStart w:id="734" w:name="_Toc10320"/>
      <w:r>
        <w:rPr>
          <w:rFonts w:hint="eastAsia" w:ascii="宋体" w:hAnsi="宋体" w:eastAsia="宋体"/>
          <w:color w:val="auto"/>
          <w:sz w:val="24"/>
          <w:szCs w:val="24"/>
          <w:highlight w:val="none"/>
        </w:rPr>
        <w:t xml:space="preserve">20.4仲裁或诉讼</w:t>
      </w:r>
      <w:bookmarkEnd w:id="708"/>
      <w:r/>
      <w:bookmarkEnd w:id="734"/>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因合同及合同有关事项发生的争议，按下列第</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 xml:space="preserve">种方式解决：</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仲裁委员会申请仲裁；</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（2）向</w:t>
      </w:r>
      <w:r>
        <w:rPr>
          <w:rFonts w:hint="eastAsia" w:ascii="宋体" w:hAnsi="宋体" w:eastAsia="宋体"/>
          <w:color w:val="auto"/>
          <w:sz w:val="24"/>
          <w:szCs w:val="24"/>
          <w:highlight w:val="none"/>
          <w:u w:val="single"/>
        </w:rPr>
        <w:t xml:space="preserve">南通市通州区</w:t>
      </w:r>
      <w:r>
        <w:rPr>
          <w:rFonts w:hint="eastAsia" w:ascii="宋体" w:hAnsi="宋体" w:eastAsia="宋体"/>
          <w:color w:val="auto"/>
          <w:sz w:val="24"/>
          <w:szCs w:val="24"/>
          <w:highlight w:val="none"/>
        </w:rPr>
        <w:t xml:space="preserve">人民法院起诉。</w:t>
      </w:r>
      <w:bookmarkEnd w:id="709"/>
      <w:r/>
      <w:bookmarkEnd w:id="710"/>
      <w:r/>
      <w:bookmarkEnd w:id="711"/>
      <w:r/>
      <w:bookmarkEnd w:id="712"/>
      <w:r/>
      <w:bookmarkEnd w:id="713"/>
      <w:r/>
      <w:bookmarkEnd w:id="714"/>
      <w:r/>
      <w:r/>
    </w:p>
    <w:p>
      <w:pPr>
        <w:ind w:left="0"/>
        <w:pageBreakBefore w:val="0"/>
        <w:spacing w:line="360" w:lineRule="auto"/>
        <w:rPr>
          <w:rFonts w:hint="eastAsia" w:ascii="宋体" w:hAnsi="宋体" w:eastAsia="宋体"/>
          <w:color w:val="auto"/>
          <w:sz w:val="24"/>
          <w:szCs w:val="24"/>
          <w:highlight w:val="none"/>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olor w:val="auto"/>
          <w:sz w:val="24"/>
          <w:szCs w:val="24"/>
          <w:highlight w:val="none"/>
        </w:rPr>
      </w:r>
      <w:r/>
    </w:p>
    <w:p>
      <w:pPr>
        <w:ind w:left="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                             </w:t>
      </w:r>
      <w:r/>
    </w:p>
    <w:p>
      <w:pPr>
        <w:ind w:left="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廉政协议</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协议单位：发包人（简称甲方）：</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南通市通州区东社镇人民政府</w:t>
      </w:r>
      <w:r>
        <w:rPr>
          <w:rFonts w:hint="eastAsia" w:ascii="宋体" w:hAnsi="宋体" w:eastAsia="宋体"/>
          <w:color w:val="auto"/>
          <w:sz w:val="24"/>
          <w:szCs w:val="24"/>
          <w:highlight w:val="none"/>
          <w:u w:val="single"/>
        </w:rPr>
        <w:t xml:space="preserve"> </w:t>
      </w:r>
      <w:r/>
    </w:p>
    <w:p>
      <w:pPr>
        <w:ind w:left="0" w:firstLine="120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承包人（简称乙方）：</w:t>
      </w:r>
      <w:r>
        <w:rPr>
          <w:rFonts w:hint="eastAsia" w:ascii="宋体" w:hAnsi="宋体" w:eastAsia="宋体"/>
          <w:color w:val="auto"/>
          <w:sz w:val="24"/>
          <w:szCs w:val="24"/>
          <w:highlight w:val="none"/>
          <w:u w:val="single"/>
        </w:rPr>
        <w:t xml:space="preserve">                            </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南通市通州区东社镇社北路道路工程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自愿签订廉政协议：</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二、乙方不得以任何形式向甲方管理人员赠送各种贵重物品、礼金礼券和回扣、好处费等。如有违反，将移送有关单位，视情节轻重，给予党纪、政纪处分，构成犯罪的追究刑事责任。</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三、乙方在工程建设中贿赂甲方管理人员，经检举被核实查证的，甲方有权中止工程承包合同，乙方承担甲方造成的经济损失。</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四、甲方管理人员向乙方索贿，经检举被核实查证的，给予检举人奖励，奖金由甲方承担。</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五、乙方在承建工程中，若违反廉政协议，甲方可拒绝乙方以后参加的由甲方实施的政府项目的建设，直至取消乙方的政府投资项目投标资格。</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六、此协议与建设工程承包合同同时签订，一式捌份，甲乙双方各执肆份。</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七、此协议自双方签字盖章之日起生效。</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甲方单位：（公章）             乙方单位：（公章）</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法定代表人：</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委托代理人：</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地址：</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电话：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电话：</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年    月    日                  年    月    日</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监督单位（盖章）：</w:t>
      </w:r>
      <w:r/>
    </w:p>
    <w:p>
      <w:pPr>
        <w:ind w:left="0" w:firstLine="480"/>
        <w:pageBreakBefore w:val="0"/>
        <w:spacing w:line="360" w:lineRule="auto"/>
        <w:rPr>
          <w:rFonts w:hint="eastAsia" w:ascii="宋体" w:hAnsi="宋体" w:eastAsia="宋体" w:cs="Arial"/>
          <w:color w:val="auto"/>
          <w:sz w:val="24"/>
          <w:szCs w:val="24"/>
          <w:highlight w:val="none"/>
        </w:rPr>
      </w:pPr>
      <w:r>
        <w:rPr>
          <w:rFonts w:hint="eastAsia" w:ascii="宋体" w:hAnsi="宋体" w:eastAsia="宋体"/>
          <w:color w:val="auto"/>
          <w:sz w:val="24"/>
          <w:szCs w:val="24"/>
          <w:highlight w:val="none"/>
        </w:rPr>
        <w:t xml:space="preserve">年    月    日</w:t>
      </w:r>
      <w:r/>
    </w:p>
    <w:p>
      <w:pPr>
        <w:ind w:left="0"/>
        <w:jc w:val="center"/>
        <w:pageBreakBefore w:val="0"/>
        <w:spacing w:line="360" w:lineRule="auto"/>
        <w:rPr>
          <w:rFonts w:hint="eastAsia" w:ascii="宋体" w:hAnsi="宋体" w:eastAsia="宋体" w:cs="宋体"/>
          <w:color w:val="auto"/>
          <w:sz w:val="24"/>
          <w:szCs w:val="24"/>
          <w:highlight w:val="none"/>
        </w:rPr>
        <w:sectPr>
          <w:footnotePr/>
          <w:endnotePr/>
          <w:type w:val="nextPage"/>
          <w:pgSz w:w="11907" w:h="16840" w:orient="portrait"/>
          <w:pgMar w:top="1440" w:right="1559" w:bottom="1440" w:left="1560" w:header="851" w:footer="851" w:gutter="0"/>
          <w:lnNumType w:countBy="0" w:distance="360"/>
          <w:cols w:num="1" w:sep="0" w:space="720" w:equalWidth="1"/>
          <w:docGrid w:linePitch="360"/>
        </w:sectPr>
      </w:pPr>
      <w:r>
        <w:rPr>
          <w:rFonts w:hint="eastAsia" w:ascii="宋体" w:hAnsi="宋体" w:eastAsia="宋体" w:cs="宋体"/>
          <w:color w:val="auto"/>
          <w:sz w:val="24"/>
          <w:szCs w:val="24"/>
          <w:highlight w:val="none"/>
        </w:rPr>
      </w:r>
      <w:r/>
    </w:p>
    <w:p>
      <w:pPr>
        <w:ind w:left="0"/>
        <w:jc w:val="left"/>
        <w:pageBreakBefore w:val="0"/>
        <w:spacing w:line="360" w:lineRule="auto"/>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附件、                        安全生产合同</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南通市通州区东社镇人民政府</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南通市通州区东社镇社北路道路工程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施工合同的实施过程中创造安全、整洁的施工环境，切实搞好本项目的安全管理工作，本项目发包人与承包人特此签订安全生产合同：</w:t>
      </w:r>
      <w:r/>
    </w:p>
    <w:p>
      <w:pPr>
        <w:ind w:lef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一、发包人职责 </w:t>
      </w:r>
      <w:r/>
    </w:p>
    <w:p>
      <w:pPr>
        <w:numPr>
          <w:ilvl w:val="0"/>
          <w:numId w:val="6"/>
        </w:num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严格遵守国家有关安全生产的法律法规、认真执行工程承包合同中的有关安全要求。</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2．按照“安全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预防为主”和坚持“管生产必须管安全”的原则进行安全生产管理，做到生产与安全工作同时计划、布置、检查、总结和评比。</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3.重要的安全设施必须坚持与主体工程“三同时”的原则，即：同时设计、审批，同时施工，同时验收，投入使用。</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4.定期召开安全生产调度会，及时传达中央及地方有关安全生产的精神。</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5.组织对承包人施工现场安全生产检查，监督</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及时处理发现的各项隐患。</w:t>
      </w:r>
      <w:r/>
    </w:p>
    <w:p>
      <w:pPr>
        <w:ind w:lef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二、承包人职责</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1．严格遵守国家有关安全生产的法律法规和有关安全生产的规定，认真执行工程承包合同中的有关安全要求。</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4．承包人在任何时候都应采取各种合理的预防措施，防止其员工发生任何违法、违禁、暴力或妨碍治安的行为。</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auto"/>
          <w:sz w:val="24"/>
          <w:szCs w:val="24"/>
          <w:highlight w:val="none"/>
          <w:lang w:val="en-US" w:eastAsia="zh-CN"/>
        </w:rPr>
        <w:t xml:space="preserve">登</w:t>
      </w:r>
      <w:r>
        <w:rPr>
          <w:rFonts w:hint="eastAsia" w:ascii="宋体" w:hAnsi="宋体" w:eastAsia="宋体" w:cs="宋体"/>
          <w:color w:val="auto"/>
          <w:sz w:val="24"/>
          <w:szCs w:val="24"/>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left="0" w:firstLine="420"/>
        <w:pageBreakBefore w:val="0"/>
        <w:spacing w:line="360" w:lineRule="auto"/>
        <w:rPr>
          <w:rFonts w:hint="default"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7"/>
        </w:numPr>
        <w:ind w:lef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如因发包人或承包人违约造成安全事故，将依法追究责任。</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本合同正本一式二份，副本八份，合同双方各执正本一份，副本四份。由双方法定代表人或其授权的代理人签署与加盖公章后生效，全部工程竣工验收后失效。</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 包 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 </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委托代表人：</w:t>
      </w:r>
      <w:r/>
    </w:p>
    <w:p>
      <w:pPr>
        <w:ind w:left="0" w:firstLine="12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br w:type="page" w:clear="all"/>
      </w:r>
      <w:r/>
    </w:p>
    <w:p>
      <w:pPr>
        <w:ind w:left="0"/>
        <w:jc w:val="both"/>
        <w:pageBreakBefore w:val="0"/>
        <w:spacing w:line="360" w:lineRule="auto"/>
        <w:rPr>
          <w:rFonts w:hint="default"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附件3</w:t>
      </w:r>
      <w:r/>
    </w:p>
    <w:p>
      <w:pPr>
        <w:ind w:left="0"/>
        <w:jc w:val="center"/>
        <w:pageBreakBefore w:val="0"/>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工程质量保修书</w:t>
      </w:r>
      <w:r/>
    </w:p>
    <w:p>
      <w:pPr>
        <w:ind w:left="0" w:firstLine="420"/>
        <w:pageBreakBefore w:val="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发包人（全称）：</w:t>
      </w:r>
      <w:r>
        <w:rPr>
          <w:rFonts w:hint="eastAsia" w:ascii="宋体" w:hAnsi="宋体" w:eastAsia="宋体" w:cs="Times New Roman"/>
          <w:color w:val="auto"/>
          <w:sz w:val="24"/>
          <w:szCs w:val="24"/>
          <w:highlight w:val="none"/>
          <w:u w:val="single"/>
        </w:rPr>
        <w:t xml:space="preserve"> </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承包人（全称）：</w:t>
      </w:r>
      <w:r>
        <w:rPr>
          <w:rFonts w:hint="eastAsia" w:ascii="宋体" w:hAnsi="宋体" w:eastAsia="宋体" w:cs="Times New Roman"/>
          <w:color w:val="auto"/>
          <w:sz w:val="24"/>
          <w:szCs w:val="24"/>
          <w:highlight w:val="none"/>
          <w:u w:val="single"/>
        </w:rPr>
        <w:t xml:space="preserve">                           </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发包人和承包人根据《中华人民共和国建筑法》和《建设工程质量管理条例》，经协商一致就</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签订工程质量保修书。</w:t>
      </w:r>
      <w:r/>
    </w:p>
    <w:p>
      <w:pPr>
        <w:ind w:left="0"/>
        <w:pageBreakBefore w:val="0"/>
        <w:spacing w:line="360" w:lineRule="auto"/>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rPr>
        <w:t xml:space="preserve">　　</w:t>
      </w:r>
      <w:bookmarkStart w:id="735" w:name="_Toc2372"/>
      <w:r>
        <w:rPr>
          <w:rFonts w:hint="eastAsia" w:ascii="宋体" w:hAnsi="宋体" w:eastAsia="宋体" w:cs="Times New Roman"/>
          <w:color w:val="auto"/>
          <w:sz w:val="24"/>
          <w:szCs w:val="24"/>
          <w:highlight w:val="none"/>
        </w:rPr>
        <w:t xml:space="preserve">一、工程质量保修范围和内容</w:t>
      </w:r>
      <w:bookmarkEnd w:id="735"/>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承包人在质量保修期内，按照有关法律规定和合同约定，承担工程质量保修责任。</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质量保修范围包括</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，以及双方约定的其他项目。具体保修的内容，双方约定如下：</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u w:val="single"/>
        </w:rPr>
        <w:t xml:space="preserve">  详见工程量清单及本工程竣工后实际完成的所有工作内容    </w:t>
      </w:r>
      <w:r>
        <w:rPr>
          <w:rFonts w:hint="eastAsia" w:ascii="宋体" w:hAnsi="宋体" w:eastAsia="宋体" w:cs="Times New Roman"/>
          <w:color w:val="auto"/>
          <w:sz w:val="24"/>
          <w:szCs w:val="24"/>
          <w:highlight w:val="none"/>
        </w:rPr>
        <w:t xml:space="preserve">。</w:t>
      </w:r>
      <w:r/>
    </w:p>
    <w:p>
      <w:pPr>
        <w:ind w:left="0"/>
        <w:pageBreakBefore w:val="0"/>
        <w:spacing w:line="360" w:lineRule="auto"/>
        <w:rPr>
          <w:rFonts w:hint="eastAsia" w:ascii="宋体" w:hAnsi="宋体" w:eastAsia="宋体" w:cs="Times New Roman"/>
          <w:color w:val="auto"/>
          <w:sz w:val="24"/>
          <w:szCs w:val="24"/>
          <w:highlight w:val="none"/>
        </w:rPr>
        <w:outlineLvl w:val="0"/>
      </w:pPr>
      <w:r>
        <w:rPr>
          <w:rFonts w:hint="eastAsia" w:ascii="宋体" w:hAnsi="宋体" w:eastAsia="宋体" w:cs="Times New Roman"/>
          <w:b/>
          <w:color w:val="auto"/>
          <w:sz w:val="24"/>
          <w:szCs w:val="24"/>
          <w:highlight w:val="none"/>
        </w:rPr>
        <w:t xml:space="preserve">　　</w:t>
      </w:r>
      <w:bookmarkStart w:id="736" w:name="_Toc29208"/>
      <w:r>
        <w:rPr>
          <w:rFonts w:hint="eastAsia" w:ascii="宋体" w:hAnsi="宋体" w:eastAsia="宋体" w:cs="Times New Roman"/>
          <w:color w:val="auto"/>
          <w:sz w:val="24"/>
          <w:szCs w:val="24"/>
          <w:highlight w:val="none"/>
        </w:rPr>
        <w:t xml:space="preserve">二、质量保修期</w:t>
      </w:r>
      <w:bookmarkEnd w:id="736"/>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根据《建设工程质量管理条例》及有关规定，工程的质量保修期如下：</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1．地基基础工程和主体结构工程为设计文件规定的工程合理使用年限；</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2．屋面防水工程、有防水要求的卫生间、房间和外墙面的防渗为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p>
    <w:p>
      <w:pPr>
        <w:ind w:left="420" w:firstLine="1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3．装修工程为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p>
    <w:p>
      <w:pPr>
        <w:ind w:left="420" w:firstLine="1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4．电气管线、给排水管道、设备安装工程为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p>
    <w:p>
      <w:pPr>
        <w:ind w:left="420" w:firstLine="1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5．供热与供冷系统为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个采暖期、供冷期；</w:t>
      </w:r>
      <w:r/>
    </w:p>
    <w:p>
      <w:pPr>
        <w:ind w:left="420" w:firstLine="1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6．住宅小区内的给排水设施、道路等配套工程为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p>
    <w:p>
      <w:pPr>
        <w:ind w:left="420" w:firstLine="1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7．其他项目保修期限约定如下：</w:t>
      </w:r>
      <w:r/>
    </w:p>
    <w:p>
      <w:pPr>
        <w:ind w:firstLine="24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Times New Roman" w:hAnsi="宋体" w:eastAsia="宋体" w:cs="Times New Roman"/>
          <w:b/>
          <w:color w:val="auto"/>
          <w:sz w:val="24"/>
          <w:szCs w:val="24"/>
          <w:highlight w:val="none"/>
          <w:u w:val="single"/>
        </w:rPr>
        <w:t xml:space="preserve">本工程</w:t>
      </w:r>
      <w:r>
        <w:rPr>
          <w:rFonts w:hint="eastAsia" w:ascii="Times New Roman" w:hAnsi="宋体" w:eastAsia="宋体" w:cs="Times New Roman"/>
          <w:b/>
          <w:color w:val="auto"/>
          <w:sz w:val="24"/>
          <w:szCs w:val="24"/>
          <w:highlight w:val="none"/>
          <w:u w:val="single"/>
          <w:lang w:val="en-US" w:eastAsia="zh-CN"/>
        </w:rPr>
        <w:t xml:space="preserve">质量</w:t>
      </w:r>
      <w:r>
        <w:rPr>
          <w:rFonts w:hint="eastAsia" w:ascii="Times New Roman" w:hAnsi="宋体" w:eastAsia="宋体" w:cs="Times New Roman"/>
          <w:b/>
          <w:color w:val="auto"/>
          <w:sz w:val="24"/>
          <w:szCs w:val="24"/>
          <w:highlight w:val="none"/>
          <w:u w:val="single"/>
        </w:rPr>
        <w:t xml:space="preserve">保修期</w:t>
      </w:r>
      <w:r>
        <w:rPr>
          <w:rFonts w:hint="eastAsia" w:ascii="Times New Roman" w:hAnsi="宋体" w:eastAsia="宋体" w:cs="Times New Roman"/>
          <w:b/>
          <w:color w:val="auto"/>
          <w:sz w:val="24"/>
          <w:szCs w:val="24"/>
          <w:highlight w:val="none"/>
          <w:u w:val="single"/>
          <w:lang w:val="en-US" w:eastAsia="zh-CN"/>
        </w:rPr>
        <w:t xml:space="preserve">三年（其中绿化一级养护两年）</w:t>
      </w:r>
      <w:r>
        <w:rPr>
          <w:rFonts w:hint="eastAsia" w:ascii="Calibri" w:hAnsi="宋体" w:eastAsia="宋体" w:cs="Times New Roman"/>
          <w:b/>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质量保修期自工程竣工验收合格之日起计算。</w:t>
      </w:r>
      <w:r/>
    </w:p>
    <w:p>
      <w:pPr>
        <w:ind w:left="0" w:firstLine="420"/>
        <w:pageBreakBefore w:val="0"/>
        <w:spacing w:line="360" w:lineRule="auto"/>
        <w:rPr>
          <w:rFonts w:hint="eastAsia" w:ascii="宋体" w:hAnsi="宋体" w:eastAsia="宋体" w:cs="Times New Roman"/>
          <w:color w:val="auto"/>
          <w:sz w:val="24"/>
          <w:szCs w:val="24"/>
          <w:highlight w:val="none"/>
        </w:rPr>
      </w:pPr>
      <w:r/>
      <w:bookmarkStart w:id="737" w:name="_Toc18658"/>
      <w:r>
        <w:rPr>
          <w:rFonts w:hint="eastAsia" w:ascii="宋体" w:hAnsi="宋体" w:eastAsia="宋体" w:cs="Times New Roman"/>
          <w:color w:val="auto"/>
          <w:sz w:val="24"/>
          <w:szCs w:val="24"/>
          <w:highlight w:val="none"/>
        </w:rPr>
        <w:t xml:space="preserve">三、缺陷责任期</w:t>
      </w:r>
      <w:bookmarkEnd w:id="737"/>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left="0" w:firstLine="42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缺陷责任期终止后，发包人应退还剩余的质量保证金。</w:t>
      </w:r>
      <w:r/>
    </w:p>
    <w:p>
      <w:pPr>
        <w:ind w:left="0"/>
        <w:pageBreakBefore w:val="0"/>
        <w:spacing w:line="360" w:lineRule="auto"/>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rPr>
        <w:t xml:space="preserve">    </w:t>
      </w:r>
      <w:bookmarkStart w:id="738" w:name="_Toc5031"/>
      <w:r>
        <w:rPr>
          <w:rFonts w:hint="eastAsia" w:ascii="宋体" w:hAnsi="宋体" w:eastAsia="宋体" w:cs="Times New Roman"/>
          <w:color w:val="auto"/>
          <w:sz w:val="24"/>
          <w:szCs w:val="24"/>
          <w:highlight w:val="none"/>
        </w:rPr>
        <w:t xml:space="preserve">四、质量保修责任</w:t>
      </w:r>
      <w:bookmarkEnd w:id="738"/>
      <w:r/>
      <w:r/>
    </w:p>
    <w:p>
      <w:pPr>
        <w:ind w:left="0" w:firstLine="43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0" w:firstLine="43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2．发生紧急事故需抢修的，承包人在接到事故通知后，应当立即到达事故现场抢修。</w:t>
      </w:r>
      <w:r/>
    </w:p>
    <w:p>
      <w:pPr>
        <w:ind w:left="0" w:firstLine="43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105"/>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4．质量保修完成后，由发包人组织验收。</w:t>
      </w:r>
      <w:r/>
    </w:p>
    <w:p>
      <w:pPr>
        <w:ind w:left="0"/>
        <w:pageBreakBefore w:val="0"/>
        <w:spacing w:line="360" w:lineRule="auto"/>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rPr>
        <w:t xml:space="preserve">　　</w:t>
      </w:r>
      <w:bookmarkStart w:id="739" w:name="_Toc32029"/>
      <w:r>
        <w:rPr>
          <w:rFonts w:hint="eastAsia" w:ascii="宋体" w:hAnsi="宋体" w:eastAsia="宋体" w:cs="Times New Roman"/>
          <w:color w:val="auto"/>
          <w:sz w:val="24"/>
          <w:szCs w:val="24"/>
          <w:highlight w:val="none"/>
        </w:rPr>
        <w:t xml:space="preserve">五、保修费用</w:t>
      </w:r>
      <w:bookmarkEnd w:id="739"/>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保修费用由造成质量缺陷的责任方承担。</w:t>
      </w:r>
      <w:r/>
    </w:p>
    <w:p>
      <w:pPr>
        <w:ind w:left="0" w:firstLine="420"/>
        <w:jc w:val="left"/>
        <w:pageBreakBefore w:val="0"/>
        <w:spacing w:line="360" w:lineRule="auto"/>
        <w:rPr>
          <w:rFonts w:hint="eastAsia" w:ascii="宋体" w:hAnsi="宋体" w:eastAsia="宋体" w:cs="Times New Roman"/>
          <w:color w:val="auto"/>
          <w:sz w:val="24"/>
          <w:szCs w:val="24"/>
          <w:highlight w:val="none"/>
        </w:rPr>
        <w:outlineLvl w:val="0"/>
      </w:pPr>
      <w:r/>
      <w:bookmarkStart w:id="740" w:name="_Toc32222"/>
      <w:r>
        <w:rPr>
          <w:rFonts w:hint="eastAsia" w:ascii="宋体" w:hAnsi="宋体" w:eastAsia="宋体" w:cs="Times New Roman"/>
          <w:color w:val="auto"/>
          <w:sz w:val="24"/>
          <w:szCs w:val="24"/>
          <w:highlight w:val="none"/>
        </w:rPr>
        <w:t xml:space="preserve">六、双方约定的其他工程质量保修项：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bookmarkEnd w:id="740"/>
      <w:r/>
      <w:r/>
    </w:p>
    <w:p>
      <w:pPr>
        <w:ind w:left="0" w:firstLine="399"/>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工程质量保修书由发包人、承包人在工程竣工验收前共同签署，作为施工合同附件，其有效期限至保修期满。</w:t>
      </w:r>
      <w:r/>
    </w:p>
    <w:p>
      <w:pPr>
        <w:ind w:left="0" w:firstLine="42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公章</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承包人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公章</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  址：</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地  址：</w:t>
      </w:r>
      <w:r>
        <w:rPr>
          <w:rFonts w:hint="eastAsia" w:ascii="宋体" w:hAnsi="宋体" w:eastAsia="宋体" w:cs="Times New Roman"/>
          <w:color w:val="auto"/>
          <w:sz w:val="24"/>
          <w:szCs w:val="24"/>
          <w:highlight w:val="none"/>
          <w:u w:val="single"/>
        </w:rPr>
        <w:t xml:space="preserve">                          </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签字</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法定代表人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签字</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签字</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委托代理人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签字</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  话：</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电  话：</w:t>
      </w:r>
      <w:r>
        <w:rPr>
          <w:rFonts w:hint="eastAsia" w:ascii="宋体" w:hAnsi="宋体" w:eastAsia="宋体" w:cs="Times New Roman"/>
          <w:color w:val="auto"/>
          <w:sz w:val="24"/>
          <w:szCs w:val="24"/>
          <w:highlight w:val="none"/>
          <w:u w:val="single"/>
        </w:rPr>
        <w:t xml:space="preserve">                          </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  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传  真：</w:t>
      </w:r>
      <w:r>
        <w:rPr>
          <w:rFonts w:hint="eastAsia" w:ascii="宋体" w:hAnsi="宋体" w:eastAsia="宋体" w:cs="Times New Roman"/>
          <w:color w:val="auto"/>
          <w:sz w:val="24"/>
          <w:szCs w:val="24"/>
          <w:highlight w:val="none"/>
          <w:u w:val="single"/>
        </w:rPr>
        <w:t xml:space="preserve">                          </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开户银行：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开户银行：</w:t>
      </w:r>
      <w:r>
        <w:rPr>
          <w:rFonts w:hint="eastAsia" w:ascii="宋体" w:hAnsi="宋体" w:eastAsia="宋体" w:cs="Times New Roman"/>
          <w:color w:val="auto"/>
          <w:sz w:val="24"/>
          <w:szCs w:val="24"/>
          <w:highlight w:val="none"/>
          <w:u w:val="single"/>
        </w:rPr>
        <w:t xml:space="preserve">                        </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账  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账  号：</w:t>
      </w:r>
      <w:r>
        <w:rPr>
          <w:rFonts w:hint="eastAsia" w:ascii="宋体" w:hAnsi="宋体" w:eastAsia="宋体" w:cs="Times New Roman"/>
          <w:color w:val="auto"/>
          <w:sz w:val="24"/>
          <w:szCs w:val="24"/>
          <w:highlight w:val="none"/>
          <w:u w:val="single"/>
        </w:rPr>
        <w:t xml:space="preserve">                          </w:t>
      </w:r>
      <w:r/>
    </w:p>
    <w:p>
      <w:pPr>
        <w:ind w:left="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邮政编码：</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邮政编码：</w:t>
      </w:r>
      <w:r>
        <w:rPr>
          <w:rFonts w:hint="eastAsia" w:ascii="宋体" w:hAnsi="宋体" w:eastAsia="宋体" w:cs="Times New Roman"/>
          <w:color w:val="auto"/>
          <w:sz w:val="24"/>
          <w:szCs w:val="24"/>
          <w:highlight w:val="none"/>
          <w:u w:val="singl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发包人保留对本合同修改的权</w:t>
      </w:r>
      <w:r>
        <w:rPr>
          <w:rFonts w:hint="eastAsia" w:ascii="宋体" w:hAnsi="宋体" w:eastAsia="宋体" w:cs="宋体"/>
          <w:b/>
          <w:color w:val="auto"/>
          <w:sz w:val="24"/>
          <w:szCs w:val="24"/>
          <w:highlight w:val="none"/>
          <w:lang w:eastAsia="zh-CN"/>
        </w:rPr>
        <w:t xml:space="preserve">利</w:t>
      </w:r>
      <w:bookmarkEnd w:id="157"/>
      <w:r/>
      <w:r/>
    </w:p>
    <w:p>
      <w:pPr>
        <w:rPr>
          <w:rFonts w:ascii="宋体" w:hAnsi="宋体" w:eastAsia="宋体" w:cs="宋体"/>
          <w:b/>
          <w:color w:val="auto"/>
          <w:spacing w:val="20"/>
          <w:sz w:val="35"/>
          <w:highlight w:val="none"/>
        </w:rPr>
      </w:pPr>
      <w:r>
        <w:rPr>
          <w:rFonts w:ascii="宋体" w:hAnsi="宋体" w:eastAsia="宋体" w:cs="宋体"/>
          <w:b/>
          <w:color w:val="auto"/>
          <w:spacing w:val="20"/>
          <w:sz w:val="35"/>
          <w:highlight w:val="none"/>
        </w:rPr>
        <w:br w:type="page" w:clear="all"/>
      </w:r>
      <w:r/>
    </w:p>
    <w:p>
      <w:pPr>
        <w:ind w:left="1423" w:right="0" w:firstLine="0"/>
        <w:jc w:val="both"/>
        <w:spacing w:before="216" w:after="0" w:line="493"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line="34"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1012"/>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5124" w:right="2530" w:firstLine="183"/>
              <w:jc w:val="both"/>
              <w:spacing w:before="75" w:after="0" w:line="119" w:lineRule="atLeast"/>
              <w:rPr>
                <w:rFonts w:hint="eastAsia"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hint="eastAsia" w:ascii="Times New Roman" w:hAnsi="Times New Roman" w:eastAsia="宋体" w:cs="Times New Roman"/>
                <w:color w:val="auto"/>
                <w:highlight w:val="none"/>
                <w:lang w:val="en-US" w:eastAsia="zh-CN"/>
              </w:rPr>
              <w:t xml:space="preserve">单位公章</w:t>
            </w:r>
            <w:r/>
          </w:p>
          <w:p>
            <w:pPr>
              <w:jc w:val="right"/>
              <w:keepLines/>
              <w:keepNext/>
              <w:spacing w:before="260" w:after="260" w:line="416" w:lineRule="auto"/>
              <w:widowControl w:val="off"/>
              <w:rPr>
                <w:rFonts w:hint="default" w:ascii="Arial" w:hAnsi="Arial" w:eastAsia="幼圆" w:cs="Arial"/>
                <w:b/>
                <w:bCs/>
                <w:color w:val="auto"/>
                <w:sz w:val="44"/>
                <w:szCs w:val="44"/>
                <w:highlight w:val="none"/>
                <w:lang w:val="en-US" w:eastAsia="zh-CN" w:bidi="ar-SA"/>
              </w:rPr>
              <w:outlineLvl w:val="1"/>
            </w:pPr>
            <w:r>
              <w:rPr>
                <w:rFonts w:hint="eastAsia" w:ascii="Times New Roman" w:hAnsi="Times New Roman" w:eastAsia="宋体" w:cs="Times New Roman"/>
                <w:b w:val="0"/>
                <w:bCs w:val="0"/>
                <w:color w:val="auto"/>
                <w:sz w:val="21"/>
                <w:szCs w:val="22"/>
                <w:highlight w:val="none"/>
                <w:lang w:val="en-US" w:eastAsia="zh-CN" w:bidi="ar-SA"/>
              </w:rPr>
              <w:t xml:space="preserve">  年   月   日</w:t>
            </w:r>
            <w:r/>
          </w:p>
        </w:tc>
      </w:tr>
    </w:tbl>
    <w:p>
      <w:pPr>
        <w:pStyle w:val="793"/>
        <w:rPr>
          <w:rFonts w:hint="eastAsia"/>
          <w:color w:val="auto"/>
          <w:highlight w:val="none"/>
        </w:rPr>
      </w:pPr>
      <w:r>
        <w:rPr>
          <w:rFonts w:hint="eastAsia"/>
          <w:color w:val="auto"/>
          <w:highlight w:val="none"/>
        </w:rPr>
      </w:r>
      <w:r/>
    </w:p>
    <w:p>
      <w:pPr>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br w:type="page" w:clear="all"/>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58"/>
      <w:r/>
      <w:bookmarkEnd w:id="159"/>
      <w:r/>
      <w:bookmarkEnd w:id="160"/>
      <w:r/>
      <w:bookmarkStart w:id="741" w:name="_Toc49090575"/>
      <w:r/>
      <w:bookmarkStart w:id="742" w:name="_Toc26554093"/>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  </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南通市通州区东社镇社北路道路工程</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220.108222万元。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198.09万元。</w:t>
      </w:r>
      <w:r>
        <w:rPr>
          <w:rFonts w:hint="eastAsia" w:ascii="宋体" w:hAnsi="宋体" w:eastAsia="宋体" w:cs="宋体"/>
          <w:color w:val="auto"/>
          <w:sz w:val="24"/>
          <w:szCs w:val="24"/>
          <w:highlight w:val="none"/>
        </w:rPr>
        <w:t xml:space="preserve">最终报价超过</w:t>
      </w:r>
      <w:r>
        <w:rPr>
          <w:rFonts w:hint="eastAsia" w:ascii="宋体" w:hAnsi="宋体" w:eastAsia="宋体" w:cs="宋体"/>
          <w:color w:val="auto"/>
          <w:sz w:val="24"/>
          <w:szCs w:val="24"/>
          <w:highlight w:val="none"/>
          <w:lang w:eastAsia="zh-CN"/>
        </w:rPr>
        <w:t xml:space="preserve">各采购包</w:t>
      </w:r>
      <w:r>
        <w:rPr>
          <w:rFonts w:hint="eastAsia" w:ascii="宋体" w:hAnsi="宋体" w:eastAsia="宋体" w:cs="宋体"/>
          <w:color w:val="auto"/>
          <w:sz w:val="24"/>
          <w:szCs w:val="24"/>
          <w:highlight w:val="none"/>
        </w:rPr>
        <w:t xml:space="preserve">最高限价的为无效响应文件。</w:t>
      </w:r>
      <w:r/>
    </w:p>
    <w:p>
      <w:pPr>
        <w:ind w:left="0" w:firstLine="48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Times New Roman"/>
          <w:color w:val="auto"/>
          <w:sz w:val="24"/>
          <w:highlight w:val="none"/>
          <w:lang w:val="en-US" w:eastAsia="zh-CN"/>
        </w:rPr>
        <w:t xml:space="preserve">项目类型：工程类</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lang w:val="en-US" w:eastAsia="zh-CN"/>
        </w:rPr>
        <w:t xml:space="preserve">7.</w:t>
      </w:r>
      <w:r>
        <w:rPr>
          <w:rFonts w:hint="eastAsia" w:ascii="宋体" w:hAnsi="宋体" w:eastAsia="宋体" w:cs="Arial"/>
          <w:color w:val="auto"/>
          <w:sz w:val="24"/>
          <w:highlight w:val="none"/>
          <w:lang w:val="en-US" w:eastAsia="zh-CN"/>
        </w:rPr>
        <w:t xml:space="preserve">项目</w:t>
      </w:r>
      <w:r>
        <w:rPr>
          <w:rFonts w:hint="eastAsia" w:ascii="宋体" w:hAnsi="宋体" w:eastAsia="宋体" w:cs="Arial"/>
          <w:color w:val="auto"/>
          <w:sz w:val="24"/>
          <w:highlight w:val="none"/>
        </w:rPr>
        <w:t xml:space="preserve">所属行业：建筑业</w:t>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.采购需求：由于社北路损坏严重，需要重建。项目西起新东路，东至园区路，全长约0.229km。具体详见工程量清单。</w:t>
      </w:r>
      <w:r>
        <w:rPr>
          <w:rFonts w:hint="eastAsia" w:ascii="宋体" w:hAnsi="宋体" w:eastAsia="宋体" w:cs="宋体"/>
          <w:color w:val="auto"/>
          <w:sz w:val="24"/>
          <w:szCs w:val="24"/>
          <w:highlight w:val="none"/>
          <w:lang w:val="en-US" w:eastAsia="zh-CN"/>
        </w:rPr>
        <w:t xml:space="preserve">一旦成交，不得提出额外要求。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10.质量标准：合格。</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eastAsia="zh-CN"/>
        </w:rPr>
        <w:t xml:space="preserve">、工程量清单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43" w:name="_Toc498006749"/>
      <w:r/>
      <w:bookmarkStart w:id="744" w:name="_Toc473034406"/>
      <w:r>
        <w:rPr>
          <w:rFonts w:hint="eastAsia" w:ascii="宋体" w:hAnsi="宋体" w:eastAsia="宋体" w:cs="宋体"/>
          <w:b/>
          <w:color w:val="auto"/>
          <w:sz w:val="24"/>
          <w:szCs w:val="24"/>
          <w:highlight w:val="none"/>
        </w:rPr>
        <w:t xml:space="preserve">1．工程量清单编制说明</w:t>
      </w:r>
      <w:bookmarkEnd w:id="743"/>
      <w:r/>
      <w:bookmarkEnd w:id="744"/>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1.1本工程量清单应与招标文件中的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须知、通用合同条款、专用合同条款、技术标准和要求及图纸等章节内容一起阅读和理解。</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1.3本条第1.1款中约定的计量和计价规则适用于合同履约过程中工程量计量与价款支付、工程变更、索赔和工程结算。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1.4本条与本章第2条和第3条的说明内容是构成合同文件的已标价工程量清单的组成部分。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45" w:name="_Toc498006750"/>
      <w:r/>
      <w:bookmarkStart w:id="746" w:name="_Toc473034407"/>
      <w:r>
        <w:rPr>
          <w:rFonts w:hint="eastAsia" w:ascii="宋体" w:hAnsi="宋体" w:eastAsia="宋体" w:cs="宋体"/>
          <w:b/>
          <w:color w:val="auto"/>
          <w:sz w:val="24"/>
          <w:szCs w:val="24"/>
          <w:highlight w:val="none"/>
        </w:rPr>
        <w:t xml:space="preserve">2．投标报价编制要求</w:t>
      </w:r>
      <w:bookmarkEnd w:id="745"/>
      <w:r/>
      <w:bookmarkEnd w:id="746"/>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2.1投标报价应根据招标文件中的有关计价要求，并按照下列依据自主报价，但不得低于成本。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本招标文件；</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相关计算规范；</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招标文件、招标工程量清单及其补充通知、答疑纪要；</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设计文件及相关资料；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招标文件后附的工程量清单标明的工程量是投标人投标报价的共同基础，招标人提供的工程量清单应结合投标人须知、合同条款技术标准和要求与图纸一起阅读理解。工程量清单中的工作内容分类、子目列项、特征描述以及“</w:t>
      </w:r>
      <w:r>
        <w:rPr>
          <w:rFonts w:hint="eastAsia" w:ascii="Times New Roman" w:hAnsi="Times New Roman" w:eastAsia="宋体" w:cs="Times New Roman"/>
          <w:color w:val="auto"/>
          <w:sz w:val="24"/>
          <w:szCs w:val="24"/>
          <w:highlight w:val="none"/>
          <w:lang w:val="en-US" w:eastAsia="zh-CN"/>
        </w:rPr>
        <w:t xml:space="preserve">分部分项工程项目清单计价表</w:t>
      </w:r>
      <w:r>
        <w:rPr>
          <w:rFonts w:hint="eastAsia" w:ascii="宋体" w:hAnsi="宋体" w:eastAsia="宋体" w:cs="宋体"/>
          <w:color w:val="auto"/>
          <w:sz w:val="24"/>
          <w:szCs w:val="24"/>
          <w:highlight w:val="none"/>
        </w:rPr>
        <w:t xml:space="preserve">”中附带的工程量都不应理解为是对承包(招标)范围以及合同工作内容的唯一的、最终的或全部的定义。投标报价应包括招标文件所确定的招标范围内相应工程量清单及相关资料的全部内容，以及为完成上述内容所</w:t>
      </w:r>
      <w:r>
        <w:rPr>
          <w:rFonts w:hint="eastAsia" w:ascii="宋体" w:hAnsi="宋体" w:eastAsia="宋体" w:cs="宋体"/>
          <w:color w:val="auto"/>
          <w:sz w:val="24"/>
          <w:szCs w:val="24"/>
          <w:highlight w:val="none"/>
          <w:lang w:eastAsia="zh-CN"/>
        </w:rPr>
        <w:t xml:space="preserve">必需</w:t>
      </w:r>
      <w:r>
        <w:rPr>
          <w:rFonts w:hint="eastAsia" w:ascii="宋体" w:hAnsi="宋体" w:eastAsia="宋体" w:cs="宋体"/>
          <w:color w:val="auto"/>
          <w:sz w:val="24"/>
          <w:szCs w:val="24"/>
          <w:highlight w:val="none"/>
        </w:rPr>
        <w:t xml:space="preserve">的附属工程、临时工程、材料、劳务及所需的全部费用。竣工结算的工程量按合同约定确定。</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2.4工程量清单中标价的单价或金额，应包括所需人工费、材料费、施工机具使用费、管理费和利润，以及一定范围内的风险费用。所谓“一定范围内的风险”是指合同约定的风险。</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投标单位的投标报价，应当包括完成提供的工程量清单范围内的所有项目所需的全部费用，投标人已标价工程量清单中如果出现少算、漏算费用或未填单价和合价的工程项目，其费用视为已分摊在工程量清单中其他已标价的相关子目的单价或价格之中。除本招标文件或合同另有约定外，结算时不得调整。</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表E.1.1-3单位工程汇总表”（暂）</w:t>
      </w:r>
      <w:r>
        <w:rPr>
          <w:rFonts w:hint="eastAsia" w:ascii="宋体" w:hAnsi="宋体" w:eastAsia="宋体" w:cs="宋体"/>
          <w:color w:val="auto"/>
          <w:sz w:val="24"/>
          <w:szCs w:val="24"/>
          <w:highlight w:val="none"/>
        </w:rPr>
        <w:t xml:space="preserve">”中的投标总价由分部分项工程费、措施项目费、其他项目费和税金组成，并且“</w:t>
      </w:r>
      <w:r>
        <w:rPr>
          <w:rFonts w:hint="eastAsia" w:ascii="宋体" w:hAnsi="宋体" w:eastAsia="宋体" w:cs="宋体"/>
          <w:color w:val="auto"/>
          <w:sz w:val="24"/>
          <w:szCs w:val="24"/>
          <w:highlight w:val="none"/>
          <w:lang w:val="en-US" w:eastAsia="zh-CN"/>
        </w:rPr>
        <w:t xml:space="preserve">表E.1.1-3单位工程汇总表”（暂）</w:t>
      </w:r>
      <w:r>
        <w:rPr>
          <w:rFonts w:hint="eastAsia" w:ascii="宋体" w:hAnsi="宋体" w:eastAsia="宋体" w:cs="宋体"/>
          <w:color w:val="auto"/>
          <w:sz w:val="24"/>
          <w:szCs w:val="24"/>
          <w:highlight w:val="none"/>
        </w:rPr>
        <w:t xml:space="preserve">”中的投标总价应当与构成已标价工程量清单的分部分项工程费、措施项目费、其他项目费、税金的合计金额一致。</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2.7分部分项工程和措施项目中的单价项目按下列要求报价：</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2.7.1分部分项工程和措施项目中的单价项目，应根据招标文件和招标工程量清单确定综合单价。</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2.7.2如果分部分项工程量清单中涉及“</w:t>
      </w:r>
      <w:r>
        <w:rPr>
          <w:rFonts w:hint="eastAsia" w:ascii="宋体" w:hAnsi="宋体" w:eastAsia="宋体" w:cs="宋体"/>
          <w:color w:val="auto"/>
          <w:sz w:val="24"/>
          <w:szCs w:val="24"/>
          <w:highlight w:val="none"/>
          <w:lang w:val="en-US" w:eastAsia="zh-CN"/>
        </w:rPr>
        <w:t xml:space="preserve">表E.2.3材料暂估单价及调整表</w:t>
      </w:r>
      <w:r>
        <w:rPr>
          <w:rFonts w:hint="eastAsia" w:ascii="宋体" w:hAnsi="宋体" w:eastAsia="宋体" w:cs="宋体"/>
          <w:color w:val="auto"/>
          <w:sz w:val="24"/>
          <w:szCs w:val="24"/>
          <w:highlight w:val="none"/>
        </w:rPr>
        <w:t xml:space="preserve">”中列出的材料和工程设备，将该类材料和工程设备的暂估单价计入对应的工程量清单综合单价。</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2.7.3如果分部分项工程量清单中涉及“</w:t>
      </w:r>
      <w:r>
        <w:rPr>
          <w:rFonts w:hint="eastAsia" w:ascii="宋体" w:hAnsi="宋体" w:eastAsia="宋体" w:cs="宋体"/>
          <w:color w:val="auto"/>
          <w:sz w:val="24"/>
          <w:szCs w:val="24"/>
          <w:highlight w:val="none"/>
          <w:lang w:val="en-US" w:eastAsia="zh-CN"/>
        </w:rPr>
        <w:t xml:space="preserve">表G.1.1</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材料一览表”中列出的材料和工程设备，则该类材料和工程设备供应至现场指定位置的采购供应价（含材料保管费）应计入对应的工程量清单综合单价。</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w:t>
      </w:r>
      <w:r>
        <w:rPr>
          <w:rFonts w:hint="eastAsia" w:ascii="Times New Roman" w:hAnsi="Times New Roman" w:eastAsia="宋体" w:cs="Times New Roman"/>
          <w:color w:val="auto"/>
          <w:sz w:val="24"/>
          <w:szCs w:val="24"/>
          <w:highlight w:val="none"/>
          <w:lang w:val="en-US" w:eastAsia="zh-CN"/>
        </w:rPr>
        <w:t xml:space="preserve">表E.2.1分部分项工程项目清单计价表</w:t>
      </w:r>
      <w:r>
        <w:rPr>
          <w:rFonts w:hint="eastAsia" w:ascii="宋体" w:hAnsi="宋体" w:eastAsia="宋体" w:cs="宋体"/>
          <w:color w:val="auto"/>
          <w:sz w:val="24"/>
          <w:szCs w:val="24"/>
          <w:highlight w:val="none"/>
        </w:rPr>
        <w:t xml:space="preserve">”所列各项目的综合单价组成中，各项目的人工、材料和机械台班消耗量、管理费费率、利润费率由投标人按照其自身情况做充分的、竞争性考虑。</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2.7.5投标人在投标文件中提交并构成合同文件的“</w:t>
      </w:r>
      <w:r>
        <w:rPr>
          <w:rFonts w:hint="eastAsia" w:ascii="宋体" w:hAnsi="宋体" w:eastAsia="宋体" w:cs="宋体"/>
          <w:color w:val="auto"/>
          <w:sz w:val="24"/>
          <w:szCs w:val="24"/>
          <w:highlight w:val="none"/>
          <w:lang w:val="en-US" w:eastAsia="zh-CN"/>
        </w:rPr>
        <w:t xml:space="preserve">表G.2.1-1/2</w:t>
      </w: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val="en-US" w:eastAsia="zh-CN"/>
        </w:rPr>
        <w:t xml:space="preserve">提供可调价主要</w:t>
      </w:r>
      <w:r>
        <w:rPr>
          <w:rFonts w:hint="eastAsia" w:ascii="宋体" w:hAnsi="宋体" w:eastAsia="宋体" w:cs="宋体"/>
          <w:color w:val="auto"/>
          <w:sz w:val="24"/>
          <w:szCs w:val="24"/>
          <w:highlight w:val="none"/>
        </w:rPr>
        <w:t xml:space="preserve">材料表”中所列的材料和工程设备的价格是指此类材料和工程设备到达施工现场指定堆放地点的落地价格，即包括采购、包装、运输、装卸、堆放、现场保管等全部费用。“</w:t>
      </w:r>
      <w:r>
        <w:rPr>
          <w:rFonts w:hint="eastAsia" w:ascii="宋体" w:hAnsi="宋体" w:eastAsia="宋体" w:cs="宋体"/>
          <w:color w:val="auto"/>
          <w:sz w:val="24"/>
          <w:szCs w:val="24"/>
          <w:highlight w:val="none"/>
          <w:lang w:val="en-US" w:eastAsia="zh-CN"/>
        </w:rPr>
        <w:t xml:space="preserve">表G.2.1-1/2</w:t>
      </w: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val="en-US" w:eastAsia="zh-CN"/>
        </w:rPr>
        <w:t xml:space="preserve">提供可调价主要</w:t>
      </w:r>
      <w:r>
        <w:rPr>
          <w:rFonts w:hint="eastAsia" w:ascii="宋体" w:hAnsi="宋体" w:eastAsia="宋体" w:cs="宋体"/>
          <w:color w:val="auto"/>
          <w:sz w:val="24"/>
          <w:szCs w:val="24"/>
          <w:highlight w:val="none"/>
        </w:rPr>
        <w:t xml:space="preserve">材料表”中所列材料和工程设备的价格应与构成综合单价相应材料或工程设备的价格一致。投标文件中的“</w:t>
      </w:r>
      <w:r>
        <w:rPr>
          <w:rFonts w:hint="eastAsia" w:ascii="宋体" w:hAnsi="宋体" w:eastAsia="宋体" w:cs="宋体"/>
          <w:color w:val="auto"/>
          <w:sz w:val="24"/>
          <w:szCs w:val="24"/>
          <w:highlight w:val="none"/>
          <w:lang w:val="en-US" w:eastAsia="zh-CN"/>
        </w:rPr>
        <w:t xml:space="preserve">表G.1.1</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材料一览表”中的甲供材料的名称、规格、单价、交货方式、交货地点等必须与招标工程量清单一致。</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2.8措施项目中的总价项目按下列要求报价：</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总价措施项目中，以费率计算的，投标单位在投标报价时自主报价；其他总价措施项目，按项计取，综合单价按实际或可能发生的费用进行计算。</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w:t>
      </w:r>
      <w:r>
        <w:rPr>
          <w:rFonts w:hint="eastAsia" w:ascii="Times New Roman" w:hAnsi="Times New Roman" w:eastAsia="宋体" w:cs="Times New Roman"/>
          <w:color w:val="auto"/>
          <w:sz w:val="24"/>
          <w:szCs w:val="24"/>
          <w:highlight w:val="none"/>
          <w:lang w:val="en-US" w:eastAsia="zh-CN"/>
        </w:rPr>
        <w:t xml:space="preserve">措施项目清单中的安全生产措施费应按国家及省级、行业主管部门的相关规定计价。</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按照南通市建设工程造价管理处通建价[2014]40 号关于印发《南通市建设工程招标控制价备案制度》的通知，招标控制价中建设工程现场安全文明施工措施费基本费应当足额计取，有省市级建筑安全文明施工标准化示范项目创建目标的，标化增加费、扬尘污染费按规定标准暂列；</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本工程环境保护税按规定计取，结算时必须提供环保部门和税务部门征收依据，无依据扣除合同内环境保护税。</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招标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招标人已列措施项目。</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w:t>
      </w:r>
      <w:r>
        <w:rPr>
          <w:rFonts w:hint="eastAsia" w:ascii="Times New Roman" w:hAnsi="Times New Roman" w:eastAsia="宋体" w:cs="Times New Roman"/>
          <w:color w:val="auto"/>
          <w:sz w:val="24"/>
          <w:szCs w:val="24"/>
          <w:highlight w:val="none"/>
          <w:lang w:val="en-US" w:eastAsia="zh-CN"/>
        </w:rPr>
        <w:t xml:space="preserve">表E.3.1措施项目清单计价表</w:t>
      </w:r>
      <w:r>
        <w:rPr>
          <w:rFonts w:hint="eastAsia" w:ascii="宋体" w:hAnsi="宋体" w:eastAsia="宋体" w:cs="宋体"/>
          <w:color w:val="auto"/>
          <w:sz w:val="24"/>
          <w:szCs w:val="24"/>
          <w:highlight w:val="none"/>
        </w:rPr>
        <w:t xml:space="preserve">”中所填写的报价金额，应全面涵盖招标文件约定的投标人中标后施工、竣工、交付本工程并维修其任何缺陷所需要履行的责任和义务的全部费用。</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2.9其他项目清单费应按下列规定报价：</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暂列金额按“暂列金额明细表”中列出的金额报价，此处的暂列金额是招标人在招标文件中统一给定的，并不包括本章第2.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.3项的计日工金额。</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w:t>
      </w:r>
      <w:r>
        <w:rPr>
          <w:rFonts w:hint="eastAsia" w:ascii="宋体" w:hAnsi="宋体" w:eastAsia="宋体" w:cs="宋体"/>
          <w:color w:val="auto"/>
          <w:sz w:val="24"/>
          <w:szCs w:val="24"/>
          <w:highlight w:val="none"/>
          <w:lang w:val="en-US" w:eastAsia="zh-CN"/>
        </w:rPr>
        <w:t xml:space="preserve">投标人应按招标工程量清单中提供的暂列金额、专业工程暂估价金额，准确填报在相应投标总价内。对分部分项工程项目清单中载明材料暂估价的清单项目，应按工程量清单载明的材料暂估单价(不含增值税)计入综合单价。投标人对分部分项工程项目清单中的材料暂估价清单项目的报价，应满足工程数量对人工价格变化、履行本标准第8.4节规定的材料暂估价调价规则产生的价格变化等要求，并按招标文件提供的材料暂估价单价在表E.2.3材料暂估单价及调整表中列出。</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w:t>
      </w:r>
      <w:r>
        <w:rPr>
          <w:rFonts w:hint="eastAsia" w:ascii="Times New Roman" w:hAnsi="Times New Roman" w:eastAsia="宋体" w:cs="Times New Roman"/>
          <w:color w:val="auto"/>
          <w:sz w:val="24"/>
          <w:szCs w:val="24"/>
          <w:highlight w:val="none"/>
          <w:lang w:val="en-US" w:eastAsia="zh-CN"/>
        </w:rPr>
        <w:t xml:space="preserve">投标人应按计日工清单中提供的清单项日及其暂定数量，对计日工清单项目进行投标报价。</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w:t>
      </w:r>
      <w:r>
        <w:rPr>
          <w:rFonts w:hint="eastAsia" w:ascii="Times New Roman" w:hAnsi="Times New Roman" w:eastAsia="宋体" w:cs="Times New Roman"/>
          <w:color w:val="auto"/>
          <w:sz w:val="24"/>
          <w:szCs w:val="24"/>
          <w:highlight w:val="none"/>
          <w:lang w:val="en-US" w:eastAsia="zh-CN"/>
        </w:rPr>
        <w:t xml:space="preserve">投标人应按工程实施方案和对各专业分包工程、直接发包的专业工程的工期安排，以及对发包人提供材料的供应履行管理及协调责任、对各专业分包工程履行管理和协调及配合责任、对各直接发包的专业工程履行协调及配合责任等招标文件规定的总承包服务内容及要求，对其他项目清单中的各项总承包服务费进行投标报价。</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增值税应按“</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项目计价表”所列项目并根据国家、省级或行业建设主管部门的有关规定列项和计算，不得作为竞争性费用。</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除招标文件有强制性规定以及不可竞争部分以外，投标报价由投标人自主确定，但不得低于成本。</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管理费应由投标人在保证不低于其成本的基础上做竞争性考虑；利润由投标人根据自身情况和综合实力做竞争性考虑。</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投标报价中应考虑招标文件中要求投标人承担的风险范围以及相关的费用。</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投标总价为投标人在投标文件中提出的各项支付金额的总和，为实施、完成招标工程并修补缺陷以及履行招标文件中约定的风险范围内的所有责任和义务所发生的全部费用。</w:t>
      </w:r>
      <w:r/>
    </w:p>
    <w:p>
      <w:pPr>
        <w:ind w:firstLine="480"/>
        <w:pageBreakBefore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2.14 有关投标报价的其他要求：</w:t>
      </w:r>
      <w:r>
        <w:rPr>
          <w:rFonts w:hint="eastAsia" w:ascii="宋体" w:hAnsi="宋体" w:eastAsia="宋体" w:cs="宋体"/>
          <w:color w:val="auto"/>
          <w:sz w:val="24"/>
          <w:szCs w:val="24"/>
          <w:highlight w:val="none"/>
          <w:lang w:val="en-US" w:eastAsia="zh-CN"/>
        </w:rPr>
        <w:t xml:space="preserve">/</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47" w:name="_Toc473034408"/>
      <w:r/>
      <w:bookmarkStart w:id="748" w:name="_Toc498006751"/>
      <w:r>
        <w:rPr>
          <w:rFonts w:hint="eastAsia" w:ascii="宋体" w:hAnsi="宋体" w:eastAsia="宋体" w:cs="宋体"/>
          <w:b/>
          <w:color w:val="auto"/>
          <w:sz w:val="24"/>
          <w:szCs w:val="24"/>
          <w:highlight w:val="none"/>
        </w:rPr>
        <w:t xml:space="preserve">3．其他说明</w:t>
      </w:r>
      <w:bookmarkEnd w:id="747"/>
      <w:r/>
      <w:bookmarkEnd w:id="748"/>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3.1词语和定义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同义词语</w:t>
      </w:r>
      <w:r/>
    </w:p>
    <w:p>
      <w:pPr>
        <w:ind w:firstLine="480"/>
        <w:pageBreakBefore w:val="0"/>
        <w:spacing w:line="420" w:lineRule="exact"/>
        <w:rPr>
          <w:rFonts w:hint="eastAsia" w:ascii="宋体" w:hAnsi="宋体" w:eastAsia="宋体" w:cs="宋体"/>
          <w:color w:val="auto"/>
          <w:sz w:val="24"/>
          <w:szCs w:val="24"/>
          <w:highlight w:val="none"/>
        </w:rPr>
      </w:pPr>
      <w:r/>
      <w:bookmarkStart w:id="749" w:name="_Toc28804"/>
      <w:r/>
      <w:bookmarkStart w:id="750" w:name="_Toc21910"/>
      <w:r>
        <w:rPr>
          <w:rFonts w:hint="eastAsia" w:ascii="宋体" w:hAnsi="宋体" w:eastAsia="宋体" w:cs="宋体"/>
          <w:color w:val="auto"/>
          <w:sz w:val="24"/>
          <w:szCs w:val="24"/>
          <w:highlight w:val="none"/>
        </w:rPr>
        <w:t xml:space="preserve">本章中使用的词语“招标人”和“投标人”分别与合同条款中定义的“发包人”和“承包人”同义。</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3.2工程量差异调整</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工程量清单中的项目列项、特征描述、工作内容以及“</w:t>
      </w:r>
      <w:r>
        <w:rPr>
          <w:rFonts w:hint="eastAsia" w:ascii="Times New Roman" w:hAnsi="Times New Roman" w:eastAsia="宋体" w:cs="Times New Roman"/>
          <w:color w:val="auto"/>
          <w:sz w:val="24"/>
          <w:szCs w:val="24"/>
          <w:highlight w:val="none"/>
          <w:lang w:val="en-US" w:eastAsia="zh-CN"/>
        </w:rPr>
        <w:t xml:space="preserve">表E.2.1分部分项工程项目清单计价表</w:t>
      </w:r>
      <w:r>
        <w:rPr>
          <w:rFonts w:hint="eastAsia" w:ascii="宋体" w:hAnsi="宋体" w:eastAsia="宋体" w:cs="宋体"/>
          <w:color w:val="auto"/>
          <w:sz w:val="24"/>
          <w:szCs w:val="24"/>
          <w:highlight w:val="none"/>
        </w:rPr>
        <w:t xml:space="preserve">”中附带的工程量都不应理解为是对承包(招标)范围以及合同工作内容的唯一的、最终的或全部的定义。</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w:t>
      </w:r>
      <w:r>
        <w:rPr>
          <w:rFonts w:hint="eastAsia" w:ascii="Times New Roman" w:hAnsi="Times New Roman" w:eastAsia="宋体" w:cs="Times New Roman"/>
          <w:color w:val="auto"/>
          <w:sz w:val="24"/>
          <w:szCs w:val="24"/>
          <w:highlight w:val="none"/>
          <w:lang w:val="en-US" w:eastAsia="zh-CN"/>
        </w:rPr>
        <w:t xml:space="preserve">表E.2.1分部分项工程项目清单计价表</w:t>
      </w:r>
      <w:r>
        <w:rPr>
          <w:rFonts w:hint="eastAsia" w:ascii="宋体" w:hAnsi="宋体" w:eastAsia="宋体" w:cs="宋体"/>
          <w:color w:val="auto"/>
          <w:sz w:val="24"/>
          <w:szCs w:val="24"/>
          <w:highlight w:val="none"/>
        </w:rPr>
        <w:t xml:space="preserve">”中每个工作项目的工程量进行重新计算和校核。如果投标人经过检查和复核以后认为招标人提供的工程量清单存在差异，则投标人按第二章2.4款规定的程序向招标人提出异议。</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宋体" w:hAnsi="宋体" w:eastAsia="宋体" w:cs="宋体"/>
          <w:color w:val="auto"/>
          <w:sz w:val="24"/>
          <w:szCs w:val="24"/>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3.3暂列金额和暂估价</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“暂列金额明细表”中所列暂列金额(不包括计日工金额)中已经包含与其对应的管理费、利润。投标人应按本招标文件规定将此类暂列金额直接纳入其他项目清单的投标价格中。</w:t>
      </w:r>
      <w:r/>
    </w:p>
    <w:p>
      <w:pPr>
        <w:ind w:firstLine="48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专业工程暂估价及结算价表中所列的专业工程暂估价已经包含与其对应的管理费、利润，但不含税金。投标人应按本招标文件规定将此类暂估价直接纳入其他项目清单的投标价格中。</w:t>
      </w:r>
      <w:r/>
    </w:p>
    <w:p>
      <w:pPr>
        <w:ind w:firstLine="480"/>
        <w:pageBreakBefore w:val="0"/>
        <w:spacing w:line="42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b/>
          <w:color w:val="auto"/>
          <w:sz w:val="24"/>
          <w:szCs w:val="24"/>
          <w:highlight w:val="none"/>
          <w:u w:val="single"/>
        </w:rPr>
        <w:t xml:space="preserve">有关投标报价的说明：详见投标须知和合同条款。</w:t>
      </w:r>
      <w:r/>
    </w:p>
    <w:p>
      <w:pPr>
        <w:ind w:left="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、技术标准和要求</w:t>
      </w:r>
      <w:bookmarkEnd w:id="749"/>
      <w:r/>
      <w:bookmarkEnd w:id="750"/>
      <w:r/>
      <w:bookmarkStart w:id="751" w:name="_Toc349555826"/>
      <w:r/>
      <w:bookmarkEnd w:id="751"/>
      <w:r/>
      <w:bookmarkStart w:id="752" w:name="_Toc349557651"/>
      <w:r/>
      <w:bookmarkEnd w:id="752"/>
      <w:r/>
      <w:r/>
    </w:p>
    <w:p>
      <w:pPr>
        <w:ind w:left="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53" w:name="_Toc333498743"/>
      <w:r>
        <w:rPr>
          <w:rFonts w:hint="eastAsia" w:ascii="宋体" w:hAnsi="宋体" w:eastAsia="宋体" w:cs="宋体"/>
          <w:color w:val="auto"/>
          <w:sz w:val="24"/>
          <w:szCs w:val="24"/>
          <w:highlight w:val="none"/>
        </w:rPr>
        <w:t xml:space="preserve">1、本工程采用的计价规范</w:t>
      </w:r>
      <w:bookmarkEnd w:id="753"/>
      <w:r>
        <w:rPr>
          <w:rFonts w:hint="eastAsia" w:ascii="宋体" w:hAnsi="宋体" w:eastAsia="宋体" w:cs="宋体"/>
          <w:color w:val="auto"/>
          <w:sz w:val="24"/>
          <w:szCs w:val="24"/>
          <w:highlight w:val="none"/>
        </w:rPr>
        <w:t xml:space="preserve">（包括但不限于以下规范、要求）</w:t>
      </w:r>
      <w:r/>
    </w:p>
    <w:p>
      <w:pPr>
        <w:ind w:left="0" w:firstLine="470"/>
        <w:keepLines w:val="0"/>
        <w:keepNext w:val="0"/>
        <w:pageBreakBefore w:val="0"/>
        <w:spacing w:line="360" w:lineRule="auto"/>
        <w:widowControl w:val="off"/>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54" w:name="_Toc333498744"/>
      <w:r>
        <w:rPr>
          <w:rFonts w:hint="eastAsia" w:ascii="宋体" w:hAnsi="宋体" w:eastAsia="宋体" w:cs="宋体"/>
          <w:color w:val="auto"/>
          <w:sz w:val="24"/>
          <w:szCs w:val="24"/>
          <w:highlight w:val="none"/>
        </w:rPr>
        <w:t xml:space="preserve">2、本工程采用的技术规范</w:t>
      </w:r>
      <w:bookmarkEnd w:id="754"/>
      <w:r>
        <w:rPr>
          <w:rFonts w:hint="eastAsia" w:ascii="宋体" w:hAnsi="宋体" w:eastAsia="宋体" w:cs="宋体"/>
          <w:color w:val="auto"/>
          <w:sz w:val="24"/>
          <w:szCs w:val="24"/>
          <w:highlight w:val="none"/>
        </w:rPr>
        <w:t xml:space="preserve">（包括但不限于以下规范、要求）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本工程应执行的相关工程施工、检测、验收的相关规范与标准。当相关规范或标准互相矛盾时，以最新和最严格的为准。</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55" w:name="_Toc333498745"/>
      <w:r>
        <w:rPr>
          <w:rFonts w:hint="eastAsia" w:ascii="宋体" w:hAnsi="宋体" w:eastAsia="宋体" w:cs="宋体"/>
          <w:color w:val="auto"/>
          <w:sz w:val="24"/>
          <w:szCs w:val="24"/>
          <w:highlight w:val="none"/>
        </w:rPr>
        <w:t xml:space="preserve">3、本工程对施工工艺的特殊要求</w:t>
      </w:r>
      <w:bookmarkEnd w:id="755"/>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（1）工程的主要部位和特殊要求由建设、设计、监理三方讨论后以书面形式通知施工单位实施。</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施工期间要注意周边环境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减少对周围</w:t>
      </w:r>
      <w:r>
        <w:rPr>
          <w:rFonts w:hint="eastAsia" w:ascii="宋体" w:hAnsi="宋体" w:eastAsia="宋体" w:cs="宋体"/>
          <w:color w:val="auto"/>
          <w:sz w:val="24"/>
          <w:szCs w:val="24"/>
          <w:highlight w:val="none"/>
        </w:rPr>
        <w:t xml:space="preserve">环境的</w:t>
      </w:r>
      <w:r>
        <w:rPr>
          <w:rFonts w:hint="eastAsia" w:ascii="宋体" w:hAnsi="宋体" w:eastAsia="宋体" w:cs="宋体"/>
          <w:color w:val="auto"/>
          <w:sz w:val="24"/>
          <w:szCs w:val="24"/>
          <w:highlight w:val="none"/>
          <w:lang w:eastAsia="zh-TW"/>
        </w:rPr>
        <w:t xml:space="preserve">影响</w:t>
      </w:r>
      <w:r>
        <w:rPr>
          <w:rFonts w:hint="eastAsia" w:ascii="宋体" w:hAnsi="宋体" w:eastAsia="宋体" w:cs="宋体"/>
          <w:color w:val="auto"/>
          <w:sz w:val="24"/>
          <w:szCs w:val="24"/>
          <w:highlight w:val="none"/>
        </w:rPr>
        <w:t xml:space="preserve">（灰尘、噪音等）。</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r/>
    </w:p>
    <w:p>
      <w:pPr>
        <w:ind w:left="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、需要补充的其它内容：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1、现场条件</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施工现场情况：本工程现场条件较复杂，请供应商务必自行认真踏勘现场条件并综合考虑到报价中，一旦中标不得对现场条件提出额外要求。</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施工用水、电：自行解决。</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场内外道路：已通。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其他：</w:t>
      </w:r>
      <w:r>
        <w:rPr>
          <w:rFonts w:hint="eastAsia" w:ascii="宋体" w:hAnsi="宋体"/>
          <w:color w:val="auto"/>
          <w:sz w:val="24"/>
          <w:highlight w:val="none"/>
          <w:lang w:val="en-US" w:eastAsia="zh-CN"/>
        </w:rPr>
        <w:t xml:space="preserve">成交供应商</w:t>
      </w:r>
      <w:r>
        <w:rPr>
          <w:rFonts w:hint="default" w:ascii="宋体" w:hAnsi="宋体" w:eastAsia="宋体"/>
          <w:color w:val="auto"/>
          <w:sz w:val="24"/>
          <w:szCs w:val="24"/>
          <w:highlight w:val="none"/>
        </w:rPr>
        <w:t xml:space="preserve">应独立、有效</w:t>
      </w:r>
      <w:r>
        <w:rPr>
          <w:rFonts w:hint="eastAsia" w:ascii="宋体" w:hAnsi="宋体" w:eastAsia="宋体"/>
          <w:color w:val="auto"/>
          <w:sz w:val="24"/>
          <w:szCs w:val="24"/>
          <w:highlight w:val="none"/>
          <w:lang w:eastAsia="zh-CN"/>
        </w:rPr>
        <w:t xml:space="preserve">地</w:t>
      </w:r>
      <w:r>
        <w:rPr>
          <w:rFonts w:hint="default" w:ascii="宋体" w:hAnsi="宋体" w:eastAsia="宋体"/>
          <w:color w:val="auto"/>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highlight w:val="none"/>
          <w:lang w:eastAsia="zh-CN"/>
        </w:rPr>
        <w:t xml:space="preserve">供应商</w:t>
      </w:r>
      <w:r>
        <w:rPr>
          <w:rFonts w:hint="default" w:ascii="宋体" w:hAnsi="宋体" w:eastAsia="宋体"/>
          <w:color w:val="auto"/>
          <w:sz w:val="24"/>
          <w:szCs w:val="24"/>
          <w:highlight w:val="none"/>
        </w:rPr>
        <w:t xml:space="preserve">自行考虑，并列入投标报价，工程结算时不作调整，一旦</w:t>
      </w:r>
      <w:r>
        <w:rPr>
          <w:rFonts w:hint="eastAsia" w:ascii="宋体" w:hAnsi="宋体" w:eastAsia="宋体"/>
          <w:color w:val="auto"/>
          <w:sz w:val="24"/>
          <w:szCs w:val="24"/>
          <w:highlight w:val="none"/>
          <w:lang w:val="en-US" w:eastAsia="zh-CN"/>
        </w:rPr>
        <w:t xml:space="preserve">中标</w:t>
      </w:r>
      <w:r>
        <w:rPr>
          <w:rFonts w:hint="default" w:ascii="宋体" w:hAnsi="宋体" w:eastAsia="宋体"/>
          <w:color w:val="auto"/>
          <w:sz w:val="24"/>
          <w:szCs w:val="24"/>
          <w:highlight w:val="none"/>
        </w:rPr>
        <w:t xml:space="preserve">不得对现</w:t>
      </w:r>
      <w:r>
        <w:rPr>
          <w:rFonts w:hint="default" w:ascii="宋体" w:hAnsi="宋体" w:eastAsia="宋体" w:cs="Times New Roman"/>
          <w:color w:val="auto"/>
          <w:sz w:val="24"/>
          <w:szCs w:val="24"/>
          <w:highlight w:val="none"/>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jc w:val="left"/>
        <w:spacing w:line="360" w:lineRule="auto"/>
        <w:rPr>
          <w:rFonts w:hint="eastAsia" w:ascii="宋体" w:hAnsi="宋体" w:eastAsia="宋体" w:cs="Times New Roman"/>
          <w:color w:val="auto"/>
          <w:sz w:val="24"/>
          <w:szCs w:val="24"/>
          <w:highlight w:val="none"/>
          <w:lang w:eastAsia="zh-CN"/>
        </w:rPr>
      </w:pPr>
      <w:r/>
      <w:bookmarkStart w:id="756" w:name="_Toc120614281"/>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br w:type="page" w:clear="all"/>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符合《政府采购法》第二十二条规定条件的承诺函</w:t>
      </w:r>
      <w:r>
        <w:rPr>
          <w:rFonts w:hint="eastAsia" w:ascii="宋体" w:hAnsi="宋体" w:cs="宋体"/>
          <w:color w:val="auto"/>
          <w:sz w:val="24"/>
          <w:highlight w:val="none"/>
          <w:lang w:val="zh-CN"/>
        </w:rPr>
        <w:t xml:space="preserve">（格式见附件）；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（2）法定代表人身份证明书及法定代表人身份证复印件</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（3）法定代表人授权委托书及委托代理人身份证复印件（如有授权）</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 </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Cs/>
          <w:color w:val="auto"/>
          <w:sz w:val="24"/>
          <w:highlight w:val="none"/>
          <w:lang w:bidi="ar"/>
        </w:rPr>
        <w:t xml:space="preserve">企业资质证书（</w:t>
      </w:r>
      <w:r>
        <w:rPr>
          <w:rFonts w:hint="eastAsia" w:ascii="宋体" w:hAnsi="宋体" w:eastAsia="宋体" w:cs="宋体"/>
          <w:bCs/>
          <w:color w:val="auto"/>
          <w:sz w:val="24"/>
          <w:highlight w:val="none"/>
          <w:lang w:val="en-US" w:eastAsia="zh-CN" w:bidi="ar"/>
        </w:rPr>
        <w:t xml:space="preserve">专业：</w:t>
      </w:r>
      <w:r>
        <w:rPr>
          <w:rFonts w:hint="eastAsia" w:ascii="宋体" w:hAnsi="宋体" w:eastAsia="宋体" w:cs="宋体"/>
          <w:bCs/>
          <w:color w:val="auto"/>
          <w:sz w:val="24"/>
          <w:highlight w:val="none"/>
          <w:u w:val="single"/>
          <w:lang w:val="en-US" w:eastAsia="zh-CN" w:bidi="ar"/>
        </w:rPr>
        <w:t xml:space="preserve"> </w:t>
      </w:r>
      <w:r>
        <w:rPr>
          <w:rFonts w:hint="eastAsia" w:ascii="宋体" w:hAnsi="宋体" w:eastAsia="宋体" w:cs="宋体"/>
          <w:b/>
          <w:bCs w:val="0"/>
          <w:sz w:val="24"/>
          <w:szCs w:val="24"/>
          <w:highlight w:val="none"/>
          <w:u w:val="single"/>
        </w:rPr>
        <w:t xml:space="preserve">市政公用工程</w:t>
      </w:r>
      <w:r>
        <w:rPr>
          <w:rFonts w:hint="eastAsia" w:ascii="宋体" w:hAnsi="宋体" w:eastAsia="宋体" w:cs="宋体"/>
          <w:bCs/>
          <w:color w:val="auto"/>
          <w:sz w:val="24"/>
          <w:highlight w:val="none"/>
          <w:u w:val="single"/>
          <w:lang w:val="en-US" w:eastAsia="zh-CN" w:bidi="ar"/>
        </w:rPr>
        <w:t xml:space="preserve"> </w:t>
      </w:r>
      <w:r>
        <w:rPr>
          <w:rFonts w:hint="eastAsia" w:ascii="宋体" w:hAnsi="宋体" w:eastAsia="宋体" w:cs="宋体"/>
          <w:bCs/>
          <w:color w:val="auto"/>
          <w:sz w:val="24"/>
          <w:highlight w:val="none"/>
          <w:u w:val="none"/>
          <w:lang w:val="en-US" w:eastAsia="zh-CN" w:bidi="ar"/>
        </w:rPr>
        <w:t xml:space="preserve">；等级：</w:t>
      </w:r>
      <w:r>
        <w:rPr>
          <w:rFonts w:hint="eastAsia" w:ascii="宋体" w:hAnsi="宋体" w:eastAsia="宋体" w:cs="宋体"/>
          <w:bCs/>
          <w:color w:val="auto"/>
          <w:sz w:val="24"/>
          <w:highlight w:val="none"/>
          <w:u w:val="single"/>
          <w:lang w:val="en-US" w:eastAsia="zh-CN" w:bidi="ar"/>
        </w:rPr>
        <w:t xml:space="preserve">  </w:t>
      </w:r>
      <w:r>
        <w:rPr>
          <w:rFonts w:hint="eastAsia" w:ascii="宋体" w:hAnsi="宋体" w:eastAsia="宋体" w:cs="宋体"/>
          <w:b/>
          <w:bCs w:val="0"/>
          <w:color w:val="auto"/>
          <w:sz w:val="24"/>
          <w:highlight w:val="none"/>
          <w:u w:val="single"/>
          <w:lang w:val="en-US" w:eastAsia="zh-CN" w:bidi="ar"/>
        </w:rPr>
        <w:t xml:space="preserve">施工总承包三级及以上</w:t>
      </w:r>
      <w:r>
        <w:rPr>
          <w:rFonts w:hint="eastAsia" w:ascii="宋体" w:hAnsi="宋体" w:eastAsia="宋体" w:cs="宋体"/>
          <w:bCs/>
          <w:color w:val="auto"/>
          <w:sz w:val="24"/>
          <w:highlight w:val="none"/>
          <w:u w:val="single"/>
          <w:lang w:val="en-US" w:eastAsia="zh-CN" w:bidi="ar"/>
        </w:rPr>
        <w:t xml:space="preserve"> </w:t>
      </w:r>
      <w:r>
        <w:rPr>
          <w:rFonts w:hint="eastAsia" w:ascii="宋体" w:hAnsi="宋体" w:eastAsia="宋体" w:cs="宋体"/>
          <w:bCs/>
          <w:color w:val="auto"/>
          <w:sz w:val="24"/>
          <w:highlight w:val="none"/>
          <w:lang w:bidi="ar"/>
        </w:rPr>
        <w:t xml:space="preserve">）及安全生产许可证</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Cs/>
          <w:color w:val="auto"/>
          <w:sz w:val="24"/>
          <w:highlight w:val="none"/>
          <w:lang w:bidi="ar"/>
        </w:rPr>
        <w:t xml:space="preserve">拟派项目负责人资格证书（</w:t>
      </w:r>
      <w:r>
        <w:rPr>
          <w:rFonts w:hint="eastAsia" w:ascii="宋体" w:hAnsi="宋体" w:cs="宋体"/>
          <w:bCs/>
          <w:color w:val="auto"/>
          <w:sz w:val="24"/>
          <w:highlight w:val="none"/>
          <w:lang w:val="en-US" w:eastAsia="zh-CN" w:bidi="ar"/>
        </w:rPr>
        <w:t xml:space="preserve">专业：</w:t>
      </w:r>
      <w:r>
        <w:rPr>
          <w:rFonts w:hint="eastAsia" w:ascii="宋体" w:hAnsi="宋体" w:cs="宋体"/>
          <w:bCs/>
          <w:color w:val="auto"/>
          <w:sz w:val="24"/>
          <w:highlight w:val="none"/>
          <w:u w:val="single"/>
          <w:lang w:val="en-US" w:eastAsia="zh-CN" w:bidi="ar"/>
        </w:rPr>
        <w:t xml:space="preserve"> </w:t>
      </w:r>
      <w:r>
        <w:rPr>
          <w:rFonts w:hint="eastAsia" w:ascii="宋体" w:hAnsi="宋体" w:eastAsia="宋体" w:cs="宋体"/>
          <w:b/>
          <w:bCs w:val="0"/>
          <w:sz w:val="24"/>
          <w:szCs w:val="24"/>
          <w:highlight w:val="none"/>
          <w:u w:val="single"/>
        </w:rPr>
        <w:t xml:space="preserve">市政公用工程</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u w:val="none"/>
          <w:lang w:val="en-US" w:eastAsia="zh-CN" w:bidi="ar"/>
        </w:rPr>
        <w:t xml:space="preserve">；等级：</w:t>
      </w:r>
      <w:r>
        <w:rPr>
          <w:rFonts w:hint="eastAsia" w:ascii="宋体" w:hAnsi="宋体" w:cs="宋体"/>
          <w:bCs/>
          <w:color w:val="auto"/>
          <w:sz w:val="24"/>
          <w:highlight w:val="none"/>
          <w:u w:val="single"/>
          <w:lang w:val="en-US" w:eastAsia="zh-CN" w:bidi="ar"/>
        </w:rPr>
        <w:t xml:space="preserve">  </w:t>
      </w:r>
      <w:r>
        <w:rPr>
          <w:rFonts w:hint="eastAsia" w:ascii="宋体" w:hAnsi="宋体" w:cs="宋体"/>
          <w:b/>
          <w:bCs w:val="0"/>
          <w:color w:val="auto"/>
          <w:sz w:val="24"/>
          <w:highlight w:val="none"/>
          <w:u w:val="single"/>
          <w:lang w:val="en-US" w:eastAsia="zh-CN" w:bidi="ar"/>
        </w:rPr>
        <w:t xml:space="preserve">贰级及以上注册建造师</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eastAsia="zh-CN"/>
        </w:rPr>
        <w:t xml:space="preserve">磋商供应商拟派项目负责人无在建工程承诺书；</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cs="宋体"/>
          <w:bCs/>
          <w:color w:val="auto"/>
          <w:sz w:val="24"/>
          <w:highlight w:val="none"/>
          <w:lang w:bidi="ar"/>
        </w:rPr>
        <w:t xml:space="preserve">拟派授权委托人</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val="en-US" w:eastAsia="zh-CN" w:bidi="ar"/>
        </w:rPr>
        <w:t xml:space="preserve">拟派</w:t>
      </w:r>
      <w:r>
        <w:rPr>
          <w:rFonts w:hint="eastAsia" w:ascii="宋体" w:hAnsi="宋体" w:cs="宋体"/>
          <w:bCs/>
          <w:color w:val="auto"/>
          <w:sz w:val="24"/>
          <w:highlight w:val="none"/>
          <w:lang w:bidi="ar"/>
        </w:rPr>
        <w:t xml:space="preserve">项目负责人和企业签订的有效劳动合同，投标企业所在地社保机构出具的由企业为授权委托人</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bidi="ar"/>
        </w:rPr>
        <w:t xml:space="preserve">拟派项目负责人缴纳的</w:t>
      </w:r>
      <w:r>
        <w:rPr>
          <w:rFonts w:hint="eastAsia" w:ascii="宋体" w:hAnsi="宋体" w:cs="宋体"/>
          <w:bCs/>
          <w:color w:val="auto"/>
          <w:sz w:val="24"/>
          <w:highlight w:val="none"/>
        </w:rPr>
        <w:t xml:space="preserve">投标截止时间前三个月（不含投标截止时间当月）中至少一个月的养老保险缴纳证明材料</w:t>
      </w:r>
      <w:r>
        <w:rPr>
          <w:rFonts w:hint="eastAsia" w:ascii="宋体" w:hAnsi="宋体" w:eastAsia="宋体" w:cs="宋体"/>
          <w:b w:val="0"/>
          <w:bCs/>
          <w:color w:val="auto"/>
          <w:sz w:val="24"/>
          <w:szCs w:val="24"/>
          <w:highlight w:val="none"/>
          <w:lang w:val="en-US" w:eastAsia="zh-CN"/>
        </w:rPr>
        <w:t xml:space="preserve">；（注 ：委托代理人为法定代表人的，无需提供养老保险缴费证明）</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（8）供应商提供</w:t>
      </w:r>
      <w:r>
        <w:rPr>
          <w:rFonts w:hint="eastAsia" w:ascii="宋体" w:hAnsi="宋体" w:cs="宋体"/>
          <w:bCs/>
          <w:color w:val="auto"/>
          <w:sz w:val="24"/>
          <w:highlight w:val="none"/>
          <w:lang w:val="en-US" w:eastAsia="zh-CN" w:bidi="ar"/>
        </w:rPr>
        <w:t xml:space="preserve">2025年度</w:t>
      </w:r>
      <w:r>
        <w:rPr>
          <w:rFonts w:hint="eastAsia" w:ascii="宋体" w:hAnsi="宋体" w:cs="宋体"/>
          <w:bCs/>
          <w:color w:val="auto"/>
          <w:sz w:val="24"/>
          <w:highlight w:val="none"/>
          <w:lang w:eastAsia="zh-CN" w:bidi="ar"/>
        </w:rPr>
        <w:t xml:space="preserve">由会计师事务所（或者审计机构）出具的完整的财务报告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rPr>
          <w:rFonts w:hint="eastAsia" w:ascii="宋体" w:hAnsi="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（10）具备履行合同所必需的设备和专业技术能力的书面声明</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（11）参加政府采购活动前 3 年内在经营活动中没有重大违法记录的书面声明</w:t>
      </w:r>
      <w:r>
        <w:rPr>
          <w:rFonts w:hint="eastAsia" w:ascii="宋体" w:hAnsi="宋体" w:cs="宋体"/>
          <w:color w:val="auto"/>
          <w:sz w:val="24"/>
          <w:highlight w:val="none"/>
          <w:lang w:val="zh-CN"/>
        </w:rPr>
        <w:t xml:space="preserve">（格</w:t>
      </w:r>
      <w:r>
        <w:rPr>
          <w:rFonts w:hint="eastAsia" w:ascii="宋体" w:hAnsi="宋体" w:eastAsia="宋体" w:cs="宋体"/>
          <w:b w:val="0"/>
          <w:bCs/>
          <w:color w:val="auto"/>
          <w:sz w:val="24"/>
          <w:szCs w:val="24"/>
          <w:highlight w:val="none"/>
          <w:lang w:val="zh-CN" w:eastAsia="zh-CN"/>
        </w:rPr>
        <w:t xml:space="preserve">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（12）供应商信用承诺书；（格式见附件）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（13）其他证明材料（本项目专门面向中小企业采购）</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（1）中小企业声明函；</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（2）监狱企业证明函（如符合监狱企业的需提供）；</w:t>
      </w:r>
      <w:r/>
    </w:p>
    <w:p>
      <w:pPr>
        <w:ind w:firstLine="480"/>
        <w:keepLines w:val="0"/>
        <w:keepNext w:val="0"/>
        <w:pageBreakBefore w:val="0"/>
        <w:spacing w:line="360" w:lineRule="auto"/>
        <w:widowControl/>
        <w:tabs>
          <w:tab w:val="left" w:pos="0" w:leader="none"/>
          <w:tab w:val="left" w:pos="993" w:leader="none"/>
          <w:tab w:val="left" w:pos="1134" w:leader="none"/>
        </w:tabs>
        <w:rPr>
          <w:color w:val="auto"/>
          <w:highlight w:val="none"/>
          <w:lang w:val="en-US" w:eastAsia="zh-CN"/>
        </w:rPr>
      </w:pPr>
      <w:r>
        <w:rPr>
          <w:rFonts w:hint="eastAsia" w:ascii="宋体" w:hAnsi="宋体" w:eastAsia="宋体" w:cs="宋体"/>
          <w:b w:val="0"/>
          <w:bCs/>
          <w:color w:val="auto"/>
          <w:sz w:val="24"/>
          <w:szCs w:val="24"/>
          <w:highlight w:val="none"/>
          <w:lang w:val="en-US" w:eastAsia="zh-CN"/>
        </w:rPr>
        <w:t xml:space="preserve">（3）残疾人福利性单位声明函（如符合残疾人福利性单位的需提供）；</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eastAsia="zh-CN"/>
        </w:rPr>
        <w:t xml:space="preserve">磋商响应函；（格式见附件）；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eastAsia="zh-CN"/>
        </w:rPr>
        <w:t xml:space="preserve">供应商情况一览表；（格式见附件）；</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）投标人认为其他必要的材料</w:t>
      </w:r>
      <w:r>
        <w:rPr>
          <w:rFonts w:hint="eastAsia" w:ascii="宋体" w:hAnsi="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上述（1）—（16）中</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商务技术标及</w:t>
      </w:r>
      <w:r>
        <w:rPr>
          <w:rFonts w:hint="eastAsia" w:ascii="宋体" w:hAnsi="宋体" w:cs="宋体"/>
          <w:b/>
          <w:color w:val="auto"/>
          <w:sz w:val="24"/>
          <w:highlight w:val="none"/>
          <w:lang w:val="en-US" w:eastAsia="zh-CN"/>
        </w:rPr>
        <w:t xml:space="preserve">价格</w:t>
      </w:r>
      <w:r>
        <w:rPr>
          <w:rFonts w:hint="eastAsia" w:ascii="宋体" w:hAnsi="宋体" w:cs="宋体"/>
          <w:b/>
          <w:color w:val="auto"/>
          <w:sz w:val="24"/>
          <w:highlight w:val="none"/>
        </w:rPr>
        <w:t xml:space="preserve">标评审标准（100分</w:t>
      </w:r>
      <w:r>
        <w:rPr>
          <w:rFonts w:hint="eastAsia" w:ascii="宋体" w:hAnsi="宋体" w:cs="宋体"/>
          <w:b/>
          <w:color w:val="auto"/>
          <w:sz w:val="24"/>
          <w:highlight w:val="none"/>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本项目总分值为</w:t>
      </w:r>
      <w:r>
        <w:rPr>
          <w:rFonts w:ascii="Times New Roman" w:hAnsi="Times New Roman" w:eastAsia="宋体" w:cs="Times New Roman"/>
          <w:color w:val="auto"/>
          <w:sz w:val="24"/>
          <w:szCs w:val="24"/>
          <w:highlight w:val="none"/>
        </w:rPr>
        <w:t xml:space="preserve">100</w:t>
      </w:r>
      <w:r>
        <w:rPr>
          <w:rFonts w:hint="eastAsia" w:ascii="Times New Roman" w:hAnsi="Times New Roman" w:eastAsia="宋体" w:cs="宋体"/>
          <w:color w:val="auto"/>
          <w:sz w:val="24"/>
          <w:szCs w:val="24"/>
          <w:highlight w:val="none"/>
        </w:rPr>
        <w:t xml:space="preserve">分，其中</w:t>
      </w:r>
      <w:r>
        <w:rPr>
          <w:rFonts w:hint="eastAsia" w:ascii="Times New Roman" w:hAnsi="Times New Roman" w:eastAsia="宋体" w:cs="宋体"/>
          <w:color w:val="auto"/>
          <w:sz w:val="24"/>
          <w:szCs w:val="24"/>
          <w:highlight w:val="none"/>
          <w:lang w:eastAsia="zh-CN"/>
        </w:rPr>
        <w:t xml:space="preserve">商务</w:t>
      </w:r>
      <w:r>
        <w:rPr>
          <w:rFonts w:hint="eastAsia" w:ascii="Times New Roman" w:hAnsi="Times New Roman" w:eastAsia="宋体" w:cs="宋体"/>
          <w:color w:val="auto"/>
          <w:sz w:val="24"/>
          <w:szCs w:val="24"/>
          <w:highlight w:val="none"/>
        </w:rPr>
        <w:t xml:space="preserve">技术部分</w:t>
      </w:r>
      <w:r>
        <w:rPr>
          <w:rFonts w:hint="eastAsia" w:ascii="Times New Roman" w:hAnsi="Times New Roman" w:eastAsia="宋体" w:cs="宋体"/>
          <w:color w:val="auto"/>
          <w:sz w:val="24"/>
          <w:szCs w:val="24"/>
          <w:highlight w:val="none"/>
          <w:lang w:val="en-US" w:eastAsia="zh-CN"/>
        </w:rPr>
        <w:t xml:space="preserve">40</w:t>
      </w:r>
      <w:r>
        <w:rPr>
          <w:rFonts w:hint="eastAsia" w:ascii="Times New Roman" w:hAnsi="Times New Roman" w:eastAsia="宋体" w:cs="宋体"/>
          <w:color w:val="auto"/>
          <w:sz w:val="24"/>
          <w:szCs w:val="24"/>
          <w:highlight w:val="none"/>
        </w:rPr>
        <w:t xml:space="preserve">分，</w:t>
      </w:r>
      <w:r>
        <w:rPr>
          <w:rFonts w:hint="eastAsia" w:ascii="Times New Roman" w:hAnsi="Times New Roman" w:eastAsia="宋体" w:cs="Times New Roman"/>
          <w:color w:val="auto"/>
          <w:sz w:val="24"/>
          <w:szCs w:val="24"/>
          <w:highlight w:val="none"/>
          <w:lang w:eastAsia="zh-CN"/>
        </w:rPr>
        <w:t xml:space="preserve">价格</w:t>
      </w:r>
      <w:r>
        <w:rPr>
          <w:rFonts w:hint="eastAsia" w:ascii="Times New Roman" w:hAnsi="Times New Roman" w:eastAsia="宋体" w:cs="Times New Roman"/>
          <w:color w:val="auto"/>
          <w:sz w:val="24"/>
          <w:szCs w:val="24"/>
          <w:highlight w:val="none"/>
        </w:rPr>
        <w:t xml:space="preserve">部分</w:t>
      </w:r>
      <w:r>
        <w:rPr>
          <w:rFonts w:hint="eastAsia" w:ascii="Times New Roman" w:hAnsi="Times New Roman" w:eastAsia="宋体" w:cs="Times New Roman"/>
          <w:color w:val="auto"/>
          <w:sz w:val="24"/>
          <w:szCs w:val="24"/>
          <w:highlight w:val="none"/>
          <w:lang w:val="en-US" w:eastAsia="zh-CN"/>
        </w:rPr>
        <w:t xml:space="preserve">60</w:t>
      </w:r>
      <w:r>
        <w:rPr>
          <w:rFonts w:hint="eastAsia" w:ascii="Times New Roman" w:hAnsi="Times New Roman" w:eastAsia="宋体" w:cs="Times New Roman"/>
          <w:color w:val="auto"/>
          <w:sz w:val="24"/>
          <w:szCs w:val="24"/>
          <w:highlight w:val="none"/>
        </w:rPr>
        <w:t xml:space="preserve">分；</w:t>
      </w:r>
      <w:r>
        <w:rPr>
          <w:rFonts w:hint="eastAsia" w:ascii="Times New Roman" w:hAnsi="Times New Roman" w:eastAsia="宋体" w:cs="宋体"/>
          <w:color w:val="auto"/>
          <w:sz w:val="24"/>
          <w:szCs w:val="24"/>
          <w:highlight w:val="none"/>
        </w:rPr>
        <w:t xml:space="preserve">投标得分</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eastAsia="zh-CN"/>
        </w:rPr>
        <w:t xml:space="preserve">商务</w:t>
      </w:r>
      <w:r>
        <w:rPr>
          <w:rFonts w:hint="eastAsia" w:ascii="Times New Roman" w:hAnsi="Times New Roman" w:eastAsia="宋体" w:cs="宋体"/>
          <w:color w:val="auto"/>
          <w:sz w:val="24"/>
          <w:szCs w:val="24"/>
          <w:highlight w:val="none"/>
        </w:rPr>
        <w:t xml:space="preserve">技术部分得分+</w:t>
      </w:r>
      <w:r>
        <w:rPr>
          <w:rFonts w:hint="eastAsia" w:ascii="Times New Roman" w:hAnsi="Times New Roman" w:eastAsia="宋体" w:cs="宋体"/>
          <w:color w:val="auto"/>
          <w:sz w:val="24"/>
          <w:szCs w:val="24"/>
          <w:highlight w:val="none"/>
          <w:lang w:eastAsia="zh-CN"/>
        </w:rPr>
        <w:t xml:space="preserve">价</w:t>
      </w:r>
      <w:r>
        <w:rPr>
          <w:rFonts w:hint="eastAsia" w:ascii="宋体" w:hAnsi="宋体" w:eastAsia="宋体" w:cs="宋体"/>
          <w:b w:val="0"/>
          <w:bCs/>
          <w:color w:val="auto"/>
          <w:sz w:val="24"/>
          <w:szCs w:val="24"/>
          <w:highlight w:val="none"/>
          <w:lang w:val="en-US" w:eastAsia="zh-CN"/>
        </w:rPr>
        <w:t xml:space="preserve">格部分得分。</w:t>
      </w:r>
      <w:bookmarkStart w:id="757" w:name="_Toc12009"/>
      <w:r/>
      <w:bookmarkEnd w:id="757"/>
      <w:r/>
      <w:bookmarkStart w:id="758" w:name="_Toc474229428"/>
      <w:r/>
      <w:bookmarkEnd w:id="758"/>
      <w:r/>
      <w:bookmarkStart w:id="759" w:name="_Toc184635088"/>
      <w:r/>
      <w:bookmarkEnd w:id="759"/>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商务技术标部分（40分）</w:t>
      </w:r>
      <w:r/>
    </w:p>
    <w:tbl>
      <w:tblPr>
        <w:tblStyle w:val="761"/>
        <w:tblW w:w="9306"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236"/>
        <w:gridCol w:w="769"/>
        <w:gridCol w:w="907"/>
        <w:gridCol w:w="5715"/>
      </w:tblGrid>
      <w:tr>
        <w:trPr>
          <w:trHeight w:val="471"/>
        </w:trPr>
        <w:tc>
          <w:tcPr>
            <w:tcBorders>
              <w:top w:val="single" w:color="auto" w:sz="6" w:space="0"/>
              <w:left w:val="single" w:color="auto" w:sz="6" w:space="0"/>
              <w:bottom w:val="single" w:color="auto" w:sz="4" w:space="0"/>
              <w:right w:val="single" w:color="auto" w:sz="6" w:space="0"/>
            </w:tcBorders>
            <w:tcW w:w="1146"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条款号</w:t>
            </w:r>
            <w:r/>
          </w:p>
        </w:tc>
        <w:tc>
          <w:tcPr>
            <w:gridSpan w:val="4"/>
            <w:tcBorders>
              <w:top w:val="single" w:color="auto" w:sz="6" w:space="0"/>
              <w:left w:val="single" w:color="auto" w:sz="6" w:space="0"/>
              <w:bottom w:val="single" w:color="auto" w:sz="4" w:space="0"/>
              <w:right w:val="single" w:color="auto" w:sz="6" w:space="0"/>
            </w:tcBorders>
            <w:tcW w:w="2445"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评分因素</w:t>
            </w:r>
            <w:r/>
          </w:p>
        </w:tc>
        <w:tc>
          <w:tcPr>
            <w:tcBorders>
              <w:top w:val="single" w:color="auto" w:sz="6" w:space="0"/>
              <w:left w:val="single" w:color="auto" w:sz="6" w:space="0"/>
              <w:bottom w:val="single" w:color="auto" w:sz="4" w:space="0"/>
              <w:right w:val="single" w:color="auto" w:sz="6" w:space="0"/>
            </w:tcBorders>
            <w:tcW w:w="5715"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评分标准</w:t>
            </w:r>
            <w:r/>
          </w:p>
        </w:tc>
      </w:tr>
      <w:tr>
        <w:trPr>
          <w:trHeight w:val="679"/>
        </w:trPr>
        <w:tc>
          <w:tcPr>
            <w:tcBorders>
              <w:top w:val="single" w:color="auto" w:sz="4" w:space="0"/>
              <w:left w:val="single" w:color="auto" w:sz="4" w:space="0"/>
              <w:right w:val="single" w:color="auto" w:sz="6" w:space="0"/>
            </w:tcBorders>
            <w:tcW w:w="1146" w:type="dxa"/>
            <w:vAlign w:val="center"/>
            <w:vMerge w:val="restart"/>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技术标评分标准（满分</w:t>
            </w:r>
            <w:r>
              <w:rPr>
                <w:rFonts w:hint="eastAsia" w:ascii="宋体" w:hAnsi="宋体" w:eastAsia="宋体" w:cs="Times New Roman"/>
                <w:color w:val="000000"/>
                <w:sz w:val="24"/>
                <w:szCs w:val="24"/>
                <w:highlight w:val="none"/>
                <w:lang w:val="en-US" w:eastAsia="zh-CN"/>
              </w:rPr>
              <w:t xml:space="preserve">50</w:t>
            </w:r>
            <w:r>
              <w:rPr>
                <w:rFonts w:hint="eastAsia" w:ascii="宋体" w:hAnsi="宋体" w:eastAsia="宋体" w:cs="Times New Roman"/>
                <w:color w:val="000000"/>
                <w:sz w:val="24"/>
                <w:szCs w:val="24"/>
                <w:highlight w:val="none"/>
              </w:rPr>
              <w:t xml:space="preserve">分）</w:t>
            </w:r>
            <w:r/>
          </w:p>
        </w:tc>
        <w:tc>
          <w:tcPr>
            <w:tcBorders>
              <w:top w:val="single" w:color="auto" w:sz="4" w:space="0"/>
              <w:left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000000"/>
                <w:sz w:val="24"/>
                <w:szCs w:val="22"/>
                <w:highlight w:val="none"/>
                <w:lang w:val="en-US" w:eastAsia="zh-CN" w:bidi="ar-SA"/>
              </w:rPr>
            </w:pPr>
            <w:r>
              <w:rPr>
                <w:rFonts w:ascii="宋体" w:hAnsi="宋体" w:eastAsia="宋体" w:cs="Times New Roman"/>
                <w:color w:val="000000"/>
                <w:sz w:val="24"/>
                <w:highlight w:val="none"/>
              </w:rPr>
              <w:t xml:space="preserve">1</w:t>
            </w:r>
            <w:r/>
          </w:p>
        </w:tc>
        <w:tc>
          <w:tcPr>
            <w:gridSpan w:val="3"/>
            <w:tcBorders>
              <w:top w:val="single" w:color="auto" w:sz="4" w:space="0"/>
              <w:left w:val="single" w:color="auto" w:sz="4" w:space="0"/>
              <w:right w:val="single" w:color="auto" w:sz="6" w:space="0"/>
            </w:tcBorders>
            <w:tcW w:w="1912" w:type="dxa"/>
            <w:vAlign w:val="center"/>
            <w:textDirection w:val="lrTb"/>
            <w:noWrap w:val="false"/>
          </w:tcPr>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施工方案与技术措施</w:t>
            </w:r>
            <w:r/>
          </w:p>
        </w:tc>
        <w:tc>
          <w:tcPr>
            <w:tcBorders>
              <w:top w:val="single" w:color="auto" w:sz="4"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对执行计划、组织实施方案、控制措施、施工现场平面布置等内容进行评分</w:t>
            </w:r>
            <w:r>
              <w:rPr>
                <w:rFonts w:hint="eastAsia" w:ascii="宋体" w:hAnsi="宋体" w:eastAsia="宋体" w:cs="Times New Roman"/>
                <w:color w:val="000000"/>
                <w:sz w:val="24"/>
                <w:highlight w:val="none"/>
                <w:lang w:eastAsia="zh-CN"/>
              </w:rPr>
              <w:t xml:space="preserve">。</w:t>
            </w:r>
            <w:r/>
          </w:p>
        </w:tc>
      </w:tr>
      <w:tr>
        <w:trPr>
          <w:trHeight w:val="765"/>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000000"/>
                <w:sz w:val="24"/>
                <w:szCs w:val="22"/>
                <w:highlight w:val="none"/>
                <w:lang w:val="en-US" w:eastAsia="zh-CN" w:bidi="ar-SA"/>
              </w:rPr>
            </w:pPr>
            <w:r>
              <w:rPr>
                <w:rFonts w:ascii="宋体" w:hAnsi="宋体" w:eastAsia="宋体" w:cs="Times New Roman"/>
                <w:color w:val="000000"/>
                <w:sz w:val="24"/>
                <w:highlight w:val="none"/>
              </w:rPr>
              <w:t xml:space="preserve">2</w:t>
            </w:r>
            <w:r/>
          </w:p>
        </w:tc>
        <w:tc>
          <w:tcPr>
            <w:gridSpan w:val="3"/>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施工重点难点解决方案</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关键施工技术、工艺及工程项目实施重点、难点、解决方案。</w:t>
            </w:r>
            <w:r/>
          </w:p>
        </w:tc>
      </w:tr>
      <w:tr>
        <w:trPr>
          <w:trHeight w:val="855"/>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000000"/>
                <w:sz w:val="24"/>
                <w:szCs w:val="22"/>
                <w:highlight w:val="none"/>
                <w:lang w:val="en-US" w:eastAsia="zh-CN" w:bidi="ar-SA"/>
              </w:rPr>
            </w:pPr>
            <w:r>
              <w:rPr>
                <w:rFonts w:ascii="宋体" w:hAnsi="宋体" w:eastAsia="宋体" w:cs="Times New Roman"/>
                <w:color w:val="000000"/>
                <w:sz w:val="24"/>
                <w:highlight w:val="none"/>
              </w:rPr>
              <w:t xml:space="preserve">3</w:t>
            </w:r>
            <w:r/>
          </w:p>
        </w:tc>
        <w:tc>
          <w:tcPr>
            <w:gridSpan w:val="3"/>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s="Times New Roman"/>
                <w:color w:val="auto"/>
                <w:sz w:val="24"/>
                <w:szCs w:val="24"/>
                <w:highlight w:val="none"/>
              </w:rPr>
            </w:pPr>
            <w:r>
              <w:rPr>
                <w:rFonts w:hint="eastAsia" w:ascii="宋体" w:hAnsi="宋体" w:eastAsia="宋体" w:cs="Times New Roman"/>
                <w:sz w:val="24"/>
                <w:highlight w:val="none"/>
              </w:rPr>
              <w:t xml:space="preserve">工程进度计划与措施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进度安排具体、合理、可行，解决措施先进、合理有效、完全满足项目要求</w:t>
            </w:r>
            <w:r>
              <w:rPr>
                <w:rFonts w:hint="eastAsia" w:ascii="宋体" w:hAnsi="宋体" w:eastAsia="宋体" w:cs="Times New Roman"/>
                <w:color w:val="000000"/>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sz w:val="24"/>
                <w:szCs w:val="22"/>
                <w:highlight w:val="none"/>
                <w:lang w:val="en-US" w:eastAsia="zh-CN" w:bidi="ar-SA"/>
              </w:rPr>
            </w:pPr>
            <w:r>
              <w:rPr>
                <w:rFonts w:ascii="宋体" w:hAnsi="宋体" w:eastAsia="宋体" w:cs="Times New Roman"/>
                <w:sz w:val="24"/>
                <w:highlight w:val="none"/>
              </w:rPr>
              <w:t xml:space="preserve">4</w:t>
            </w:r>
            <w:r/>
          </w:p>
        </w:tc>
        <w:tc>
          <w:tcPr>
            <w:gridSpan w:val="3"/>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s="Times New Roman"/>
                <w:color w:val="auto"/>
                <w:sz w:val="24"/>
                <w:szCs w:val="24"/>
                <w:highlight w:val="none"/>
              </w:rPr>
            </w:pPr>
            <w:r>
              <w:rPr>
                <w:rFonts w:hint="eastAsia" w:ascii="宋体" w:hAnsi="宋体" w:eastAsia="宋体" w:cs="Times New Roman"/>
                <w:sz w:val="24"/>
                <w:highlight w:val="none"/>
              </w:rPr>
              <w:t xml:space="preserve">质量管理体系与措施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对整个项目质量管理有具体的保障制度和措施，有明确的内部质量管理措施，明确了投标人向采购人提供的各项服务</w:t>
            </w:r>
            <w:r>
              <w:rPr>
                <w:rFonts w:hint="eastAsia" w:ascii="宋体" w:hAnsi="宋体" w:eastAsia="宋体" w:cs="Times New Roman"/>
                <w:color w:val="000000"/>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sz w:val="24"/>
                <w:szCs w:val="22"/>
                <w:highlight w:val="none"/>
                <w:lang w:val="en-US" w:eastAsia="zh-CN" w:bidi="ar-SA"/>
              </w:rPr>
            </w:pPr>
            <w:r>
              <w:rPr>
                <w:rFonts w:ascii="宋体" w:hAnsi="宋体" w:eastAsia="宋体" w:cs="Times New Roman"/>
                <w:sz w:val="24"/>
                <w:highlight w:val="none"/>
              </w:rPr>
              <w:t xml:space="preserve">5</w:t>
            </w:r>
            <w:r/>
          </w:p>
        </w:tc>
        <w:tc>
          <w:tcPr>
            <w:gridSpan w:val="3"/>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s="Times New Roman"/>
                <w:color w:val="auto"/>
                <w:sz w:val="24"/>
                <w:szCs w:val="24"/>
                <w:highlight w:val="none"/>
              </w:rPr>
            </w:pPr>
            <w:r>
              <w:rPr>
                <w:rFonts w:hint="eastAsia" w:ascii="宋体" w:hAnsi="宋体" w:eastAsia="宋体" w:cs="Times New Roman"/>
                <w:sz w:val="24"/>
                <w:highlight w:val="none"/>
              </w:rPr>
              <w:t xml:space="preserve">确保完成工程建设的技术和管理措施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技术方案合理、完善、实用性强、有针对性，对本</w:t>
            </w:r>
            <w:r>
              <w:rPr>
                <w:rFonts w:hint="eastAsia" w:ascii="宋体" w:hAnsi="宋体" w:eastAsia="宋体" w:cs="Times New Roman"/>
                <w:color w:val="000000"/>
                <w:sz w:val="24"/>
                <w:highlight w:val="none"/>
                <w:lang w:eastAsia="zh-CN"/>
              </w:rPr>
              <w:t xml:space="preserve">项目的</w:t>
            </w:r>
            <w:r>
              <w:rPr>
                <w:rFonts w:hint="eastAsia" w:ascii="宋体" w:hAnsi="宋体" w:eastAsia="宋体" w:cs="Times New Roman"/>
                <w:color w:val="000000"/>
                <w:sz w:val="24"/>
                <w:highlight w:val="none"/>
              </w:rPr>
              <w:t xml:space="preserve">概况理解较深、工作方案切实可行</w:t>
            </w:r>
            <w:r>
              <w:rPr>
                <w:rFonts w:hint="eastAsia" w:ascii="宋体" w:hAnsi="宋体" w:eastAsia="宋体" w:cs="Times New Roman"/>
                <w:color w:val="000000"/>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sz w:val="24"/>
                <w:szCs w:val="22"/>
                <w:highlight w:val="none"/>
                <w:lang w:val="en-US" w:eastAsia="zh-CN" w:bidi="ar-SA"/>
              </w:rPr>
            </w:pPr>
            <w:r>
              <w:rPr>
                <w:rFonts w:ascii="宋体" w:hAnsi="宋体" w:eastAsia="宋体" w:cs="Times New Roman"/>
                <w:sz w:val="24"/>
                <w:highlight w:val="none"/>
              </w:rPr>
              <w:t xml:space="preserve">6</w:t>
            </w:r>
            <w:r/>
          </w:p>
        </w:tc>
        <w:tc>
          <w:tcPr>
            <w:gridSpan w:val="3"/>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s="Times New Roman"/>
                <w:color w:val="auto"/>
                <w:sz w:val="24"/>
                <w:szCs w:val="24"/>
                <w:highlight w:val="none"/>
              </w:rPr>
            </w:pPr>
            <w:r>
              <w:rPr>
                <w:rFonts w:hint="eastAsia" w:ascii="宋体" w:hAnsi="宋体" w:eastAsia="宋体" w:cs="Times New Roman"/>
                <w:sz w:val="24"/>
                <w:highlight w:val="none"/>
              </w:rPr>
              <w:t xml:space="preserve">安全生产</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文明施工体系与措施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安全生产管理体系及保证措施合理详细</w:t>
            </w:r>
            <w:r>
              <w:rPr>
                <w:rFonts w:hint="eastAsia" w:ascii="宋体" w:hAnsi="宋体" w:eastAsia="宋体" w:cs="Times New Roman"/>
                <w:color w:val="000000"/>
                <w:sz w:val="24"/>
                <w:highlight w:val="none"/>
                <w:lang w:eastAsia="zh-CN"/>
              </w:rPr>
              <w:t xml:space="preserve">。</w:t>
            </w:r>
            <w:r/>
          </w:p>
        </w:tc>
      </w:tr>
      <w:tr>
        <w:trPr>
          <w:trHeight w:val="570"/>
        </w:trPr>
        <w:tc>
          <w:tcPr>
            <w:tcBorders>
              <w:top w:val="single" w:color="auto" w:sz="4" w:space="0"/>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4"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sz w:val="24"/>
                <w:szCs w:val="22"/>
                <w:highlight w:val="none"/>
                <w:lang w:val="en-US" w:eastAsia="zh-CN" w:bidi="ar-SA"/>
              </w:rPr>
            </w:pPr>
            <w:r>
              <w:rPr>
                <w:rFonts w:ascii="宋体" w:hAnsi="宋体" w:eastAsia="宋体" w:cs="Times New Roman"/>
                <w:sz w:val="24"/>
                <w:highlight w:val="none"/>
              </w:rPr>
              <w:t xml:space="preserve">7</w:t>
            </w:r>
            <w:r/>
          </w:p>
        </w:tc>
        <w:tc>
          <w:tcPr>
            <w:gridSpan w:val="3"/>
            <w:tcBorders>
              <w:top w:val="single" w:color="auto" w:sz="4"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s="Times New Roman"/>
                <w:color w:val="auto"/>
                <w:sz w:val="24"/>
                <w:szCs w:val="24"/>
                <w:highlight w:val="none"/>
              </w:rPr>
            </w:pPr>
            <w:r>
              <w:rPr>
                <w:rFonts w:hint="eastAsia" w:ascii="宋体" w:hAnsi="宋体" w:eastAsia="宋体" w:cs="Times New Roman"/>
                <w:sz w:val="24"/>
                <w:highlight w:val="none"/>
              </w:rPr>
              <w:t xml:space="preserve">环境保护体系与措施</w:t>
            </w:r>
            <w:r/>
          </w:p>
        </w:tc>
        <w:tc>
          <w:tcPr>
            <w:tcBorders>
              <w:top w:val="single" w:color="auto" w:sz="4" w:space="0"/>
              <w:left w:val="single" w:color="auto" w:sz="6" w:space="0"/>
              <w:bottom w:val="single" w:color="auto" w:sz="6" w:space="0"/>
              <w:right w:val="single" w:color="auto" w:sz="6" w:space="0"/>
            </w:tcBorders>
            <w:tcW w:w="5715" w:type="dxa"/>
            <w:vAlign w:val="center"/>
            <w:textDirection w:val="lrTb"/>
            <w:noWrap w:val="false"/>
          </w:tcPr>
          <w:p>
            <w:pPr>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环境保护管理体系及保证措施合理详细</w:t>
            </w:r>
            <w:r>
              <w:rPr>
                <w:rFonts w:hint="eastAsia" w:ascii="宋体" w:hAnsi="宋体" w:eastAsia="宋体" w:cs="Times New Roman"/>
                <w:color w:val="000000"/>
                <w:sz w:val="24"/>
                <w:highlight w:val="none"/>
                <w:lang w:eastAsia="zh-CN"/>
              </w:rPr>
              <w:t xml:space="preserve">。</w:t>
            </w:r>
            <w:r/>
          </w:p>
        </w:tc>
      </w:tr>
      <w:tr>
        <w:trPr>
          <w:trHeight w:val="720"/>
        </w:trPr>
        <w:tc>
          <w:tcPr>
            <w:tcBorders>
              <w:left w:val="single" w:color="auto" w:sz="4" w:space="0"/>
              <w:bottom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6" w:space="0"/>
              <w:left w:val="single" w:color="auto" w:sz="6" w:space="0"/>
              <w:bottom w:val="single" w:color="auto" w:sz="4" w:space="0"/>
              <w:right w:val="single" w:color="auto" w:sz="4" w:space="0"/>
            </w:tcBorders>
            <w:tcW w:w="533" w:type="dxa"/>
            <w:vAlign w:val="center"/>
            <w:textDirection w:val="lrTb"/>
            <w:noWrap w:val="false"/>
          </w:tcPr>
          <w:p>
            <w:pPr>
              <w:jc w:val="center"/>
              <w:rPr>
                <w:rFonts w:hint="eastAsia" w:ascii="宋体" w:hAnsi="宋体" w:eastAsia="宋体" w:cs="Times New Roman"/>
                <w:sz w:val="24"/>
                <w:szCs w:val="22"/>
                <w:highlight w:val="none"/>
                <w:lang w:val="en-US" w:eastAsia="zh-CN" w:bidi="ar-SA"/>
              </w:rPr>
            </w:pPr>
            <w:r>
              <w:rPr>
                <w:rFonts w:hint="eastAsia" w:ascii="宋体" w:hAnsi="宋体" w:eastAsia="宋体" w:cs="Times New Roman"/>
                <w:sz w:val="24"/>
                <w:highlight w:val="none"/>
                <w:lang w:val="en-US" w:eastAsia="zh-CN"/>
              </w:rPr>
              <w:t xml:space="preserve">8</w:t>
            </w:r>
            <w:r/>
          </w:p>
        </w:tc>
        <w:tc>
          <w:tcPr>
            <w:gridSpan w:val="3"/>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sz w:val="24"/>
                <w:highlight w:val="none"/>
              </w:rPr>
              <w:t xml:space="preserve">质量通病的防治措施</w:t>
            </w:r>
            <w:r/>
          </w:p>
        </w:tc>
        <w:tc>
          <w:tcPr>
            <w:tcBorders>
              <w:top w:val="single" w:color="auto" w:sz="6" w:space="0"/>
              <w:left w:val="single" w:color="auto" w:sz="6" w:space="0"/>
              <w:bottom w:val="single" w:color="auto" w:sz="6" w:space="0"/>
              <w:right w:val="single" w:color="auto" w:sz="6" w:space="0"/>
            </w:tcBorders>
            <w:tcW w:w="5715" w:type="dxa"/>
            <w:vAlign w:val="center"/>
            <w:textDirection w:val="lrTb"/>
            <w:noWrap w:val="false"/>
          </w:tcPr>
          <w:p>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color w:val="000000"/>
                <w:sz w:val="24"/>
                <w:highlight w:val="none"/>
              </w:rPr>
              <w:t xml:space="preserve">质量通病分析及防治措施</w:t>
            </w:r>
            <w:r>
              <w:rPr>
                <w:rFonts w:hint="eastAsia" w:ascii="宋体" w:hAnsi="宋体" w:eastAsia="宋体" w:cs="Times New Roman"/>
                <w:color w:val="000000"/>
                <w:sz w:val="24"/>
                <w:highlight w:val="none"/>
                <w:lang w:eastAsia="zh-CN"/>
              </w:rPr>
              <w:t xml:space="preserve">。</w:t>
            </w:r>
            <w:r/>
          </w:p>
        </w:tc>
      </w:tr>
      <w:tr>
        <w:trPr>
          <w:trHeight w:val="605"/>
        </w:trPr>
        <w:tc>
          <w:tcPr>
            <w:tcBorders>
              <w:top w:val="single" w:color="auto" w:sz="4" w:space="0"/>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4" w:space="0"/>
              <w:left w:val="single" w:color="auto" w:sz="6" w:space="0"/>
              <w:right w:val="single" w:color="auto" w:sz="6" w:space="0"/>
            </w:tcBorders>
            <w:tcW w:w="533" w:type="dxa"/>
            <w:vAlign w:val="center"/>
            <w:textDirection w:val="lrTb"/>
            <w:noWrap w:val="false"/>
          </w:tcPr>
          <w:p>
            <w:pPr>
              <w:jc w:val="center"/>
              <w:rPr>
                <w:rFonts w:hint="eastAsia" w:ascii="宋体" w:hAnsi="宋体" w:eastAsia="宋体" w:cs="Times New Roman"/>
                <w:sz w:val="24"/>
                <w:szCs w:val="22"/>
                <w:highlight w:val="none"/>
                <w:lang w:val="en-US" w:eastAsia="zh-CN" w:bidi="ar-SA"/>
              </w:rPr>
            </w:pPr>
            <w:r>
              <w:rPr>
                <w:rFonts w:hint="eastAsia" w:ascii="宋体" w:hAnsi="宋体" w:eastAsia="宋体" w:cs="Times New Roman"/>
                <w:sz w:val="24"/>
                <w:highlight w:val="none"/>
                <w:lang w:val="en-US" w:eastAsia="zh-CN"/>
              </w:rPr>
              <w:t xml:space="preserve">9</w:t>
            </w:r>
            <w:r/>
          </w:p>
        </w:tc>
        <w:tc>
          <w:tcPr>
            <w:gridSpan w:val="3"/>
            <w:tcBorders>
              <w:top w:val="single" w:color="auto" w:sz="6" w:space="0"/>
              <w:left w:val="single" w:color="auto" w:sz="6" w:space="0"/>
              <w:right w:val="single" w:color="auto" w:sz="6" w:space="0"/>
            </w:tcBorders>
            <w:tcW w:w="1912" w:type="dxa"/>
            <w:vAlign w:val="center"/>
            <w:textDirection w:val="lrTb"/>
            <w:noWrap w:val="false"/>
          </w:tcPr>
          <w:p>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sz w:val="24"/>
                <w:highlight w:val="none"/>
              </w:rPr>
              <w:t xml:space="preserve">劳动力</w:t>
            </w:r>
            <w:r>
              <w:rPr>
                <w:rFonts w:hint="eastAsia" w:ascii="宋体" w:hAnsi="宋体" w:eastAsia="宋体" w:cs="Times New Roman"/>
                <w:sz w:val="24"/>
                <w:highlight w:val="none"/>
                <w:lang w:eastAsia="zh-CN"/>
              </w:rPr>
              <w:t xml:space="preserve">、</w:t>
            </w:r>
            <w:r>
              <w:rPr>
                <w:rFonts w:hint="eastAsia" w:ascii="宋体" w:hAnsi="宋体" w:eastAsia="宋体" w:cs="Times New Roman"/>
                <w:color w:val="000000"/>
                <w:sz w:val="24"/>
                <w:highlight w:val="none"/>
              </w:rPr>
              <w:t xml:space="preserve">成品保护</w:t>
            </w:r>
            <w:r/>
          </w:p>
        </w:tc>
        <w:tc>
          <w:tcPr>
            <w:tcBorders>
              <w:top w:val="single" w:color="auto" w:sz="6" w:space="0"/>
              <w:left w:val="single" w:color="auto" w:sz="6" w:space="0"/>
              <w:bottom w:val="single" w:color="auto" w:sz="6" w:space="0"/>
              <w:right w:val="single" w:color="auto" w:sz="6" w:space="0"/>
            </w:tcBorders>
            <w:tcW w:w="5715" w:type="dxa"/>
            <w:vAlign w:val="center"/>
            <w:textDirection w:val="lrTb"/>
            <w:noWrap w:val="false"/>
          </w:tcPr>
          <w:p>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color w:val="000000"/>
                <w:sz w:val="24"/>
                <w:highlight w:val="none"/>
              </w:rPr>
              <w:t xml:space="preserve">劳动力组织及计划表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成品保护措施</w:t>
            </w:r>
            <w:r>
              <w:rPr>
                <w:rFonts w:hint="eastAsia" w:ascii="宋体" w:hAnsi="宋体" w:eastAsia="宋体" w:cs="Times New Roman"/>
                <w:color w:val="000000"/>
                <w:sz w:val="24"/>
                <w:highlight w:val="none"/>
                <w:lang w:eastAsia="zh-CN"/>
              </w:rPr>
              <w:t xml:space="preserve">。</w:t>
            </w:r>
            <w:r/>
          </w:p>
        </w:tc>
      </w:tr>
      <w:tr>
        <w:trPr>
          <w:trHeight w:val="72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5"/>
            <w:tcBorders>
              <w:top w:val="single" w:color="auto" w:sz="6" w:space="0"/>
              <w:left w:val="single" w:color="auto" w:sz="6" w:space="0"/>
              <w:bottom w:val="single" w:color="auto" w:sz="6" w:space="0"/>
              <w:right w:val="single" w:color="auto" w:sz="6" w:space="0"/>
            </w:tcBorders>
            <w:tcW w:w="8160" w:type="dxa"/>
            <w:vAlign w:val="center"/>
            <w:textDirection w:val="lrTb"/>
            <w:noWrap w:val="false"/>
          </w:tcPr>
          <w:p>
            <w:pPr>
              <w:rPr>
                <w:rFonts w:hint="eastAsia" w:ascii="宋体" w:hAnsi="宋体" w:eastAsia="宋体" w:cs="Times New Roman"/>
                <w:color w:val="000000"/>
                <w:sz w:val="24"/>
                <w:szCs w:val="24"/>
                <w:highlight w:val="none"/>
              </w:rPr>
            </w:pPr>
            <w:r>
              <w:rPr>
                <w:rFonts w:hint="eastAsia" w:ascii="宋体" w:hAnsi="宋体" w:eastAsia="宋体" w:cs="宋体"/>
                <w:color w:val="000000"/>
                <w:sz w:val="24"/>
                <w:highlight w:val="none"/>
                <w:lang w:val="en-US" w:eastAsia="zh-CN" w:bidi="ar"/>
              </w:rPr>
              <w:t xml:space="preserve">第1-</w:t>
            </w:r>
            <w:r>
              <w:rPr>
                <w:rFonts w:hint="eastAsia" w:ascii="宋体" w:hAnsi="宋体" w:cs="宋体"/>
                <w:color w:val="000000"/>
                <w:sz w:val="24"/>
                <w:highlight w:val="none"/>
                <w:lang w:val="en-US" w:eastAsia="zh-CN" w:bidi="ar"/>
              </w:rPr>
              <w:t xml:space="preserve">9</w:t>
            </w:r>
            <w:r>
              <w:rPr>
                <w:rFonts w:hint="eastAsia" w:ascii="宋体" w:hAnsi="宋体" w:eastAsia="宋体" w:cs="宋体"/>
                <w:color w:val="000000"/>
                <w:sz w:val="24"/>
                <w:highlight w:val="none"/>
                <w:lang w:val="en-US" w:eastAsia="zh-CN" w:bidi="ar"/>
              </w:rPr>
              <w:t xml:space="preserve">项，单项</w:t>
            </w:r>
            <w:r>
              <w:rPr>
                <w:rFonts w:hint="eastAsia" w:ascii="宋体" w:hAnsi="宋体" w:eastAsia="宋体" w:cs="宋体"/>
                <w:color w:val="000000"/>
                <w:sz w:val="24"/>
                <w:highlight w:val="none"/>
                <w:lang w:bidi="ar"/>
              </w:rPr>
              <w:t xml:space="preserve">方案完全满足项目需求的</w:t>
            </w:r>
            <w:r>
              <w:rPr>
                <w:rFonts w:hint="eastAsia" w:ascii="宋体" w:hAnsi="宋体" w:eastAsia="宋体" w:cs="宋体"/>
                <w:color w:val="000000"/>
                <w:sz w:val="24"/>
                <w:highlight w:val="none"/>
                <w:lang w:val="en-US" w:eastAsia="zh-CN" w:bidi="ar"/>
              </w:rPr>
              <w:t xml:space="preserve">每项</w:t>
            </w:r>
            <w:r>
              <w:rPr>
                <w:rFonts w:hint="eastAsia" w:ascii="宋体" w:hAnsi="宋体" w:eastAsia="宋体" w:cs="宋体"/>
                <w:color w:val="000000"/>
                <w:sz w:val="24"/>
                <w:highlight w:val="none"/>
                <w:lang w:bidi="ar"/>
              </w:rPr>
              <w:t xml:space="preserve">得</w:t>
            </w: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分，方案合理基本满足项目需求得</w:t>
            </w:r>
            <w:r>
              <w:rPr>
                <w:rFonts w:hint="eastAsia" w:ascii="宋体" w:hAnsi="宋体" w:eastAsia="宋体" w:cs="宋体"/>
                <w:color w:val="000000"/>
                <w:sz w:val="24"/>
                <w:highlight w:val="none"/>
                <w:lang w:val="en-US" w:eastAsia="zh-CN" w:bidi="ar"/>
              </w:rPr>
              <w:t xml:space="preserve">2.8</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val="en-US" w:eastAsia="zh-CN" w:bidi="ar"/>
              </w:rPr>
              <w:t xml:space="preserve">不合理、</w:t>
            </w:r>
            <w:r>
              <w:rPr>
                <w:rFonts w:hint="eastAsia" w:ascii="宋体" w:hAnsi="宋体" w:eastAsia="宋体" w:cs="宋体"/>
                <w:color w:val="000000"/>
                <w:sz w:val="24"/>
                <w:highlight w:val="none"/>
                <w:lang w:bidi="ar"/>
              </w:rPr>
              <w:t xml:space="preserve">不提供不得分。</w:t>
            </w:r>
            <w:r/>
          </w:p>
        </w:tc>
      </w:tr>
      <w:tr>
        <w:trPr>
          <w:trHeight w:val="720"/>
        </w:trPr>
        <w:tc>
          <w:tcPr>
            <w:tcBorders>
              <w:left w:val="single" w:color="auto" w:sz="4" w:space="0"/>
              <w:bottom w:val="single" w:color="auto" w:sz="6" w:space="0"/>
              <w:right w:val="single" w:color="auto" w:sz="6" w:space="0"/>
            </w:tcBorders>
            <w:tcW w:w="1146" w:type="dxa"/>
            <w:vAlign w:val="top"/>
            <w:vMerge w:val="continue"/>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769" w:type="dxa"/>
            <w:vAlign w:val="center"/>
            <w:textDirection w:val="lrTb"/>
            <w:noWrap w:val="false"/>
          </w:tcPr>
          <w:p>
            <w:pPr>
              <w:rPr>
                <w:rFonts w:hint="default"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10</w:t>
            </w:r>
            <w:r/>
          </w:p>
        </w:tc>
        <w:tc>
          <w:tcPr>
            <w:tcBorders>
              <w:top w:val="single" w:color="auto" w:sz="6" w:space="0"/>
              <w:left w:val="single" w:color="auto" w:sz="6" w:space="0"/>
              <w:bottom w:val="single" w:color="auto" w:sz="6" w:space="0"/>
              <w:right w:val="single" w:color="auto" w:sz="6" w:space="0"/>
            </w:tcBorders>
            <w:tcW w:w="769" w:type="dxa"/>
            <w:vAlign w:val="center"/>
            <w:textDirection w:val="lrTb"/>
            <w:noWrap w:val="false"/>
          </w:tcPr>
          <w:p>
            <w:pPr>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业绩</w:t>
            </w:r>
            <w:r/>
          </w:p>
        </w:tc>
        <w:tc>
          <w:tcPr>
            <w:gridSpan w:val="2"/>
            <w:tcBorders>
              <w:top w:val="single" w:color="auto" w:sz="6" w:space="0"/>
              <w:left w:val="single" w:color="auto" w:sz="6" w:space="0"/>
              <w:bottom w:val="single" w:color="auto" w:sz="6" w:space="0"/>
              <w:right w:val="single" w:color="auto" w:sz="6" w:space="0"/>
            </w:tcBorders>
            <w:tcW w:w="6622" w:type="dxa"/>
            <w:vAlign w:val="center"/>
            <w:textDirection w:val="lrTb"/>
            <w:noWrap w:val="false"/>
          </w:tcPr>
          <w:p>
            <w:pPr>
              <w:rPr>
                <w:rFonts w:hint="eastAsia" w:ascii="宋体" w:hAnsi="宋体" w:eastAsia="宋体" w:cs="宋体"/>
                <w:color w:val="000000"/>
                <w:sz w:val="24"/>
                <w:highlight w:val="none"/>
                <w:lang w:val="en-US" w:eastAsia="zh-CN" w:bidi="ar"/>
              </w:rPr>
            </w:pP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rPr>
              <w:t xml:space="preserve">完成过类似项目每有一个得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分，最多得</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分。须提供中标通知书、施工合同和竣工验收证明，缺一不可，否则不得分（提供复印件，原件备查）。</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②请供应商制作磋商响应文件的时保证图片、文字材料的完整、清晰可辨，任何原因导致评委看不清楚或无法查看，后果由供应商自负。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ind w:left="0" w:firstLine="0"/>
        <w:jc w:val="both"/>
        <w:pageBreakBefore w:val="0"/>
        <w:spacing w:after="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（四）价格标部分（60分）</w:t>
      </w:r>
      <w:r/>
    </w:p>
    <w:tbl>
      <w:tblPr>
        <w:tblStyle w:val="761"/>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评标内容</w:t>
            </w:r>
            <w:r/>
          </w:p>
        </w:tc>
        <w:tc>
          <w:tcPr>
            <w:tcW w:w="690" w:type="dxa"/>
            <w:vAlign w:val="center"/>
            <w:textDirection w:val="lrTb"/>
            <w:noWrap w:val="false"/>
          </w:tcPr>
          <w:p>
            <w:pPr>
              <w:jc w:val="center"/>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7800" w:type="dxa"/>
            <w:vAlign w:val="center"/>
            <w:textDirection w:val="lrTb"/>
            <w:noWrap w:val="false"/>
          </w:tcPr>
          <w:p>
            <w:pPr>
              <w:jc w:val="center"/>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标得分</w:t>
            </w:r>
            <w:r>
              <w:rPr>
                <w:rFonts w:hint="eastAsia" w:ascii="宋体" w:hAnsi="宋体" w:eastAsia="宋体" w:cs="宋体"/>
                <w:color w:val="auto"/>
                <w:sz w:val="24"/>
                <w:szCs w:val="24"/>
                <w:highlight w:val="none"/>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w:t>
            </w:r>
            <w:r/>
          </w:p>
        </w:tc>
        <w:tc>
          <w:tcPr>
            <w:tcW w:w="7800" w:type="dxa"/>
            <w:vAlign w:val="center"/>
            <w:textDirection w:val="lrTb"/>
            <w:noWrap w:val="false"/>
          </w:tcPr>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firstLine="480"/>
        <w:keepLines w:val="0"/>
        <w:keepNext w:val="0"/>
        <w:pageBreakBefore w:val="0"/>
        <w:spacing w:line="360" w:lineRule="auto"/>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注：本项目专门面向中小企业采购，不再执行价格评审优惠的扶持政策。</w:t>
      </w:r>
      <w:r/>
    </w:p>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color w:val="auto"/>
          <w:sz w:val="24"/>
          <w:highlight w:val="none"/>
          <w:lang w:val="en-US"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评审过程中出现下列情形之一的，</w:t>
      </w:r>
      <w:r>
        <w:rPr>
          <w:rFonts w:hint="eastAsia" w:ascii="宋体" w:hAnsi="宋体" w:eastAsia="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 xml:space="preserve">（1）投标（响应）报价低于全部通过符合性审查供应商投标（响应）报价平均值50%，即投标（响应）报价&lt;全部通过符合性审查供应商投标（响应）报价平均值×50%；</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 xml:space="preserve">（2）投标（响应）报价低于通过符合性审查的次低报价供应商投标（响应）报价50%的，即投标（响应）报价&lt;通过符合性审查的次低报价供应商（响应）报价×50%； </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 xml:space="preserve">（3）投标（响应）报价低于采购项目最高限价65%的，即投标（响应）报价&lt;采购项目最高限价×65%； </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 xml:space="preserve">（4）评审委员会基于专业判断，认定供应商报价过低，有可能影响产品质量或者不能诚信履约的其他情形。 </w:t>
      </w:r>
      <w:r/>
    </w:p>
    <w:p>
      <w:pPr>
        <w:ind w:firstLine="57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u w:val="none"/>
          <w:lang w:val="en-US" w:eastAsia="zh-CN"/>
        </w:rPr>
        <w:t xml:space="preserve">2.</w:t>
      </w:r>
      <w:r>
        <w:rPr>
          <w:rFonts w:hint="default" w:ascii="宋体" w:hAnsi="宋体" w:eastAsia="宋体" w:cs="宋体"/>
          <w:b w:val="0"/>
          <w:bCs w:val="0"/>
          <w:color w:val="auto"/>
          <w:sz w:val="24"/>
          <w:highlight w:val="none"/>
          <w:u w:val="none"/>
          <w:lang w:val="en-US" w:eastAsia="zh-CN"/>
        </w:rPr>
        <w:t xml:space="preserve">启动异常低价投标（响应）审查后，</w:t>
      </w:r>
      <w:r>
        <w:rPr>
          <w:rFonts w:hint="eastAsia" w:ascii="宋体" w:hAnsi="宋体" w:eastAsia="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应当将其作为无效投标（响应）处理。审查相关情况应当在评审报告中进行记录。</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情况，按照评审得分由高到低顺序推荐3名成交候选供应商，并编写评审报告。符合本磋商文件第二章第2</w:t>
      </w:r>
      <w:r>
        <w:rPr>
          <w:rFonts w:hint="eastAsia" w:ascii="宋体" w:hAnsi="宋体" w:eastAsia="宋体" w:cs="宋体"/>
          <w:b w:val="0"/>
          <w:bCs w:val="0"/>
          <w:color w:val="auto"/>
          <w:sz w:val="24"/>
          <w:highlight w:val="none"/>
          <w:u w:val="none"/>
          <w:lang w:val="en-US" w:eastAsia="zh-CN"/>
        </w:rPr>
        <w:t xml:space="preserve">8</w:t>
      </w:r>
      <w:r>
        <w:rPr>
          <w:rFonts w:hint="eastAsia" w:ascii="宋体" w:hAnsi="宋体" w:eastAsia="宋体" w:cs="宋体"/>
          <w:b w:val="0"/>
          <w:bCs w:val="0"/>
          <w:color w:val="auto"/>
          <w:sz w:val="24"/>
          <w:highlight w:val="none"/>
          <w:u w:val="none"/>
          <w:lang w:val="zh-CN"/>
        </w:rPr>
        <w:t xml:space="preserve">.1.2条情形的，可以推荐2名成交候选供应商。评审得分相同的，按照最后报价由低到高的顺序推荐。评审得分且最后报价相同的，按照技术指标优劣顺序推荐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成交供应商领取成交通知书时须提供肆份纸质版响应文件及壹份响应文件电子扫描件至代理机构处。</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第六章  </w:t>
      </w:r>
      <w:bookmarkEnd w:id="741"/>
      <w:r/>
      <w:bookmarkEnd w:id="742"/>
      <w:r/>
      <w:bookmarkEnd w:id="756"/>
      <w:r>
        <w:rPr>
          <w:rFonts w:hint="eastAsia" w:ascii="黑体" w:hAnsi="Times New Roman" w:eastAsia="黑体"/>
          <w:bCs/>
          <w:color w:val="auto"/>
          <w:sz w:val="44"/>
          <w:szCs w:val="28"/>
          <w:highlight w:val="none"/>
        </w:rPr>
        <w:t xml:space="preserve">响应文件格式 </w:t>
      </w:r>
      <w:r/>
    </w:p>
    <w:p>
      <w:pPr>
        <w:jc w:val="center"/>
        <w:rPr>
          <w:rFonts w:hint="eastAsia" w:ascii="宋体" w:hAnsi="宋体"/>
          <w:b/>
          <w:color w:val="auto"/>
          <w:sz w:val="72"/>
          <w:szCs w:val="21"/>
          <w:highlight w:val="none"/>
        </w:rPr>
      </w:pPr>
      <w:r/>
      <w:bookmarkStart w:id="760" w:name="_Hlt26955039"/>
      <w:r/>
      <w:bookmarkEnd w:id="760"/>
      <w:r/>
      <w:bookmarkStart w:id="761" w:name="_Hlt26671244"/>
      <w:r/>
      <w:bookmarkEnd w:id="761"/>
      <w:r/>
      <w:bookmarkStart w:id="762" w:name="_Toc26554094"/>
      <w:r/>
      <w:bookmarkStart w:id="763" w:name="_Toc49090576"/>
      <w:r/>
      <w:bookmarkStart w:id="764"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54"/>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54"/>
        <w:rPr>
          <w:rFonts w:hint="eastAsia"/>
          <w:color w:val="auto"/>
          <w:highlight w:val="none"/>
        </w:rPr>
      </w:pPr>
      <w:r>
        <w:rPr>
          <w:rFonts w:hint="eastAsia"/>
          <w:color w:val="auto"/>
          <w:highlight w:val="none"/>
        </w:rPr>
      </w:r>
      <w:r/>
    </w:p>
    <w:p>
      <w:pPr>
        <w:jc w:val="center"/>
        <w:spacing w:line="440" w:lineRule="exact"/>
        <w:rPr>
          <w:rFonts w:hint="eastAsia" w:ascii="宋体" w:hAnsi="宋体"/>
          <w:b/>
          <w:bCs/>
          <w:color w:val="auto"/>
          <w:sz w:val="32"/>
          <w:szCs w:val="32"/>
          <w:highlight w:val="none"/>
        </w:rPr>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bookmarkEnd w:id="161"/>
      <w:r/>
      <w:bookmarkEnd w:id="162"/>
      <w:r/>
      <w:bookmarkEnd w:id="762"/>
      <w:r/>
      <w:bookmarkEnd w:id="763"/>
      <w:r/>
      <w:bookmarkEnd w:id="764"/>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t xml:space="preserve">格式附件如下：</w:t>
      </w:r>
      <w:r/>
    </w:p>
    <w:p>
      <w:pPr>
        <w:pStyle w:val="752"/>
        <w:jc w:val="center"/>
        <w:keepLines w:val="0"/>
        <w:keepNext w:val="0"/>
        <w:widowControl/>
        <w:rPr>
          <w:color w:val="auto"/>
          <w:highlight w:val="none"/>
        </w:rPr>
        <w:suppressLineNumbers w:val="0"/>
      </w:pPr>
      <w:r>
        <w:rPr>
          <w:rStyle w:val="787"/>
          <w:rFonts w:ascii="Times New Roman" w:hAnsi="Times New Roman" w:eastAsia="宋体" w:cs="Times New Roman"/>
          <w:color w:val="auto"/>
          <w:sz w:val="21"/>
          <w:highlight w:val="none"/>
        </w:rPr>
        <w:t xml:space="preserve">磋商报价表</w:t>
      </w:r>
      <w:r/>
    </w:p>
    <w:p>
      <w:pPr>
        <w:pStyle w:val="783"/>
        <w:keepLines w:val="0"/>
        <w:keepNext w:val="0"/>
        <w:widowControl/>
        <w:rPr>
          <w:color w:val="auto"/>
          <w:highlight w:val="none"/>
        </w:rPr>
        <w:suppressLineNumbers w:val="0"/>
      </w:pPr>
      <w:r>
        <w:rPr>
          <w:color w:val="auto"/>
          <w:highlight w:val="none"/>
        </w:rPr>
        <w:t xml:space="preserve">本次为首次报价                                  货币单位：人民币元</w:t>
      </w:r>
      <w:r/>
    </w:p>
    <w:p>
      <w:pPr>
        <w:pStyle w:val="783"/>
        <w:keepLines w:val="0"/>
        <w:keepNext w:val="0"/>
        <w:widowControl/>
        <w:rPr>
          <w:color w:val="auto"/>
          <w:highlight w:val="none"/>
        </w:rPr>
        <w:suppressLineNumbers w:val="0"/>
      </w:pPr>
      <w:r>
        <w:rPr>
          <w:color w:val="auto"/>
          <w:highlight w:val="none"/>
        </w:rPr>
        <w:t xml:space="preserve">项目编号：项目编号  </w:t>
      </w:r>
      <w:r/>
    </w:p>
    <w:tbl>
      <w:tblPr>
        <w:tblStyle w:val="76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shd w:val="clear" w:color="auto" w:fill="auto"/>
            <w:tcW w:w="3330" w:type="dxa"/>
            <w:vAlign w:val="center"/>
            <w:textDirection w:val="lrTb"/>
            <w:noWrap w:val="false"/>
          </w:tcPr>
          <w:p>
            <w:pPr>
              <w:pStyle w:val="783"/>
              <w:keepLines w:val="0"/>
              <w:keepNext w:val="0"/>
              <w:widowControl/>
              <w:rPr>
                <w:color w:val="auto"/>
                <w:highlight w:val="none"/>
              </w:rPr>
              <w:suppressLineNumbers w:val="0"/>
            </w:pPr>
            <w:r>
              <w:rPr>
                <w:color w:val="auto"/>
                <w:highlight w:val="none"/>
              </w:rPr>
              <w:t xml:space="preserve">项目名称</w:t>
            </w:r>
            <w:r/>
          </w:p>
        </w:tc>
        <w:tc>
          <w:tcPr>
            <w:shd w:val="clear" w:color="auto" w:fill="auto"/>
            <w:tcW w:w="3345" w:type="dxa"/>
            <w:vAlign w:val="center"/>
            <w:textDirection w:val="lrTb"/>
            <w:noWrap w:val="false"/>
          </w:tcPr>
          <w:p>
            <w:pPr>
              <w:pStyle w:val="783"/>
              <w:keepLines w:val="0"/>
              <w:keepNext w:val="0"/>
              <w:widowControl/>
              <w:rPr>
                <w:color w:val="auto"/>
                <w:highlight w:val="none"/>
              </w:rPr>
              <w:suppressLineNumbers w:val="0"/>
            </w:pPr>
            <w:r>
              <w:rPr>
                <w:color w:val="auto"/>
                <w:highlight w:val="none"/>
              </w:rPr>
              <w:t xml:space="preserve">项目内容</w:t>
            </w:r>
            <w:r/>
          </w:p>
        </w:tc>
        <w:tc>
          <w:tcPr>
            <w:shd w:val="clear" w:color="auto" w:fill="auto"/>
            <w:tcW w:w="4980" w:type="dxa"/>
            <w:vAlign w:val="center"/>
            <w:textDirection w:val="lrTb"/>
            <w:noWrap w:val="false"/>
          </w:tcPr>
          <w:p>
            <w:pPr>
              <w:pStyle w:val="783"/>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783"/>
              <w:keepLines w:val="0"/>
              <w:keepNext w:val="0"/>
              <w:widowControl/>
              <w:rPr>
                <w:color w:val="auto"/>
                <w:highlight w:val="none"/>
              </w:rPr>
              <w:suppressLineNumbers w:val="0"/>
            </w:pPr>
            <w:r>
              <w:rPr>
                <w:color w:val="auto"/>
                <w:highlight w:val="none"/>
              </w:rPr>
              <w:t xml:space="preserve">项目名称  </w:t>
            </w:r>
            <w:r/>
          </w:p>
        </w:tc>
        <w:tc>
          <w:tcPr>
            <w:shd w:val="clear" w:color="auto" w:fill="auto"/>
            <w:tcW w:w="3345" w:type="dxa"/>
            <w:vAlign w:val="center"/>
            <w:textDirection w:val="lrTb"/>
            <w:noWrap w:val="false"/>
          </w:tcPr>
          <w:p>
            <w:pPr>
              <w:pStyle w:val="783"/>
              <w:keepLines w:val="0"/>
              <w:keepNext w:val="0"/>
              <w:widowControl/>
              <w:rPr>
                <w:color w:val="auto"/>
                <w:highlight w:val="none"/>
              </w:rPr>
              <w:suppressLineNumbers w:val="0"/>
            </w:pPr>
            <w:r>
              <w:rPr>
                <w:color w:val="auto"/>
                <w:highlight w:val="none"/>
              </w:rPr>
              <w:t xml:space="preserve">详见响应文件</w:t>
            </w:r>
            <w:r/>
          </w:p>
        </w:tc>
        <w:tc>
          <w:tcPr>
            <w:shd w:val="clear" w:color="auto" w:fill="auto"/>
            <w:tcW w:w="4980" w:type="dxa"/>
            <w:vAlign w:val="center"/>
            <w:textDirection w:val="lrTb"/>
            <w:noWrap w:val="false"/>
          </w:tcPr>
          <w:p>
            <w:pPr>
              <w:pStyle w:val="783"/>
              <w:keepLines w:val="0"/>
              <w:keepNext w:val="0"/>
              <w:widowControl/>
              <w:rPr>
                <w:color w:val="auto"/>
                <w:highlight w:val="none"/>
              </w:rPr>
              <w:suppressLineNumbers w:val="0"/>
            </w:pP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r>
      <w:tr>
        <w:trPr>
          <w:tblCellSpacing w:w="15" w:type="dxa"/>
        </w:trPr>
        <w:tc>
          <w:tcPr>
            <w:shd w:val="clear" w:color="auto" w:fill="auto"/>
            <w:tcW w:w="3330" w:type="dxa"/>
            <w:vAlign w:val="center"/>
            <w:textDirection w:val="lrTb"/>
            <w:noWrap w:val="false"/>
          </w:tcPr>
          <w:p>
            <w:pPr>
              <w:pStyle w:val="783"/>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8340" w:type="dxa"/>
            <w:vAlign w:val="center"/>
            <w:textDirection w:val="lrTb"/>
            <w:noWrap w:val="false"/>
          </w:tcPr>
          <w:p>
            <w:pPr>
              <w:pStyle w:val="783"/>
              <w:keepLines w:val="0"/>
              <w:keepNext w:val="0"/>
              <w:widowControl/>
              <w:rPr>
                <w:color w:val="auto"/>
                <w:highlight w:val="none"/>
              </w:rPr>
              <w:suppressLineNumbers w:val="0"/>
            </w:pPr>
            <w:r>
              <w:rPr>
                <w:color w:val="auto"/>
                <w:highlight w:val="none"/>
              </w:rPr>
              <w:t xml:space="preserve">金额大写 </w:t>
            </w:r>
            <w:r/>
          </w:p>
        </w:tc>
      </w:tr>
    </w:tbl>
    <w:p>
      <w:pPr>
        <w:pStyle w:val="783"/>
        <w:keepLines w:val="0"/>
        <w:keepNext w:val="0"/>
        <w:widowControl/>
        <w:rPr>
          <w:color w:val="auto"/>
          <w:highlight w:val="none"/>
        </w:rPr>
        <w:suppressLineNumbers w:val="0"/>
      </w:pPr>
      <w:r>
        <w:rPr>
          <w:color w:val="auto"/>
          <w:highlight w:val="none"/>
        </w:rPr>
        <w:t xml:space="preserve">报价说明：</w:t>
      </w:r>
      <w:r/>
    </w:p>
    <w:p>
      <w:pPr>
        <w:pStyle w:val="783"/>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783"/>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783"/>
        <w:keepLines w:val="0"/>
        <w:keepNext w:val="0"/>
        <w:widowControl/>
        <w:rPr>
          <w:color w:val="auto"/>
          <w:highlight w:val="none"/>
        </w:rPr>
        <w:suppressLineNumbers w:val="0"/>
      </w:pPr>
      <w:r>
        <w:rPr>
          <w:color w:val="auto"/>
          <w:highlight w:val="none"/>
        </w:rPr>
        <w:t xml:space="preserve">3、偏离说明：详见《偏离表》；</w:t>
      </w:r>
      <w:r/>
    </w:p>
    <w:p>
      <w:pPr>
        <w:pStyle w:val="783"/>
        <w:keepLines w:val="0"/>
        <w:keepNext w:val="0"/>
        <w:widowControl/>
        <w:rPr>
          <w:color w:val="auto"/>
          <w:highlight w:val="none"/>
        </w:rPr>
        <w:suppressLineNumbers w:val="0"/>
      </w:pPr>
      <w:r>
        <w:rPr>
          <w:color w:val="auto"/>
          <w:highlight w:val="none"/>
        </w:rPr>
        <w:t xml:space="preserve">4、如最后报价未列明单价，则最后所报各项单价计算方法为：（最后报价/最初报价）*各项最初报价的单价。</w:t>
      </w:r>
      <w:r/>
    </w:p>
    <w:p>
      <w:pPr>
        <w:pStyle w:val="783"/>
        <w:keepLines w:val="0"/>
        <w:keepNext w:val="0"/>
        <w:widowControl/>
        <w:rPr>
          <w:color w:val="auto"/>
          <w:highlight w:val="none"/>
        </w:rPr>
        <w:suppressLineNumbers w:val="0"/>
      </w:pPr>
      <w:r>
        <w:rPr>
          <w:color w:val="auto"/>
          <w:highlight w:val="none"/>
        </w:rPr>
        <w:t xml:space="preserve">响应单位（公章）：</w:t>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highlight w:val="none"/>
          <w:lang w:val="en-US" w:eastAsia="zh-CN"/>
        </w:rPr>
      </w:r>
      <w:r/>
    </w:p>
    <w:p>
      <w:pPr>
        <w:pStyle w:val="1054"/>
        <w:spacing w:line="360" w:lineRule="auto"/>
        <w:rPr>
          <w:rFonts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1054"/>
        <w:rPr>
          <w:rFonts w:hint="eastAsia"/>
          <w:color w:val="auto"/>
          <w:highlight w:val="none"/>
          <w:lang w:eastAsia="zh-CN"/>
        </w:rPr>
      </w:pPr>
      <w:r>
        <w:rPr>
          <w:rFonts w:hint="eastAsia"/>
          <w:color w:val="auto"/>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符合《政府采购法》第二十二条规定条件的声明函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附件2</w:t>
      </w:r>
      <w:r/>
    </w:p>
    <w:p>
      <w:pPr>
        <w:pStyle w:val="1059"/>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6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349885</wp:posOffset>
                </wp:positionH>
                <wp:positionV relativeFrom="paragraph">
                  <wp:posOffset>71755</wp:posOffset>
                </wp:positionV>
                <wp:extent cx="2240915" cy="1125855"/>
                <wp:effectExtent l="4445" t="4445" r="10160" b="1270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2" o:spid="_x0000_s2" o:spt="202" type="#_x0000_t202" style="position:absolute;z-index:251660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4445" t="4445" r="10160" b="1270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3" o:spid="_x0000_s3" o:spt="202" type="#_x0000_t202" style="position:absolute;z-index:251660288;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磋商响应人全称：（盖章）</w:t>
      </w:r>
      <w:r/>
    </w:p>
    <w:p>
      <w:pPr>
        <w:jc w:val="left"/>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年  月  日</w:t>
      </w:r>
      <w:r/>
    </w:p>
    <w:p>
      <w:pPr>
        <w:pStyle w:val="1054"/>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bCs/>
          <w:color w:val="auto"/>
          <w:sz w:val="24"/>
          <w:szCs w:val="24"/>
          <w:highlight w:val="none"/>
          <w:lang w:val="en-US" w:eastAsia="zh-CN" w:bidi="ar-SA"/>
        </w:rPr>
        <w:br w:type="page" w:clear="all"/>
      </w: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代理人(被授权人):------</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54"/>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573"/>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2875915</wp:posOffset>
                </wp:positionH>
                <wp:positionV relativeFrom="paragraph">
                  <wp:posOffset>119380</wp:posOffset>
                </wp:positionV>
                <wp:extent cx="2240915" cy="1125855"/>
                <wp:effectExtent l="4445" t="4445" r="10160" b="1270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4" o:spid="_x0000_s4" o:spt="202" type="#_x0000_t202" style="position:absolute;z-index:251660288;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388620</wp:posOffset>
                </wp:positionH>
                <wp:positionV relativeFrom="paragraph">
                  <wp:posOffset>117475</wp:posOffset>
                </wp:positionV>
                <wp:extent cx="2240915" cy="1125855"/>
                <wp:effectExtent l="4445" t="4445" r="10160" b="1270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5" o:spid="_x0000_s5" o:spt="202" type="#_x0000_t202" style="position:absolute;z-index:251660288;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rPr>
          <w:rFonts w:ascii="宋体" w:hAnsi="宋体" w:cs="宋体"/>
          <w:color w:val="auto"/>
          <w:sz w:val="24"/>
          <w:szCs w:val="24"/>
          <w:highlight w:val="none"/>
        </w:rPr>
      </w:pPr>
      <w:r>
        <w:rPr>
          <w:rFonts w:hint="eastAsia" w:ascii="宋体" w:hAnsi="宋体" w:eastAsia="宋体" w:cs="宋体"/>
          <w:color w:val="auto"/>
          <w:sz w:val="24"/>
          <w:highlight w:val="none"/>
          <w:lang w:val="zh-CN" w:eastAsia="zh-CN"/>
        </w:rPr>
        <w:br w:type="page" w:clear="all"/>
      </w:r>
      <w:r/>
    </w:p>
    <w:p>
      <w:pPr>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附件4</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附件5</w:t>
      </w:r>
      <w:r/>
    </w:p>
    <w:p>
      <w:pPr>
        <w:contextualSpacing/>
        <w:ind w:firstLine="480"/>
        <w:spacing w:line="360" w:lineRule="auto"/>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auto"/>
          <w:sz w:val="24"/>
          <w:highlight w:val="none"/>
          <w:lang w:val="zh-CN" w:eastAsia="zh-CN"/>
        </w:rPr>
        <w:br w:type="page" w:clear="all"/>
      </w:r>
      <w:r>
        <w:rPr>
          <w:rFonts w:hint="eastAsia" w:ascii="宋体" w:hAnsi="宋体" w:eastAsia="宋体" w:cs="宋体"/>
          <w:color w:val="auto"/>
          <w:sz w:val="24"/>
          <w:highlight w:val="none"/>
          <w:lang w:val="zh-CN" w:eastAsia="zh-CN"/>
        </w:rPr>
        <w:t xml:space="preserve">附件</w:t>
      </w:r>
      <w:r>
        <w:rPr>
          <w:rFonts w:hint="eastAsia" w:ascii="宋体" w:hAnsi="宋体" w:cs="宋体"/>
          <w:color w:val="auto"/>
          <w:sz w:val="24"/>
          <w:highlight w:val="none"/>
          <w:lang w:val="en-US" w:eastAsia="zh-CN"/>
        </w:rPr>
        <w:t xml:space="preserve">6</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360" w:lineRule="auto"/>
        <w:rPr>
          <w:rFonts w:ascii="宋体" w:hAnsi="宋体" w:eastAsia="宋体" w:cs="宋体"/>
          <w:bCs/>
          <w:color w:val="auto"/>
          <w:sz w:val="24"/>
          <w:highlight w:val="none"/>
          <w:lang w:val="en-US" w:eastAsia="zh-CN" w:bidi="ar"/>
        </w:rPr>
      </w:pPr>
      <w:r>
        <w:rPr>
          <w:rFonts w:hint="eastAsia" w:ascii="黑体" w:hAnsi="黑体" w:eastAsia="黑体"/>
          <w:i/>
          <w:color w:val="auto"/>
          <w:sz w:val="32"/>
          <w:szCs w:val="32"/>
          <w:highlight w:val="none"/>
          <w:u w:val="single"/>
        </w:rPr>
        <w:br w:type="page" w:clear="all"/>
      </w:r>
      <w:r>
        <w:rPr>
          <w:rFonts w:hint="eastAsia" w:ascii="宋体" w:hAnsi="宋体" w:cs="宋体"/>
          <w:bCs/>
          <w:color w:val="auto"/>
          <w:sz w:val="24"/>
          <w:highlight w:val="none"/>
          <w:lang w:bidi="ar"/>
        </w:rPr>
        <w:t xml:space="preserve">附件</w:t>
      </w:r>
      <w:r>
        <w:rPr>
          <w:rFonts w:hint="eastAsia" w:ascii="宋体" w:hAnsi="宋体" w:cs="宋体"/>
          <w:bCs/>
          <w:color w:val="auto"/>
          <w:sz w:val="24"/>
          <w:highlight w:val="none"/>
          <w:lang w:val="en-US" w:eastAsia="zh-CN" w:bidi="ar"/>
        </w:rPr>
        <w:t xml:space="preserve">8</w:t>
      </w:r>
      <w:r/>
    </w:p>
    <w:p>
      <w:pPr>
        <w:jc w:val="center"/>
        <w:spacing w:line="360" w:lineRule="auto"/>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供应商信用承诺书</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为营造公开、公平、公正的公共资源交易环境，树立诚信守法的投标人形象，本人代表本单位作出以下承诺：</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供应商全称(盖公章)：</w:t>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法定代表人（签字或盖章）：</w:t>
      </w:r>
      <w:r/>
    </w:p>
    <w:p>
      <w:pPr>
        <w:ind w:firstLine="264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时间：  年  月   日</w:t>
      </w:r>
      <w:r/>
    </w:p>
    <w:p>
      <w:pPr>
        <w:spacing w:line="460" w:lineRule="exact"/>
        <w:rPr>
          <w:rFonts w:hint="eastAsia" w:ascii="宋体" w:hAnsi="宋体"/>
          <w:bCs/>
          <w:color w:val="auto"/>
          <w:sz w:val="24"/>
          <w:highlight w:val="none"/>
        </w:rPr>
      </w:pPr>
      <w:r>
        <w:rPr>
          <w:rFonts w:hint="eastAsia" w:ascii="宋体" w:hAnsi="宋体" w:cs="宋体"/>
          <w:color w:val="auto"/>
          <w:sz w:val="24"/>
          <w:highlight w:val="none"/>
        </w:rPr>
        <w:br w:type="page" w:clear="all"/>
      </w:r>
      <w:r>
        <w:rPr>
          <w:rFonts w:hint="eastAsia" w:ascii="宋体" w:hAnsi="宋体" w:cs="宋体"/>
          <w:bCs/>
          <w:color w:val="auto"/>
          <w:sz w:val="24"/>
          <w:highlight w:val="none"/>
          <w:lang w:bidi="ar"/>
        </w:rPr>
        <w:t xml:space="preserve">附件</w:t>
      </w:r>
      <w:r>
        <w:rPr>
          <w:rFonts w:hint="eastAsia" w:ascii="宋体" w:hAnsi="宋体" w:cs="宋体"/>
          <w:bCs/>
          <w:color w:val="auto"/>
          <w:sz w:val="24"/>
          <w:highlight w:val="none"/>
          <w:lang w:val="en-US" w:eastAsia="zh-CN" w:bidi="ar"/>
        </w:rPr>
        <w:t xml:space="preserve">9</w:t>
      </w:r>
      <w:r/>
    </w:p>
    <w:p>
      <w:pPr>
        <w:jc w:val="center"/>
        <w:spacing w:line="360" w:lineRule="auto"/>
        <w:rPr>
          <w:rFonts w:hint="eastAsia" w:ascii="宋体" w:hAnsi="宋体"/>
          <w:b/>
          <w:color w:val="auto"/>
          <w:sz w:val="32"/>
          <w:highlight w:val="none"/>
        </w:rPr>
      </w:pPr>
      <w:r/>
      <w:bookmarkStart w:id="765" w:name="_Toc11288"/>
      <w:r>
        <w:rPr>
          <w:rFonts w:hint="eastAsia" w:ascii="宋体" w:hAnsi="宋体"/>
          <w:b/>
          <w:color w:val="auto"/>
          <w:sz w:val="32"/>
          <w:highlight w:val="none"/>
        </w:rPr>
        <w:t xml:space="preserve">拟派项目负责人无在建工程承诺书</w:t>
      </w:r>
      <w:bookmarkEnd w:id="765"/>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ind w:firstLine="482"/>
        <w:spacing w:line="360" w:lineRule="auto"/>
        <w:rPr>
          <w:rFonts w:hint="eastAsia" w:ascii="宋体" w:hAnsi="宋体"/>
          <w:color w:val="auto"/>
          <w:spacing w:val="8"/>
          <w:sz w:val="24"/>
          <w:highlight w:val="none"/>
        </w:rPr>
      </w:pPr>
      <w:r>
        <w:rPr>
          <w:rFonts w:hint="eastAsia" w:ascii="宋体" w:hAnsi="宋体"/>
          <w:color w:val="auto"/>
          <w:spacing w:val="8"/>
          <w:sz w:val="24"/>
          <w:highlight w:val="none"/>
        </w:rPr>
        <w:t xml:space="preserve">__________________（采购人单位名称）：</w:t>
      </w:r>
      <w:r/>
    </w:p>
    <w:p>
      <w:pPr>
        <w:ind w:firstLine="482"/>
        <w:spacing w:line="360" w:lineRule="auto"/>
        <w:rPr>
          <w:rFonts w:hint="eastAsia" w:ascii="宋体" w:hAnsi="宋体"/>
          <w:color w:val="auto"/>
          <w:spacing w:val="8"/>
          <w:sz w:val="24"/>
          <w:highlight w:val="none"/>
        </w:rPr>
      </w:pPr>
      <w:r>
        <w:rPr>
          <w:rFonts w:hint="eastAsia" w:ascii="宋体" w:hAnsi="宋体"/>
          <w:color w:val="auto"/>
          <w:spacing w:val="8"/>
          <w:sz w:val="24"/>
          <w:highlight w:val="none"/>
        </w:rPr>
        <w:t xml:space="preserve">我方参加你方的</w:t>
      </w:r>
      <w:r>
        <w:rPr>
          <w:rFonts w:hint="eastAsia" w:ascii="宋体" w:hAnsi="宋体"/>
          <w:color w:val="auto"/>
          <w:spacing w:val="8"/>
          <w:sz w:val="24"/>
          <w:highlight w:val="none"/>
          <w:u w:val="single"/>
        </w:rPr>
        <w:t xml:space="preserve">                 </w:t>
      </w:r>
      <w:r>
        <w:rPr>
          <w:rFonts w:hint="eastAsia" w:ascii="宋体" w:hAnsi="宋体"/>
          <w:color w:val="auto"/>
          <w:spacing w:val="8"/>
          <w:sz w:val="24"/>
          <w:highlight w:val="none"/>
        </w:rPr>
        <w:t xml:space="preserve">工程（以下简称“本工程”）施工投标的申请，拟派项目负责人为</w:t>
      </w:r>
      <w:r>
        <w:rPr>
          <w:rFonts w:hint="eastAsia" w:ascii="宋体" w:hAnsi="宋体"/>
          <w:color w:val="auto"/>
          <w:spacing w:val="8"/>
          <w:sz w:val="24"/>
          <w:highlight w:val="none"/>
          <w:u w:val="single"/>
        </w:rPr>
        <w:t xml:space="preserve">              </w:t>
      </w:r>
      <w:r>
        <w:rPr>
          <w:rFonts w:hint="eastAsia" w:ascii="宋体" w:hAnsi="宋体"/>
          <w:color w:val="auto"/>
          <w:spacing w:val="8"/>
          <w:sz w:val="24"/>
          <w:highlight w:val="none"/>
        </w:rPr>
        <w:t xml:space="preserve">。现我方向你方慎重承诺：</w:t>
      </w:r>
      <w:r/>
    </w:p>
    <w:p>
      <w:pPr>
        <w:ind w:firstLine="482"/>
        <w:spacing w:line="360" w:lineRule="auto"/>
        <w:rPr>
          <w:rFonts w:hint="eastAsia" w:ascii="宋体" w:hAnsi="宋体"/>
          <w:color w:val="auto"/>
          <w:spacing w:val="8"/>
          <w:sz w:val="24"/>
          <w:highlight w:val="none"/>
        </w:rPr>
      </w:pPr>
      <w:r>
        <w:rPr>
          <w:rFonts w:hint="eastAsia" w:ascii="宋体" w:hAnsi="宋体"/>
          <w:color w:val="auto"/>
          <w:spacing w:val="8"/>
          <w:sz w:val="24"/>
          <w:highlight w:val="none"/>
        </w:rPr>
        <w:t xml:space="preserve">拟派项目负责人 </w:t>
      </w:r>
      <w:r>
        <w:rPr>
          <w:rFonts w:hint="eastAsia" w:ascii="宋体" w:hAnsi="宋体"/>
          <w:color w:val="auto"/>
          <w:spacing w:val="8"/>
          <w:sz w:val="24"/>
          <w:highlight w:val="none"/>
          <w:u w:val="single"/>
        </w:rPr>
        <w:t xml:space="preserve">                 </w:t>
      </w:r>
      <w:r>
        <w:rPr>
          <w:rFonts w:hint="eastAsia" w:ascii="宋体" w:hAnsi="宋体"/>
          <w:color w:val="auto"/>
          <w:spacing w:val="8"/>
          <w:sz w:val="24"/>
          <w:highlight w:val="none"/>
        </w:rPr>
        <w:t xml:space="preserve">无在建工程，如果我方经本工程评标委员会评定为第一中标候选人，在公示期间被他人举报并经招标投标监管机构核实，确认拟派项目负责人有在建工程，那么取消我方第一中标候选人资格，并投标保证金不予退还。</w:t>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供应商全称(盖公章)：</w:t>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法定代表人（签字或盖章）：</w:t>
      </w:r>
      <w:r/>
    </w:p>
    <w:p>
      <w:pPr>
        <w:ind w:firstLine="3120"/>
        <w:keepLines/>
        <w:keepNext/>
        <w:spacing w:before="260" w:after="260" w:line="416" w:lineRule="auto"/>
        <w:rPr>
          <w:rFonts w:hint="eastAsia" w:ascii="宋体" w:hAnsi="宋体" w:cs="宋体"/>
          <w:color w:val="auto"/>
          <w:sz w:val="24"/>
          <w:highlight w:val="none"/>
          <w:lang w:val="zh-CN" w:bidi="ar"/>
        </w:rPr>
        <w:outlineLvl w:val="1"/>
      </w:pPr>
      <w:r>
        <w:rPr>
          <w:rFonts w:hint="eastAsia" w:ascii="宋体" w:hAnsi="宋体" w:cs="宋体"/>
          <w:color w:val="auto"/>
          <w:sz w:val="24"/>
          <w:highlight w:val="none"/>
          <w:lang w:val="zh-CN" w:bidi="ar"/>
        </w:rPr>
        <w:t xml:space="preserve">时间：  年  月   日</w:t>
      </w:r>
      <w:r/>
    </w:p>
    <w:p>
      <w:pPr>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br w:type="page" w:clear="all"/>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10    </w:t>
      </w:r>
      <w:r/>
    </w:p>
    <w:p>
      <w:pPr>
        <w:jc w:val="center"/>
        <w:keepLines/>
        <w:keepNext/>
        <w:spacing w:before="260" w:after="260" w:line="416" w:lineRule="auto"/>
        <w:rPr>
          <w:rFonts w:hint="eastAsia" w:ascii="宋体" w:hAnsi="宋体" w:eastAsia="宋体" w:cs="宋体"/>
          <w:b/>
          <w:color w:val="auto"/>
          <w:sz w:val="24"/>
          <w:highlight w:val="none"/>
          <w:lang w:bidi="ar"/>
        </w:rPr>
        <w:outlineLvl w:val="1"/>
      </w:pPr>
      <w:r>
        <w:rPr>
          <w:rFonts w:hint="eastAsia" w:ascii="宋体" w:hAnsi="宋体" w:eastAsia="宋体" w:cs="宋体"/>
          <w:b/>
          <w:color w:val="auto"/>
          <w:sz w:val="24"/>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contextualSpacing/>
        <w:spacing w:line="400" w:lineRule="exact"/>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both"/>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contextualSpacing/>
        <w:jc w:val="both"/>
        <w:spacing w:line="300" w:lineRule="auto"/>
        <w:tabs>
          <w:tab w:val="left" w:pos="1260" w:leader="none"/>
        </w:tabs>
        <w:rPr>
          <w:rFonts w:ascii="宋体" w:hAnsi="宋体" w:cs="宋体"/>
          <w:b/>
          <w:color w:val="auto"/>
          <w:sz w:val="24"/>
          <w:highlight w:val="none"/>
          <w:lang w:val="en-US"/>
        </w:rPr>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w:t>
      </w:r>
      <w:r/>
    </w:p>
    <w:p>
      <w:pPr>
        <w:contextualSpacing/>
        <w:jc w:val="center"/>
        <w:spacing w:line="300" w:lineRule="auto"/>
        <w:tabs>
          <w:tab w:val="left" w:pos="1260" w:leader="none"/>
        </w:tabs>
        <w:rPr>
          <w:rFonts w:hint="eastAsia"/>
          <w:color w:val="auto"/>
          <w:highlight w:val="none"/>
        </w:rPr>
      </w:pPr>
      <w:r>
        <w:rPr>
          <w:rFonts w:hint="eastAsia" w:ascii="宋体" w:hAnsi="宋体" w:cs="宋体"/>
          <w:b/>
          <w:color w:val="auto"/>
          <w:sz w:val="24"/>
          <w:highlight w:val="none"/>
          <w:lang w:eastAsia="zh-CN"/>
        </w:rPr>
        <w:t xml:space="preserve">供应商</w:t>
      </w:r>
      <w:r>
        <w:rPr>
          <w:rFonts w:hint="eastAsia" w:ascii="宋体" w:hAnsi="宋体" w:cs="宋体"/>
          <w:b/>
          <w:color w:val="auto"/>
          <w:sz w:val="24"/>
          <w:highlight w:val="none"/>
        </w:rPr>
        <w:t xml:space="preserve">情况一览表</w:t>
      </w:r>
      <w:r/>
    </w:p>
    <w:tbl>
      <w:tblPr>
        <w:tblStyle w:val="761"/>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投标人名称</w:t>
            </w:r>
            <w:r/>
          </w:p>
        </w:tc>
        <w:tc>
          <w:tcPr>
            <w:gridSpan w:val="8"/>
            <w:tcW w:w="7341"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注册地址</w:t>
            </w:r>
            <w:r/>
          </w:p>
        </w:tc>
        <w:tc>
          <w:tcPr>
            <w:gridSpan w:val="4"/>
            <w:tcW w:w="3389" w:type="dxa"/>
            <w:vAlign w:val="center"/>
            <w:textDirection w:val="lrTb"/>
            <w:noWrap w:val="false"/>
          </w:tcPr>
          <w:p>
            <w:pPr>
              <w:jc w:val="center"/>
              <w:rPr>
                <w:color w:val="auto"/>
                <w:szCs w:val="21"/>
                <w:highlight w:val="none"/>
              </w:rPr>
            </w:pPr>
            <w:r>
              <w:rPr>
                <w:color w:val="auto"/>
                <w:szCs w:val="21"/>
                <w:highlight w:val="none"/>
              </w:rPr>
            </w:r>
            <w:r/>
          </w:p>
        </w:tc>
        <w:tc>
          <w:tcPr>
            <w:tcW w:w="1246" w:type="dxa"/>
            <w:vAlign w:val="center"/>
            <w:textDirection w:val="lrTb"/>
            <w:noWrap w:val="false"/>
          </w:tcPr>
          <w:p>
            <w:pPr>
              <w:jc w:val="center"/>
              <w:rPr>
                <w:color w:val="auto"/>
                <w:szCs w:val="21"/>
                <w:highlight w:val="none"/>
              </w:rPr>
            </w:pPr>
            <w:r>
              <w:rPr>
                <w:color w:val="auto"/>
                <w:szCs w:val="21"/>
                <w:highlight w:val="none"/>
              </w:rPr>
              <w:t xml:space="preserve">邮政编码</w:t>
            </w:r>
            <w:r/>
          </w:p>
        </w:tc>
        <w:tc>
          <w:tcPr>
            <w:gridSpan w:val="3"/>
            <w:tcW w:w="2706"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vMerge w:val="restart"/>
            <w:textDirection w:val="lrTb"/>
            <w:noWrap w:val="false"/>
          </w:tcPr>
          <w:p>
            <w:pPr>
              <w:jc w:val="center"/>
              <w:rPr>
                <w:color w:val="auto"/>
                <w:szCs w:val="21"/>
                <w:highlight w:val="none"/>
              </w:rPr>
            </w:pPr>
            <w:r>
              <w:rPr>
                <w:color w:val="auto"/>
                <w:szCs w:val="21"/>
                <w:highlight w:val="none"/>
              </w:rPr>
              <w:t xml:space="preserve">联系方式</w:t>
            </w:r>
            <w:r/>
          </w:p>
        </w:tc>
        <w:tc>
          <w:tcPr>
            <w:tcW w:w="897" w:type="dxa"/>
            <w:vAlign w:val="center"/>
            <w:textDirection w:val="lrTb"/>
            <w:noWrap w:val="false"/>
          </w:tcPr>
          <w:p>
            <w:pPr>
              <w:jc w:val="center"/>
              <w:rPr>
                <w:color w:val="auto"/>
                <w:szCs w:val="21"/>
                <w:highlight w:val="none"/>
              </w:rPr>
            </w:pPr>
            <w:r>
              <w:rPr>
                <w:color w:val="auto"/>
                <w:szCs w:val="21"/>
                <w:highlight w:val="none"/>
              </w:rPr>
              <w:t xml:space="preserve">联系人</w:t>
            </w:r>
            <w:r/>
          </w:p>
        </w:tc>
        <w:tc>
          <w:tcPr>
            <w:gridSpan w:val="3"/>
            <w:tcW w:w="2492" w:type="dxa"/>
            <w:vAlign w:val="center"/>
            <w:textDirection w:val="lrTb"/>
            <w:noWrap w:val="false"/>
          </w:tcPr>
          <w:p>
            <w:pPr>
              <w:jc w:val="center"/>
              <w:rPr>
                <w:color w:val="auto"/>
                <w:szCs w:val="21"/>
                <w:highlight w:val="none"/>
              </w:rPr>
            </w:pPr>
            <w:r>
              <w:rPr>
                <w:color w:val="auto"/>
                <w:szCs w:val="21"/>
                <w:highlight w:val="none"/>
              </w:rPr>
            </w:r>
            <w:r/>
          </w:p>
        </w:tc>
        <w:tc>
          <w:tcPr>
            <w:tcW w:w="1246" w:type="dxa"/>
            <w:vAlign w:val="center"/>
            <w:textDirection w:val="lrTb"/>
            <w:noWrap w:val="false"/>
          </w:tcPr>
          <w:p>
            <w:pPr>
              <w:jc w:val="center"/>
              <w:rPr>
                <w:color w:val="auto"/>
                <w:szCs w:val="21"/>
                <w:highlight w:val="none"/>
              </w:rPr>
            </w:pPr>
            <w:r>
              <w:rPr>
                <w:color w:val="auto"/>
                <w:szCs w:val="21"/>
                <w:highlight w:val="none"/>
              </w:rPr>
              <w:t xml:space="preserve">电  话</w:t>
            </w:r>
            <w:r/>
          </w:p>
        </w:tc>
        <w:tc>
          <w:tcPr>
            <w:gridSpan w:val="3"/>
            <w:tcW w:w="2706"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vMerge w:val="continue"/>
            <w:textDirection w:val="lrTb"/>
            <w:noWrap w:val="false"/>
          </w:tcPr>
          <w:p>
            <w:pPr>
              <w:jc w:val="center"/>
              <w:rPr>
                <w:color w:val="auto"/>
                <w:szCs w:val="21"/>
                <w:highlight w:val="none"/>
              </w:rPr>
            </w:pPr>
            <w:r>
              <w:rPr>
                <w:color w:val="auto"/>
                <w:szCs w:val="21"/>
                <w:highlight w:val="none"/>
              </w:rPr>
            </w:r>
            <w:r/>
          </w:p>
        </w:tc>
        <w:tc>
          <w:tcPr>
            <w:tcW w:w="897" w:type="dxa"/>
            <w:vAlign w:val="center"/>
            <w:textDirection w:val="lrTb"/>
            <w:noWrap w:val="false"/>
          </w:tcPr>
          <w:p>
            <w:pPr>
              <w:jc w:val="center"/>
              <w:rPr>
                <w:color w:val="auto"/>
                <w:szCs w:val="21"/>
                <w:highlight w:val="none"/>
              </w:rPr>
            </w:pPr>
            <w:r>
              <w:rPr>
                <w:color w:val="auto"/>
                <w:szCs w:val="21"/>
                <w:highlight w:val="none"/>
              </w:rPr>
              <w:t xml:space="preserve">传  真</w:t>
            </w:r>
            <w:r/>
          </w:p>
        </w:tc>
        <w:tc>
          <w:tcPr>
            <w:gridSpan w:val="3"/>
            <w:tcW w:w="2492" w:type="dxa"/>
            <w:vAlign w:val="center"/>
            <w:textDirection w:val="lrTb"/>
            <w:noWrap w:val="false"/>
          </w:tcPr>
          <w:p>
            <w:pPr>
              <w:jc w:val="center"/>
              <w:rPr>
                <w:color w:val="auto"/>
                <w:szCs w:val="21"/>
                <w:highlight w:val="none"/>
              </w:rPr>
            </w:pPr>
            <w:r>
              <w:rPr>
                <w:color w:val="auto"/>
                <w:szCs w:val="21"/>
                <w:highlight w:val="none"/>
              </w:rPr>
            </w:r>
            <w:r/>
          </w:p>
        </w:tc>
        <w:tc>
          <w:tcPr>
            <w:tcW w:w="1246" w:type="dxa"/>
            <w:vAlign w:val="center"/>
            <w:textDirection w:val="lrTb"/>
            <w:noWrap w:val="false"/>
          </w:tcPr>
          <w:p>
            <w:pPr>
              <w:jc w:val="center"/>
              <w:rPr>
                <w:color w:val="auto"/>
                <w:szCs w:val="21"/>
                <w:highlight w:val="none"/>
              </w:rPr>
            </w:pPr>
            <w:r>
              <w:rPr>
                <w:color w:val="auto"/>
                <w:szCs w:val="21"/>
                <w:highlight w:val="none"/>
              </w:rPr>
              <w:t xml:space="preserve">网  址</w:t>
            </w:r>
            <w:r/>
          </w:p>
        </w:tc>
        <w:tc>
          <w:tcPr>
            <w:gridSpan w:val="3"/>
            <w:tcW w:w="2706"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rFonts w:hint="eastAsia"/>
                <w:color w:val="auto"/>
                <w:szCs w:val="21"/>
                <w:highlight w:val="none"/>
              </w:rPr>
              <w:t xml:space="preserve">企业统一社会信用</w:t>
            </w:r>
            <w:r>
              <w:rPr>
                <w:color w:val="auto"/>
                <w:szCs w:val="21"/>
                <w:highlight w:val="none"/>
              </w:rPr>
              <w:t xml:space="preserve">代码</w:t>
            </w:r>
            <w:r/>
          </w:p>
        </w:tc>
        <w:tc>
          <w:tcPr>
            <w:gridSpan w:val="8"/>
            <w:tcW w:w="7341"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法定代表人</w:t>
            </w:r>
            <w:r/>
          </w:p>
        </w:tc>
        <w:tc>
          <w:tcPr>
            <w:tcW w:w="897" w:type="dxa"/>
            <w:vAlign w:val="center"/>
            <w:textDirection w:val="lrTb"/>
            <w:noWrap w:val="false"/>
          </w:tcPr>
          <w:p>
            <w:pPr>
              <w:jc w:val="center"/>
              <w:rPr>
                <w:color w:val="auto"/>
                <w:szCs w:val="21"/>
                <w:highlight w:val="none"/>
              </w:rPr>
            </w:pPr>
            <w:r>
              <w:rPr>
                <w:color w:val="auto"/>
                <w:szCs w:val="21"/>
                <w:highlight w:val="none"/>
              </w:rPr>
              <w:t xml:space="preserve">姓名</w:t>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textDirection w:val="lrTb"/>
            <w:noWrap w:val="false"/>
          </w:tcPr>
          <w:p>
            <w:pPr>
              <w:jc w:val="center"/>
              <w:rPr>
                <w:color w:val="auto"/>
                <w:szCs w:val="21"/>
                <w:highlight w:val="none"/>
              </w:rPr>
            </w:pPr>
            <w:r>
              <w:rPr>
                <w:color w:val="auto"/>
                <w:szCs w:val="21"/>
                <w:highlight w:val="none"/>
              </w:rPr>
              <w:t xml:space="preserve">技术职称</w:t>
            </w:r>
            <w:r/>
          </w:p>
        </w:tc>
        <w:tc>
          <w:tcPr>
            <w:gridSpan w:val="3"/>
            <w:tcW w:w="1620" w:type="dxa"/>
            <w:vAlign w:val="center"/>
            <w:textDirection w:val="lrTb"/>
            <w:noWrap w:val="false"/>
          </w:tcPr>
          <w:p>
            <w:pPr>
              <w:jc w:val="center"/>
              <w:rPr>
                <w:color w:val="auto"/>
                <w:szCs w:val="21"/>
                <w:highlight w:val="none"/>
              </w:rPr>
            </w:pPr>
            <w:r>
              <w:rPr>
                <w:color w:val="auto"/>
                <w:szCs w:val="21"/>
                <w:highlight w:val="none"/>
              </w:rPr>
            </w:r>
            <w:r/>
          </w:p>
        </w:tc>
        <w:tc>
          <w:tcPr>
            <w:tcW w:w="720" w:type="dxa"/>
            <w:vAlign w:val="center"/>
            <w:textDirection w:val="lrTb"/>
            <w:noWrap w:val="false"/>
          </w:tcPr>
          <w:p>
            <w:pPr>
              <w:jc w:val="center"/>
              <w:rPr>
                <w:color w:val="auto"/>
                <w:szCs w:val="21"/>
                <w:highlight w:val="none"/>
              </w:rPr>
            </w:pPr>
            <w:r>
              <w:rPr>
                <w:color w:val="auto"/>
                <w:szCs w:val="21"/>
                <w:highlight w:val="none"/>
              </w:rPr>
              <w:t xml:space="preserve">电话</w:t>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技术负责人</w:t>
            </w:r>
            <w:r/>
          </w:p>
        </w:tc>
        <w:tc>
          <w:tcPr>
            <w:tcW w:w="897" w:type="dxa"/>
            <w:vAlign w:val="center"/>
            <w:textDirection w:val="lrTb"/>
            <w:noWrap w:val="false"/>
          </w:tcPr>
          <w:p>
            <w:pPr>
              <w:jc w:val="center"/>
              <w:rPr>
                <w:color w:val="auto"/>
                <w:szCs w:val="21"/>
                <w:highlight w:val="none"/>
              </w:rPr>
            </w:pPr>
            <w:r>
              <w:rPr>
                <w:color w:val="auto"/>
                <w:szCs w:val="21"/>
                <w:highlight w:val="none"/>
              </w:rPr>
              <w:t xml:space="preserve">姓名</w:t>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textDirection w:val="lrTb"/>
            <w:noWrap w:val="false"/>
          </w:tcPr>
          <w:p>
            <w:pPr>
              <w:jc w:val="center"/>
              <w:rPr>
                <w:color w:val="auto"/>
                <w:szCs w:val="21"/>
                <w:highlight w:val="none"/>
              </w:rPr>
            </w:pPr>
            <w:r>
              <w:rPr>
                <w:color w:val="auto"/>
                <w:szCs w:val="21"/>
                <w:highlight w:val="none"/>
              </w:rPr>
              <w:t xml:space="preserve">技术职称</w:t>
            </w:r>
            <w:r/>
          </w:p>
        </w:tc>
        <w:tc>
          <w:tcPr>
            <w:gridSpan w:val="3"/>
            <w:tcW w:w="1620" w:type="dxa"/>
            <w:vAlign w:val="center"/>
            <w:textDirection w:val="lrTb"/>
            <w:noWrap w:val="false"/>
          </w:tcPr>
          <w:p>
            <w:pPr>
              <w:jc w:val="center"/>
              <w:rPr>
                <w:color w:val="auto"/>
                <w:szCs w:val="21"/>
                <w:highlight w:val="none"/>
              </w:rPr>
            </w:pPr>
            <w:r>
              <w:rPr>
                <w:color w:val="auto"/>
                <w:szCs w:val="21"/>
                <w:highlight w:val="none"/>
              </w:rPr>
            </w:r>
            <w:r/>
          </w:p>
        </w:tc>
        <w:tc>
          <w:tcPr>
            <w:tcW w:w="720" w:type="dxa"/>
            <w:vAlign w:val="center"/>
            <w:textDirection w:val="lrTb"/>
            <w:noWrap w:val="false"/>
          </w:tcPr>
          <w:p>
            <w:pPr>
              <w:jc w:val="center"/>
              <w:rPr>
                <w:color w:val="auto"/>
                <w:szCs w:val="21"/>
                <w:highlight w:val="none"/>
              </w:rPr>
            </w:pPr>
            <w:r>
              <w:rPr>
                <w:color w:val="auto"/>
                <w:szCs w:val="21"/>
                <w:highlight w:val="none"/>
              </w:rPr>
              <w:t xml:space="preserve">电话</w:t>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成立时间</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gridSpan w:val="6"/>
            <w:tcW w:w="5423" w:type="dxa"/>
            <w:vAlign w:val="center"/>
            <w:textDirection w:val="lrTb"/>
            <w:noWrap w:val="false"/>
          </w:tcPr>
          <w:p>
            <w:pPr>
              <w:jc w:val="center"/>
              <w:rPr>
                <w:color w:val="auto"/>
                <w:szCs w:val="21"/>
                <w:highlight w:val="none"/>
              </w:rPr>
            </w:pPr>
            <w:r>
              <w:rPr>
                <w:color w:val="auto"/>
                <w:szCs w:val="21"/>
                <w:highlight w:val="none"/>
              </w:rPr>
              <w:t xml:space="preserve">员工总人数：</w:t>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企业资质等级</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restart"/>
            <w:textDirection w:val="lrTb"/>
            <w:noWrap w:val="false"/>
          </w:tcPr>
          <w:p>
            <w:pPr>
              <w:jc w:val="center"/>
              <w:rPr>
                <w:color w:val="auto"/>
                <w:szCs w:val="21"/>
                <w:highlight w:val="none"/>
              </w:rPr>
            </w:pPr>
            <w:r>
              <w:rPr>
                <w:color w:val="auto"/>
                <w:szCs w:val="21"/>
                <w:highlight w:val="none"/>
              </w:rPr>
              <w:t xml:space="preserve">其中</w:t>
            </w:r>
            <w:r/>
          </w:p>
        </w:tc>
        <w:tc>
          <w:tcPr>
            <w:gridSpan w:val="3"/>
            <w:tcW w:w="1620" w:type="dxa"/>
            <w:vAlign w:val="center"/>
            <w:textDirection w:val="lrTb"/>
            <w:noWrap w:val="false"/>
          </w:tcPr>
          <w:p>
            <w:pPr>
              <w:jc w:val="center"/>
              <w:rPr>
                <w:color w:val="auto"/>
                <w:szCs w:val="21"/>
                <w:highlight w:val="none"/>
              </w:rPr>
            </w:pPr>
            <w:r>
              <w:rPr>
                <w:rFonts w:hint="eastAsia"/>
                <w:color w:val="auto"/>
                <w:szCs w:val="21"/>
                <w:highlight w:val="none"/>
              </w:rPr>
              <w:t xml:space="preserve">注册建造师</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营业执照号</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continue"/>
            <w:textDirection w:val="lrTb"/>
            <w:noWrap w:val="false"/>
          </w:tcPr>
          <w:p>
            <w:pPr>
              <w:jc w:val="center"/>
              <w:rPr>
                <w:color w:val="auto"/>
                <w:szCs w:val="21"/>
                <w:highlight w:val="none"/>
              </w:rPr>
            </w:pPr>
            <w:r>
              <w:rPr>
                <w:color w:val="auto"/>
                <w:szCs w:val="21"/>
                <w:highlight w:val="none"/>
              </w:rPr>
            </w:r>
            <w:r/>
          </w:p>
        </w:tc>
        <w:tc>
          <w:tcPr>
            <w:gridSpan w:val="3"/>
            <w:tcW w:w="1620" w:type="dxa"/>
            <w:vAlign w:val="center"/>
            <w:textDirection w:val="lrTb"/>
            <w:noWrap w:val="false"/>
          </w:tcPr>
          <w:p>
            <w:pPr>
              <w:jc w:val="center"/>
              <w:rPr>
                <w:color w:val="auto"/>
                <w:szCs w:val="21"/>
                <w:highlight w:val="none"/>
              </w:rPr>
            </w:pPr>
            <w:r>
              <w:rPr>
                <w:color w:val="auto"/>
                <w:szCs w:val="21"/>
                <w:highlight w:val="none"/>
              </w:rPr>
              <w:t xml:space="preserve">高级职称人员</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注册资金</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continue"/>
            <w:textDirection w:val="lrTb"/>
            <w:noWrap w:val="false"/>
          </w:tcPr>
          <w:p>
            <w:pPr>
              <w:jc w:val="center"/>
              <w:rPr>
                <w:color w:val="auto"/>
                <w:szCs w:val="21"/>
                <w:highlight w:val="none"/>
              </w:rPr>
            </w:pPr>
            <w:r>
              <w:rPr>
                <w:color w:val="auto"/>
                <w:szCs w:val="21"/>
                <w:highlight w:val="none"/>
              </w:rPr>
            </w:r>
            <w:r/>
          </w:p>
        </w:tc>
        <w:tc>
          <w:tcPr>
            <w:gridSpan w:val="3"/>
            <w:tcW w:w="1620" w:type="dxa"/>
            <w:vAlign w:val="center"/>
            <w:textDirection w:val="lrTb"/>
            <w:noWrap w:val="false"/>
          </w:tcPr>
          <w:p>
            <w:pPr>
              <w:jc w:val="center"/>
              <w:rPr>
                <w:color w:val="auto"/>
                <w:szCs w:val="21"/>
                <w:highlight w:val="none"/>
              </w:rPr>
            </w:pPr>
            <w:r>
              <w:rPr>
                <w:color w:val="auto"/>
                <w:szCs w:val="21"/>
                <w:highlight w:val="none"/>
              </w:rPr>
              <w:t xml:space="preserve">中级职称人员</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开户银行</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continue"/>
            <w:textDirection w:val="lrTb"/>
            <w:noWrap w:val="false"/>
          </w:tcPr>
          <w:p>
            <w:pPr>
              <w:jc w:val="center"/>
              <w:rPr>
                <w:color w:val="auto"/>
                <w:szCs w:val="21"/>
                <w:highlight w:val="none"/>
              </w:rPr>
            </w:pPr>
            <w:r>
              <w:rPr>
                <w:color w:val="auto"/>
                <w:szCs w:val="21"/>
                <w:highlight w:val="none"/>
              </w:rPr>
            </w:r>
            <w:r/>
          </w:p>
        </w:tc>
        <w:tc>
          <w:tcPr>
            <w:gridSpan w:val="3"/>
            <w:tcW w:w="1620" w:type="dxa"/>
            <w:vAlign w:val="center"/>
            <w:textDirection w:val="lrTb"/>
            <w:noWrap w:val="false"/>
          </w:tcPr>
          <w:p>
            <w:pPr>
              <w:jc w:val="center"/>
              <w:rPr>
                <w:color w:val="auto"/>
                <w:szCs w:val="21"/>
                <w:highlight w:val="none"/>
              </w:rPr>
            </w:pPr>
            <w:r>
              <w:rPr>
                <w:color w:val="auto"/>
                <w:szCs w:val="21"/>
                <w:highlight w:val="none"/>
              </w:rPr>
              <w:t xml:space="preserve">初级职称人员</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账号</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continue"/>
            <w:textDirection w:val="lrTb"/>
            <w:noWrap w:val="false"/>
          </w:tcPr>
          <w:p>
            <w:pPr>
              <w:jc w:val="center"/>
              <w:rPr>
                <w:color w:val="auto"/>
                <w:szCs w:val="21"/>
                <w:highlight w:val="none"/>
              </w:rPr>
            </w:pPr>
            <w:r>
              <w:rPr>
                <w:color w:val="auto"/>
                <w:szCs w:val="21"/>
                <w:highlight w:val="none"/>
              </w:rPr>
            </w:r>
            <w:r/>
          </w:p>
        </w:tc>
        <w:tc>
          <w:tcPr>
            <w:gridSpan w:val="3"/>
            <w:tcW w:w="1620" w:type="dxa"/>
            <w:vAlign w:val="center"/>
            <w:textDirection w:val="lrTb"/>
            <w:noWrap w:val="false"/>
          </w:tcPr>
          <w:p>
            <w:pPr>
              <w:jc w:val="center"/>
              <w:rPr>
                <w:color w:val="auto"/>
                <w:szCs w:val="21"/>
                <w:highlight w:val="none"/>
              </w:rPr>
            </w:pPr>
            <w:r>
              <w:rPr>
                <w:color w:val="auto"/>
                <w:szCs w:val="21"/>
                <w:highlight w:val="none"/>
              </w:rPr>
              <w:t xml:space="preserve">技  工</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1837"/>
        </w:trPr>
        <w:tc>
          <w:tcPr>
            <w:tcW w:w="1626" w:type="dxa"/>
            <w:vAlign w:val="center"/>
            <w:textDirection w:val="lrTb"/>
            <w:noWrap w:val="false"/>
          </w:tcPr>
          <w:p>
            <w:pPr>
              <w:jc w:val="center"/>
              <w:rPr>
                <w:color w:val="auto"/>
                <w:szCs w:val="21"/>
                <w:highlight w:val="none"/>
              </w:rPr>
            </w:pPr>
            <w:r>
              <w:rPr>
                <w:color w:val="auto"/>
                <w:szCs w:val="21"/>
                <w:highlight w:val="none"/>
              </w:rPr>
              <w:t xml:space="preserve">经营范围</w:t>
            </w:r>
            <w:r/>
          </w:p>
        </w:tc>
        <w:tc>
          <w:tcPr>
            <w:gridSpan w:val="8"/>
            <w:tcW w:w="7341"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备注</w:t>
            </w:r>
            <w:r/>
          </w:p>
        </w:tc>
        <w:tc>
          <w:tcPr>
            <w:gridSpan w:val="8"/>
            <w:tcW w:w="7341" w:type="dxa"/>
            <w:vAlign w:val="center"/>
            <w:textDirection w:val="lrTb"/>
            <w:noWrap w:val="false"/>
          </w:tcPr>
          <w:p>
            <w:pPr>
              <w:jc w:val="center"/>
              <w:rPr>
                <w:color w:val="auto"/>
                <w:szCs w:val="21"/>
                <w:highlight w:val="none"/>
              </w:rPr>
            </w:pPr>
            <w:r>
              <w:rPr>
                <w:color w:val="auto"/>
                <w:szCs w:val="21"/>
                <w:highlight w:val="none"/>
              </w:rPr>
            </w:r>
            <w:r/>
          </w:p>
        </w:tc>
      </w:tr>
    </w:tbl>
    <w:p>
      <w:pPr>
        <w:contextualSpacing/>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br w:type="page" w:clear="all"/>
      </w:r>
      <w:r/>
    </w:p>
    <w:p>
      <w:pPr>
        <w:ind w:left="0" w:right="0"/>
        <w:pageBreakBefore w:val="0"/>
        <w:widowControl w:val="off"/>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附件12</w:t>
      </w:r>
      <w:r/>
    </w:p>
    <w:p>
      <w:pPr>
        <w:ind w:left="0" w:right="0"/>
        <w:jc w:val="center"/>
        <w:keepLines/>
        <w:keepNext/>
        <w:pageBreakBefore w:val="0"/>
        <w:spacing w:line="400" w:lineRule="exact"/>
        <w:widowControl w:val="off"/>
        <w:rPr>
          <w:b/>
          <w:color w:val="auto"/>
          <w:sz w:val="24"/>
          <w:highlight w:val="none"/>
        </w:rPr>
        <w:outlineLvl w:val="1"/>
      </w:pPr>
      <w:r>
        <w:rPr>
          <w:rFonts w:eastAsia="黑体" w:cs="宋体"/>
          <w:color w:val="auto"/>
          <w:sz w:val="28"/>
          <w:szCs w:val="20"/>
          <w:highlight w:val="none"/>
        </w:rPr>
        <w:t xml:space="preserve">投标函</w:t>
      </w:r>
      <w:r/>
    </w:p>
    <w:p>
      <w:pPr>
        <w:pStyle w:val="1053"/>
        <w:ind w:left="0" w:right="0"/>
        <w:jc w:val="center"/>
        <w:pageBreakBefore w:val="0"/>
        <w:widowControl w:val="off"/>
        <w:rPr>
          <w:color w:val="auto"/>
          <w:highlight w:val="none"/>
        </w:rPr>
      </w:pPr>
      <w:r>
        <w:rPr>
          <w:color w:val="auto"/>
          <w:highlight w:val="none"/>
        </w:rPr>
      </w:r>
      <w:r/>
    </w:p>
    <w:p>
      <w:pPr>
        <w:numPr>
          <w:ilvl w:val="0"/>
          <w:numId w:val="9"/>
        </w:numPr>
        <w:ind w:left="0" w:right="0" w:firstLine="484"/>
        <w:keepLines w:val="0"/>
        <w:keepNext w:val="0"/>
        <w:pageBreakBefore w:val="0"/>
        <w:spacing w:line="360" w:lineRule="auto"/>
        <w:widowControl w:val="off"/>
        <w:rPr>
          <w:rFonts w:hint="eastAsia" w:ascii="宋体" w:hAnsi="宋体" w:cs="宋体"/>
          <w:color w:val="auto"/>
          <w:sz w:val="24"/>
          <w:highlight w:val="none"/>
        </w:rPr>
      </w:pPr>
      <w:r>
        <w:rPr>
          <w:color w:val="auto"/>
          <w:sz w:val="24"/>
          <w:highlight w:val="none"/>
        </w:rPr>
        <w:t xml:space="preserve">根据你方项目编号为</w:t>
      </w:r>
      <w:r>
        <w:rPr>
          <w:color w:val="auto"/>
          <w:sz w:val="24"/>
          <w:highlight w:val="none"/>
          <w:u w:val="single"/>
        </w:rPr>
        <w:t xml:space="preserve">  （</w:t>
      </w:r>
      <w:r>
        <w:rPr>
          <w:rFonts w:hint="eastAsia"/>
          <w:color w:val="auto"/>
          <w:sz w:val="24"/>
          <w:highlight w:val="none"/>
          <w:u w:val="single"/>
          <w:lang w:val="en-US" w:eastAsia="zh-CN"/>
        </w:rPr>
        <w:t xml:space="preserve">项目</w:t>
      </w:r>
      <w:r>
        <w:rPr>
          <w:color w:val="auto"/>
          <w:sz w:val="24"/>
          <w:highlight w:val="none"/>
          <w:u w:val="single"/>
        </w:rPr>
        <w:t xml:space="preserve">编号）  </w:t>
      </w:r>
      <w:r>
        <w:rPr>
          <w:color w:val="auto"/>
          <w:sz w:val="24"/>
          <w:highlight w:val="none"/>
        </w:rPr>
        <w:t xml:space="preserve">的</w:t>
      </w:r>
      <w:r>
        <w:rPr>
          <w:color w:val="auto"/>
          <w:sz w:val="24"/>
          <w:highlight w:val="none"/>
          <w:u w:val="single"/>
        </w:rPr>
        <w:t xml:space="preserve">  （</w:t>
      </w:r>
      <w:r>
        <w:rPr>
          <w:rFonts w:hint="eastAsia"/>
          <w:color w:val="auto"/>
          <w:sz w:val="24"/>
          <w:highlight w:val="none"/>
          <w:u w:val="single"/>
          <w:lang w:val="en-US" w:eastAsia="zh-CN"/>
        </w:rPr>
        <w:t xml:space="preserve">项目</w:t>
      </w:r>
      <w:r>
        <w:rPr>
          <w:color w:val="auto"/>
          <w:sz w:val="24"/>
          <w:highlight w:val="none"/>
          <w:u w:val="single"/>
        </w:rPr>
        <w:t xml:space="preserve">名称）  </w:t>
      </w:r>
      <w:r>
        <w:rPr>
          <w:color w:val="auto"/>
          <w:sz w:val="24"/>
          <w:highlight w:val="none"/>
        </w:rPr>
        <w:t xml:space="preserve">工程</w:t>
      </w:r>
      <w:r>
        <w:rPr>
          <w:rFonts w:hint="eastAsia"/>
          <w:color w:val="auto"/>
          <w:sz w:val="24"/>
          <w:highlight w:val="none"/>
          <w:lang w:eastAsia="zh-CN"/>
        </w:rPr>
        <w:t xml:space="preserve">竞争性磋商</w:t>
      </w:r>
      <w:r>
        <w:rPr>
          <w:color w:val="auto"/>
          <w:sz w:val="24"/>
          <w:highlight w:val="none"/>
        </w:rPr>
        <w:t xml:space="preserve">文件，遵照有关规定，经踏勘项目现场和研究上述</w:t>
      </w:r>
      <w:r>
        <w:rPr>
          <w:rFonts w:hint="eastAsia"/>
          <w:color w:val="auto"/>
          <w:sz w:val="24"/>
          <w:highlight w:val="none"/>
          <w:lang w:eastAsia="zh-CN"/>
        </w:rPr>
        <w:t xml:space="preserve">竞争性磋商</w:t>
      </w:r>
      <w:r>
        <w:rPr>
          <w:color w:val="auto"/>
          <w:sz w:val="24"/>
          <w:highlight w:val="none"/>
        </w:rPr>
        <w:t xml:space="preserve">文件的投标须知、合同条款、工程建设标准和工程量清单及其他有关文件后，我方愿以</w:t>
      </w:r>
      <w:r>
        <w:rPr>
          <w:rFonts w:hint="eastAsia"/>
          <w:color w:val="auto"/>
          <w:sz w:val="24"/>
          <w:highlight w:val="none"/>
          <w:u w:val="single"/>
          <w:lang w:val="en-US" w:eastAsia="zh-CN"/>
        </w:rPr>
        <w:t xml:space="preserve">     </w:t>
      </w:r>
      <w:r>
        <w:rPr>
          <w:color w:val="auto"/>
          <w:sz w:val="24"/>
          <w:highlight w:val="none"/>
        </w:rPr>
        <w:t xml:space="preserve">的</w:t>
      </w:r>
      <w:r>
        <w:rPr>
          <w:rFonts w:hint="eastAsia"/>
          <w:color w:val="auto"/>
          <w:sz w:val="24"/>
          <w:highlight w:val="none"/>
          <w:lang w:val="en-US" w:eastAsia="zh-CN"/>
        </w:rPr>
        <w:t xml:space="preserve">总价</w:t>
      </w:r>
      <w:r>
        <w:rPr>
          <w:color w:val="auto"/>
          <w:sz w:val="24"/>
          <w:highlight w:val="none"/>
        </w:rPr>
        <w:t xml:space="preserve">并按上述合同条款、工程建设标准和工程量清单的条件要求承包上述工程的施工、竣工，并承担任何质量缺陷保修责任。我方保证工程质量达到</w:t>
      </w:r>
      <w:r>
        <w:rPr>
          <w:color w:val="auto"/>
          <w:sz w:val="24"/>
          <w:highlight w:val="none"/>
          <w:u w:val="single"/>
        </w:rPr>
        <w:t xml:space="preserve">       </w:t>
      </w:r>
      <w:r>
        <w:rPr>
          <w:rFonts w:hint="eastAsia"/>
          <w:color w:val="auto"/>
          <w:sz w:val="24"/>
          <w:highlight w:val="none"/>
        </w:rPr>
        <w:t xml:space="preserve">标准，工期</w:t>
      </w:r>
      <w:r>
        <w:rPr>
          <w:rFonts w:hint="eastAsia"/>
          <w:color w:val="auto"/>
          <w:sz w:val="24"/>
          <w:highlight w:val="none"/>
          <w:u w:val="single"/>
        </w:rPr>
        <w:t xml:space="preserve">    </w:t>
      </w:r>
      <w:r>
        <w:rPr>
          <w:color w:val="auto"/>
          <w:sz w:val="24"/>
          <w:highlight w:val="none"/>
        </w:rPr>
        <w:t xml:space="preserve">。</w:t>
      </w:r>
      <w:r>
        <w:rPr>
          <w:rFonts w:hint="eastAsia" w:ascii="宋体" w:hAnsi="宋体" w:cs="宋体"/>
          <w:color w:val="auto"/>
          <w:sz w:val="24"/>
          <w:highlight w:val="none"/>
        </w:rPr>
        <w:t xml:space="preserve">如果我方中标，我方将按照规定提交履约担保</w:t>
      </w:r>
      <w:r>
        <w:rPr>
          <w:rFonts w:hint="eastAsia" w:ascii="宋体" w:hAnsi="宋体" w:cs="宋体"/>
          <w:color w:val="auto"/>
          <w:sz w:val="24"/>
          <w:highlight w:val="none"/>
          <w:u w:val="single"/>
        </w:rPr>
        <w:t xml:space="preserve">合同</w:t>
      </w:r>
      <w:r>
        <w:rPr>
          <w:rFonts w:hint="eastAsia" w:ascii="宋体" w:hAnsi="宋体" w:cs="宋体"/>
          <w:color w:val="auto"/>
          <w:sz w:val="24"/>
          <w:highlight w:val="none"/>
          <w:u w:val="single"/>
          <w:lang w:val="en-US" w:eastAsia="zh-CN"/>
        </w:rPr>
        <w:t xml:space="preserve">总</w:t>
      </w:r>
      <w:r>
        <w:rPr>
          <w:rFonts w:hint="eastAsia" w:ascii="宋体" w:hAnsi="宋体" w:cs="宋体"/>
          <w:color w:val="auto"/>
          <w:sz w:val="24"/>
          <w:highlight w:val="none"/>
          <w:u w:val="single"/>
        </w:rPr>
        <w:t xml:space="preserve">价的        %</w:t>
      </w:r>
      <w:r>
        <w:rPr>
          <w:rFonts w:hint="eastAsia" w:ascii="宋体" w:hAnsi="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color w:val="auto"/>
          <w:sz w:val="24"/>
          <w:highlight w:val="none"/>
        </w:rPr>
      </w:pPr>
      <w:r>
        <w:rPr>
          <w:rFonts w:hint="eastAsia"/>
          <w:color w:val="auto"/>
          <w:sz w:val="24"/>
          <w:highlight w:val="none"/>
        </w:rPr>
        <w:t xml:space="preserve">2、贵单位的</w:t>
      </w:r>
      <w:r>
        <w:rPr>
          <w:rFonts w:hint="eastAsia"/>
          <w:color w:val="auto"/>
          <w:sz w:val="24"/>
          <w:highlight w:val="none"/>
          <w:lang w:eastAsia="zh-CN"/>
        </w:rPr>
        <w:t xml:space="preserve">竞争性磋商</w:t>
      </w:r>
      <w:r>
        <w:rPr>
          <w:rFonts w:hint="eastAsia"/>
          <w:color w:val="auto"/>
          <w:sz w:val="24"/>
          <w:highlight w:val="none"/>
        </w:rPr>
        <w:t xml:space="preserve">文件、中标通知书和本投标文件将构成约束我们双方的合同。</w:t>
      </w:r>
      <w:r/>
    </w:p>
    <w:p>
      <w:pPr>
        <w:ind w:left="0" w:right="0" w:firstLine="480"/>
        <w:keepLines w:val="0"/>
        <w:keepNext w:val="0"/>
        <w:pageBreakBefore w:val="0"/>
        <w:spacing w:line="360" w:lineRule="auto"/>
        <w:widowControl w:val="off"/>
        <w:rPr>
          <w:rFonts w:hint="eastAsia"/>
          <w:color w:val="auto"/>
          <w:sz w:val="24"/>
          <w:highlight w:val="none"/>
        </w:rPr>
      </w:pPr>
      <w:r>
        <w:rPr>
          <w:rFonts w:hint="eastAsia"/>
          <w:color w:val="auto"/>
          <w:sz w:val="24"/>
          <w:highlight w:val="none"/>
        </w:rPr>
        <w:t xml:space="preserve">3、我方承诺，如果我方中</w:t>
      </w:r>
      <w:r>
        <w:rPr>
          <w:rFonts w:hint="eastAsia" w:ascii="宋体" w:hAnsi="宋体" w:cs="宋体"/>
          <w:color w:val="auto"/>
          <w:sz w:val="24"/>
          <w:highlight w:val="none"/>
        </w:rPr>
        <w:t xml:space="preserve">标，我方保证做到：不违法分包、转包，</w:t>
      </w:r>
      <w:r>
        <w:rPr>
          <w:rFonts w:hint="eastAsia"/>
          <w:color w:val="auto"/>
          <w:sz w:val="24"/>
          <w:highlight w:val="none"/>
        </w:rPr>
        <w:t xml:space="preserve">拟派项目负责人满足无在建工程的相关要求。</w:t>
      </w:r>
      <w:r/>
    </w:p>
    <w:p>
      <w:pPr>
        <w:ind w:left="0" w:right="0" w:firstLine="484"/>
        <w:keepLines w:val="0"/>
        <w:keepNext w:val="0"/>
        <w:pageBreakBefore w:val="0"/>
        <w:spacing w:line="360" w:lineRule="auto"/>
        <w:widowControl w:val="off"/>
        <w:rPr>
          <w:rFonts w:hint="eastAsia"/>
          <w:color w:val="auto"/>
          <w:sz w:val="24"/>
          <w:highlight w:val="none"/>
        </w:rPr>
      </w:pPr>
      <w:r>
        <w:rPr>
          <w:rFonts w:hint="eastAsia"/>
          <w:color w:val="auto"/>
          <w:sz w:val="24"/>
          <w:highlight w:val="none"/>
        </w:rPr>
        <w:t xml:space="preserve">4、我方承诺在本次投标过程中无弄虚作假和串通投标等违法、违规行为，并</w:t>
      </w:r>
      <w:r>
        <w:rPr>
          <w:rFonts w:hint="eastAsia" w:ascii="宋体" w:hAnsi="宋体"/>
          <w:color w:val="auto"/>
          <w:sz w:val="24"/>
          <w:highlight w:val="none"/>
        </w:rPr>
        <w:t xml:space="preserve">愿意承担因</w:t>
      </w:r>
      <w:r>
        <w:rPr>
          <w:rFonts w:hint="eastAsia"/>
          <w:color w:val="auto"/>
          <w:sz w:val="24"/>
          <w:highlight w:val="none"/>
        </w:rPr>
        <w:t xml:space="preserve">弄虚作假和串通投标</w:t>
      </w:r>
      <w:r>
        <w:rPr>
          <w:rFonts w:hint="eastAsia" w:ascii="宋体" w:hAnsi="宋体"/>
          <w:color w:val="auto"/>
          <w:sz w:val="24"/>
          <w:highlight w:val="none"/>
        </w:rPr>
        <w:t xml:space="preserve">所引起的一切法律责任。</w:t>
      </w:r>
      <w:r/>
    </w:p>
    <w:p>
      <w:pPr>
        <w:ind w:left="0" w:right="0" w:firstLine="484"/>
        <w:keepLines w:val="0"/>
        <w:keepNext w:val="0"/>
        <w:pageBreakBefore w:val="0"/>
        <w:spacing w:line="360" w:lineRule="auto"/>
        <w:widowControl w:val="off"/>
        <w:rPr>
          <w:color w:val="auto"/>
          <w:sz w:val="24"/>
          <w:highlight w:val="none"/>
        </w:rPr>
      </w:pPr>
      <w:r>
        <w:rPr>
          <w:rFonts w:hint="eastAsia"/>
          <w:color w:val="auto"/>
          <w:sz w:val="24"/>
          <w:highlight w:val="none"/>
        </w:rPr>
        <w:t xml:space="preserve">5</w:t>
      </w:r>
      <w:r>
        <w:rPr>
          <w:color w:val="auto"/>
          <w:sz w:val="24"/>
          <w:highlight w:val="none"/>
        </w:rPr>
        <w:t xml:space="preserve">、我方承诺在投标有效期内不修改、撤销投标文件。</w:t>
      </w:r>
      <w:r/>
    </w:p>
    <w:p>
      <w:pPr>
        <w:ind w:left="0" w:right="0" w:firstLine="484"/>
        <w:keepLines w:val="0"/>
        <w:keepNext w:val="0"/>
        <w:pageBreakBefore w:val="0"/>
        <w:spacing w:line="360" w:lineRule="auto"/>
        <w:widowControl w:val="off"/>
        <w:rPr>
          <w:color w:val="auto"/>
          <w:sz w:val="24"/>
          <w:highlight w:val="none"/>
        </w:rPr>
      </w:pPr>
      <w:r>
        <w:rPr>
          <w:rFonts w:hint="eastAsia"/>
          <w:color w:val="auto"/>
          <w:sz w:val="24"/>
          <w:highlight w:val="none"/>
        </w:rPr>
        <w:t xml:space="preserve">6</w:t>
      </w:r>
      <w:r>
        <w:rPr>
          <w:color w:val="auto"/>
          <w:sz w:val="24"/>
          <w:highlight w:val="none"/>
        </w:rPr>
        <w:t xml:space="preserve">、如我方中标：</w:t>
      </w:r>
      <w:r/>
    </w:p>
    <w:p>
      <w:pPr>
        <w:ind w:left="0" w:right="0" w:firstLine="484"/>
        <w:keepLines w:val="0"/>
        <w:keepNext w:val="0"/>
        <w:pageBreakBefore w:val="0"/>
        <w:spacing w:line="360" w:lineRule="auto"/>
        <w:widowControl w:val="off"/>
        <w:rPr>
          <w:color w:val="auto"/>
          <w:sz w:val="24"/>
          <w:highlight w:val="none"/>
        </w:rPr>
      </w:pPr>
      <w:r>
        <w:rPr>
          <w:color w:val="auto"/>
          <w:sz w:val="24"/>
          <w:highlight w:val="none"/>
        </w:rPr>
        <w:t xml:space="preserve">（1）我方承诺在收到中标通知书后，在中标通知书规定的期限内与你方签订合同。</w:t>
      </w:r>
      <w:r/>
    </w:p>
    <w:p>
      <w:pPr>
        <w:ind w:left="0" w:right="0" w:firstLine="484"/>
        <w:keepLines w:val="0"/>
        <w:keepNext w:val="0"/>
        <w:pageBreakBefore w:val="0"/>
        <w:spacing w:line="360" w:lineRule="auto"/>
        <w:widowControl w:val="off"/>
        <w:rPr>
          <w:color w:val="auto"/>
          <w:sz w:val="24"/>
          <w:highlight w:val="none"/>
        </w:rPr>
      </w:pPr>
      <w:r>
        <w:rPr>
          <w:color w:val="auto"/>
          <w:sz w:val="24"/>
          <w:highlight w:val="none"/>
        </w:rPr>
        <w:t xml:space="preserve">（2）我方承诺按照</w:t>
      </w:r>
      <w:r>
        <w:rPr>
          <w:rFonts w:hint="eastAsia"/>
          <w:color w:val="auto"/>
          <w:sz w:val="24"/>
          <w:highlight w:val="none"/>
          <w:lang w:eastAsia="zh-CN"/>
        </w:rPr>
        <w:t xml:space="preserve">竞争性磋商</w:t>
      </w:r>
      <w:r>
        <w:rPr>
          <w:color w:val="auto"/>
          <w:sz w:val="24"/>
          <w:highlight w:val="none"/>
        </w:rPr>
        <w:t xml:space="preserve">文件规定向你方递交履约担保。</w:t>
      </w:r>
      <w:r/>
    </w:p>
    <w:p>
      <w:pPr>
        <w:ind w:left="0" w:right="0" w:firstLine="484"/>
        <w:keepLines w:val="0"/>
        <w:keepNext w:val="0"/>
        <w:pageBreakBefore w:val="0"/>
        <w:spacing w:line="360" w:lineRule="auto"/>
        <w:widowControl w:val="off"/>
        <w:rPr>
          <w:color w:val="auto"/>
          <w:sz w:val="24"/>
          <w:highlight w:val="none"/>
        </w:rPr>
      </w:pPr>
      <w:r>
        <w:rPr>
          <w:color w:val="auto"/>
          <w:sz w:val="24"/>
          <w:highlight w:val="none"/>
        </w:rPr>
        <w:t xml:space="preserve">（3）我方承诺在合同约定的期限内完成并移交全部合同工程。</w:t>
      </w:r>
      <w:r/>
    </w:p>
    <w:p>
      <w:pPr>
        <w:ind w:left="0" w:right="0" w:firstLine="1680"/>
        <w:keepLines w:val="0"/>
        <w:keepNext w:val="0"/>
        <w:pageBreakBefore w:val="0"/>
        <w:spacing w:line="360" w:lineRule="auto"/>
        <w:widowControl w:val="off"/>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供应商全称(盖公章)：</w:t>
      </w:r>
      <w:r/>
    </w:p>
    <w:p>
      <w:pPr>
        <w:ind w:left="0" w:right="0" w:firstLine="1680"/>
        <w:keepLines w:val="0"/>
        <w:keepNext w:val="0"/>
        <w:pageBreakBefore w:val="0"/>
        <w:spacing w:line="360" w:lineRule="auto"/>
        <w:widowControl w:val="off"/>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法定代表人（签字或盖章）：</w:t>
      </w:r>
      <w:r/>
    </w:p>
    <w:p>
      <w:pPr>
        <w:ind w:left="0" w:right="0" w:firstLine="722"/>
        <w:keepLines w:val="0"/>
        <w:keepNext w:val="0"/>
        <w:pageBreakBefore w:val="0"/>
        <w:spacing w:line="360" w:lineRule="auto"/>
        <w:widowControl w:val="off"/>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供应商地址：</w:t>
      </w:r>
      <w:r>
        <w:rPr>
          <w:rFonts w:hint="eastAsia"/>
          <w:color w:val="auto"/>
          <w:sz w:val="24"/>
          <w:highlight w:val="none"/>
          <w:u w:val="single"/>
        </w:rPr>
        <w:t xml:space="preserve">          </w:t>
      </w:r>
      <w:r/>
    </w:p>
    <w:p>
      <w:pPr>
        <w:ind w:left="0" w:right="0" w:firstLine="722"/>
        <w:keepLines w:val="0"/>
        <w:keepNext w:val="0"/>
        <w:pageBreakBefore w:val="0"/>
        <w:spacing w:line="360" w:lineRule="auto"/>
        <w:widowControl w:val="off"/>
        <w:rPr>
          <w:rFonts w:hint="eastAsia"/>
          <w:color w:val="auto"/>
          <w:sz w:val="24"/>
          <w:highlight w:val="none"/>
          <w:u w:val="single"/>
        </w:rPr>
      </w:pPr>
      <w:r>
        <w:rPr>
          <w:color w:val="auto"/>
          <w:sz w:val="24"/>
          <w:highlight w:val="none"/>
        </w:rPr>
        <w:t xml:space="preserve">邮政编码：</w:t>
      </w:r>
      <w:r>
        <w:rPr>
          <w:rFonts w:hint="eastAsia"/>
          <w:color w:val="auto"/>
          <w:sz w:val="24"/>
          <w:highlight w:val="none"/>
          <w:u w:val="single"/>
        </w:rPr>
        <w:t xml:space="preserve">          </w:t>
      </w:r>
      <w:r/>
    </w:p>
    <w:p>
      <w:pPr>
        <w:ind w:left="0" w:right="0" w:firstLine="722"/>
        <w:keepLines w:val="0"/>
        <w:keepNext w:val="0"/>
        <w:pageBreakBefore w:val="0"/>
        <w:spacing w:line="360" w:lineRule="auto"/>
        <w:widowControl w:val="off"/>
        <w:rPr>
          <w:rFonts w:hint="eastAsia"/>
          <w:color w:val="auto"/>
          <w:sz w:val="24"/>
          <w:highlight w:val="none"/>
          <w:u w:val="single"/>
        </w:rPr>
      </w:pPr>
      <w:r>
        <w:rPr>
          <w:color w:val="auto"/>
          <w:sz w:val="24"/>
          <w:highlight w:val="none"/>
        </w:rPr>
        <w:t xml:space="preserve">电话：</w:t>
      </w:r>
      <w:r>
        <w:rPr>
          <w:rFonts w:hint="eastAsia"/>
          <w:color w:val="auto"/>
          <w:sz w:val="24"/>
          <w:highlight w:val="none"/>
          <w:u w:val="single"/>
        </w:rPr>
        <w:t xml:space="preserve">         </w:t>
      </w:r>
      <w:r/>
    </w:p>
    <w:p>
      <w:pPr>
        <w:ind w:left="0" w:right="0" w:firstLine="722"/>
        <w:keepLines w:val="0"/>
        <w:keepNext w:val="0"/>
        <w:pageBreakBefore w:val="0"/>
        <w:spacing w:line="360" w:lineRule="auto"/>
        <w:widowControl w:val="off"/>
        <w:rPr>
          <w:color w:val="auto"/>
          <w:sz w:val="24"/>
          <w:highlight w:val="none"/>
        </w:rPr>
      </w:pPr>
      <w:r>
        <w:rPr>
          <w:color w:val="auto"/>
          <w:sz w:val="24"/>
          <w:highlight w:val="none"/>
        </w:rPr>
        <w:t xml:space="preserve">传真：</w:t>
      </w:r>
      <w:r>
        <w:rPr>
          <w:rFonts w:hint="eastAsia"/>
          <w:color w:val="auto"/>
          <w:sz w:val="24"/>
          <w:highlight w:val="none"/>
          <w:u w:val="single"/>
        </w:rPr>
        <w:t xml:space="preserve">          </w:t>
      </w:r>
      <w:r/>
    </w:p>
    <w:p>
      <w:pPr>
        <w:ind w:left="0" w:right="0" w:firstLine="484"/>
        <w:jc w:val="right"/>
        <w:keepLines w:val="0"/>
        <w:keepNext w:val="0"/>
        <w:pageBreakBefore w:val="0"/>
        <w:spacing w:line="360" w:lineRule="auto"/>
        <w:widowControl w:val="off"/>
        <w:rPr>
          <w:color w:val="auto"/>
          <w:sz w:val="24"/>
          <w:highlight w:val="none"/>
        </w:rPr>
      </w:pPr>
      <w:r>
        <w:rPr>
          <w:color w:val="auto"/>
          <w:sz w:val="24"/>
          <w:highlight w:val="none"/>
        </w:rPr>
        <w:t xml:space="preserve">日期：</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center"/>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宋体" w:hAnsi="宋体"/>
          <w:color w:val="auto"/>
          <w:sz w:val="24"/>
          <w:highlight w:val="none"/>
        </w:rPr>
      </w:pPr>
      <w:r>
        <w:rPr>
          <w:rFonts w:hint="eastAsia" w:ascii="宋体" w:hAnsi="宋体"/>
          <w:color w:val="auto"/>
          <w:sz w:val="24"/>
          <w:highlight w:val="none"/>
        </w:rPr>
      </w:r>
      <w:r/>
    </w:p>
    <w:p>
      <w:pPr>
        <w:jc w:val="center"/>
        <w:rPr>
          <w:rFonts w:ascii="宋体" w:hAnsi="宋体"/>
          <w:b/>
          <w:color w:val="auto"/>
          <w:sz w:val="30"/>
          <w:szCs w:val="30"/>
          <w:highlight w:val="none"/>
        </w:rPr>
      </w:pPr>
      <w:r>
        <w:rPr>
          <w:rFonts w:hint="eastAsia" w:ascii="宋体" w:hAnsi="宋体"/>
          <w:color w:val="auto"/>
          <w:sz w:val="24"/>
          <w:highlight w:val="none"/>
        </w:rPr>
        <w:t xml:space="preserve">附件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项目清单</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自行下载</w:t>
      </w:r>
      <w:r>
        <w:rPr>
          <w:rFonts w:hint="eastAsia" w:ascii="宋体" w:hAnsi="宋体"/>
          <w:color w:val="auto"/>
          <w:sz w:val="24"/>
          <w:highlight w:val="none"/>
          <w:lang w:eastAsia="zh-CN"/>
        </w:rPr>
        <w:t xml:space="preserve">）</w:t>
      </w:r>
      <w:r/>
    </w:p>
    <w:p>
      <w:p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both"/>
        <w:keepLines/>
        <w:keepNext/>
        <w:spacing w:before="100" w:line="400" w:lineRule="exact"/>
        <w:rPr>
          <w:rFonts w:hint="eastAsia" w:ascii="宋体" w:hAnsi="宋体" w:eastAsia="宋体" w:cs="宋体"/>
          <w:b w:val="0"/>
          <w:bCs w:val="0"/>
          <w:color w:val="auto"/>
          <w:sz w:val="28"/>
          <w:szCs w:val="20"/>
          <w:highlight w:val="none"/>
          <w:lang w:val="en-US" w:eastAsia="zh-CN"/>
        </w:rPr>
        <w:outlineLvl w:val="1"/>
      </w:pPr>
      <w:r/>
      <w:bookmarkStart w:id="766" w:name="_Toc25103_WPSOffice_Level3"/>
      <w:r/>
      <w:r/>
    </w:p>
    <w:p>
      <w:pPr>
        <w:jc w:val="both"/>
        <w:keepLines/>
        <w:keepNext/>
        <w:spacing w:before="100" w:line="400" w:lineRule="exact"/>
        <w:rPr>
          <w:rFonts w:hint="eastAsia" w:ascii="宋体" w:hAnsi="宋体" w:eastAsia="宋体" w:cs="宋体"/>
          <w:b w:val="0"/>
          <w:bCs w:val="0"/>
          <w:color w:val="auto"/>
          <w:sz w:val="28"/>
          <w:szCs w:val="20"/>
          <w:highlight w:val="none"/>
          <w:lang w:val="en-US" w:eastAsia="zh-CN"/>
        </w:rPr>
        <w:outlineLvl w:val="1"/>
      </w:pPr>
      <w:r>
        <w:rPr>
          <w:rFonts w:hint="eastAsia" w:ascii="宋体" w:hAnsi="宋体" w:eastAsia="宋体" w:cs="宋体"/>
          <w:b w:val="0"/>
          <w:bCs w:val="0"/>
          <w:color w:val="auto"/>
          <w:sz w:val="28"/>
          <w:szCs w:val="20"/>
          <w:highlight w:val="none"/>
          <w:lang w:val="en-US" w:eastAsia="zh-CN"/>
        </w:rPr>
      </w:r>
      <w:r/>
    </w:p>
    <w:p>
      <w:pPr>
        <w:jc w:val="both"/>
        <w:keepLines/>
        <w:keepNext/>
        <w:spacing w:before="100" w:line="400" w:lineRule="exact"/>
        <w:rPr>
          <w:rFonts w:hint="eastAsia" w:ascii="宋体" w:hAnsi="宋体" w:eastAsia="宋体" w:cs="宋体"/>
          <w:b w:val="0"/>
          <w:bCs w:val="0"/>
          <w:color w:val="auto"/>
          <w:sz w:val="28"/>
          <w:szCs w:val="20"/>
          <w:highlight w:val="none"/>
          <w:lang w:val="en-US" w:eastAsia="zh-CN"/>
        </w:rPr>
        <w:outlineLvl w:val="1"/>
      </w:pPr>
      <w:r>
        <w:rPr>
          <w:rFonts w:hint="eastAsia" w:ascii="宋体" w:hAnsi="宋体" w:eastAsia="宋体" w:cs="宋体"/>
          <w:b w:val="0"/>
          <w:bCs w:val="0"/>
          <w:color w:val="auto"/>
          <w:sz w:val="28"/>
          <w:szCs w:val="20"/>
          <w:highlight w:val="none"/>
          <w:lang w:val="en-US" w:eastAsia="zh-CN"/>
        </w:rPr>
        <w:t xml:space="preserve">附件13</w:t>
      </w:r>
      <w:r/>
    </w:p>
    <w:p>
      <w:pPr>
        <w:jc w:val="center"/>
        <w:keepLines/>
        <w:keepNext/>
        <w:spacing w:before="100" w:line="400" w:lineRule="exact"/>
        <w:rPr>
          <w:rFonts w:ascii="宋体" w:hAnsi="宋体"/>
          <w:color w:val="auto"/>
          <w:sz w:val="25"/>
          <w:highlight w:val="none"/>
        </w:rPr>
        <w:outlineLvl w:val="1"/>
      </w:pPr>
      <w:r>
        <w:rPr>
          <w:rFonts w:hint="eastAsia" w:eastAsia="黑体" w:cs="宋体"/>
          <w:color w:val="auto"/>
          <w:sz w:val="28"/>
          <w:szCs w:val="20"/>
          <w:highlight w:val="none"/>
        </w:rPr>
        <w:t xml:space="preserve">计划投入的主要施工机械设备表</w:t>
      </w:r>
      <w:bookmarkEnd w:id="766"/>
      <w:r/>
      <w:r/>
    </w:p>
    <w:tbl>
      <w:tblPr>
        <w:tblStyle w:val="761"/>
        <w:tblW w:w="94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1064"/>
              <w:ind w:firstLine="0"/>
              <w:jc w:val="center"/>
              <w:spacing w:line="360" w:lineRule="auto"/>
              <w:rPr>
                <w:rFonts w:ascii="宋体" w:hAnsi="宋体"/>
                <w:color w:val="auto"/>
                <w:position w:val="-32"/>
                <w:sz w:val="23"/>
                <w:highlight w:val="none"/>
              </w:rPr>
            </w:pPr>
            <w:r>
              <w:rPr>
                <w:rFonts w:hint="eastAsia" w:ascii="宋体" w:hAnsi="宋体"/>
                <w:color w:val="auto"/>
                <w:position w:val="-32"/>
                <w:sz w:val="23"/>
                <w:highlight w:val="none"/>
              </w:rPr>
              <w:t xml:space="preserve">序号</w:t>
            </w:r>
            <w:r/>
          </w:p>
        </w:tc>
        <w:tc>
          <w:tcPr>
            <w:tcW w:w="1735" w:type="dxa"/>
            <w:vAlign w:val="top"/>
            <w:textDirection w:val="lrTb"/>
            <w:noWrap w:val="false"/>
          </w:tcPr>
          <w:p>
            <w:pPr>
              <w:pStyle w:val="1064"/>
              <w:ind w:firstLine="0"/>
              <w:jc w:val="center"/>
              <w:spacing w:line="360" w:lineRule="auto"/>
              <w:rPr>
                <w:rFonts w:ascii="宋体" w:hAnsi="宋体"/>
                <w:color w:val="auto"/>
                <w:position w:val="-50"/>
                <w:sz w:val="23"/>
                <w:highlight w:val="none"/>
              </w:rPr>
            </w:pPr>
            <w:r>
              <w:rPr>
                <w:rFonts w:hint="eastAsia" w:ascii="宋体" w:hAnsi="宋体"/>
                <w:color w:val="auto"/>
                <w:position w:val="-50"/>
                <w:sz w:val="23"/>
                <w:highlight w:val="none"/>
              </w:rPr>
              <w:t xml:space="preserve">机械设备名称</w:t>
            </w:r>
            <w:r/>
          </w:p>
        </w:tc>
        <w:tc>
          <w:tcPr>
            <w:tcW w:w="714" w:type="dxa"/>
            <w:vAlign w:val="top"/>
            <w:textDirection w:val="lrTb"/>
            <w:noWrap w:val="false"/>
          </w:tcPr>
          <w:p>
            <w:pPr>
              <w:pStyle w:val="1064"/>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型号规格</w:t>
            </w:r>
            <w:r/>
          </w:p>
        </w:tc>
        <w:tc>
          <w:tcPr>
            <w:tcW w:w="715" w:type="dxa"/>
            <w:vAlign w:val="top"/>
            <w:textDirection w:val="lrTb"/>
            <w:noWrap w:val="false"/>
          </w:tcPr>
          <w:p>
            <w:pPr>
              <w:pStyle w:val="1064"/>
              <w:ind w:firstLine="0"/>
              <w:jc w:val="center"/>
              <w:spacing w:line="360" w:lineRule="auto"/>
              <w:rPr>
                <w:rFonts w:ascii="宋体" w:hAnsi="宋体"/>
                <w:color w:val="auto"/>
                <w:position w:val="-50"/>
                <w:sz w:val="23"/>
                <w:highlight w:val="none"/>
              </w:rPr>
            </w:pPr>
            <w:r>
              <w:rPr>
                <w:rFonts w:hint="eastAsia" w:ascii="宋体" w:hAnsi="宋体"/>
                <w:color w:val="auto"/>
                <w:position w:val="-50"/>
                <w:sz w:val="23"/>
                <w:highlight w:val="none"/>
              </w:rPr>
              <w:t xml:space="preserve">数量</w:t>
            </w:r>
            <w:r/>
          </w:p>
        </w:tc>
        <w:tc>
          <w:tcPr>
            <w:tcW w:w="918" w:type="dxa"/>
            <w:vAlign w:val="top"/>
            <w:textDirection w:val="lrTb"/>
            <w:noWrap w:val="false"/>
          </w:tcPr>
          <w:p>
            <w:pPr>
              <w:pStyle w:val="1064"/>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国 别</w:t>
            </w:r>
            <w:r/>
          </w:p>
          <w:p>
            <w:pPr>
              <w:pStyle w:val="1064"/>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产 地</w:t>
            </w:r>
            <w:r/>
          </w:p>
        </w:tc>
        <w:tc>
          <w:tcPr>
            <w:tcW w:w="919" w:type="dxa"/>
            <w:vAlign w:val="top"/>
            <w:textDirection w:val="lrTb"/>
            <w:noWrap w:val="false"/>
          </w:tcPr>
          <w:p>
            <w:pPr>
              <w:pStyle w:val="1064"/>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制 造</w:t>
            </w:r>
            <w:r/>
          </w:p>
          <w:p>
            <w:pPr>
              <w:pStyle w:val="1064"/>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年 份</w:t>
            </w:r>
            <w:r/>
          </w:p>
        </w:tc>
        <w:tc>
          <w:tcPr>
            <w:tcW w:w="1123" w:type="dxa"/>
            <w:vAlign w:val="top"/>
            <w:textDirection w:val="lrTb"/>
            <w:noWrap w:val="false"/>
          </w:tcPr>
          <w:p>
            <w:pPr>
              <w:pStyle w:val="1064"/>
              <w:ind w:firstLine="0"/>
              <w:jc w:val="center"/>
              <w:spacing w:line="360" w:lineRule="auto"/>
              <w:rPr>
                <w:rFonts w:ascii="宋体" w:hAnsi="宋体"/>
                <w:color w:val="auto"/>
                <w:position w:val="-30"/>
                <w:highlight w:val="none"/>
              </w:rPr>
            </w:pPr>
            <w:r>
              <w:rPr>
                <w:rFonts w:hint="eastAsia" w:ascii="宋体" w:hAnsi="宋体"/>
                <w:color w:val="auto"/>
                <w:position w:val="-30"/>
                <w:highlight w:val="none"/>
              </w:rPr>
              <w:t xml:space="preserve">额定功率</w:t>
            </w:r>
            <w:r>
              <w:rPr>
                <w:rFonts w:ascii="宋体" w:hAnsi="宋体"/>
                <w:color w:val="auto"/>
                <w:position w:val="-30"/>
                <w:highlight w:val="none"/>
              </w:rPr>
              <w:t xml:space="preserve">(</w:t>
            </w:r>
            <w:r>
              <w:rPr>
                <w:rFonts w:hint="eastAsia" w:ascii="宋体" w:hAnsi="宋体"/>
                <w:color w:val="auto"/>
                <w:position w:val="-30"/>
                <w:highlight w:val="none"/>
              </w:rPr>
              <w:t xml:space="preserve">KW</w:t>
            </w:r>
            <w:r>
              <w:rPr>
                <w:rFonts w:ascii="宋体" w:hAnsi="宋体"/>
                <w:color w:val="auto"/>
                <w:position w:val="-30"/>
                <w:highlight w:val="none"/>
              </w:rPr>
              <w:t xml:space="preserve">)</w:t>
            </w:r>
            <w:r/>
          </w:p>
        </w:tc>
        <w:tc>
          <w:tcPr>
            <w:tcW w:w="1122" w:type="dxa"/>
            <w:vAlign w:val="top"/>
            <w:textDirection w:val="lrTb"/>
            <w:noWrap w:val="false"/>
          </w:tcPr>
          <w:p>
            <w:pPr>
              <w:pStyle w:val="1064"/>
              <w:ind w:firstLine="0"/>
              <w:jc w:val="center"/>
              <w:spacing w:line="360" w:lineRule="auto"/>
              <w:rPr>
                <w:rFonts w:ascii="宋体" w:hAnsi="宋体"/>
                <w:color w:val="auto"/>
                <w:position w:val="-30"/>
                <w:highlight w:val="none"/>
              </w:rPr>
            </w:pPr>
            <w:r>
              <w:rPr>
                <w:rFonts w:hint="eastAsia" w:ascii="宋体" w:hAnsi="宋体"/>
                <w:color w:val="auto"/>
                <w:position w:val="-30"/>
                <w:highlight w:val="none"/>
              </w:rPr>
              <w:t xml:space="preserve">生产能力</w:t>
            </w:r>
            <w:r>
              <w:rPr>
                <w:rFonts w:ascii="宋体" w:hAnsi="宋体"/>
                <w:color w:val="auto"/>
                <w:position w:val="-30"/>
                <w:highlight w:val="none"/>
              </w:rPr>
              <w:t xml:space="preserve">(</w:t>
            </w:r>
            <w:r>
              <w:rPr>
                <w:rFonts w:hint="eastAsia" w:ascii="宋体" w:hAnsi="宋体"/>
                <w:color w:val="auto"/>
                <w:position w:val="-30"/>
                <w:highlight w:val="none"/>
              </w:rPr>
              <w:t xml:space="preserve">MH</w:t>
            </w:r>
            <w:r>
              <w:rPr>
                <w:rFonts w:ascii="宋体" w:hAnsi="宋体"/>
                <w:color w:val="auto"/>
                <w:position w:val="-30"/>
                <w:highlight w:val="none"/>
              </w:rPr>
              <w:t xml:space="preserve">)</w:t>
            </w:r>
            <w:r/>
          </w:p>
        </w:tc>
        <w:tc>
          <w:tcPr>
            <w:tcW w:w="1715" w:type="dxa"/>
            <w:vAlign w:val="top"/>
            <w:textDirection w:val="lrTb"/>
            <w:noWrap w:val="false"/>
          </w:tcPr>
          <w:p>
            <w:pPr>
              <w:pStyle w:val="1064"/>
              <w:ind w:firstLine="0"/>
              <w:jc w:val="center"/>
              <w:spacing w:line="360" w:lineRule="auto"/>
              <w:rPr>
                <w:rFonts w:ascii="宋体" w:hAnsi="宋体"/>
                <w:color w:val="auto"/>
                <w:position w:val="-50"/>
                <w:sz w:val="23"/>
                <w:highlight w:val="none"/>
              </w:rPr>
            </w:pPr>
            <w:r>
              <w:rPr>
                <w:rFonts w:hint="eastAsia" w:ascii="宋体" w:hAnsi="宋体"/>
                <w:color w:val="auto"/>
                <w:position w:val="-50"/>
                <w:sz w:val="23"/>
                <w:highlight w:val="none"/>
              </w:rPr>
              <w:t xml:space="preserve">备注</w:t>
            </w:r>
            <w:r/>
          </w:p>
        </w:tc>
      </w:tr>
      <w:tr>
        <w:trPr>
          <w:trHeight w:val="736"/>
        </w:trPr>
        <w:tc>
          <w:tcPr>
            <w:tcW w:w="519"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064"/>
              <w:ind w:firstLine="0"/>
              <w:spacing w:line="360" w:lineRule="auto"/>
              <w:rPr>
                <w:rFonts w:ascii="宋体" w:hAnsi="宋体"/>
                <w:color w:val="auto"/>
                <w:sz w:val="25"/>
                <w:highlight w:val="none"/>
              </w:rPr>
            </w:pPr>
            <w:r>
              <w:rPr>
                <w:rFonts w:ascii="宋体" w:hAnsi="宋体"/>
                <w:color w:val="auto"/>
                <w:sz w:val="25"/>
                <w:highlight w:val="none"/>
              </w:rPr>
            </w:r>
            <w:r/>
          </w:p>
        </w:tc>
      </w:tr>
    </w:tbl>
    <w:p>
      <w:pPr>
        <w:ind w:firstLine="490"/>
        <w:jc w:val="center"/>
        <w:spacing w:line="360" w:lineRule="auto"/>
        <w:rPr>
          <w:color w:val="auto"/>
          <w:highlight w:val="none"/>
        </w:rPr>
      </w:pPr>
      <w:r>
        <w:rPr>
          <w:color w:val="auto"/>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主要施工人员表</w:t>
      </w:r>
      <w:r/>
    </w:p>
    <w:tbl>
      <w:tblPr>
        <w:tblStyle w:val="7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5"/>
        <w:gridCol w:w="1855"/>
        <w:gridCol w:w="1855"/>
        <w:gridCol w:w="1856"/>
        <w:gridCol w:w="1856"/>
      </w:tblGrid>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pStyle w:val="1065"/>
        <w:ind w:left="0" w:firstLine="0"/>
        <w:jc w:val="both"/>
        <w:rPr>
          <w:rFonts w:hint="eastAsia"/>
          <w:color w:val="auto"/>
          <w:highlight w:val="none"/>
        </w:rPr>
      </w:pPr>
      <w:r>
        <w:rPr>
          <w:rFonts w:hint="eastAsia" w:ascii="宋体" w:hAnsi="宋体"/>
          <w:color w:val="auto"/>
          <w:sz w:val="24"/>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14</w:t>
      </w:r>
      <w:r/>
    </w:p>
    <w:p>
      <w:pPr>
        <w:jc w:val="center"/>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中小企业声明函（工程、服务）</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1.（标的名称），属于（采购文件中明确的所属行业）；承建（承接）企业为（企业名称），从业人员 </w:t>
      </w:r>
      <w:r>
        <w:rPr>
          <w:rFonts w:hint="eastAsia" w:ascii="宋体" w:hAnsi="宋体" w:cs="宋体"/>
          <w:color w:val="auto"/>
          <w:sz w:val="24"/>
          <w:highlight w:val="none"/>
        </w:rPr>
        <w:tab/>
      </w:r>
      <w:r>
        <w:rPr>
          <w:rFonts w:hint="eastAsia" w:ascii="宋体" w:hAnsi="宋体" w:cs="宋体"/>
          <w:color w:val="auto"/>
          <w:sz w:val="24"/>
          <w:highlight w:val="none"/>
        </w:rPr>
        <w:t xml:space="preserve">人，营业收入为 </w:t>
      </w:r>
      <w:r>
        <w:rPr>
          <w:rFonts w:hint="eastAsia" w:ascii="宋体" w:hAnsi="宋体" w:cs="宋体"/>
          <w:color w:val="auto"/>
          <w:sz w:val="24"/>
          <w:highlight w:val="none"/>
        </w:rPr>
        <w:tab/>
      </w:r>
      <w:r>
        <w:rPr>
          <w:rFonts w:hint="eastAsia" w:ascii="宋体" w:hAnsi="宋体" w:cs="宋体"/>
          <w:color w:val="auto"/>
          <w:sz w:val="24"/>
          <w:highlight w:val="none"/>
        </w:rPr>
        <w:t xml:space="preserve">万元，资产总额为 </w:t>
      </w:r>
      <w:r>
        <w:rPr>
          <w:rFonts w:hint="eastAsia" w:ascii="宋体" w:hAnsi="宋体" w:cs="宋体"/>
          <w:color w:val="auto"/>
          <w:sz w:val="24"/>
          <w:highlight w:val="none"/>
        </w:rPr>
        <w:tab/>
      </w:r>
      <w:r>
        <w:rPr>
          <w:rFonts w:hint="eastAsia" w:ascii="宋体" w:hAnsi="宋体" w:cs="宋体"/>
          <w:color w:val="auto"/>
          <w:sz w:val="24"/>
          <w:highlight w:val="none"/>
        </w:rPr>
        <w:t xml:space="preserve">万元，属于（中型企业、小型企业、微型企业）；</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2.（标的名称），属于（采购文件中明确的所属行业）；承建（承接）企业为（企业名称），从业人员 </w:t>
      </w:r>
      <w:r>
        <w:rPr>
          <w:rFonts w:hint="eastAsia" w:ascii="宋体" w:hAnsi="宋体" w:cs="宋体"/>
          <w:color w:val="auto"/>
          <w:sz w:val="24"/>
          <w:highlight w:val="none"/>
        </w:rPr>
        <w:tab/>
      </w:r>
      <w:r>
        <w:rPr>
          <w:rFonts w:hint="eastAsia" w:ascii="宋体" w:hAnsi="宋体" w:cs="宋体"/>
          <w:color w:val="auto"/>
          <w:sz w:val="24"/>
          <w:highlight w:val="none"/>
        </w:rPr>
        <w:t xml:space="preserve">人，营业收入为 </w:t>
      </w:r>
      <w:r>
        <w:rPr>
          <w:rFonts w:hint="eastAsia" w:ascii="宋体" w:hAnsi="宋体" w:cs="宋体"/>
          <w:color w:val="auto"/>
          <w:sz w:val="24"/>
          <w:highlight w:val="none"/>
        </w:rPr>
        <w:tab/>
      </w:r>
      <w:r>
        <w:rPr>
          <w:rFonts w:hint="eastAsia" w:ascii="宋体" w:hAnsi="宋体" w:cs="宋体"/>
          <w:color w:val="auto"/>
          <w:sz w:val="24"/>
          <w:highlight w:val="none"/>
        </w:rPr>
        <w:t xml:space="preserve">万元，资产总额为 </w:t>
      </w:r>
      <w:r>
        <w:rPr>
          <w:rFonts w:hint="eastAsia" w:ascii="宋体" w:hAnsi="宋体" w:cs="宋体"/>
          <w:color w:val="auto"/>
          <w:sz w:val="24"/>
          <w:highlight w:val="none"/>
        </w:rPr>
        <w:tab/>
      </w:r>
      <w:r>
        <w:rPr>
          <w:rFonts w:hint="eastAsia" w:ascii="宋体" w:hAnsi="宋体" w:cs="宋体"/>
          <w:color w:val="auto"/>
          <w:sz w:val="24"/>
          <w:highlight w:val="none"/>
        </w:rPr>
        <w:t xml:space="preserve">万元，属于（中型企业、小型企业、微型企业）；</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5668"/>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企业名称（盖章）：</w:t>
      </w:r>
      <w:r/>
    </w:p>
    <w:p>
      <w:pPr>
        <w:ind w:firstLine="5668"/>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54"/>
        <w:rPr>
          <w:rFonts w:hint="eastAsia"/>
          <w:color w:val="auto"/>
          <w:highlight w:val="none"/>
        </w:rPr>
      </w:pPr>
      <w:r>
        <w:rPr>
          <w:rFonts w:hint="eastAsia"/>
          <w:color w:val="auto"/>
          <w:highlight w:val="none"/>
        </w:rPr>
      </w:r>
      <w:r/>
    </w:p>
    <w:p>
      <w:pPr>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r>
      <w:r/>
    </w:p>
    <w:p>
      <w:pPr>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br w:type="page" w:clear="all"/>
      </w:r>
      <w:r/>
    </w:p>
    <w:p>
      <w:pPr>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15</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（备注：1、供应商如不提供此声明函，价格将不做相应扣除。2、中标供应商为残疾人福利单位的，此声明函将随中标结果同时公告，接受社会监督）</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360" w:lineRule="auto"/>
        <w:tabs>
          <w:tab w:val="left" w:pos="4860" w:leader="none"/>
        </w:tabs>
        <w:rPr>
          <w:rFonts w:hint="eastAsia"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           供应商全称（盖章）：</w:t>
      </w:r>
      <w:r/>
    </w:p>
    <w:p>
      <w:pPr>
        <w:ind w:right="1560" w:firstLine="480"/>
        <w:jc w:val="center"/>
        <w:spacing w:line="360" w:lineRule="auto"/>
        <w:tabs>
          <w:tab w:val="left" w:pos="4860" w:leader="none"/>
        </w:tabs>
        <w:rPr>
          <w:rFonts w:hint="eastAsia" w:ascii="宋体" w:hAnsi="宋体" w:cs="宋体"/>
          <w:color w:val="auto"/>
          <w:sz w:val="24"/>
          <w:highlight w:val="none"/>
        </w:rPr>
      </w:pPr>
      <w:r>
        <w:rPr>
          <w:rFonts w:hint="eastAsia" w:ascii="宋体" w:hAnsi="宋体" w:cs="宋体"/>
          <w:color w:val="auto"/>
          <w:sz w:val="24"/>
          <w:highlight w:val="none"/>
        </w:rPr>
        <w:t xml:space="preserve">              日  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16</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监狱和戒毒企业证明材料</w:t>
      </w:r>
      <w:r/>
    </w:p>
    <w:p>
      <w:pPr>
        <w:ind w:firstLine="424"/>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（格式自拟）</w:t>
      </w:r>
      <w:r/>
    </w:p>
    <w:p>
      <w:pPr>
        <w:jc w:val="center"/>
        <w:spacing w:line="560" w:lineRule="exact"/>
        <w:rPr>
          <w:rFonts w:hint="eastAsia" w:ascii="黑体" w:hAnsi="黑体" w:eastAsia="黑体"/>
          <w:b/>
          <w:color w:val="auto"/>
          <w:sz w:val="32"/>
          <w:szCs w:val="32"/>
          <w:highlight w:val="none"/>
        </w:rPr>
      </w:pPr>
      <w:r>
        <w:rPr>
          <w:rFonts w:hint="eastAsia" w:ascii="宋体" w:hAnsi="宋体" w:cs="宋体"/>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ind w:firstLine="321"/>
        <w:jc w:val="center"/>
        <w:spacing w:line="560" w:lineRule="exact"/>
        <w:rPr>
          <w:rFonts w:hint="eastAsia" w:ascii="宋体" w:hAnsi="宋体" w:cs="宋体"/>
          <w:b/>
          <w:bCs/>
          <w:color w:val="auto"/>
          <w:sz w:val="32"/>
          <w:szCs w:val="32"/>
          <w:highlight w:val="none"/>
        </w:rPr>
        <w:outlineLvl w:val="0"/>
      </w:pPr>
      <w:r>
        <w:rPr>
          <w:rFonts w:hint="eastAsia" w:ascii="宋体" w:hAnsi="宋体" w:cs="仿宋"/>
          <w:b/>
          <w:bCs/>
          <w:color w:val="auto"/>
          <w:sz w:val="32"/>
          <w:szCs w:val="32"/>
          <w:highlight w:val="none"/>
        </w:rPr>
        <w:br w:type="page" w:clear="all"/>
      </w:r>
      <w:r>
        <w:rPr>
          <w:rFonts w:hint="eastAsia" w:ascii="宋体" w:hAnsi="宋体" w:cs="宋体"/>
          <w:b/>
          <w:bCs/>
          <w:color w:val="auto"/>
          <w:sz w:val="32"/>
          <w:szCs w:val="32"/>
          <w:highlight w:val="none"/>
        </w:rPr>
        <w:t xml:space="preserve">中小企业划型标准规定</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各行业划型标准为：</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特别提醒：供应商必须在法定质疑期内一次性提出针对同一采购程序环节的质疑。</w:t>
      </w:r>
      <w:r/>
    </w:p>
    <w:p>
      <w:pPr>
        <w:rPr>
          <w:color w:val="auto"/>
          <w:highlight w:val="none"/>
        </w:rPr>
      </w:pPr>
      <w:r>
        <w:rPr>
          <w:color w:val="auto"/>
          <w:highlight w:val="none"/>
        </w:rPr>
        <w:br w:type="page" w:clear="all"/>
      </w:r>
      <w:r/>
    </w:p>
    <w:p>
      <w:pPr>
        <w:ind w:firstLine="160"/>
        <w:rPr>
          <w:rFonts w:ascii="仿宋_GB2312" w:eastAsia="仿宋_GB2312"/>
          <w:color w:val="auto"/>
          <w:sz w:val="32"/>
          <w:highlight w:val="none"/>
        </w:rPr>
      </w:pPr>
      <w:r>
        <w:rPr>
          <w:rFonts w:hint="eastAsia" w:ascii="仿宋_GB2312" w:eastAsia="仿宋_GB2312"/>
          <w:color w:val="auto"/>
          <w:sz w:val="32"/>
          <w:highlight w:val="none"/>
        </w:rPr>
        <w:t xml:space="preserve">附件</w:t>
      </w:r>
      <w:r>
        <w:rPr>
          <w:rFonts w:hint="eastAsia" w:ascii="仿宋_GB2312" w:eastAsia="仿宋_GB2312"/>
          <w:color w:val="auto"/>
          <w:sz w:val="32"/>
          <w:highlight w:val="none"/>
          <w:lang w:val="en-US" w:eastAsia="zh-CN"/>
        </w:rPr>
        <w:t xml:space="preserve">1</w:t>
      </w:r>
      <w:r>
        <w:rPr>
          <w:rFonts w:hint="eastAsia" w:ascii="仿宋_GB2312" w:eastAsia="仿宋_GB2312"/>
          <w:color w:val="auto"/>
          <w:sz w:val="32"/>
          <w:highlight w:val="none"/>
        </w:rPr>
        <w:t xml:space="preserve">：</w:t>
      </w:r>
      <w:r/>
    </w:p>
    <w:p>
      <w:pPr>
        <w:jc w:val="center"/>
        <w:rPr>
          <w:rFonts w:ascii="方正小标宋简体" w:hAnsi="Times New Roman" w:eastAsia="方正小标宋简体" w:cs="Times New Roman"/>
          <w:color w:val="auto"/>
          <w:sz w:val="44"/>
          <w:highlight w:val="none"/>
        </w:rPr>
      </w:pPr>
      <w:r>
        <w:rPr>
          <w:rFonts w:hint="eastAsia" w:ascii="方正小标宋简体" w:hAnsi="Times New Roman" w:eastAsia="方正小标宋简体" w:cs="Times New Roman"/>
          <w:color w:val="auto"/>
          <w:sz w:val="44"/>
          <w:highlight w:val="none"/>
        </w:rPr>
        <w:t xml:space="preserve">办理政采贷和</w:t>
      </w:r>
      <w:r>
        <w:rPr>
          <w:rFonts w:ascii="方正小标宋简体" w:hAnsi="Times New Roman" w:eastAsia="方正小标宋简体" w:cs="Times New Roman"/>
          <w:color w:val="auto"/>
          <w:sz w:val="44"/>
          <w:highlight w:val="none"/>
        </w:rPr>
        <w:t xml:space="preserve">履</w:t>
      </w:r>
      <w:r>
        <w:rPr>
          <w:rFonts w:hint="eastAsia" w:ascii="方正小标宋简体" w:hAnsi="Times New Roman" w:eastAsia="方正小标宋简体" w:cs="Times New Roman"/>
          <w:color w:val="auto"/>
          <w:sz w:val="44"/>
          <w:highlight w:val="none"/>
        </w:rPr>
        <w:t xml:space="preserve">约保函（</w:t>
      </w:r>
      <w:r>
        <w:rPr>
          <w:rFonts w:ascii="方正小标宋简体" w:hAnsi="Times New Roman" w:eastAsia="方正小标宋简体" w:cs="Times New Roman"/>
          <w:color w:val="auto"/>
          <w:sz w:val="44"/>
          <w:highlight w:val="none"/>
        </w:rPr>
        <w:t xml:space="preserve">保险</w:t>
      </w:r>
      <w:r>
        <w:rPr>
          <w:rFonts w:hint="eastAsia" w:ascii="方正小标宋简体" w:hAnsi="Times New Roman" w:eastAsia="方正小标宋简体" w:cs="Times New Roman"/>
          <w:color w:val="auto"/>
          <w:sz w:val="44"/>
          <w:highlight w:val="none"/>
        </w:rPr>
        <w:t xml:space="preserve">）告知函</w:t>
      </w:r>
      <w:r/>
    </w:p>
    <w:p>
      <w:pPr>
        <w:rPr>
          <w:rFonts w:ascii="Times New Roman" w:hAnsi="Times New Roman" w:eastAsia="仿宋_GB2312" w:cs="Times New Roman"/>
          <w:color w:val="auto"/>
          <w:sz w:val="32"/>
          <w:highlight w:val="none"/>
        </w:rPr>
      </w:pPr>
      <w:r>
        <w:rPr>
          <w:rFonts w:ascii="Times New Roman" w:hAnsi="Times New Roman" w:eastAsia="仿宋_GB2312" w:cs="Times New Roman"/>
          <w:color w:val="auto"/>
          <w:sz w:val="32"/>
          <w:highlight w:val="none"/>
        </w:rPr>
      </w:r>
      <w:r/>
    </w:p>
    <w:p>
      <w:pPr>
        <w:rPr>
          <w:rFonts w:ascii="Times New Roman" w:hAnsi="Times New Roman" w:eastAsia="仿宋_GB2312" w:cs="Times New Roman"/>
          <w:color w:val="auto"/>
          <w:sz w:val="32"/>
          <w:highlight w:val="none"/>
        </w:rPr>
      </w:pPr>
      <w:r>
        <w:rPr>
          <w:rFonts w:hint="eastAsia" w:ascii="Times New Roman" w:hAnsi="Times New Roman" w:eastAsia="仿宋_GB2312" w:cs="Times New Roman"/>
          <w:color w:val="auto"/>
          <w:sz w:val="32"/>
          <w:highlight w:val="none"/>
        </w:rPr>
        <w:t xml:space="preserve">各政府采购供应商：</w:t>
      </w:r>
      <w:r/>
    </w:p>
    <w:p>
      <w:pPr>
        <w:ind w:firstLine="640"/>
        <w:rPr>
          <w:rFonts w:ascii="Times New Roman" w:hAnsi="Times New Roman" w:eastAsia="仿宋_GB2312" w:cs="Times New Roman"/>
          <w:color w:val="auto"/>
          <w:sz w:val="32"/>
          <w:highlight w:val="none"/>
        </w:rPr>
      </w:pPr>
      <w:r>
        <w:rPr>
          <w:rFonts w:hint="eastAsia" w:ascii="Times New Roman" w:hAnsi="Times New Roman" w:eastAsia="仿宋_GB2312" w:cs="Times New Roman"/>
          <w:color w:val="auto"/>
          <w:sz w:val="32"/>
          <w:highlight w:val="none"/>
        </w:rPr>
        <w:t xml:space="preserve">欢迎贵公司参与南通市政府采购活动！</w:t>
      </w:r>
      <w:r/>
    </w:p>
    <w:p>
      <w:pPr>
        <w:ind w:firstLine="640"/>
        <w:rPr>
          <w:rFonts w:ascii="Times New Roman" w:hAnsi="Times New Roman" w:eastAsia="仿宋_GB2312" w:cs="Times New Roman"/>
          <w:color w:val="auto"/>
          <w:sz w:val="32"/>
          <w:highlight w:val="none"/>
        </w:rPr>
      </w:pPr>
      <w:r>
        <w:rPr>
          <w:rFonts w:hint="eastAsia" w:ascii="Times New Roman" w:hAnsi="Times New Roman" w:eastAsia="仿宋_GB2312" w:cs="Times New Roman"/>
          <w:color w:val="auto"/>
          <w:sz w:val="32"/>
          <w:highlight w:val="none"/>
        </w:rPr>
        <w:t xml:space="preserve">政府采购线上合同信用融资和</w:t>
      </w:r>
      <w:r>
        <w:rPr>
          <w:rFonts w:ascii="Times New Roman" w:hAnsi="Times New Roman" w:eastAsia="仿宋_GB2312" w:cs="Times New Roman"/>
          <w:color w:val="auto"/>
          <w:sz w:val="32"/>
          <w:highlight w:val="none"/>
        </w:rPr>
        <w:t xml:space="preserve">履</w:t>
      </w:r>
      <w:r>
        <w:rPr>
          <w:rFonts w:hint="eastAsia" w:ascii="Times New Roman" w:hAnsi="Times New Roman" w:eastAsia="仿宋_GB2312" w:cs="Times New Roman"/>
          <w:color w:val="auto"/>
          <w:sz w:val="32"/>
          <w:highlight w:val="none"/>
        </w:rPr>
        <w:t xml:space="preserve">约保函（</w:t>
      </w:r>
      <w:r>
        <w:rPr>
          <w:rFonts w:ascii="Times New Roman" w:hAnsi="Times New Roman" w:eastAsia="仿宋_GB2312" w:cs="Times New Roman"/>
          <w:color w:val="auto"/>
          <w:sz w:val="32"/>
          <w:highlight w:val="none"/>
        </w:rPr>
        <w:t xml:space="preserve">保险</w:t>
      </w:r>
      <w:r>
        <w:rPr>
          <w:rFonts w:hint="eastAsia" w:ascii="Times New Roman" w:hAnsi="Times New Roman" w:eastAsia="仿宋_GB2312" w:cs="Times New Roman"/>
          <w:color w:val="auto"/>
          <w:sz w:val="32"/>
          <w:highlight w:val="none"/>
        </w:rPr>
        <w:t xml:space="preserve">）是支持企业发展，针对参与政府采购活动的企业融资难、现金流不足等问题推出的一项服务举措。</w:t>
      </w:r>
      <w:r/>
    </w:p>
    <w:p>
      <w:pPr>
        <w:ind w:firstLine="640"/>
        <w:rPr>
          <w:rFonts w:hint="eastAsia"/>
          <w:color w:val="auto"/>
          <w:highlight w:val="none"/>
        </w:rPr>
      </w:pPr>
      <w:r>
        <w:rPr>
          <w:rFonts w:hint="eastAsia" w:ascii="Times New Roman" w:hAnsi="Times New Roman" w:eastAsia="仿宋_GB2312" w:cs="Times New Roman"/>
          <w:color w:val="auto"/>
          <w:sz w:val="32"/>
          <w:highlight w:val="none"/>
        </w:rPr>
        <w:t xml:space="preserve">贵公司若成为本次政府采购项目的中标（成交）供应商，</w:t>
      </w:r>
      <w:r>
        <w:rPr>
          <w:rFonts w:hint="eastAsia" w:ascii="仿宋_GB2312" w:hAnsi="Times New Roman" w:eastAsia="仿宋_GB2312" w:cs="Times New Roman"/>
          <w:color w:val="auto"/>
          <w:sz w:val="32"/>
          <w:szCs w:val="32"/>
          <w:highlight w:val="none"/>
        </w:rPr>
        <w:t xml:space="preserve">可自愿选择</w:t>
      </w:r>
      <w:r>
        <w:rPr>
          <w:rFonts w:ascii="Times New Roman" w:hAnsi="Times New Roman" w:eastAsia="仿宋_GB2312" w:cs="Times New Roman"/>
          <w:color w:val="auto"/>
          <w:sz w:val="32"/>
          <w:highlight w:val="none"/>
        </w:rPr>
        <w:t xml:space="preserve">履</w:t>
      </w:r>
      <w:r>
        <w:rPr>
          <w:rFonts w:hint="eastAsia" w:ascii="Times New Roman" w:hAnsi="Times New Roman" w:eastAsia="仿宋_GB2312" w:cs="Times New Roman"/>
          <w:color w:val="auto"/>
          <w:sz w:val="32"/>
          <w:highlight w:val="none"/>
        </w:rPr>
        <w:t xml:space="preserve">约保函（</w:t>
      </w:r>
      <w:r>
        <w:rPr>
          <w:rFonts w:ascii="Times New Roman" w:hAnsi="Times New Roman" w:eastAsia="仿宋_GB2312" w:cs="Times New Roman"/>
          <w:color w:val="auto"/>
          <w:sz w:val="32"/>
          <w:highlight w:val="none"/>
        </w:rPr>
        <w:t xml:space="preserve">保险</w:t>
      </w:r>
      <w:r>
        <w:rPr>
          <w:rFonts w:hint="eastAsia" w:ascii="Times New Roman" w:hAnsi="Times New Roman" w:eastAsia="仿宋_GB2312" w:cs="Times New Roman"/>
          <w:color w:val="auto"/>
          <w:sz w:val="32"/>
          <w:highlight w:val="none"/>
        </w:rPr>
        <w:t xml:space="preserve">）</w:t>
      </w:r>
      <w:r>
        <w:rPr>
          <w:rFonts w:hint="eastAsia" w:ascii="仿宋_GB2312" w:hAnsi="Times New Roman" w:eastAsia="仿宋_GB2312" w:cs="Times New Roman"/>
          <w:color w:val="auto"/>
          <w:sz w:val="32"/>
          <w:szCs w:val="32"/>
          <w:highlight w:val="none"/>
        </w:rPr>
        <w:t xml:space="preserve">形式替代履约保证金，也</w:t>
      </w:r>
      <w:r>
        <w:rPr>
          <w:rFonts w:hint="eastAsia" w:ascii="Times New Roman" w:hAnsi="Times New Roman" w:eastAsia="仿宋_GB2312" w:cs="Times New Roman"/>
          <w:color w:val="auto"/>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p>
  <w:p>
    <w:pPr>
      <w:pStyle w:val="9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hint="eastAsia"/>
        <w:b/>
        <w:i/>
      </w:rPr>
    </w:pP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hint="eastAsia"/>
        <w:b/>
        <w:i/>
      </w:rPr>
    </w:pP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1"/>
      <w:numFmt w:val="decimal"/>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8"/>
      <w:isLgl w:val="false"/>
      <w:suff w:val="nothing"/>
      <w:lvlText w:val=""/>
      <w:lvlJc w:val="left"/>
      <w:pPr>
        <w:ind w:left="0" w:firstLine="0"/>
      </w:pPr>
      <w:rPr>
        <w:rFonts w:hint="eastAsia"/>
      </w:rPr>
    </w:lvl>
    <w:lvl w:ilvl="6">
      <w:start w:val="1"/>
      <w:numFmt w:val="decimal"/>
      <w:pStyle w:val="949"/>
      <w:isLgl w:val="false"/>
      <w:suff w:val="nothing"/>
      <w:lvlText w:val=""/>
      <w:lvlJc w:val="left"/>
      <w:pPr>
        <w:ind w:left="0" w:firstLine="0"/>
      </w:pPr>
      <w:rPr>
        <w:rFonts w:hint="eastAsia"/>
      </w:rPr>
    </w:lvl>
    <w:lvl w:ilvl="7">
      <w:start w:val="1"/>
      <w:numFmt w:val="decimal"/>
      <w:pStyle w:val="950"/>
      <w:isLgl w:val="false"/>
      <w:suff w:val="nothing"/>
      <w:lvlText w:val=""/>
      <w:lvlJc w:val="left"/>
      <w:pPr>
        <w:ind w:left="0" w:firstLine="0"/>
      </w:pPr>
      <w:rPr>
        <w:rFonts w:hint="eastAsia"/>
      </w:rPr>
    </w:lvl>
    <w:lvl w:ilvl="8">
      <w:start w:val="1"/>
      <w:numFmt w:val="decimal"/>
      <w:pStyle w:val="951"/>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0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1"/>
  </w:num>
  <w:num w:numId="4">
    <w:abstractNumId w:val="7"/>
  </w:num>
  <w:num w:numId="5">
    <w:abstractNumId w:val="4"/>
  </w:num>
  <w:num w:numId="6">
    <w:abstractNumId w:val="5"/>
  </w:num>
  <w:num w:numId="7">
    <w:abstractNumId w:val="3"/>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62"/>
    <w:link w:val="105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1">
    <w:name w:val="Heading 1"/>
    <w:basedOn w:val="750"/>
    <w:next w:val="750"/>
    <w:link w:val="795"/>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96"/>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97"/>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8"/>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9"/>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00"/>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802"/>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803"/>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Body Text"/>
    <w:basedOn w:val="750"/>
    <w:next w:val="763"/>
    <w:uiPriority w:val="0"/>
    <w:qFormat/>
    <w:rPr>
      <w:rFonts w:ascii="楷体_GB2312" w:hAnsi="Arial" w:eastAsia="楷体_GB2312" w:cs="Times New Roman"/>
      <w:sz w:val="28"/>
      <w:szCs w:val="28"/>
    </w:rPr>
  </w:style>
  <w:style w:type="paragraph" w:styleId="763"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764">
    <w:name w:val="toc 7"/>
    <w:basedOn w:val="750"/>
    <w:next w:val="750"/>
    <w:uiPriority w:val="39"/>
    <w:unhideWhenUsed/>
    <w:qFormat/>
    <w:pPr>
      <w:ind w:left="1701" w:right="0" w:firstLine="0"/>
      <w:spacing w:after="57"/>
    </w:pPr>
  </w:style>
  <w:style w:type="paragraph" w:styleId="765">
    <w:name w:val="Normal Indent"/>
    <w:basedOn w:val="750"/>
    <w:next w:val="750"/>
    <w:uiPriority w:val="0"/>
    <w:qFormat/>
    <w:pPr>
      <w:ind w:firstLine="420"/>
    </w:pPr>
  </w:style>
  <w:style w:type="paragraph" w:styleId="766">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Body Text Indent"/>
    <w:basedOn w:val="750"/>
    <w:next w:val="768"/>
    <w:uiPriority w:val="0"/>
    <w:unhideWhenUsed/>
    <w:qFormat/>
    <w:pPr>
      <w:ind w:left="420"/>
      <w:spacing w:after="120"/>
    </w:pPr>
  </w:style>
  <w:style w:type="paragraph" w:styleId="768">
    <w:name w:val="envelope return"/>
    <w:basedOn w:val="750"/>
    <w:next w:val="764"/>
    <w:uiPriority w:val="99"/>
    <w:qFormat/>
    <w:rPr>
      <w:rFonts w:ascii="Arial" w:hAnsi="Arial" w:cs="Arial"/>
    </w:rPr>
  </w:style>
  <w:style w:type="paragraph" w:styleId="769">
    <w:name w:val="toc 5"/>
    <w:basedOn w:val="750"/>
    <w:next w:val="750"/>
    <w:uiPriority w:val="39"/>
    <w:unhideWhenUsed/>
    <w:qFormat/>
    <w:pPr>
      <w:ind w:left="1134" w:right="0" w:firstLine="0"/>
      <w:spacing w:after="57"/>
    </w:pPr>
  </w:style>
  <w:style w:type="paragraph" w:styleId="770">
    <w:name w:val="toc 3"/>
    <w:basedOn w:val="750"/>
    <w:next w:val="750"/>
    <w:uiPriority w:val="39"/>
    <w:unhideWhenUsed/>
    <w:qFormat/>
    <w:pPr>
      <w:ind w:left="567" w:right="0" w:firstLine="0"/>
      <w:spacing w:after="57"/>
    </w:pPr>
  </w:style>
  <w:style w:type="paragraph" w:styleId="771">
    <w:name w:val="toc 8"/>
    <w:basedOn w:val="750"/>
    <w:next w:val="750"/>
    <w:uiPriority w:val="39"/>
    <w:unhideWhenUsed/>
    <w:qFormat/>
    <w:pPr>
      <w:ind w:left="1984" w:right="0" w:firstLine="0"/>
      <w:spacing w:after="57"/>
    </w:pPr>
  </w:style>
  <w:style w:type="paragraph" w:styleId="772">
    <w:name w:val="endnote text"/>
    <w:basedOn w:val="750"/>
    <w:link w:val="941"/>
    <w:uiPriority w:val="99"/>
    <w:semiHidden/>
    <w:unhideWhenUsed/>
    <w:qFormat/>
    <w:pPr>
      <w:spacing w:after="0" w:line="240" w:lineRule="auto"/>
    </w:pPr>
    <w:rPr>
      <w:sz w:val="20"/>
    </w:rPr>
  </w:style>
  <w:style w:type="paragraph" w:styleId="773">
    <w:name w:val="Footer"/>
    <w:basedOn w:val="750"/>
    <w:link w:val="814"/>
    <w:uiPriority w:val="99"/>
    <w:unhideWhenUsed/>
    <w:qFormat/>
    <w:pPr>
      <w:spacing w:after="0" w:line="240" w:lineRule="auto"/>
      <w:tabs>
        <w:tab w:val="center" w:pos="7143" w:leader="none"/>
        <w:tab w:val="right" w:pos="14287" w:leader="none"/>
      </w:tabs>
    </w:pPr>
  </w:style>
  <w:style w:type="paragraph" w:styleId="774">
    <w:name w:val="Header"/>
    <w:basedOn w:val="750"/>
    <w:link w:val="812"/>
    <w:uiPriority w:val="99"/>
    <w:unhideWhenUsed/>
    <w:qFormat/>
    <w:pPr>
      <w:spacing w:after="0" w:line="240" w:lineRule="auto"/>
      <w:tabs>
        <w:tab w:val="center" w:pos="7143" w:leader="none"/>
        <w:tab w:val="right" w:pos="14287" w:leader="none"/>
      </w:tabs>
    </w:pPr>
  </w:style>
  <w:style w:type="paragraph" w:styleId="775">
    <w:name w:val="toc 1"/>
    <w:basedOn w:val="750"/>
    <w:next w:val="750"/>
    <w:uiPriority w:val="39"/>
    <w:unhideWhenUsed/>
    <w:qFormat/>
    <w:pPr>
      <w:ind w:left="0" w:right="0" w:firstLine="0"/>
      <w:spacing w:after="57"/>
    </w:pPr>
  </w:style>
  <w:style w:type="paragraph" w:styleId="776">
    <w:name w:val="toc 4"/>
    <w:basedOn w:val="750"/>
    <w:next w:val="750"/>
    <w:uiPriority w:val="39"/>
    <w:unhideWhenUsed/>
    <w:qFormat/>
    <w:pPr>
      <w:ind w:left="850" w:right="0" w:firstLine="0"/>
      <w:spacing w:after="57"/>
    </w:pPr>
  </w:style>
  <w:style w:type="paragraph" w:styleId="777">
    <w:name w:val="Subtitle"/>
    <w:basedOn w:val="750"/>
    <w:next w:val="750"/>
    <w:link w:val="807"/>
    <w:uiPriority w:val="11"/>
    <w:qFormat/>
    <w:pPr>
      <w:spacing w:before="200" w:after="200"/>
    </w:pPr>
    <w:rPr>
      <w:sz w:val="24"/>
      <w:szCs w:val="24"/>
    </w:rPr>
  </w:style>
  <w:style w:type="paragraph" w:styleId="778">
    <w:name w:val="footnote text"/>
    <w:basedOn w:val="750"/>
    <w:link w:val="940"/>
    <w:uiPriority w:val="99"/>
    <w:semiHidden/>
    <w:unhideWhenUsed/>
    <w:qFormat/>
    <w:pPr>
      <w:spacing w:after="40" w:line="240" w:lineRule="auto"/>
    </w:pPr>
    <w:rPr>
      <w:sz w:val="18"/>
    </w:rPr>
  </w:style>
  <w:style w:type="paragraph" w:styleId="779">
    <w:name w:val="toc 6"/>
    <w:basedOn w:val="750"/>
    <w:next w:val="750"/>
    <w:uiPriority w:val="39"/>
    <w:unhideWhenUsed/>
    <w:qFormat/>
    <w:pPr>
      <w:ind w:left="1417" w:right="0" w:firstLine="0"/>
      <w:spacing w:after="57"/>
    </w:pPr>
  </w:style>
  <w:style w:type="paragraph" w:styleId="780">
    <w:name w:val="table of figures"/>
    <w:basedOn w:val="750"/>
    <w:next w:val="750"/>
    <w:uiPriority w:val="99"/>
    <w:unhideWhenUsed/>
    <w:qFormat/>
    <w:pPr>
      <w:spacing w:after="0" w:afterAutospacing="0"/>
    </w:pPr>
  </w:style>
  <w:style w:type="paragraph" w:styleId="781">
    <w:name w:val="toc 2"/>
    <w:basedOn w:val="750"/>
    <w:next w:val="750"/>
    <w:uiPriority w:val="39"/>
    <w:unhideWhenUsed/>
    <w:qFormat/>
    <w:pPr>
      <w:ind w:left="283" w:right="0" w:firstLine="0"/>
      <w:spacing w:after="57"/>
    </w:pPr>
  </w:style>
  <w:style w:type="paragraph" w:styleId="782">
    <w:name w:val="toc 9"/>
    <w:basedOn w:val="750"/>
    <w:next w:val="750"/>
    <w:uiPriority w:val="39"/>
    <w:unhideWhenUsed/>
    <w:qFormat/>
    <w:pPr>
      <w:ind w:left="2268" w:right="0" w:firstLine="0"/>
      <w:spacing w:after="57"/>
    </w:pPr>
  </w:style>
  <w:style w:type="paragraph" w:styleId="783">
    <w:name w:val="Normal (Web)"/>
    <w:uiPriority w:val="99"/>
    <w:semiHidden/>
    <w:unhideWhenUsed/>
    <w:qFormat/>
    <w:pPr>
      <w:ind w:left="0" w:right="0"/>
      <w:jc w:val="left"/>
      <w:spacing w:before="0" w:beforeAutospacing="1" w:after="0" w:afterAutospacing="1"/>
      <w:widowControl w:val="off"/>
    </w:pPr>
    <w:rPr>
      <w:rFonts w:hint="default" w:ascii="Times New Roman" w:hAnsi="Times New Roman" w:eastAsia="宋体" w:cs="Times New Roman"/>
      <w:sz w:val="24"/>
      <w:szCs w:val="22"/>
      <w:lang w:val="en-US" w:eastAsia="zh-CN" w:bidi="ar"/>
    </w:rPr>
  </w:style>
  <w:style w:type="paragraph" w:styleId="784">
    <w:name w:val="Title"/>
    <w:basedOn w:val="750"/>
    <w:next w:val="750"/>
    <w:link w:val="806"/>
    <w:uiPriority w:val="10"/>
    <w:qFormat/>
    <w:pPr>
      <w:contextualSpacing/>
      <w:spacing w:before="300" w:after="200"/>
    </w:pPr>
    <w:rPr>
      <w:sz w:val="48"/>
      <w:szCs w:val="48"/>
    </w:rPr>
  </w:style>
  <w:style w:type="paragraph" w:styleId="785">
    <w:name w:val="Body Text First Indent 2"/>
    <w:basedOn w:val="767"/>
    <w:uiPriority w:val="0"/>
    <w:qFormat/>
    <w:pPr>
      <w:ind w:left="0" w:firstLine="420"/>
      <w:spacing w:after="0" w:line="360" w:lineRule="auto"/>
    </w:pPr>
    <w:rPr>
      <w:rFonts w:ascii="宋体" w:hAnsi="宋体" w:eastAsia="宋体" w:cs="Times New Roman"/>
      <w:szCs w:val="20"/>
    </w:rPr>
  </w:style>
  <w:style w:type="table" w:styleId="7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uiPriority w:val="22"/>
    <w:qFormat/>
    <w:rPr>
      <w:b/>
    </w:rPr>
  </w:style>
  <w:style w:type="character" w:styleId="788">
    <w:name w:val="endnote reference"/>
    <w:uiPriority w:val="99"/>
    <w:semiHidden/>
    <w:unhideWhenUsed/>
    <w:qFormat/>
    <w:rPr>
      <w:vertAlign w:val="superscript"/>
    </w:rPr>
  </w:style>
  <w:style w:type="character" w:styleId="789">
    <w:name w:val="FollowedHyperlink"/>
    <w:basedOn w:val="760"/>
    <w:uiPriority w:val="99"/>
    <w:semiHidden/>
    <w:unhideWhenUsed/>
    <w:qFormat/>
    <w:rPr>
      <w:color w:val="333333"/>
      <w:u w:val="none"/>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annotation reference"/>
    <w:uiPriority w:val="0"/>
    <w:qFormat/>
    <w:rPr>
      <w:sz w:val="21"/>
      <w:szCs w:val="21"/>
    </w:rPr>
  </w:style>
  <w:style w:type="character" w:styleId="792">
    <w:name w:val="footnote reference"/>
    <w:uiPriority w:val="99"/>
    <w:unhideWhenUsed/>
    <w:qFormat/>
    <w:rPr>
      <w:vertAlign w:val="superscript"/>
    </w:rPr>
  </w:style>
  <w:style w:type="paragraph" w:styleId="793" w:customStyle="1">
    <w:name w:val="标题 211"/>
    <w:next w:val="750"/>
    <w:uiPriority w:val="99"/>
    <w:qFormat/>
    <w:pPr>
      <w:jc w:val="left"/>
      <w:keepLines/>
      <w:keepNext/>
      <w:widowControl w:val="off"/>
      <w:outlineLvl w:val="1"/>
    </w:pPr>
    <w:rPr>
      <w:rFonts w:hint="default" w:ascii="宋体" w:hAnsi="宋体" w:eastAsia="楷体_GB2312" w:cs="宋体"/>
      <w:b/>
      <w:bCs/>
      <w:sz w:val="26"/>
      <w:szCs w:val="26"/>
      <w:lang w:val="en-US" w:eastAsia="zh-CN" w:bidi="ar-SA"/>
    </w:rPr>
  </w:style>
  <w:style w:type="paragraph" w:styleId="794" w:customStyle="1">
    <w:name w:val="标题 21"/>
    <w:basedOn w:val="750"/>
    <w:next w:val="750"/>
    <w:link w:val="95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95" w:customStyle="1">
    <w:name w:val="Heading 1 Char"/>
    <w:link w:val="751"/>
    <w:uiPriority w:val="9"/>
    <w:qFormat/>
    <w:rPr>
      <w:rFonts w:ascii="Arial" w:hAnsi="Arial" w:eastAsia="Arial" w:cs="Arial"/>
      <w:sz w:val="40"/>
      <w:szCs w:val="40"/>
    </w:rPr>
  </w:style>
  <w:style w:type="character" w:styleId="796" w:customStyle="1">
    <w:name w:val="Heading 2 Char"/>
    <w:link w:val="752"/>
    <w:uiPriority w:val="9"/>
    <w:qFormat/>
    <w:rPr>
      <w:rFonts w:ascii="Arial" w:hAnsi="Arial" w:eastAsia="Arial" w:cs="Arial"/>
      <w:sz w:val="34"/>
    </w:rPr>
  </w:style>
  <w:style w:type="character" w:styleId="797" w:customStyle="1">
    <w:name w:val="Heading 3 Char"/>
    <w:link w:val="753"/>
    <w:uiPriority w:val="9"/>
    <w:qFormat/>
    <w:rPr>
      <w:rFonts w:ascii="Arial" w:hAnsi="Arial" w:eastAsia="Arial" w:cs="Arial"/>
      <w:sz w:val="30"/>
      <w:szCs w:val="30"/>
    </w:rPr>
  </w:style>
  <w:style w:type="character" w:styleId="798" w:customStyle="1">
    <w:name w:val="Heading 4 Char"/>
    <w:link w:val="754"/>
    <w:uiPriority w:val="9"/>
    <w:qFormat/>
    <w:rPr>
      <w:rFonts w:ascii="Arial" w:hAnsi="Arial" w:eastAsia="Arial" w:cs="Arial"/>
      <w:b/>
      <w:bCs/>
      <w:sz w:val="26"/>
      <w:szCs w:val="26"/>
    </w:rPr>
  </w:style>
  <w:style w:type="character" w:styleId="799" w:customStyle="1">
    <w:name w:val="Heading 5 Char"/>
    <w:link w:val="755"/>
    <w:uiPriority w:val="9"/>
    <w:qFormat/>
    <w:rPr>
      <w:rFonts w:ascii="Arial" w:hAnsi="Arial" w:eastAsia="Arial" w:cs="Arial"/>
      <w:b/>
      <w:bCs/>
      <w:sz w:val="24"/>
      <w:szCs w:val="24"/>
    </w:rPr>
  </w:style>
  <w:style w:type="character" w:styleId="800" w:customStyle="1">
    <w:name w:val="Heading 6 Char"/>
    <w:link w:val="756"/>
    <w:uiPriority w:val="9"/>
    <w:qFormat/>
    <w:rPr>
      <w:rFonts w:ascii="Arial" w:hAnsi="Arial" w:eastAsia="Arial" w:cs="Arial"/>
      <w:b/>
      <w:bCs/>
      <w:sz w:val="22"/>
      <w:szCs w:val="22"/>
    </w:rPr>
  </w:style>
  <w:style w:type="character" w:styleId="801" w:customStyle="1">
    <w:name w:val="Heading 7 Char"/>
    <w:link w:val="757"/>
    <w:uiPriority w:val="9"/>
    <w:qFormat/>
    <w:rPr>
      <w:rFonts w:ascii="Arial" w:hAnsi="Arial" w:eastAsia="Arial" w:cs="Arial"/>
      <w:b/>
      <w:bCs/>
      <w:i/>
      <w:iCs/>
      <w:sz w:val="22"/>
      <w:szCs w:val="22"/>
    </w:rPr>
  </w:style>
  <w:style w:type="character" w:styleId="802" w:customStyle="1">
    <w:name w:val="Heading 8 Char"/>
    <w:link w:val="758"/>
    <w:uiPriority w:val="9"/>
    <w:qFormat/>
    <w:rPr>
      <w:rFonts w:ascii="Arial" w:hAnsi="Arial" w:eastAsia="Arial" w:cs="Arial"/>
      <w:i/>
      <w:iCs/>
      <w:sz w:val="22"/>
      <w:szCs w:val="22"/>
    </w:rPr>
  </w:style>
  <w:style w:type="character" w:styleId="803" w:customStyle="1">
    <w:name w:val="Heading 9 Char"/>
    <w:link w:val="759"/>
    <w:uiPriority w:val="9"/>
    <w:qFormat/>
    <w:rPr>
      <w:rFonts w:ascii="Arial" w:hAnsi="Arial" w:eastAsia="Arial" w:cs="Arial"/>
      <w:i/>
      <w:iCs/>
      <w:sz w:val="21"/>
      <w:szCs w:val="21"/>
    </w:rPr>
  </w:style>
  <w:style w:type="paragraph" w:styleId="804">
    <w:name w:val="List Paragraph"/>
    <w:basedOn w:val="750"/>
    <w:uiPriority w:val="34"/>
    <w:qFormat/>
    <w:pPr>
      <w:contextualSpacing/>
      <w:ind w:left="720"/>
    </w:p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character" w:styleId="806" w:customStyle="1">
    <w:name w:val="Title Char"/>
    <w:link w:val="784"/>
    <w:uiPriority w:val="10"/>
    <w:qFormat/>
    <w:rPr>
      <w:sz w:val="48"/>
      <w:szCs w:val="48"/>
    </w:rPr>
  </w:style>
  <w:style w:type="character" w:styleId="807" w:customStyle="1">
    <w:name w:val="Subtitle Char"/>
    <w:link w:val="777"/>
    <w:uiPriority w:val="11"/>
    <w:qFormat/>
    <w:rPr>
      <w:sz w:val="24"/>
      <w:szCs w:val="24"/>
    </w:rPr>
  </w:style>
  <w:style w:type="paragraph" w:styleId="808">
    <w:name w:val="Quote"/>
    <w:basedOn w:val="750"/>
    <w:next w:val="750"/>
    <w:link w:val="809"/>
    <w:uiPriority w:val="29"/>
    <w:qFormat/>
    <w:pPr>
      <w:ind w:left="720" w:right="720"/>
    </w:pPr>
    <w:rPr>
      <w:i/>
    </w:rPr>
  </w:style>
  <w:style w:type="character" w:styleId="809" w:customStyle="1">
    <w:name w:val="Quote Char"/>
    <w:link w:val="808"/>
    <w:uiPriority w:val="29"/>
    <w:qFormat/>
    <w:rPr>
      <w:i/>
    </w:rPr>
  </w:style>
  <w:style w:type="paragraph" w:styleId="810">
    <w:name w:val="Intense Quote"/>
    <w:basedOn w:val="750"/>
    <w:next w:val="750"/>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Intense Quote Char"/>
    <w:link w:val="810"/>
    <w:uiPriority w:val="30"/>
    <w:qFormat/>
    <w:rPr>
      <w:i/>
    </w:rPr>
  </w:style>
  <w:style w:type="character" w:styleId="812" w:customStyle="1">
    <w:name w:val="Header Char"/>
    <w:link w:val="774"/>
    <w:uiPriority w:val="99"/>
    <w:qFormat/>
  </w:style>
  <w:style w:type="character" w:styleId="813" w:customStyle="1">
    <w:name w:val="Footer Char"/>
    <w:link w:val="773"/>
    <w:uiPriority w:val="99"/>
    <w:qFormat/>
  </w:style>
  <w:style w:type="character" w:styleId="814" w:customStyle="1">
    <w:name w:val="Caption Char"/>
    <w:link w:val="773"/>
    <w:uiPriority w:val="99"/>
    <w:qFormat/>
  </w:style>
  <w:style w:type="table" w:styleId="8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Footnote Text Char"/>
    <w:link w:val="778"/>
    <w:uiPriority w:val="99"/>
    <w:qFormat/>
    <w:rPr>
      <w:sz w:val="18"/>
    </w:rPr>
  </w:style>
  <w:style w:type="character" w:styleId="941" w:customStyle="1">
    <w:name w:val="Endnote Text Char"/>
    <w:link w:val="772"/>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paragraph" w:styleId="943" w:customStyle="1">
    <w:name w:val="标题 11"/>
    <w:basedOn w:val="750"/>
    <w:next w:val="750"/>
    <w:link w:val="956"/>
    <w:uiPriority w:val="0"/>
    <w:qFormat/>
    <w:pPr>
      <w:jc w:val="center"/>
      <w:keepNext/>
      <w:outlineLvl w:val="0"/>
    </w:pPr>
    <w:rPr>
      <w:rFonts w:ascii="楷体_GB2312" w:hAnsi="Times New Roman" w:eastAsia="楷体_GB2312" w:cs="Times New Roman"/>
      <w:sz w:val="28"/>
      <w:szCs w:val="28"/>
    </w:rPr>
  </w:style>
  <w:style w:type="paragraph" w:styleId="944" w:customStyle="1">
    <w:name w:val="正文缩进1"/>
    <w:basedOn w:val="750"/>
    <w:link w:val="958"/>
    <w:uiPriority w:val="0"/>
    <w:qFormat/>
    <w:pPr>
      <w:ind w:firstLine="420"/>
    </w:pPr>
    <w:rPr>
      <w:szCs w:val="21"/>
    </w:rPr>
  </w:style>
  <w:style w:type="paragraph" w:styleId="945" w:customStyle="1">
    <w:name w:val="标题 31"/>
    <w:basedOn w:val="750"/>
    <w:next w:val="944"/>
    <w:link w:val="95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6" w:customStyle="1">
    <w:name w:val="标题 41"/>
    <w:basedOn w:val="750"/>
    <w:next w:val="944"/>
    <w:link w:val="960"/>
    <w:uiPriority w:val="0"/>
    <w:qFormat/>
    <w:pPr>
      <w:keepLines/>
      <w:keepNext/>
      <w:spacing w:before="280" w:after="290" w:line="376" w:lineRule="auto"/>
      <w:outlineLvl w:val="3"/>
    </w:pPr>
    <w:rPr>
      <w:rFonts w:ascii="Arial" w:hAnsi="Arial" w:eastAsia="黑体" w:cs="Arial"/>
      <w:b/>
      <w:bCs/>
      <w:sz w:val="28"/>
      <w:szCs w:val="28"/>
    </w:rPr>
  </w:style>
  <w:style w:type="paragraph" w:styleId="947" w:customStyle="1">
    <w:name w:val="标题 51"/>
    <w:basedOn w:val="750"/>
    <w:next w:val="944"/>
    <w:link w:val="961"/>
    <w:uiPriority w:val="0"/>
    <w:qFormat/>
    <w:pPr>
      <w:keepNext/>
      <w:outlineLvl w:val="4"/>
    </w:pPr>
    <w:rPr>
      <w:rFonts w:ascii="宋体" w:hAnsi="Times New Roman" w:eastAsia="宋体" w:cs="Times New Roman"/>
      <w:color w:val="000000"/>
      <w:sz w:val="28"/>
      <w:szCs w:val="28"/>
    </w:rPr>
  </w:style>
  <w:style w:type="paragraph" w:styleId="948" w:customStyle="1">
    <w:name w:val="标题 61"/>
    <w:basedOn w:val="750"/>
    <w:next w:val="750"/>
    <w:link w:val="96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9" w:customStyle="1">
    <w:name w:val="标题 71"/>
    <w:basedOn w:val="750"/>
    <w:next w:val="750"/>
    <w:link w:val="96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0" w:customStyle="1">
    <w:name w:val="标题 81"/>
    <w:basedOn w:val="750"/>
    <w:next w:val="750"/>
    <w:link w:val="96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1" w:customStyle="1">
    <w:name w:val="标题 91"/>
    <w:basedOn w:val="750"/>
    <w:next w:val="750"/>
    <w:link w:val="96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52" w:customStyle="1">
    <w:name w:val="默认段落字体1"/>
    <w:link w:val="750"/>
    <w:uiPriority w:val="1"/>
    <w:unhideWhenUsed/>
    <w:qFormat/>
  </w:style>
  <w:style w:type="table" w:styleId="953" w:customStyle="1">
    <w:name w:val="普通表格1"/>
    <w:uiPriority w:val="99"/>
    <w:unhideWhenUsed/>
    <w:qFormat/>
    <w:tblPr/>
  </w:style>
  <w:style w:type="paragraph" w:styleId="954" w:customStyle="1">
    <w:name w:val="正文文本11"/>
    <w:basedOn w:val="750"/>
    <w:next w:val="750"/>
    <w:link w:val="955"/>
    <w:uiPriority w:val="0"/>
    <w:qFormat/>
    <w:rPr>
      <w:rFonts w:ascii="楷体_GB2312" w:hAnsi="Arial" w:eastAsia="楷体_GB2312" w:cs="Times New Roman"/>
      <w:sz w:val="28"/>
      <w:szCs w:val="28"/>
    </w:rPr>
  </w:style>
  <w:style w:type="character" w:styleId="955" w:customStyle="1">
    <w:name w:val="正文文本 Char"/>
    <w:link w:val="954"/>
    <w:uiPriority w:val="0"/>
    <w:qFormat/>
    <w:rPr>
      <w:rFonts w:ascii="楷体_GB2312" w:hAnsi="Arial" w:eastAsia="楷体_GB2312" w:cs="Times New Roman"/>
      <w:sz w:val="28"/>
      <w:szCs w:val="28"/>
    </w:rPr>
  </w:style>
  <w:style w:type="character" w:styleId="956" w:customStyle="1">
    <w:name w:val="标题 1 Char"/>
    <w:link w:val="943"/>
    <w:uiPriority w:val="0"/>
    <w:qFormat/>
    <w:rPr>
      <w:rFonts w:ascii="楷体_GB2312" w:hAnsi="Times New Roman" w:eastAsia="楷体_GB2312" w:cs="Times New Roman"/>
      <w:sz w:val="28"/>
      <w:szCs w:val="28"/>
    </w:rPr>
  </w:style>
  <w:style w:type="character" w:styleId="957" w:customStyle="1">
    <w:name w:val="标题 2 Char"/>
    <w:link w:val="794"/>
    <w:uiPriority w:val="0"/>
    <w:qFormat/>
    <w:rPr>
      <w:rFonts w:ascii="Arial" w:hAnsi="Arial" w:eastAsia="幼圆" w:cs="Arial"/>
      <w:b/>
      <w:bCs/>
      <w:sz w:val="44"/>
      <w:szCs w:val="44"/>
    </w:rPr>
  </w:style>
  <w:style w:type="character" w:styleId="958" w:customStyle="1">
    <w:name w:val="正文缩进 Char"/>
    <w:link w:val="944"/>
    <w:uiPriority w:val="0"/>
    <w:qFormat/>
    <w:rPr>
      <w:szCs w:val="21"/>
    </w:rPr>
  </w:style>
  <w:style w:type="character" w:styleId="959" w:customStyle="1">
    <w:name w:val="标题 3 Char"/>
    <w:link w:val="945"/>
    <w:uiPriority w:val="0"/>
    <w:qFormat/>
    <w:rPr>
      <w:rFonts w:ascii="Times New Roman" w:hAnsi="Times New Roman" w:eastAsia="宋体" w:cs="Times New Roman"/>
      <w:b/>
      <w:bCs/>
      <w:sz w:val="32"/>
      <w:szCs w:val="32"/>
    </w:rPr>
  </w:style>
  <w:style w:type="character" w:styleId="960" w:customStyle="1">
    <w:name w:val="标题 4 Char"/>
    <w:link w:val="946"/>
    <w:uiPriority w:val="0"/>
    <w:qFormat/>
    <w:rPr>
      <w:rFonts w:ascii="Arial" w:hAnsi="Arial" w:eastAsia="黑体" w:cs="Arial"/>
      <w:b/>
      <w:bCs/>
      <w:sz w:val="28"/>
      <w:szCs w:val="28"/>
    </w:rPr>
  </w:style>
  <w:style w:type="character" w:styleId="961" w:customStyle="1">
    <w:name w:val="标题 5 Char"/>
    <w:link w:val="947"/>
    <w:uiPriority w:val="0"/>
    <w:qFormat/>
    <w:rPr>
      <w:rFonts w:ascii="宋体" w:hAnsi="Times New Roman" w:eastAsia="宋体" w:cs="Times New Roman"/>
      <w:color w:val="000000"/>
      <w:sz w:val="28"/>
      <w:szCs w:val="28"/>
    </w:rPr>
  </w:style>
  <w:style w:type="character" w:styleId="962" w:customStyle="1">
    <w:name w:val="标题 6 Char"/>
    <w:link w:val="948"/>
    <w:uiPriority w:val="0"/>
    <w:qFormat/>
    <w:rPr>
      <w:rFonts w:ascii="Arial" w:hAnsi="Arial" w:eastAsia="黑体" w:cs="Times New Roman"/>
      <w:b/>
      <w:bCs/>
      <w:sz w:val="24"/>
      <w:szCs w:val="24"/>
    </w:rPr>
  </w:style>
  <w:style w:type="character" w:styleId="963" w:customStyle="1">
    <w:name w:val="标题 7 Char"/>
    <w:link w:val="949"/>
    <w:uiPriority w:val="0"/>
    <w:qFormat/>
    <w:rPr>
      <w:rFonts w:ascii="Times New Roman" w:hAnsi="Times New Roman" w:eastAsia="宋体" w:cs="Times New Roman"/>
      <w:b/>
      <w:bCs/>
      <w:sz w:val="24"/>
      <w:szCs w:val="24"/>
    </w:rPr>
  </w:style>
  <w:style w:type="character" w:styleId="964" w:customStyle="1">
    <w:name w:val="标题 8 Char"/>
    <w:link w:val="950"/>
    <w:uiPriority w:val="0"/>
    <w:qFormat/>
    <w:rPr>
      <w:rFonts w:ascii="Arial" w:hAnsi="Arial" w:eastAsia="黑体" w:cs="Times New Roman"/>
      <w:sz w:val="24"/>
      <w:szCs w:val="24"/>
    </w:rPr>
  </w:style>
  <w:style w:type="character" w:styleId="965" w:customStyle="1">
    <w:name w:val="标题 9 Char"/>
    <w:link w:val="951"/>
    <w:uiPriority w:val="0"/>
    <w:qFormat/>
    <w:rPr>
      <w:rFonts w:ascii="Arial" w:hAnsi="Arial" w:eastAsia="黑体" w:cs="Times New Roman"/>
      <w:szCs w:val="21"/>
    </w:rPr>
  </w:style>
  <w:style w:type="paragraph" w:styleId="966" w:customStyle="1">
    <w:name w:val="列表 31"/>
    <w:basedOn w:val="750"/>
    <w:uiPriority w:val="0"/>
    <w:qFormat/>
    <w:pPr>
      <w:ind w:left="100" w:hanging="200"/>
    </w:pPr>
    <w:rPr>
      <w:rFonts w:ascii="Times New Roman" w:hAnsi="Times New Roman" w:eastAsia="宋体" w:cs="Times New Roman"/>
      <w:szCs w:val="21"/>
    </w:rPr>
  </w:style>
  <w:style w:type="paragraph" w:styleId="967" w:customStyle="1">
    <w:name w:val="目录 71"/>
    <w:basedOn w:val="750"/>
    <w:next w:val="750"/>
    <w:uiPriority w:val="0"/>
    <w:semiHidden/>
    <w:qFormat/>
    <w:pPr>
      <w:ind w:left="1260"/>
      <w:jc w:val="left"/>
    </w:pPr>
    <w:rPr>
      <w:rFonts w:ascii="Times New Roman" w:hAnsi="Times New Roman" w:eastAsia="宋体" w:cs="Times New Roman"/>
      <w:szCs w:val="21"/>
    </w:rPr>
  </w:style>
  <w:style w:type="paragraph" w:styleId="968" w:customStyle="1">
    <w:name w:val="文档结构图1"/>
    <w:basedOn w:val="750"/>
    <w:link w:val="969"/>
    <w:uiPriority w:val="0"/>
    <w:semiHidden/>
    <w:qFormat/>
    <w:pPr>
      <w:shd w:val="clear" w:color="auto" w:fill="000080"/>
    </w:pPr>
    <w:rPr>
      <w:rFonts w:ascii="Times New Roman" w:hAnsi="Times New Roman" w:eastAsia="宋体" w:cs="Times New Roman"/>
      <w:szCs w:val="21"/>
    </w:rPr>
  </w:style>
  <w:style w:type="character" w:styleId="969" w:customStyle="1">
    <w:name w:val="文档结构图 Char"/>
    <w:link w:val="968"/>
    <w:uiPriority w:val="0"/>
    <w:semiHidden/>
    <w:qFormat/>
    <w:rPr>
      <w:rFonts w:ascii="Times New Roman" w:hAnsi="Times New Roman" w:eastAsia="宋体" w:cs="Times New Roman"/>
      <w:szCs w:val="21"/>
      <w:shd w:val="clear" w:color="auto" w:fill="000080"/>
    </w:rPr>
  </w:style>
  <w:style w:type="paragraph" w:styleId="970" w:customStyle="1">
    <w:name w:val="批注文字1"/>
    <w:basedOn w:val="750"/>
    <w:link w:val="971"/>
    <w:uiPriority w:val="0"/>
    <w:unhideWhenUsed/>
    <w:qFormat/>
    <w:pPr>
      <w:jc w:val="left"/>
    </w:pPr>
  </w:style>
  <w:style w:type="character" w:styleId="971" w:customStyle="1">
    <w:name w:val="批注文字 Char"/>
    <w:basedOn w:val="952"/>
    <w:link w:val="970"/>
    <w:uiPriority w:val="99"/>
    <w:semiHidden/>
    <w:qFormat/>
  </w:style>
  <w:style w:type="paragraph" w:styleId="972" w:customStyle="1">
    <w:name w:val="正文文本 31"/>
    <w:basedOn w:val="750"/>
    <w:link w:val="973"/>
    <w:uiPriority w:val="0"/>
    <w:qFormat/>
    <w:rPr>
      <w:rFonts w:ascii="仿宋_GB2312" w:hAnsi="Arial" w:eastAsia="仿宋_GB2312" w:cs="Times New Roman"/>
      <w:sz w:val="32"/>
      <w:szCs w:val="32"/>
    </w:rPr>
  </w:style>
  <w:style w:type="character" w:styleId="973" w:customStyle="1">
    <w:name w:val="正文文本 3 Char"/>
    <w:link w:val="972"/>
    <w:uiPriority w:val="0"/>
    <w:qFormat/>
    <w:rPr>
      <w:rFonts w:ascii="仿宋_GB2312" w:hAnsi="Arial" w:eastAsia="仿宋_GB2312" w:cs="Times New Roman"/>
      <w:sz w:val="32"/>
      <w:szCs w:val="32"/>
    </w:rPr>
  </w:style>
  <w:style w:type="paragraph" w:styleId="974" w:customStyle="1">
    <w:name w:val="正文文本缩进1"/>
    <w:basedOn w:val="750"/>
    <w:next w:val="975"/>
    <w:link w:val="976"/>
    <w:uiPriority w:val="0"/>
    <w:unhideWhenUsed/>
    <w:qFormat/>
    <w:pPr>
      <w:ind w:left="420"/>
      <w:spacing w:after="120"/>
    </w:pPr>
  </w:style>
  <w:style w:type="paragraph" w:styleId="975" w:customStyle="1">
    <w:name w:val="寄信人地址1"/>
    <w:basedOn w:val="750"/>
    <w:uiPriority w:val="99"/>
    <w:unhideWhenUsed/>
    <w:qFormat/>
    <w:rPr>
      <w:rFonts w:ascii="Arial" w:hAnsi="Arial"/>
    </w:rPr>
  </w:style>
  <w:style w:type="character" w:styleId="976" w:customStyle="1">
    <w:name w:val="正文文本缩进 Char"/>
    <w:basedOn w:val="952"/>
    <w:link w:val="974"/>
    <w:uiPriority w:val="99"/>
    <w:semiHidden/>
    <w:qFormat/>
  </w:style>
  <w:style w:type="paragraph" w:styleId="977" w:customStyle="1">
    <w:name w:val="列表 21"/>
    <w:basedOn w:val="750"/>
    <w:uiPriority w:val="0"/>
    <w:qFormat/>
    <w:pPr>
      <w:ind w:left="100" w:hanging="200"/>
    </w:pPr>
    <w:rPr>
      <w:rFonts w:ascii="Times New Roman" w:hAnsi="Times New Roman" w:eastAsia="宋体" w:cs="Times New Roman"/>
      <w:szCs w:val="21"/>
    </w:rPr>
  </w:style>
  <w:style w:type="paragraph" w:styleId="978" w:customStyle="1">
    <w:name w:val="目录 51"/>
    <w:basedOn w:val="750"/>
    <w:next w:val="750"/>
    <w:uiPriority w:val="0"/>
    <w:semiHidden/>
    <w:qFormat/>
    <w:pPr>
      <w:ind w:left="840"/>
      <w:jc w:val="left"/>
    </w:pPr>
    <w:rPr>
      <w:rFonts w:ascii="Times New Roman" w:hAnsi="Times New Roman" w:eastAsia="宋体" w:cs="Times New Roman"/>
      <w:szCs w:val="21"/>
    </w:rPr>
  </w:style>
  <w:style w:type="paragraph" w:styleId="979" w:customStyle="1">
    <w:name w:val="目录 31"/>
    <w:basedOn w:val="750"/>
    <w:next w:val="750"/>
    <w:uiPriority w:val="0"/>
    <w:semiHidden/>
    <w:qFormat/>
    <w:pPr>
      <w:ind w:left="420"/>
      <w:jc w:val="left"/>
    </w:pPr>
    <w:rPr>
      <w:rFonts w:ascii="Times New Roman" w:hAnsi="Times New Roman" w:eastAsia="宋体" w:cs="Times New Roman"/>
      <w:i/>
      <w:iCs/>
      <w:szCs w:val="24"/>
    </w:rPr>
  </w:style>
  <w:style w:type="paragraph" w:styleId="980" w:customStyle="1">
    <w:name w:val="纯文本1"/>
    <w:basedOn w:val="750"/>
    <w:link w:val="981"/>
    <w:uiPriority w:val="0"/>
    <w:qFormat/>
    <w:rPr>
      <w:rFonts w:ascii="宋体" w:hAnsi="Courier New" w:eastAsia="宋体" w:cs="Courier New"/>
      <w:szCs w:val="21"/>
    </w:rPr>
  </w:style>
  <w:style w:type="character" w:styleId="981" w:customStyle="1">
    <w:name w:val="纯文本 Char"/>
    <w:link w:val="980"/>
    <w:uiPriority w:val="0"/>
    <w:qFormat/>
    <w:rPr>
      <w:rFonts w:ascii="宋体" w:hAnsi="Courier New" w:eastAsia="宋体" w:cs="Courier New"/>
      <w:szCs w:val="21"/>
    </w:rPr>
  </w:style>
  <w:style w:type="paragraph" w:styleId="982" w:customStyle="1">
    <w:name w:val="目录 81"/>
    <w:basedOn w:val="750"/>
    <w:next w:val="750"/>
    <w:uiPriority w:val="0"/>
    <w:semiHidden/>
    <w:qFormat/>
    <w:pPr>
      <w:ind w:left="1470"/>
      <w:jc w:val="left"/>
    </w:pPr>
    <w:rPr>
      <w:rFonts w:ascii="Times New Roman" w:hAnsi="Times New Roman" w:eastAsia="宋体" w:cs="Times New Roman"/>
      <w:szCs w:val="21"/>
    </w:rPr>
  </w:style>
  <w:style w:type="paragraph" w:styleId="983" w:customStyle="1">
    <w:name w:val="日期1"/>
    <w:basedOn w:val="750"/>
    <w:next w:val="750"/>
    <w:link w:val="984"/>
    <w:uiPriority w:val="0"/>
    <w:qFormat/>
    <w:rPr>
      <w:rFonts w:ascii="Times New Roman" w:hAnsi="Times New Roman" w:eastAsia="宋体" w:cs="Times New Roman"/>
      <w:sz w:val="24"/>
      <w:szCs w:val="24"/>
    </w:rPr>
  </w:style>
  <w:style w:type="character" w:styleId="984" w:customStyle="1">
    <w:name w:val="日期 Char"/>
    <w:link w:val="983"/>
    <w:uiPriority w:val="0"/>
    <w:qFormat/>
    <w:rPr>
      <w:rFonts w:ascii="Times New Roman" w:hAnsi="Times New Roman" w:eastAsia="宋体" w:cs="Times New Roman"/>
      <w:sz w:val="24"/>
      <w:szCs w:val="24"/>
    </w:rPr>
  </w:style>
  <w:style w:type="paragraph" w:styleId="985" w:customStyle="1">
    <w:name w:val="正文文本缩进 21"/>
    <w:basedOn w:val="750"/>
    <w:link w:val="986"/>
    <w:uiPriority w:val="0"/>
    <w:qFormat/>
    <w:pPr>
      <w:ind w:left="630" w:firstLine="645"/>
    </w:pPr>
    <w:rPr>
      <w:rFonts w:ascii="Arial" w:hAnsi="Arial" w:eastAsia="仿宋_GB2312" w:cs="Arial"/>
      <w:sz w:val="32"/>
      <w:szCs w:val="32"/>
    </w:rPr>
  </w:style>
  <w:style w:type="character" w:styleId="986" w:customStyle="1">
    <w:name w:val="正文文本缩进 2 Char"/>
    <w:link w:val="985"/>
    <w:uiPriority w:val="0"/>
    <w:qFormat/>
    <w:rPr>
      <w:rFonts w:ascii="Arial" w:hAnsi="Arial" w:eastAsia="仿宋_GB2312" w:cs="Arial"/>
      <w:sz w:val="32"/>
      <w:szCs w:val="32"/>
    </w:rPr>
  </w:style>
  <w:style w:type="paragraph" w:styleId="987" w:customStyle="1">
    <w:name w:val="批注框文本1"/>
    <w:basedOn w:val="750"/>
    <w:link w:val="988"/>
    <w:uiPriority w:val="0"/>
    <w:semiHidden/>
    <w:qFormat/>
    <w:rPr>
      <w:rFonts w:ascii="Times New Roman" w:hAnsi="Times New Roman" w:eastAsia="宋体" w:cs="Times New Roman"/>
      <w:sz w:val="18"/>
      <w:szCs w:val="18"/>
    </w:rPr>
  </w:style>
  <w:style w:type="character" w:styleId="988" w:customStyle="1">
    <w:name w:val="批注框文本 Char"/>
    <w:link w:val="987"/>
    <w:uiPriority w:val="0"/>
    <w:semiHidden/>
    <w:qFormat/>
    <w:rPr>
      <w:rFonts w:ascii="Times New Roman" w:hAnsi="Times New Roman" w:eastAsia="宋体" w:cs="Times New Roman"/>
      <w:sz w:val="18"/>
      <w:szCs w:val="18"/>
    </w:rPr>
  </w:style>
  <w:style w:type="paragraph" w:styleId="989" w:customStyle="1">
    <w:name w:val="页脚1"/>
    <w:basedOn w:val="750"/>
    <w:link w:val="99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90" w:customStyle="1">
    <w:name w:val="页脚 Char"/>
    <w:link w:val="989"/>
    <w:uiPriority w:val="0"/>
    <w:qFormat/>
    <w:rPr>
      <w:rFonts w:ascii="Times New Roman" w:hAnsi="Times New Roman" w:eastAsia="宋体" w:cs="Times New Roman"/>
      <w:sz w:val="18"/>
      <w:szCs w:val="18"/>
    </w:rPr>
  </w:style>
  <w:style w:type="paragraph" w:styleId="991" w:customStyle="1">
    <w:name w:val="页眉1"/>
    <w:basedOn w:val="750"/>
    <w:link w:val="99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2" w:customStyle="1">
    <w:name w:val="页眉 Char"/>
    <w:link w:val="991"/>
    <w:uiPriority w:val="0"/>
    <w:qFormat/>
    <w:rPr>
      <w:rFonts w:ascii="Times New Roman" w:hAnsi="Times New Roman" w:eastAsia="宋体" w:cs="Times New Roman"/>
      <w:sz w:val="18"/>
      <w:szCs w:val="18"/>
    </w:rPr>
  </w:style>
  <w:style w:type="paragraph" w:styleId="993" w:customStyle="1">
    <w:name w:val="目录 11"/>
    <w:basedOn w:val="750"/>
    <w:next w:val="75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4" w:customStyle="1">
    <w:name w:val="目录 41"/>
    <w:basedOn w:val="750"/>
    <w:next w:val="750"/>
    <w:uiPriority w:val="0"/>
    <w:semiHidden/>
    <w:qFormat/>
    <w:pPr>
      <w:ind w:left="630"/>
      <w:jc w:val="left"/>
    </w:pPr>
    <w:rPr>
      <w:rFonts w:ascii="Times New Roman" w:hAnsi="Times New Roman" w:eastAsia="宋体" w:cs="Times New Roman"/>
      <w:szCs w:val="21"/>
    </w:rPr>
  </w:style>
  <w:style w:type="paragraph" w:styleId="995" w:customStyle="1">
    <w:name w:val="列表1"/>
    <w:basedOn w:val="750"/>
    <w:uiPriority w:val="0"/>
    <w:qFormat/>
    <w:pPr>
      <w:ind w:left="200" w:hanging="200"/>
    </w:pPr>
    <w:rPr>
      <w:rFonts w:ascii="Times New Roman" w:hAnsi="Times New Roman" w:eastAsia="宋体" w:cs="Times New Roman"/>
      <w:szCs w:val="21"/>
    </w:rPr>
  </w:style>
  <w:style w:type="paragraph" w:styleId="996" w:customStyle="1">
    <w:name w:val="目录 61"/>
    <w:basedOn w:val="750"/>
    <w:next w:val="750"/>
    <w:uiPriority w:val="0"/>
    <w:semiHidden/>
    <w:qFormat/>
    <w:pPr>
      <w:ind w:left="1050"/>
      <w:jc w:val="left"/>
    </w:pPr>
    <w:rPr>
      <w:rFonts w:ascii="Times New Roman" w:hAnsi="Times New Roman" w:eastAsia="宋体" w:cs="Times New Roman"/>
      <w:szCs w:val="21"/>
    </w:rPr>
  </w:style>
  <w:style w:type="paragraph" w:styleId="997" w:customStyle="1">
    <w:name w:val="正文文本缩进 31"/>
    <w:basedOn w:val="750"/>
    <w:link w:val="998"/>
    <w:uiPriority w:val="0"/>
    <w:qFormat/>
    <w:pPr>
      <w:ind w:left="645" w:firstLine="645"/>
    </w:pPr>
    <w:rPr>
      <w:rFonts w:ascii="Arial" w:hAnsi="Arial" w:eastAsia="仿宋_GB2312" w:cs="Arial"/>
      <w:color w:val="ffff00"/>
      <w:sz w:val="32"/>
      <w:szCs w:val="32"/>
    </w:rPr>
  </w:style>
  <w:style w:type="character" w:styleId="998" w:customStyle="1">
    <w:name w:val="正文文本缩进 3 Char"/>
    <w:link w:val="997"/>
    <w:uiPriority w:val="0"/>
    <w:qFormat/>
    <w:rPr>
      <w:rFonts w:ascii="Arial" w:hAnsi="Arial" w:eastAsia="仿宋_GB2312" w:cs="Arial"/>
      <w:color w:val="ffff00"/>
      <w:sz w:val="32"/>
      <w:szCs w:val="32"/>
    </w:rPr>
  </w:style>
  <w:style w:type="paragraph" w:styleId="999" w:customStyle="1">
    <w:name w:val="图表目录1"/>
    <w:basedOn w:val="750"/>
    <w:next w:val="750"/>
    <w:uiPriority w:val="0"/>
    <w:semiHidden/>
    <w:qFormat/>
    <w:pPr>
      <w:ind w:left="840" w:hanging="420"/>
    </w:pPr>
    <w:rPr>
      <w:rFonts w:ascii="Times New Roman" w:hAnsi="Times New Roman" w:eastAsia="宋体" w:cs="Times New Roman"/>
      <w:szCs w:val="21"/>
    </w:rPr>
  </w:style>
  <w:style w:type="paragraph" w:styleId="1000" w:customStyle="1">
    <w:name w:val="目录 21"/>
    <w:basedOn w:val="750"/>
    <w:next w:val="750"/>
    <w:uiPriority w:val="0"/>
    <w:semiHidden/>
    <w:qFormat/>
    <w:pPr>
      <w:ind w:left="210"/>
      <w:jc w:val="left"/>
    </w:pPr>
    <w:rPr>
      <w:rFonts w:ascii="Times New Roman" w:hAnsi="Times New Roman" w:eastAsia="宋体" w:cs="Times New Roman"/>
      <w:smallCaps/>
      <w:szCs w:val="24"/>
    </w:rPr>
  </w:style>
  <w:style w:type="paragraph" w:styleId="1001" w:customStyle="1">
    <w:name w:val="目录 91"/>
    <w:basedOn w:val="750"/>
    <w:next w:val="750"/>
    <w:uiPriority w:val="0"/>
    <w:semiHidden/>
    <w:qFormat/>
    <w:pPr>
      <w:ind w:left="1680"/>
      <w:jc w:val="left"/>
    </w:pPr>
    <w:rPr>
      <w:rFonts w:ascii="Times New Roman" w:hAnsi="Times New Roman" w:eastAsia="宋体" w:cs="Times New Roman"/>
      <w:szCs w:val="21"/>
    </w:rPr>
  </w:style>
  <w:style w:type="paragraph" w:styleId="1002" w:customStyle="1">
    <w:name w:val="正文文本 21"/>
    <w:basedOn w:val="750"/>
    <w:link w:val="1003"/>
    <w:uiPriority w:val="0"/>
    <w:qFormat/>
    <w:pPr>
      <w:jc w:val="center"/>
      <w:widowControl/>
    </w:pPr>
    <w:rPr>
      <w:rFonts w:ascii="楷体_GB2312" w:hAnsi="Times New Roman" w:eastAsia="楷体_GB2312" w:cs="Times New Roman"/>
      <w:sz w:val="28"/>
      <w:szCs w:val="28"/>
    </w:rPr>
  </w:style>
  <w:style w:type="character" w:styleId="1003" w:customStyle="1">
    <w:name w:val="正文文本 2 Char"/>
    <w:link w:val="1002"/>
    <w:uiPriority w:val="0"/>
    <w:qFormat/>
    <w:rPr>
      <w:rFonts w:ascii="楷体_GB2312" w:hAnsi="Times New Roman" w:eastAsia="楷体_GB2312" w:cs="Times New Roman"/>
      <w:sz w:val="28"/>
      <w:szCs w:val="28"/>
    </w:rPr>
  </w:style>
  <w:style w:type="paragraph" w:styleId="1004" w:customStyle="1">
    <w:name w:val="普通(网站)1"/>
    <w:basedOn w:val="750"/>
    <w:uiPriority w:val="99"/>
    <w:qFormat/>
    <w:pPr>
      <w:jc w:val="left"/>
      <w:spacing w:before="100" w:beforeAutospacing="1" w:after="100" w:afterAutospacing="1"/>
      <w:widowControl/>
    </w:pPr>
    <w:rPr>
      <w:rFonts w:ascii="宋体" w:hAnsi="宋体" w:eastAsia="宋体" w:cs="宋体"/>
      <w:sz w:val="24"/>
      <w:szCs w:val="24"/>
    </w:rPr>
  </w:style>
  <w:style w:type="paragraph" w:styleId="1005" w:customStyle="1">
    <w:name w:val="索引 11"/>
    <w:basedOn w:val="750"/>
    <w:next w:val="750"/>
    <w:uiPriority w:val="0"/>
    <w:semiHidden/>
    <w:qFormat/>
    <w:pPr>
      <w:spacing w:line="240" w:lineRule="atLeast"/>
    </w:pPr>
    <w:rPr>
      <w:rFonts w:ascii="Times New Roman" w:hAnsi="Times New Roman" w:eastAsia="宋体" w:cs="Times New Roman"/>
      <w:b/>
      <w:bCs/>
      <w:szCs w:val="21"/>
    </w:rPr>
  </w:style>
  <w:style w:type="paragraph" w:styleId="1006" w:customStyle="1">
    <w:name w:val="批注主题1"/>
    <w:basedOn w:val="970"/>
    <w:next w:val="970"/>
    <w:link w:val="1007"/>
    <w:uiPriority w:val="0"/>
    <w:semiHidden/>
    <w:qFormat/>
    <w:rPr>
      <w:rFonts w:ascii="Times New Roman" w:hAnsi="Times New Roman" w:eastAsia="宋体" w:cs="Times New Roman"/>
      <w:b/>
      <w:bCs/>
      <w:szCs w:val="21"/>
    </w:rPr>
  </w:style>
  <w:style w:type="character" w:styleId="1007" w:customStyle="1">
    <w:name w:val="批注主题 Char"/>
    <w:link w:val="1006"/>
    <w:uiPriority w:val="0"/>
    <w:semiHidden/>
    <w:qFormat/>
    <w:rPr>
      <w:rFonts w:ascii="Times New Roman" w:hAnsi="Times New Roman" w:eastAsia="宋体" w:cs="Times New Roman"/>
      <w:b/>
      <w:bCs/>
      <w:szCs w:val="21"/>
    </w:rPr>
  </w:style>
  <w:style w:type="paragraph" w:styleId="1008" w:customStyle="1">
    <w:name w:val="正文首行缩进1"/>
    <w:basedOn w:val="750"/>
    <w:link w:val="1009"/>
    <w:uiPriority w:val="0"/>
    <w:qFormat/>
    <w:pPr>
      <w:ind w:firstLine="200"/>
      <w:spacing w:line="360" w:lineRule="auto"/>
    </w:pPr>
    <w:rPr>
      <w:rFonts w:ascii="仿宋_GB2312" w:hAnsi="Times New Roman" w:eastAsia="仿宋_GB2312" w:cs="Times New Roman"/>
      <w:sz w:val="30"/>
      <w:szCs w:val="30"/>
    </w:rPr>
  </w:style>
  <w:style w:type="character" w:styleId="1009" w:customStyle="1">
    <w:name w:val="正文首行缩进 Char"/>
    <w:link w:val="1008"/>
    <w:uiPriority w:val="0"/>
    <w:qFormat/>
    <w:rPr>
      <w:rFonts w:ascii="仿宋_GB2312" w:hAnsi="Times New Roman" w:eastAsia="仿宋_GB2312" w:cs="Times New Roman"/>
      <w:sz w:val="30"/>
      <w:szCs w:val="30"/>
    </w:rPr>
  </w:style>
  <w:style w:type="paragraph" w:styleId="1010" w:customStyle="1">
    <w:name w:val="正文首行缩进 21"/>
    <w:basedOn w:val="974"/>
    <w:link w:val="1011"/>
    <w:uiPriority w:val="0"/>
    <w:qFormat/>
    <w:pPr>
      <w:ind w:left="0" w:firstLine="420"/>
      <w:spacing w:after="0" w:line="360" w:lineRule="auto"/>
    </w:pPr>
    <w:rPr>
      <w:rFonts w:ascii="宋体" w:hAnsi="宋体" w:eastAsia="宋体" w:cs="Times New Roman"/>
      <w:szCs w:val="20"/>
    </w:rPr>
  </w:style>
  <w:style w:type="character" w:styleId="1011" w:customStyle="1">
    <w:name w:val="正文首行缩进 2 Char"/>
    <w:link w:val="1010"/>
    <w:uiPriority w:val="0"/>
    <w:qFormat/>
    <w:rPr>
      <w:rFonts w:ascii="宋体" w:hAnsi="宋体" w:eastAsia="宋体" w:cs="Times New Roman"/>
      <w:szCs w:val="20"/>
    </w:rPr>
  </w:style>
  <w:style w:type="table" w:styleId="1012" w:customStyle="1">
    <w:name w:val="网格型1"/>
    <w:basedOn w:val="953"/>
    <w:uiPriority w:val="0"/>
    <w:qFormat/>
    <w:pPr>
      <w:jc w:val="both"/>
      <w:widowControl w:val="off"/>
    </w:pPr>
    <w:rPr>
      <w:rFonts w:ascii="Times New Roman" w:hAnsi="Times New Roman" w:eastAsia="宋体" w:cs="Times New Roman"/>
      <w:sz w:val="20"/>
      <w:szCs w:val="20"/>
    </w:rPr>
    <w:tblPr/>
  </w:style>
  <w:style w:type="character" w:styleId="1013" w:customStyle="1">
    <w:name w:val="要点1"/>
    <w:link w:val="750"/>
    <w:uiPriority w:val="0"/>
    <w:qFormat/>
    <w:rPr>
      <w:b/>
      <w:bCs/>
    </w:rPr>
  </w:style>
  <w:style w:type="character" w:styleId="1014" w:customStyle="1">
    <w:name w:val="页码1"/>
    <w:link w:val="750"/>
    <w:uiPriority w:val="0"/>
    <w:qFormat/>
  </w:style>
  <w:style w:type="character" w:styleId="1015" w:customStyle="1">
    <w:name w:val="已访问的超链接1"/>
    <w:link w:val="750"/>
    <w:uiPriority w:val="0"/>
    <w:qFormat/>
    <w:rPr>
      <w:color w:val="800080"/>
      <w:u w:val="single"/>
    </w:rPr>
  </w:style>
  <w:style w:type="character" w:styleId="1016" w:customStyle="1">
    <w:name w:val="超链接1"/>
    <w:link w:val="750"/>
    <w:uiPriority w:val="0"/>
    <w:qFormat/>
    <w:rPr>
      <w:color w:val="0000ff"/>
      <w:u w:val="single"/>
    </w:rPr>
  </w:style>
  <w:style w:type="character" w:styleId="1017" w:customStyle="1">
    <w:name w:val="批注引用1"/>
    <w:link w:val="750"/>
    <w:uiPriority w:val="0"/>
    <w:semiHidden/>
    <w:qFormat/>
    <w:rPr>
      <w:sz w:val="21"/>
      <w:szCs w:val="21"/>
    </w:rPr>
  </w:style>
  <w:style w:type="character" w:styleId="1018" w:customStyle="1">
    <w:name w:val="font5 Char"/>
    <w:link w:val="750"/>
    <w:uiPriority w:val="0"/>
    <w:qFormat/>
    <w:rPr>
      <w:rFonts w:ascii="宋体" w:hAnsi="宋体" w:eastAsia="宋体"/>
      <w:sz w:val="28"/>
      <w:szCs w:val="28"/>
      <w:lang w:val="en-US" w:eastAsia="zh-CN" w:bidi="ar-SA"/>
    </w:rPr>
  </w:style>
  <w:style w:type="character" w:styleId="1019" w:customStyle="1">
    <w:name w:val="二级目录 Char"/>
    <w:link w:val="1020"/>
    <w:uiPriority w:val="0"/>
    <w:qFormat/>
    <w:rPr>
      <w:b/>
      <w:sz w:val="30"/>
      <w:szCs w:val="28"/>
    </w:rPr>
  </w:style>
  <w:style w:type="paragraph" w:styleId="1020" w:customStyle="1">
    <w:name w:val="二级目录"/>
    <w:next w:val="750"/>
    <w:link w:val="101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1" w:customStyle="1">
    <w:name w:val="列出段落 Char"/>
    <w:link w:val="1022"/>
    <w:uiPriority w:val="0"/>
    <w:qFormat/>
    <w:rPr>
      <w:rFonts w:ascii="Calibri" w:hAnsi="Calibri"/>
      <w:sz w:val="24"/>
      <w:szCs w:val="24"/>
      <w:lang w:eastAsia="en-US" w:bidi="en-US"/>
    </w:rPr>
  </w:style>
  <w:style w:type="paragraph" w:styleId="1022" w:customStyle="1">
    <w:name w:val="列出段落1"/>
    <w:basedOn w:val="750"/>
    <w:link w:val="1021"/>
    <w:uiPriority w:val="0"/>
    <w:qFormat/>
    <w:pPr>
      <w:contextualSpacing/>
      <w:ind w:left="720"/>
      <w:jc w:val="left"/>
      <w:widowControl/>
    </w:pPr>
    <w:rPr>
      <w:rFonts w:ascii="Calibri" w:hAnsi="Calibri"/>
      <w:sz w:val="24"/>
      <w:szCs w:val="24"/>
      <w:lang w:eastAsia="en-US" w:bidi="en-US"/>
    </w:rPr>
  </w:style>
  <w:style w:type="paragraph" w:styleId="1023" w:customStyle="1">
    <w:name w:val="Body Text(ch)"/>
    <w:basedOn w:val="750"/>
    <w:next w:val="954"/>
    <w:uiPriority w:val="0"/>
    <w:qFormat/>
    <w:pPr>
      <w:spacing w:after="120"/>
    </w:pPr>
    <w:rPr>
      <w:rFonts w:ascii="宋体" w:hAnsi="Arial" w:eastAsia="宋体" w:cs="Times New Roman"/>
      <w:bCs/>
      <w:iCs/>
      <w:szCs w:val="24"/>
    </w:rPr>
  </w:style>
  <w:style w:type="paragraph" w:styleId="1024" w:customStyle="1">
    <w:name w:val="xl27"/>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customStyle="1">
    <w:name w:val="xl2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6" w:customStyle="1">
    <w:name w:val="Char"/>
    <w:basedOn w:val="750"/>
    <w:uiPriority w:val="0"/>
    <w:qFormat/>
    <w:pPr>
      <w:ind w:firstLine="200"/>
      <w:tabs>
        <w:tab w:val="left" w:pos="360" w:leader="none"/>
      </w:tabs>
    </w:pPr>
    <w:rPr>
      <w:rFonts w:ascii="Times New Roman" w:hAnsi="Times New Roman" w:eastAsia="宋体" w:cs="Times New Roman"/>
      <w:sz w:val="28"/>
      <w:szCs w:val="30"/>
    </w:rPr>
  </w:style>
  <w:style w:type="paragraph" w:styleId="1027" w:customStyle="1">
    <w:name w:val=" Char"/>
    <w:basedOn w:val="968"/>
    <w:uiPriority w:val="0"/>
    <w:qFormat/>
    <w:rPr>
      <w:rFonts w:ascii="Tahoma" w:hAnsi="Tahoma"/>
      <w:sz w:val="24"/>
      <w:szCs w:val="24"/>
    </w:rPr>
  </w:style>
  <w:style w:type="paragraph" w:styleId="1028" w:customStyle="1">
    <w:name w:val="普通正文"/>
    <w:basedOn w:val="750"/>
    <w:uiPriority w:val="0"/>
    <w:qFormat/>
    <w:pPr>
      <w:ind w:firstLine="480"/>
      <w:jc w:val="left"/>
      <w:spacing w:before="120" w:after="120" w:line="360" w:lineRule="auto"/>
    </w:pPr>
    <w:rPr>
      <w:rFonts w:ascii="Arial" w:hAnsi="Arial" w:eastAsia="宋体" w:cs="Times New Roman"/>
      <w:sz w:val="24"/>
      <w:szCs w:val="24"/>
    </w:rPr>
  </w:style>
  <w:style w:type="paragraph" w:styleId="1029" w:customStyle="1">
    <w:name w:val="table_lines"/>
    <w:basedOn w:val="750"/>
    <w:uiPriority w:val="0"/>
    <w:qFormat/>
    <w:pPr>
      <w:jc w:val="left"/>
      <w:widowControl/>
    </w:pPr>
    <w:rPr>
      <w:rFonts w:ascii="Times New Roman" w:hAnsi="Times New Roman" w:eastAsia="宋体" w:cs="Times New Roman"/>
      <w:sz w:val="20"/>
      <w:szCs w:val="20"/>
      <w:lang w:val="de-DE" w:eastAsia="de-DE"/>
    </w:rPr>
  </w:style>
  <w:style w:type="paragraph" w:styleId="10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1" w:customStyle="1">
    <w:name w:val="font7"/>
    <w:basedOn w:val="75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32" w:customStyle="1">
    <w:name w:val=" Char Char Char Char"/>
    <w:basedOn w:val="968"/>
    <w:uiPriority w:val="0"/>
    <w:qFormat/>
    <w:pPr>
      <w:spacing w:line="360" w:lineRule="auto"/>
    </w:pPr>
    <w:rPr>
      <w:rFonts w:ascii="Tahoma" w:hAnsi="Tahoma"/>
      <w:sz w:val="24"/>
      <w:szCs w:val="24"/>
    </w:rPr>
  </w:style>
  <w:style w:type="paragraph" w:styleId="1033" w:customStyle="1">
    <w:name w:val="列出段落"/>
    <w:basedOn w:val="750"/>
    <w:uiPriority w:val="0"/>
    <w:qFormat/>
    <w:pPr>
      <w:contextualSpacing/>
      <w:ind w:left="720"/>
      <w:jc w:val="left"/>
      <w:widowControl/>
    </w:pPr>
    <w:rPr>
      <w:rFonts w:ascii="Calibri" w:hAnsi="Calibri" w:eastAsia="宋体" w:cs="Times New Roman"/>
      <w:sz w:val="24"/>
      <w:szCs w:val="24"/>
      <w:lang w:eastAsia="en-US" w:bidi="en-US"/>
    </w:rPr>
  </w:style>
  <w:style w:type="paragraph" w:styleId="1034" w:customStyle="1">
    <w:name w:val="4"/>
    <w:basedOn w:val="750"/>
    <w:next w:val="997"/>
    <w:uiPriority w:val="0"/>
    <w:qFormat/>
    <w:pPr>
      <w:ind w:firstLine="420"/>
      <w:spacing w:line="360" w:lineRule="auto"/>
    </w:pPr>
    <w:rPr>
      <w:rFonts w:ascii="Times New Roman" w:hAnsi="Times New Roman" w:eastAsia="宋体" w:cs="Times New Roman"/>
      <w:color w:val="ff0000"/>
      <w:sz w:val="24"/>
      <w:szCs w:val="24"/>
    </w:rPr>
  </w:style>
  <w:style w:type="paragraph" w:styleId="1035" w:customStyle="1">
    <w:name w:val="普通 (Web)"/>
    <w:basedOn w:val="750"/>
    <w:uiPriority w:val="0"/>
    <w:qFormat/>
    <w:pPr>
      <w:jc w:val="left"/>
      <w:spacing w:before="100" w:beforeAutospacing="1" w:after="100" w:afterAutospacing="1"/>
      <w:widowControl/>
    </w:pPr>
    <w:rPr>
      <w:rFonts w:ascii="宋体" w:hAnsi="宋体" w:eastAsia="宋体" w:cs="Times New Roman"/>
      <w:sz w:val="24"/>
      <w:szCs w:val="24"/>
    </w:rPr>
  </w:style>
  <w:style w:type="paragraph" w:styleId="1036" w:customStyle="1">
    <w:name w:val=" Char Char Char Char Char Char Char Char Char Char"/>
    <w:basedOn w:val="750"/>
    <w:uiPriority w:val="0"/>
    <w:qFormat/>
    <w:pPr>
      <w:spacing w:line="360" w:lineRule="auto"/>
    </w:pPr>
    <w:rPr>
      <w:rFonts w:ascii="Times New Roman" w:hAnsi="Times New Roman" w:eastAsia="宋体" w:cs="Times New Roman"/>
      <w:sz w:val="24"/>
      <w:szCs w:val="20"/>
    </w:rPr>
  </w:style>
  <w:style w:type="paragraph" w:styleId="1037" w:customStyle="1">
    <w:name w:val="样式1"/>
    <w:basedOn w:val="750"/>
    <w:uiPriority w:val="0"/>
    <w:qFormat/>
    <w:pPr>
      <w:numPr>
        <w:ilvl w:val="0"/>
        <w:numId w:val="3"/>
      </w:numPr>
    </w:pPr>
    <w:rPr>
      <w:rFonts w:ascii="宋体" w:hAnsi="宋体" w:eastAsia="宋体" w:cs="Times New Roman"/>
      <w:szCs w:val="21"/>
    </w:rPr>
  </w:style>
  <w:style w:type="paragraph" w:styleId="1038" w:customStyle="1">
    <w:name w:val="font6"/>
    <w:basedOn w:val="75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9" w:customStyle="1">
    <w:name w:val="xl25"/>
    <w:basedOn w:val="75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customStyle="1">
    <w:name w:val="图标"/>
    <w:basedOn w:val="750"/>
    <w:next w:val="75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1" w:customStyle="1">
    <w:name w:val="标题3"/>
    <w:basedOn w:val="750"/>
    <w:next w:val="750"/>
    <w:uiPriority w:val="0"/>
    <w:qFormat/>
    <w:pPr>
      <w:ind w:firstLine="624"/>
      <w:spacing w:line="590" w:lineRule="atLeast"/>
    </w:pPr>
    <w:rPr>
      <w:rFonts w:ascii="方正黑体_GBK" w:hAnsi="Times New Roman" w:eastAsia="方正黑体_GBK" w:cs="Times New Roman"/>
      <w:sz w:val="32"/>
      <w:szCs w:val="32"/>
    </w:rPr>
  </w:style>
  <w:style w:type="paragraph" w:styleId="1042" w:customStyle="1">
    <w:name w:val="xl24"/>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3" w:customStyle="1">
    <w:name w:val="xl29"/>
    <w:basedOn w:val="75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4" w:customStyle="1">
    <w:name w:val="Char Char Char Char Char Char Char Char"/>
    <w:basedOn w:val="750"/>
    <w:uiPriority w:val="0"/>
    <w:qFormat/>
    <w:pPr>
      <w:jc w:val="left"/>
      <w:spacing w:after="160" w:line="240" w:lineRule="exact"/>
      <w:widowControl/>
    </w:pPr>
    <w:rPr>
      <w:rFonts w:ascii="Verdana" w:hAnsi="Verdana" w:eastAsia="宋体" w:cs="Times New Roman"/>
      <w:sz w:val="20"/>
      <w:szCs w:val="20"/>
      <w:lang w:eastAsia="en-US"/>
    </w:rPr>
  </w:style>
  <w:style w:type="paragraph" w:styleId="1045"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6" w:customStyle="1">
    <w:name w:val=" Char Char Char Char Char Char Char Char"/>
    <w:basedOn w:val="750"/>
    <w:uiPriority w:val="0"/>
    <w:qFormat/>
    <w:pPr>
      <w:jc w:val="left"/>
      <w:spacing w:after="160" w:line="240" w:lineRule="exact"/>
      <w:widowControl/>
    </w:pPr>
    <w:rPr>
      <w:rFonts w:ascii="Verdana" w:hAnsi="Verdana" w:eastAsia="宋体" w:cs="Times New Roman"/>
      <w:sz w:val="20"/>
      <w:szCs w:val="20"/>
      <w:lang w:eastAsia="en-US"/>
    </w:rPr>
  </w:style>
  <w:style w:type="paragraph" w:styleId="1047" w:customStyle="1">
    <w:name w:val="xl30"/>
    <w:basedOn w:val="75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8" w:customStyle="1">
    <w:name w:val="Char Char Char Char"/>
    <w:basedOn w:val="968"/>
    <w:uiPriority w:val="0"/>
    <w:qFormat/>
    <w:pPr>
      <w:spacing w:line="360" w:lineRule="auto"/>
    </w:pPr>
    <w:rPr>
      <w:rFonts w:ascii="Tahoma" w:hAnsi="Tahoma"/>
      <w:sz w:val="24"/>
      <w:szCs w:val="24"/>
    </w:rPr>
  </w:style>
  <w:style w:type="paragraph" w:styleId="1049" w:customStyle="1">
    <w:name w:val="table_1stline"/>
    <w:basedOn w:val="750"/>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0" w:customStyle="1">
    <w:name w:val="font5"/>
    <w:basedOn w:val="75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1" w:customStyle="1">
    <w:name w:val="标题1"/>
    <w:basedOn w:val="750"/>
    <w:next w:val="75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4" w:customStyle="1">
    <w:name w:val="正文文本1"/>
    <w:basedOn w:val="750"/>
    <w:next w:val="750"/>
    <w:uiPriority w:val="0"/>
    <w:qFormat/>
    <w:rPr>
      <w:rFonts w:ascii="仿宋_GB2312" w:eastAsia="仿宋_GB2312"/>
      <w:sz w:val="24"/>
      <w:szCs w:val="20"/>
    </w:rPr>
  </w:style>
  <w:style w:type="paragraph" w:styleId="1055" w:customStyle="1">
    <w:name w:val="正文缩进2格"/>
    <w:basedOn w:val="750"/>
    <w:uiPriority w:val="0"/>
    <w:unhideWhenUsed/>
    <w:qFormat/>
    <w:pPr>
      <w:ind w:firstLine="639"/>
      <w:spacing w:line="600" w:lineRule="exact"/>
    </w:pPr>
    <w:rPr>
      <w:rFonts w:hint="eastAsia" w:ascii="仿宋_GB2312" w:hAnsi="宋体" w:eastAsia="仿宋_GB2312"/>
      <w:sz w:val="31"/>
      <w:szCs w:val="24"/>
    </w:rPr>
  </w:style>
  <w:style w:type="character" w:styleId="1056" w:customStyle="1">
    <w:name w:val="Variable"/>
    <w:link w:val="750"/>
    <w:uiPriority w:val="0"/>
    <w:qFormat/>
    <w:rPr>
      <w:i/>
    </w:rPr>
  </w:style>
  <w:style w:type="character" w:styleId="1057" w:customStyle="1">
    <w:name w:val="fontstyle11"/>
    <w:uiPriority w:val="0"/>
    <w:qFormat/>
    <w:rPr>
      <w:rFonts w:hint="eastAsia" w:ascii="宋体" w:hAnsi="宋体" w:eastAsia="宋体"/>
      <w:color w:val="000000"/>
      <w:sz w:val="22"/>
      <w:szCs w:val="22"/>
    </w:rPr>
  </w:style>
  <w:style w:type="character" w:styleId="1058" w:customStyle="1">
    <w:name w:val="fontstyle01"/>
    <w:uiPriority w:val="0"/>
    <w:qFormat/>
    <w:rPr>
      <w:rFonts w:hint="default" w:ascii="Calibri-Bold" w:hAnsi="Calibri-Bold"/>
      <w:b/>
      <w:bCs/>
      <w:color w:val="000000"/>
      <w:sz w:val="22"/>
      <w:szCs w:val="22"/>
    </w:rPr>
  </w:style>
  <w:style w:type="paragraph" w:styleId="105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1" w:customStyle="1">
    <w:name w:val="active16"/>
    <w:basedOn w:val="760"/>
    <w:uiPriority w:val="0"/>
    <w:qFormat/>
    <w:rPr>
      <w:color w:val="ffffff"/>
      <w:shd w:val="clear" w:color="auto" w:fill="0f5bb9"/>
    </w:rPr>
  </w:style>
  <w:style w:type="paragraph" w:styleId="1062" w:customStyle="1">
    <w:name w:val="sh4"/>
    <w:basedOn w:val="750"/>
    <w:uiPriority w:val="0"/>
    <w:qFormat/>
    <w:pPr>
      <w:ind w:firstLine="420"/>
      <w:spacing w:line="460" w:lineRule="exact"/>
    </w:pPr>
    <w:rPr>
      <w:rFonts w:ascii="宋体" w:hAnsi="宋体"/>
      <w:sz w:val="21"/>
      <w:szCs w:val="21"/>
    </w:rPr>
  </w:style>
  <w:style w:type="character" w:styleId="1063" w:customStyle="1">
    <w:name w:val="NormalCharacter"/>
    <w:uiPriority w:val="99"/>
    <w:semiHidden/>
    <w:qFormat/>
  </w:style>
  <w:style w:type="paragraph" w:styleId="1064" w:customStyle="1">
    <w:name w:val="正文缩进111"/>
    <w:basedOn w:val="750"/>
    <w:next w:val="750"/>
    <w:uiPriority w:val="0"/>
    <w:qFormat/>
    <w:pPr>
      <w:ind w:firstLine="420"/>
    </w:pPr>
    <w:rPr>
      <w:szCs w:val="21"/>
    </w:rPr>
  </w:style>
  <w:style w:type="paragraph" w:styleId="106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周炜</cp:lastModifiedBy>
  <cp:revision>9</cp:revision>
  <dcterms:created xsi:type="dcterms:W3CDTF">2023-03-27T07:28:00Z</dcterms:created>
  <dcterms:modified xsi:type="dcterms:W3CDTF">2026-10-19T03:02:55Z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968F5DE59D414A92B209BC528AD901BC_13</vt:lpwstr>
  </property>
  <property fmtid="{D5CDD505-2E9C-101B-9397-08002B2CF9AE}" pid="4" name="KSOTemplateDocerSaveRecord">
    <vt:lpwstr>eyJoZGlkIjoiZTVlZjgyMTA5ZWI4MDZkMDU4ZjljYjE1OGRiMTE5ODQiLCJ1c2VySWQiOiIxMDE5Nzk0ODc0In0=</vt:lpwstr>
  </property>
</Properties>
</file>