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27"/>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lang w:eastAsia="zh-CN"/>
        </w:rPr>
        <w:t xml:space="preserve">询价</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928"/>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项目名称：渡江胜利纪念馆UPS电池</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928"/>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JSZC-320100-JZCG-X2026-0401</w:t>
      </w:r>
      <w:r>
        <w:rPr>
          <w:color w:val="000000"/>
          <w:highlight w:val="none"/>
        </w:rPr>
      </w:r>
      <w:r/>
    </w:p>
    <w:p>
      <w:pPr>
        <w:pStyle w:val="928"/>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7"/>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928"/>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928"/>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8"/>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28"/>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928"/>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027"/>
        <w:ind w:firstLine="0"/>
        <w:jc w:val="center"/>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8"/>
        <w:jc w:val="center"/>
        <w:spacing w:line="480" w:lineRule="auto"/>
        <w:rPr>
          <w:rFonts w:hint="eastAsia" w:ascii="黑体" w:hAnsi="Arial" w:eastAsia="黑体"/>
          <w:b/>
          <w:color w:val="000000"/>
          <w:sz w:val="44"/>
          <w:szCs w:val="21"/>
          <w:highlight w:val="none"/>
        </w:rPr>
        <w:outlineLvl w:val="0"/>
      </w:pPr>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928"/>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lang w:eastAsia="zh-CN"/>
        </w:rPr>
        <w:t xml:space="preserve">询价采购</w:t>
      </w:r>
      <w:r>
        <w:rPr>
          <w:rFonts w:hint="eastAsia" w:ascii="黑体" w:hAnsi="宋体" w:eastAsia="黑体" w:cs="Times New Roman"/>
          <w:color w:val="000000"/>
          <w:sz w:val="36"/>
          <w:szCs w:val="21"/>
          <w:highlight w:val="none"/>
        </w:rPr>
        <w:t xml:space="preserve">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10</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lang w:eastAsia="zh-CN"/>
        </w:rPr>
        <w:t xml:space="preserve">成交</w:t>
      </w:r>
      <w:r>
        <w:rPr>
          <w:rFonts w:hint="eastAsia" w:ascii="黑体" w:hAnsi="宋体" w:eastAsia="黑体" w:cs="Times New Roman"/>
          <w:color w:val="000000"/>
          <w:sz w:val="36"/>
          <w:szCs w:val="21"/>
          <w:highlight w:val="none"/>
        </w:rPr>
        <w:t xml:space="preserve">标准……………………………………</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1009"/>
        <w:ind w:left="0" w:firstLine="0"/>
        <w:rPr>
          <w:rFonts w:hint="eastAsia"/>
          <w:color w:val="000000"/>
          <w:highlight w:val="none"/>
        </w:rPr>
      </w:pPr>
      <w:r>
        <w:rPr>
          <w:rFonts w:hint="eastAsia"/>
          <w:color w:val="000000"/>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eastAsia="zh-CN"/>
        </w:rPr>
        <w:t xml:space="preserve">询价</w:t>
      </w:r>
      <w:r>
        <w:rPr>
          <w:rFonts w:hint="eastAsia" w:ascii="方正小标宋简体" w:hAnsi="方正小标宋简体" w:eastAsia="方正小标宋简体" w:cs="方正小标宋简体"/>
          <w:color w:val="000000"/>
          <w:sz w:val="36"/>
          <w:szCs w:val="36"/>
          <w:highlight w:val="none"/>
          <w:lang w:val="en-US"/>
        </w:rPr>
        <w:t xml:space="preserve">采购邀请</w:t>
      </w:r>
      <w:r>
        <w:rPr>
          <w:rFonts w:hint="eastAsia" w:ascii="方正小标宋简体" w:hAnsi="方正小标宋简体" w:eastAsia="方正小标宋简体" w:cs="方正小标宋简体"/>
          <w:color w:val="000000"/>
          <w:sz w:val="36"/>
          <w:szCs w:val="36"/>
          <w:highlight w:val="none"/>
          <w:lang w:val="en-US"/>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120614211"/>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JSZC-320100-JZCG-X2026-0401</w:t>
      </w:r>
      <w:r>
        <w:rPr>
          <w:rFonts w:ascii="宋体" w:hAnsi="宋体"/>
          <w:color w:val="000000"/>
          <w:sz w:val="24"/>
          <w:szCs w:val="24"/>
          <w:highlight w:val="none"/>
        </w:rPr>
      </w:r>
      <w:r/>
    </w:p>
    <w:p>
      <w:pPr>
        <w:pStyle w:val="928"/>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2.项目名称：渡江胜利纪念馆UPS电池</w:t>
      </w:r>
      <w:r>
        <w:rPr>
          <w:rFonts w:hint="eastAsia" w:ascii="宋体" w:hAnsi="宋体" w:eastAsia="宋体"/>
          <w:color w:val="000000"/>
          <w:sz w:val="24"/>
          <w:szCs w:val="24"/>
          <w:highlight w:val="none"/>
          <w:lang w:eastAsia="zh-CN"/>
        </w:rPr>
      </w:r>
      <w:r/>
    </w:p>
    <w:p>
      <w:pPr>
        <w:pStyle w:val="928"/>
        <w:ind w:firstLine="480"/>
        <w:spacing w:line="240" w:lineRule="auto"/>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highlight w:val="none"/>
        </w:rPr>
        <w:t xml:space="preserve">3.预算金额：10.64 万元</w:t>
      </w:r>
      <w:r>
        <w:rPr>
          <w:rFonts w:hint="eastAsia" w:ascii="宋体" w:hAnsi="宋体" w:eastAsia="宋体" w:cs="Times New Roman"/>
          <w:color w:val="000000"/>
          <w:sz w:val="24"/>
          <w:szCs w:val="24"/>
          <w:highlight w:val="none"/>
          <w:u w:val="none"/>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rPr>
        <w:t xml:space="preserve">10.64 万元</w:t>
      </w:r>
      <w:r>
        <w:rPr>
          <w:rFonts w:hint="eastAsia" w:ascii="宋体" w:hAnsi="宋体" w:eastAsia="宋体" w:cs="Times New Roman"/>
          <w:color w:val="000000"/>
          <w:sz w:val="24"/>
          <w:szCs w:val="24"/>
          <w:highlight w:val="none"/>
          <w:lang w:eastAsia="zh-CN"/>
        </w:rPr>
      </w:r>
      <w:r/>
    </w:p>
    <w:p>
      <w:pPr>
        <w:pStyle w:val="928"/>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本项目采购内容为安防系统配套不间断电源系统（UPS）电池，覆盖监控大屏、可视对讲系统、视频监控系统、门禁系统、入侵报警系统，以及一层、二层安防设备间主机等各类安防设施。</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92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ascii="宋体" w:hAnsi="宋体" w:eastAsia="宋体" w:cs="宋体"/>
          <w:color w:val="000000"/>
          <w:sz w:val="24"/>
          <w:szCs w:val="24"/>
          <w:highlight w:val="none"/>
        </w:rPr>
        <w:t xml:space="preserve">合同签订后</w:t>
      </w:r>
      <w:r>
        <w:rPr>
          <w:rFonts w:hint="eastAsia" w:ascii="宋体" w:hAnsi="宋体" w:eastAsia="宋体" w:cs="Times New Roman"/>
          <w:color w:val="000000"/>
          <w:sz w:val="24"/>
          <w:szCs w:val="24"/>
          <w:highlight w:val="none"/>
          <w:lang w:val="en-US" w:eastAsia="zh-CN"/>
        </w:rPr>
        <w:t xml:space="preserve">10</w:t>
      </w:r>
      <w:r>
        <w:rPr>
          <w:rFonts w:ascii="宋体" w:hAnsi="宋体" w:eastAsia="宋体" w:cs="宋体"/>
          <w:color w:val="000000"/>
          <w:sz w:val="24"/>
          <w:szCs w:val="24"/>
          <w:highlight w:val="none"/>
        </w:rPr>
        <w:t xml:space="preserve">天内交付</w:t>
      </w:r>
      <w:r>
        <w:rPr>
          <w:rFonts w:hint="eastAsia" w:ascii="宋体" w:hAnsi="宋体"/>
          <w:color w:val="000000"/>
          <w:sz w:val="24"/>
          <w:szCs w:val="24"/>
          <w:highlight w:val="none"/>
          <w:lang w:val="en-US" w:eastAsia="zh-CN"/>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rPr>
          <w:rFonts w:hint="eastAsia" w:ascii="宋体" w:hAnsi="宋体" w:eastAsia="宋体" w:cs="宋体"/>
          <w:color w:val="000000"/>
          <w:sz w:val="24"/>
          <w:szCs w:val="24"/>
          <w:highlight w:val="none"/>
          <w:lang w:val="en-US" w:eastAsia="zh-CN"/>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928"/>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w:t>
      </w:r>
      <w:r>
        <w:rPr>
          <w:rFonts w:hint="eastAsia" w:ascii="宋体" w:hAnsi="宋体" w:eastAsia="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文件公告发布之日起。</w:t>
      </w:r>
      <w:r>
        <w:rPr>
          <w:rFonts w:hint="eastAsia" w:ascii="宋体" w:hAnsi="宋体" w:eastAsia="宋体" w:cs="宋体"/>
          <w:color w:val="000000"/>
          <w:sz w:val="24"/>
          <w:szCs w:val="24"/>
          <w:highlight w:val="none"/>
        </w:rPr>
      </w:r>
      <w:r/>
    </w:p>
    <w:p>
      <w:pPr>
        <w:pStyle w:val="928"/>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w:t>
      </w:r>
      <w:r>
        <w:rPr>
          <w:rFonts w:hint="eastAsia" w:ascii="宋体" w:hAnsi="宋体" w:eastAsia="宋体" w:cs="宋体"/>
          <w:b w:val="0"/>
          <w:bCs w:val="0"/>
          <w:color w:val="000000"/>
          <w:sz w:val="24"/>
          <w:szCs w:val="24"/>
          <w:highlight w:val="none"/>
          <w:u w:val="none"/>
          <w:lang w:val="en-US" w:eastAsia="zh-CN"/>
        </w:rPr>
        <w:t xml:space="preserve">10</w:t>
      </w:r>
      <w:r>
        <w:rPr>
          <w:rFonts w:hint="eastAsia" w:ascii="宋体" w:hAnsi="宋体"/>
          <w:b w:val="0"/>
          <w:bCs w:val="0"/>
          <w:color w:val="000000"/>
          <w:sz w:val="24"/>
          <w:szCs w:val="24"/>
          <w:highlight w:val="none"/>
          <w:u w:val="none"/>
        </w:rPr>
        <w:t xml:space="preserve">月28</w:t>
      </w:r>
      <w:r>
        <w:rPr>
          <w:rFonts w:hint="eastAsia" w:ascii="宋体" w:hAnsi="宋体"/>
          <w:b w:val="0"/>
          <w:bCs w:val="0"/>
          <w:color w:val="000000"/>
          <w:sz w:val="24"/>
          <w:szCs w:val="24"/>
          <w:highlight w:val="none"/>
          <w:u w:val="none"/>
        </w:rPr>
        <w:t xml:space="preserve">日9</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询价</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询价</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28"/>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928"/>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28"/>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28"/>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采购人《质疑函》收件人：吴先生，收件地址：</w:t>
      </w:r>
      <w:r>
        <w:rPr>
          <w:rFonts w:hint="eastAsia" w:ascii="宋体" w:hAnsi="宋体" w:eastAsia="宋体" w:cs="宋体"/>
          <w:color w:val="000000"/>
          <w:sz w:val="24"/>
          <w:szCs w:val="24"/>
          <w:highlight w:val="none"/>
          <w:u w:val="none"/>
          <w:lang w:val="en-US" w:eastAsia="zh-CN"/>
        </w:rPr>
        <w:t xml:space="preserve">南京市鼓楼区渡江路1号渡江胜利纪念馆，</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025-58719423</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928"/>
        <w:ind w:firstLine="480"/>
        <w:pageBreakBefore w:val="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联系方式</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Times New Roman"/>
          <w:color w:val="000000"/>
          <w:sz w:val="24"/>
          <w:szCs w:val="24"/>
          <w:highlight w:val="none"/>
          <w:u w:val="none"/>
          <w:lang w:val="en-US" w:eastAsia="zh-CN"/>
        </w:rPr>
        <w:t xml:space="preserve">南京市博物总馆渡江胜利纪念馆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南京市鼓楼区渡江路1号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吴先生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025-58719423</w:t>
      </w:r>
      <w:r>
        <w:rPr>
          <w:rFonts w:hint="eastAsia" w:ascii="宋体" w:hAnsi="宋体" w:eastAsia="宋体" w:cs="Times New Roman"/>
          <w:color w:val="000000"/>
          <w:sz w:val="24"/>
          <w:szCs w:val="24"/>
          <w:highlight w:val="none"/>
          <w:u w:val="none"/>
          <w:lang w:val="en-US" w:eastAsia="zh-CN"/>
        </w:rPr>
        <w:t xml:space="preserve"> </w:t>
      </w:r>
      <w:bookmarkStart w:id="7" w:name="_Toc28359086"/>
      <w:r/>
      <w:bookmarkStart w:id="8" w:name="_Toc28359009"/>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End w:id="7"/>
      <w:r/>
      <w:bookmarkEnd w:id="8"/>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联系人：郭先生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联系电话：025-68505815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jc w:val="center"/>
        <w:keepNext/>
        <w:pageBreakBefore w:val="0"/>
        <w:spacing w:line="336" w:lineRule="auto"/>
        <w:widowControl w:val="off"/>
        <w:rPr>
          <w:rFonts w:hint="eastAsia" w:ascii="黑体" w:hAnsi="Times New Roman" w:eastAsia="黑体" w:cs="Times New Roman"/>
          <w:color w:val="000000"/>
          <w:sz w:val="44"/>
          <w:szCs w:val="44"/>
          <w:highlight w:val="none"/>
        </w:rPr>
        <w:outlineLvl w:val="0"/>
      </w:pPr>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highlight w:val="none"/>
          <w:lang w:val="en-US" w:eastAsia="zh-CN"/>
        </w:rPr>
        <w:t xml:space="preserve">供应商须知</w:t>
      </w:r>
      <w:r>
        <w:rPr>
          <w:rFonts w:hint="eastAsia" w:ascii="黑体" w:hAnsi="Times New Roman" w:eastAsia="黑体" w:cs="Times New Roman"/>
          <w:color w:val="000000"/>
          <w:sz w:val="44"/>
          <w:szCs w:val="4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 w:name="_Toc120614214"/>
      <w:r/>
      <w:bookmarkStart w:id="10" w:name="_Toc513029203"/>
      <w:r/>
      <w:bookmarkStart w:id="11" w:name="_Toc16938519"/>
      <w:r/>
      <w:bookmarkStart w:id="12" w:name="_Toc20823275"/>
      <w:r>
        <w:rPr>
          <w:rFonts w:hint="eastAsia" w:ascii="方正黑体_GBK" w:hAnsi="方正黑体_GBK" w:eastAsia="方正黑体_GBK" w:cs="方正黑体_GBK"/>
          <w:b w:val="0"/>
          <w:bCs w:val="0"/>
          <w:color w:val="000000"/>
          <w:sz w:val="30"/>
          <w:szCs w:val="30"/>
          <w:highlight w:val="none"/>
        </w:rPr>
        <w:t xml:space="preserve">一、总则</w:t>
      </w:r>
      <w:bookmarkEnd w:id="9"/>
      <w:r/>
      <w:bookmarkEnd w:id="10"/>
      <w:r/>
      <w:bookmarkEnd w:id="11"/>
      <w:r/>
      <w:bookmarkEnd w:id="12"/>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 w:name="_Hlt16619475"/>
      <w:r/>
      <w:bookmarkEnd w:id="13"/>
      <w:r/>
      <w:bookmarkStart w:id="14" w:name="_Toc458694821"/>
      <w:r/>
      <w:bookmarkStart w:id="15" w:name="_Toc16938520"/>
      <w:r/>
      <w:bookmarkStart w:id="16" w:name="_Toc513029204"/>
      <w:r/>
      <w:bookmarkStart w:id="17" w:name="_Toc20823276"/>
      <w:r>
        <w:rPr>
          <w:rFonts w:hint="eastAsia" w:ascii="方正楷体_GBK" w:hAnsi="方正楷体_GBK" w:eastAsia="方正楷体_GBK" w:cs="方正楷体_GBK"/>
          <w:b/>
          <w:bCs/>
          <w:color w:val="000000"/>
          <w:sz w:val="28"/>
          <w:szCs w:val="28"/>
          <w:highlight w:val="none"/>
          <w:lang w:val="en-US" w:eastAsia="zh-CN"/>
        </w:rPr>
        <w:t xml:space="preserve">1</w:t>
      </w:r>
      <w:bookmarkEnd w:id="14"/>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5"/>
      <w:r/>
      <w:bookmarkEnd w:id="16"/>
      <w:r/>
      <w:bookmarkEnd w:id="17"/>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 本次</w:t>
      </w:r>
      <w:r>
        <w:rPr>
          <w:rFonts w:hint="eastAsia" w:ascii="宋体" w:hAnsi="宋体" w:eastAsia="宋体" w:cs="Times New Roman"/>
          <w:color w:val="000000"/>
          <w:sz w:val="24"/>
          <w:szCs w:val="21"/>
          <w:highlight w:val="none"/>
          <w:lang w:eastAsia="zh-CN"/>
        </w:rPr>
        <w:t xml:space="preserve">政府采购活动</w:t>
      </w:r>
      <w:r>
        <w:rPr>
          <w:rFonts w:hint="eastAsia" w:ascii="宋体" w:hAnsi="宋体" w:eastAsia="宋体" w:cs="Times New Roman"/>
          <w:color w:val="000000"/>
          <w:sz w:val="24"/>
          <w:szCs w:val="21"/>
          <w:highlight w:val="none"/>
        </w:rPr>
        <w:t xml:space="preserve">采取</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8" w:name="_Toc16938521"/>
      <w:r/>
      <w:bookmarkStart w:id="19" w:name="_Toc513029205"/>
      <w:r/>
      <w:bookmarkStart w:id="20" w:name="_Toc20823277"/>
      <w:r>
        <w:rPr>
          <w:rFonts w:hint="eastAsia" w:ascii="方正楷体_GBK" w:hAnsi="方正楷体_GBK" w:eastAsia="方正楷体_GBK" w:cs="方正楷体_GBK"/>
          <w:b/>
          <w:bCs/>
          <w:color w:val="000000"/>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21" w:name="_Toc20823278"/>
      <w:r/>
      <w:bookmarkStart w:id="22" w:name="_Toc16938522"/>
      <w:r/>
      <w:bookmarkStart w:id="23" w:name="_Toc513029206"/>
      <w:r>
        <w:rPr>
          <w:rFonts w:hint="eastAsia" w:ascii="宋体" w:hAnsi="宋体" w:eastAsia="宋体" w:cs="Times New Roman"/>
          <w:color w:val="000000"/>
          <w:sz w:val="24"/>
          <w:szCs w:val="21"/>
          <w:highlight w:val="none"/>
        </w:rPr>
        <w:t xml:space="preserve">2.1 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eastAsia="zh-CN"/>
        </w:rPr>
        <w:t xml:space="preserve">文件规定的实质性要求。</w:t>
      </w:r>
      <w:r>
        <w:rPr>
          <w:rFonts w:hint="eastAsia" w:ascii="宋体" w:hAnsi="宋体" w:eastAsia="宋体" w:cs="Times New Roman"/>
          <w:color w:val="000000"/>
          <w:sz w:val="24"/>
          <w:szCs w:val="21"/>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21"/>
      <w:r/>
      <w:bookmarkEnd w:id="22"/>
      <w:r/>
      <w:bookmarkEnd w:id="23"/>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3.1 本次采购及由此产生的合同受中华人民共和国有关的法律法规制约和保护。</w:t>
      </w:r>
      <w:r>
        <w:rPr>
          <w:rFonts w:hint="eastAsia" w:ascii="宋体" w:hAnsi="宋体" w:eastAsia="宋体" w:cs="Times New Roman"/>
          <w:color w:val="000000"/>
          <w:sz w:val="24"/>
          <w:szCs w:val="21"/>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4" w:name="_Toc20823279"/>
      <w:r/>
      <w:bookmarkStart w:id="25" w:name="_Toc462564067"/>
      <w:r/>
      <w:bookmarkStart w:id="26" w:name="_Toc16938523"/>
      <w:r/>
      <w:bookmarkStart w:id="27" w:name="_Toc513029207"/>
      <w:r>
        <w:rPr>
          <w:rFonts w:hint="eastAsia" w:ascii="方正楷体_GBK" w:hAnsi="方正楷体_GBK" w:eastAsia="方正楷体_GBK" w:cs="方正楷体_GBK"/>
          <w:b/>
          <w:bCs/>
          <w:color w:val="000000"/>
          <w:sz w:val="28"/>
          <w:szCs w:val="28"/>
          <w:highlight w:val="none"/>
          <w:lang w:val="en-US" w:eastAsia="zh-CN"/>
        </w:rPr>
        <w:t xml:space="preserve">4.询价费用</w:t>
      </w:r>
      <w:bookmarkEnd w:id="24"/>
      <w:r/>
      <w:bookmarkEnd w:id="25"/>
      <w:r/>
      <w:bookmarkEnd w:id="26"/>
      <w:r/>
      <w:bookmarkEnd w:id="27"/>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供应商应自行承担所有与参加本次采购有关的费用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交易</w:t>
      </w:r>
      <w:r>
        <w:rPr>
          <w:rFonts w:hint="eastAsia" w:ascii="宋体" w:hAnsi="宋体" w:eastAsia="宋体" w:cs="Times New Roman"/>
          <w:color w:val="000000"/>
          <w:sz w:val="24"/>
          <w:szCs w:val="21"/>
          <w:highlight w:val="none"/>
        </w:rPr>
        <w:t xml:space="preserve">中心在任何情况下均无义务和责任承担这些费用。</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本次采购</w:t>
      </w:r>
      <w:r>
        <w:rPr>
          <w:rFonts w:hint="eastAsia" w:ascii="宋体" w:hAnsi="宋体" w:eastAsia="宋体" w:cs="Times New Roman"/>
          <w:color w:val="000000"/>
          <w:sz w:val="24"/>
          <w:szCs w:val="21"/>
          <w:highlight w:val="none"/>
          <w:lang w:eastAsia="zh-CN"/>
        </w:rPr>
        <w:t xml:space="preserve">交易</w:t>
      </w:r>
      <w:r>
        <w:rPr>
          <w:rFonts w:hint="eastAsia" w:ascii="宋体" w:hAnsi="宋体" w:eastAsia="宋体" w:cs="Times New Roman"/>
          <w:color w:val="000000"/>
          <w:sz w:val="24"/>
          <w:szCs w:val="21"/>
          <w:highlight w:val="none"/>
        </w:rPr>
        <w:t xml:space="preserve">中心和采购人不收取</w:t>
      </w:r>
      <w:r>
        <w:rPr>
          <w:rFonts w:hint="eastAsia" w:ascii="宋体" w:hAnsi="宋体" w:eastAsia="宋体" w:cs="Times New Roman"/>
          <w:color w:val="000000"/>
          <w:sz w:val="24"/>
          <w:szCs w:val="21"/>
          <w:highlight w:val="none"/>
          <w:lang w:eastAsia="zh-CN"/>
        </w:rPr>
        <w:t xml:space="preserve">询价文件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5.询价文件的约束力</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 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8" w:name="_Toc16938525"/>
      <w:r/>
      <w:bookmarkStart w:id="29" w:name="_Toc20823281"/>
      <w:r/>
      <w:bookmarkStart w:id="30" w:name="_Toc120614215"/>
      <w:r/>
      <w:bookmarkStart w:id="31" w:name="_Toc513029209"/>
      <w:r>
        <w:rPr>
          <w:rFonts w:hint="eastAsia" w:ascii="方正黑体_GBK" w:hAnsi="方正黑体_GBK" w:eastAsia="方正黑体_GBK" w:cs="方正黑体_GBK"/>
          <w:b w:val="0"/>
          <w:bCs w:val="0"/>
          <w:color w:val="000000"/>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lang w:val="en-US"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2" w:name="_Toc20823282"/>
      <w:r/>
      <w:bookmarkStart w:id="33" w:name="_Toc513029210"/>
      <w:r/>
      <w:bookmarkStart w:id="34" w:name="_Toc16938526"/>
      <w:r>
        <w:rPr>
          <w:rFonts w:hint="eastAsia" w:ascii="方正楷体_GBK" w:hAnsi="方正楷体_GBK" w:eastAsia="方正楷体_GBK" w:cs="方正楷体_GBK"/>
          <w:b/>
          <w:bCs/>
          <w:color w:val="000000"/>
          <w:sz w:val="28"/>
          <w:szCs w:val="28"/>
          <w:highlight w:val="none"/>
          <w:lang w:val="en-US" w:eastAsia="zh-CN"/>
        </w:rPr>
        <w:t xml:space="preserve">6.询价文件构成</w:t>
      </w:r>
      <w:bookmarkEnd w:id="32"/>
      <w:r/>
      <w:bookmarkEnd w:id="33"/>
      <w:r/>
      <w:bookmarkEnd w:id="34"/>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6.1</w:t>
      </w:r>
      <w:r>
        <w:rPr>
          <w:rFonts w:hint="eastAsia" w:ascii="宋体" w:hAnsi="宋体" w:eastAsia="宋体" w:cs="Times New Roman"/>
          <w:color w:val="000000"/>
          <w:sz w:val="24"/>
          <w:szCs w:val="21"/>
          <w:highlight w:val="none"/>
          <w:lang w:val="en-US" w:eastAsia="zh-CN"/>
        </w:rPr>
        <w:t xml:space="preserve"> 询价</w:t>
      </w:r>
      <w:r>
        <w:rPr>
          <w:rFonts w:hint="eastAsia" w:ascii="宋体" w:hAnsi="宋体" w:eastAsia="宋体" w:cs="Times New Roman"/>
          <w:color w:val="000000"/>
          <w:sz w:val="24"/>
          <w:szCs w:val="21"/>
          <w:highlight w:val="none"/>
          <w:lang w:val="zh-CN" w:eastAsia="zh-CN"/>
        </w:rPr>
        <w:t xml:space="preserve">文件由以下部分组成：</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（1）询价采购邀请</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（2）供应商须知</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（3）合同文本</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（4）采购需求</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）成交标准</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lang w:val="zh-CN" w:eastAsia="zh-CN"/>
        </w:rPr>
        <w:t xml:space="preserve">）响应文件格式</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供应商应仔细检查</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文件是否齐全，如有缺漏请立即与交易中心联系。</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6.2 供应商应认真阅读</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文件中所有的事项、格式、条款和规范等要求。按</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文件作出实质性响应，否则其风险由供应商自行承担。</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5" w:name="_Toc513029211"/>
      <w:r/>
      <w:bookmarkStart w:id="36" w:name="_Toc16938527"/>
      <w:r/>
      <w:bookmarkStart w:id="37" w:name="_Toc462564070"/>
      <w:r/>
      <w:bookmarkStart w:id="38" w:name="_Toc20823283"/>
      <w:r>
        <w:rPr>
          <w:rFonts w:hint="eastAsia" w:ascii="方正楷体_GBK" w:hAnsi="方正楷体_GBK" w:eastAsia="方正楷体_GBK" w:cs="方正楷体_GBK"/>
          <w:b/>
          <w:bCs/>
          <w:color w:val="000000"/>
          <w:sz w:val="28"/>
          <w:szCs w:val="28"/>
          <w:highlight w:val="none"/>
          <w:lang w:val="en-US" w:eastAsia="zh-CN"/>
        </w:rPr>
        <w:t xml:space="preserve">7.询价文件的澄清</w:t>
      </w:r>
      <w:bookmarkEnd w:id="35"/>
      <w:r/>
      <w:bookmarkEnd w:id="36"/>
      <w:r/>
      <w:bookmarkEnd w:id="37"/>
      <w:r/>
      <w:bookmarkEnd w:id="38"/>
      <w:r>
        <w:rPr>
          <w:rFonts w:hint="eastAsia" w:ascii="方正楷体_GBK" w:hAnsi="方正楷体_GBK" w:eastAsia="方正楷体_GBK" w:cs="方正楷体_GBK"/>
          <w:b/>
          <w:bCs/>
          <w:color w:val="000000"/>
          <w:sz w:val="28"/>
          <w:szCs w:val="28"/>
          <w:highlight w:val="none"/>
          <w:lang w:val="en-US" w:eastAsia="zh-CN"/>
        </w:rPr>
        <w:t xml:space="preserve">或修改</w:t>
      </w:r>
      <w:bookmarkStart w:id="39" w:name="_Toc16938529"/>
      <w:r/>
      <w:bookmarkStart w:id="40" w:name="_Toc513029213"/>
      <w:r/>
      <w:bookmarkStart w:id="41" w:name="_Toc120614216"/>
      <w:r/>
      <w:bookmarkStart w:id="42" w:name="_Toc20823285"/>
      <w:r/>
      <w:bookmarkStart w:id="43" w:name="_Toc462564072"/>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.1 在响应文件提交截止时间前，交易中心可以对</w:t>
      </w:r>
      <w:r>
        <w:rPr>
          <w:rFonts w:hint="eastAsia" w:ascii="宋体" w:hAnsi="宋体" w:eastAsia="宋体" w:cs="Times New Roman"/>
          <w:color w:val="000000"/>
          <w:sz w:val="24"/>
          <w:szCs w:val="21"/>
          <w:highlight w:val="none"/>
          <w:lang w:val="en-US" w:eastAsia="zh-CN"/>
        </w:rPr>
        <w:t xml:space="preserve">已发出的询价</w:t>
      </w:r>
      <w:r>
        <w:rPr>
          <w:rFonts w:hint="eastAsia" w:ascii="宋体" w:hAnsi="宋体" w:eastAsia="宋体" w:cs="Times New Roman"/>
          <w:color w:val="000000"/>
          <w:sz w:val="24"/>
          <w:szCs w:val="21"/>
          <w:highlight w:val="none"/>
          <w:lang w:val="zh-CN" w:eastAsia="zh-CN"/>
        </w:rPr>
        <w:t xml:space="preserve">文件进行</w:t>
      </w:r>
      <w:r>
        <w:rPr>
          <w:rFonts w:hint="eastAsia" w:ascii="宋体" w:hAnsi="宋体" w:eastAsia="宋体" w:cs="Times New Roman"/>
          <w:color w:val="000000"/>
          <w:sz w:val="24"/>
          <w:szCs w:val="21"/>
          <w:highlight w:val="none"/>
          <w:lang w:val="en-US" w:eastAsia="zh-CN"/>
        </w:rPr>
        <w:t xml:space="preserve">必要的澄清或</w:t>
      </w:r>
      <w:r>
        <w:rPr>
          <w:rFonts w:hint="eastAsia" w:ascii="宋体" w:hAnsi="宋体" w:eastAsia="宋体" w:cs="Times New Roman"/>
          <w:color w:val="000000"/>
          <w:sz w:val="24"/>
          <w:szCs w:val="21"/>
          <w:highlight w:val="none"/>
          <w:lang w:val="zh-CN" w:eastAsia="zh-CN"/>
        </w:rPr>
        <w:t xml:space="preserve">修改，</w:t>
      </w:r>
      <w:r>
        <w:rPr>
          <w:rFonts w:hint="eastAsia" w:ascii="宋体" w:hAnsi="宋体" w:eastAsia="宋体" w:cs="Times New Roman"/>
          <w:color w:val="000000"/>
          <w:sz w:val="24"/>
          <w:szCs w:val="21"/>
          <w:highlight w:val="none"/>
          <w:lang w:val="en-US" w:eastAsia="zh-CN"/>
        </w:rPr>
        <w:t xml:space="preserve">并</w:t>
      </w:r>
      <w:r>
        <w:rPr>
          <w:rFonts w:hint="eastAsia" w:ascii="宋体" w:hAnsi="宋体" w:eastAsia="宋体" w:cs="Times New Roman"/>
          <w:color w:val="000000"/>
          <w:sz w:val="24"/>
          <w:szCs w:val="21"/>
          <w:highlight w:val="none"/>
          <w:lang w:val="zh-CN" w:eastAsia="zh-CN"/>
        </w:rPr>
        <w:t xml:space="preserve">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lang w:val="zh-CN" w:eastAsia="zh-CN"/>
        </w:rPr>
        <w:t xml:space="preserve">内容将作为</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文件的组成部分，并对供应商具有约束力。</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供应商应在提交响应文件截止时间前，关注原公告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交易中心有权按照法定的要求推迟提交响应文件截止时间，并在原公告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39"/>
      <w:r/>
      <w:bookmarkEnd w:id="40"/>
      <w:r/>
      <w:bookmarkEnd w:id="41"/>
      <w:r/>
      <w:bookmarkEnd w:id="42"/>
      <w:r/>
      <w:bookmarkEnd w:id="43"/>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4" w:name="_Toc16938530"/>
      <w:r/>
      <w:bookmarkStart w:id="45" w:name="_Toc462564073"/>
      <w:r/>
      <w:bookmarkStart w:id="46" w:name="_Toc20823286"/>
      <w:r/>
      <w:bookmarkStart w:id="47" w:name="_Toc513029214"/>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bookmarkEnd w:id="44"/>
      <w:r/>
      <w:bookmarkEnd w:id="45"/>
      <w:r/>
      <w:bookmarkEnd w:id="46"/>
      <w:r/>
      <w:bookmarkEnd w:id="47"/>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供应商提交的响应文件以及供应商与交易中心就有关采购活动的所有来往通知、函件和文件均应使用简体中文。</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除技术性能另有规定外，响应文件所使用的度量衡单位，均须采用国家法定计量单位。</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8" w:name="_Toc20823287"/>
      <w:r/>
      <w:bookmarkStart w:id="49" w:name="_Toc513029215"/>
      <w:r/>
      <w:bookmarkStart w:id="50" w:name="_Toc16938531"/>
      <w:r/>
      <w:bookmarkStart w:id="51" w:name="_Toc462564074"/>
      <w:r>
        <w:rPr>
          <w:rFonts w:hint="eastAsia" w:ascii="方正楷体_GBK" w:hAnsi="方正楷体_GBK" w:eastAsia="方正楷体_GBK" w:cs="方正楷体_GBK"/>
          <w:b/>
          <w:bCs/>
          <w:color w:val="000000"/>
          <w:sz w:val="28"/>
          <w:szCs w:val="28"/>
          <w:highlight w:val="none"/>
          <w:lang w:val="en-US" w:eastAsia="zh-CN"/>
        </w:rPr>
        <w:t xml:space="preserve">9.响应文件构成</w:t>
      </w:r>
      <w:bookmarkEnd w:id="48"/>
      <w:r/>
      <w:bookmarkEnd w:id="49"/>
      <w:r/>
      <w:bookmarkEnd w:id="50"/>
      <w:r/>
      <w:bookmarkEnd w:id="51"/>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52" w:name="_Hlt26954838"/>
      <w:r/>
      <w:bookmarkEnd w:id="52"/>
      <w:r/>
      <w:bookmarkStart w:id="53" w:name="_Hlt26670360"/>
      <w:r/>
      <w:bookmarkEnd w:id="53"/>
      <w:r/>
      <w:bookmarkStart w:id="54" w:name="_Hlt26668975"/>
      <w:r/>
      <w:bookmarkEnd w:id="54"/>
      <w:r/>
      <w:bookmarkStart w:id="55" w:name="_Toc513029219"/>
      <w:r/>
      <w:bookmarkStart w:id="56" w:name="_Toc513029216"/>
      <w:r/>
      <w:bookmarkStart w:id="57" w:name="_Toc14577357"/>
      <w:r/>
      <w:bookmarkStart w:id="58" w:name="_Toc49090508"/>
      <w:r/>
      <w:bookmarkStart w:id="59" w:name="_Toc49090507"/>
      <w:r/>
      <w:bookmarkStart w:id="60" w:name="_Toc14577355"/>
      <w:r/>
      <w:bookmarkStart w:id="61" w:name="_Toc14577354"/>
      <w:r/>
      <w:bookmarkStart w:id="62" w:name="_Toc49090509"/>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询价报价表、</w:t>
      </w:r>
      <w:r>
        <w:rPr>
          <w:rFonts w:hint="eastAsia" w:ascii="宋体" w:hAnsi="宋体" w:eastAsia="宋体" w:cs="Times New Roman"/>
          <w:color w:val="000000"/>
          <w:sz w:val="24"/>
          <w:szCs w:val="21"/>
          <w:highlight w:val="none"/>
          <w:lang w:val="zh-CN" w:eastAsia="zh-CN"/>
        </w:rPr>
        <w:t xml:space="preserve">分项报价表、响应及偏离表、询价响应函、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9.2 </w:t>
      </w:r>
      <w:r>
        <w:rPr>
          <w:rFonts w:hint="eastAsia" w:ascii="宋体" w:hAnsi="宋体" w:eastAsia="宋体" w:cs="Times New Roman"/>
          <w:b/>
          <w:bCs/>
          <w:color w:val="000000"/>
          <w:sz w:val="24"/>
          <w:szCs w:val="21"/>
          <w:highlight w:val="none"/>
          <w:lang w:val="zh-CN" w:eastAsia="zh-CN"/>
        </w:rPr>
        <w:t xml:space="preserve">如标书制作工具与“江苏政府采购网”发布的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文件内容不一致，以“江苏政府采购网”发布的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文件为准。</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End w:id="55"/>
      <w:r/>
      <w:bookmarkEnd w:id="56"/>
      <w:r/>
      <w:bookmarkEnd w:id="57"/>
      <w:r/>
      <w:bookmarkEnd w:id="58"/>
      <w:r/>
      <w:bookmarkEnd w:id="59"/>
      <w:r/>
      <w:bookmarkEnd w:id="60"/>
      <w:r/>
      <w:bookmarkEnd w:id="61"/>
      <w:r/>
      <w:bookmarkEnd w:id="62"/>
      <w:r>
        <w:rPr>
          <w:rFonts w:hint="eastAsia" w:ascii="方正楷体_GBK" w:hAnsi="方正楷体_GBK" w:eastAsia="方正楷体_GBK" w:cs="方正楷体_GBK"/>
          <w:b/>
          <w:bCs/>
          <w:color w:val="000000"/>
          <w:sz w:val="28"/>
          <w:szCs w:val="28"/>
          <w:highlight w:val="none"/>
          <w:lang w:val="en-US" w:eastAsia="zh-CN"/>
        </w:rPr>
        <w:t xml:space="preserve">10.询价报价</w:t>
      </w:r>
      <w:r>
        <w:rPr>
          <w:rFonts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63" w:name="_Hlt26954846"/>
      <w:r/>
      <w:bookmarkEnd w:id="63"/>
      <w:r/>
      <w:bookmarkStart w:id="64" w:name="_Hlt26670486"/>
      <w:r/>
      <w:bookmarkEnd w:id="64"/>
      <w:r/>
      <w:bookmarkStart w:id="65" w:name="_Hlt26670482"/>
      <w:r/>
      <w:bookmarkEnd w:id="65"/>
      <w:r/>
      <w:bookmarkStart w:id="66" w:name="_Hlt26954731"/>
      <w:r/>
      <w:bookmarkEnd w:id="66"/>
      <w:r/>
      <w:bookmarkStart w:id="67" w:name="_Hlt26954848"/>
      <w:r/>
      <w:bookmarkEnd w:id="67"/>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color w:val="000000"/>
          <w:sz w:val="24"/>
          <w:szCs w:val="21"/>
          <w:highlight w:val="none"/>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文件另有规定的按规定执行。</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询价报价表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供应商需对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文件中的技术要求与商务要求逐项作出响应或偏离说明。</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Start w:id="68" w:name="_Toc49090511"/>
      <w:r/>
      <w:bookmarkStart w:id="69" w:name="_Toc14577360"/>
      <w:r>
        <w:rPr>
          <w:rFonts w:hint="eastAsia" w:ascii="方正楷体_GBK" w:hAnsi="方正楷体_GBK" w:eastAsia="方正楷体_GBK" w:cs="方正楷体_GBK"/>
          <w:b/>
          <w:bCs/>
          <w:color w:val="000000"/>
          <w:sz w:val="28"/>
          <w:szCs w:val="28"/>
          <w:highlight w:val="none"/>
          <w:lang w:val="en-US" w:eastAsia="zh-CN"/>
        </w:rPr>
        <w:t xml:space="preserve">12.询价响应函和授权委托书</w:t>
      </w:r>
      <w:r>
        <w:rPr>
          <w:rFonts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询价响应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13.询价有效期</w:t>
      </w:r>
      <w:bookmarkEnd w:id="68"/>
      <w:r/>
      <w:bookmarkEnd w:id="69"/>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.1 询价有效期为采购公告规定的提交响应文件截止之日起六十天。询价有效期比规定短的将被视为非实质性响应询价文件而被拒绝。</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14.询价有效期的延长</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70" w:name="_Hlt26954739"/>
      <w:r/>
      <w:bookmarkEnd w:id="70"/>
      <w:r/>
      <w:bookmarkStart w:id="71" w:name="_Hlt26954852"/>
      <w:r/>
      <w:bookmarkEnd w:id="71"/>
      <w:r/>
      <w:bookmarkStart w:id="72" w:name="_Toc16938540"/>
      <w:r/>
      <w:bookmarkStart w:id="73" w:name="_Toc513029224"/>
      <w:r/>
      <w:bookmarkStart w:id="74" w:name="_Toc120614217"/>
      <w:r/>
      <w:bookmarkStart w:id="75"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72"/>
      <w:r/>
      <w:bookmarkEnd w:id="73"/>
      <w:r/>
      <w:bookmarkEnd w:id="74"/>
      <w:r/>
      <w:bookmarkEnd w:id="75"/>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6" w:name="_Toc462564084"/>
      <w:r/>
      <w:bookmarkStart w:id="77" w:name="_Toc20823297"/>
      <w:r/>
      <w:bookmarkStart w:id="78" w:name="_Toc513029225"/>
      <w:r/>
      <w:bookmarkStart w:id="79" w:name="_Toc16938541"/>
      <w:r>
        <w:rPr>
          <w:rFonts w:hint="eastAsia" w:ascii="方正楷体_GBK" w:hAnsi="方正楷体_GBK" w:eastAsia="方正楷体_GBK" w:cs="方正楷体_GBK"/>
          <w:b/>
          <w:bCs/>
          <w:color w:val="000000"/>
          <w:sz w:val="28"/>
          <w:szCs w:val="28"/>
          <w:highlight w:val="none"/>
          <w:lang w:val="en-US" w:eastAsia="zh-CN"/>
        </w:rPr>
        <w:t xml:space="preserve">15.</w:t>
      </w:r>
      <w:bookmarkEnd w:id="76"/>
      <w:r/>
      <w:bookmarkEnd w:id="77"/>
      <w:r/>
      <w:bookmarkEnd w:id="78"/>
      <w:r/>
      <w:bookmarkEnd w:id="79"/>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w:t>
      </w:r>
      <w:bookmarkStart w:id="80" w:name="_Toc16938542"/>
      <w:r/>
      <w:bookmarkStart w:id="81" w:name="_Toc20823298"/>
      <w:r/>
      <w:bookmarkStart w:id="82" w:name="_Toc513029226"/>
      <w:r>
        <w:rPr>
          <w:rFonts w:hint="eastAsia" w:ascii="宋体" w:hAnsi="宋体" w:eastAsia="宋体" w:cs="Times New Roman"/>
          <w:color w:val="000000"/>
          <w:sz w:val="24"/>
          <w:szCs w:val="21"/>
          <w:highlight w:val="none"/>
          <w:lang w:val="zh-CN" w:eastAsia="zh-CN"/>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val="zh-CN" w:eastAsia="zh-CN"/>
        </w:rPr>
        <w:t xml:space="preserve">公告规定的提交响应文件截止时间前制作并上传电子响应文件。</w:t>
      </w:r>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lang w:val="zh-CN" w:eastAsia="zh-CN"/>
        </w:rPr>
        <w:t xml:space="preserve">供应商应充分考虑网络环境、网络带宽等因素</w:t>
      </w:r>
      <w:r>
        <w:rPr>
          <w:rFonts w:hint="eastAsia" w:ascii="宋体" w:hAnsi="宋体" w:eastAsia="宋体" w:cs="Times New Roman"/>
          <w:color w:val="000000"/>
          <w:sz w:val="24"/>
          <w:szCs w:val="21"/>
          <w:highlight w:val="none"/>
          <w:lang w:val="en-US" w:eastAsia="zh-CN"/>
        </w:rPr>
        <w:t xml:space="preserve">可能产生的影响</w:t>
      </w:r>
      <w:r>
        <w:rPr>
          <w:rFonts w:hint="eastAsia" w:ascii="宋体" w:hAnsi="宋体" w:eastAsia="宋体" w:cs="Times New Roman"/>
          <w:color w:val="000000"/>
          <w:sz w:val="24"/>
          <w:szCs w:val="21"/>
          <w:highlight w:val="none"/>
          <w:lang w:val="zh-CN" w:eastAsia="zh-CN"/>
        </w:rPr>
        <w:t xml:space="preserve">，如因供应商自身原因造成的电子响应文件上传不成功</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lang w:val="zh-CN" w:eastAsia="zh-CN"/>
        </w:rPr>
        <w:t xml:space="preserve">按照本询价文件第二章第2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条规定做无效响应处理。</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，在此情况下，供应商的所有权利和义务均以延长后新的截止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为准。</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w:t>
      </w:r>
      <w:bookmarkEnd w:id="80"/>
      <w:r/>
      <w:bookmarkEnd w:id="81"/>
      <w:r/>
      <w:bookmarkEnd w:id="82"/>
      <w:r/>
      <w:bookmarkStart w:id="83" w:name="_Toc16938543"/>
      <w:r/>
      <w:bookmarkStart w:id="84" w:name="_Toc20823299"/>
      <w:r/>
      <w:bookmarkStart w:id="85" w:name="_Toc513029227"/>
      <w:r>
        <w:rPr>
          <w:rFonts w:hint="eastAsia" w:ascii="方正楷体_GBK" w:hAnsi="方正楷体_GBK" w:eastAsia="方正楷体_GBK" w:cs="方正楷体_GBK"/>
          <w:b/>
          <w:bCs/>
          <w:color w:val="000000"/>
          <w:sz w:val="28"/>
          <w:szCs w:val="28"/>
          <w:highlight w:val="none"/>
          <w:lang w:val="en-US" w:eastAsia="zh-CN"/>
        </w:rPr>
        <w:t xml:space="preserve">响应文件</w:t>
      </w:r>
      <w:bookmarkEnd w:id="83"/>
      <w:r/>
      <w:bookmarkEnd w:id="84"/>
      <w:r/>
      <w:bookmarkEnd w:id="85"/>
      <w:r>
        <w:rPr>
          <w:rFonts w:hint="eastAsia" w:ascii="方正楷体_GBK" w:hAnsi="方正楷体_GBK" w:eastAsia="方正楷体_GBK" w:cs="方正楷体_GBK"/>
          <w:b/>
          <w:bCs/>
          <w:color w:val="000000"/>
          <w:sz w:val="28"/>
          <w:szCs w:val="28"/>
          <w:highlight w:val="none"/>
          <w:lang w:val="en-US" w:eastAsia="zh-CN"/>
        </w:rPr>
        <w:t xml:space="preserve">的撤回和修改</w:t>
      </w:r>
      <w:r>
        <w:rPr>
          <w:rFonts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86" w:name="_Toc513029229"/>
      <w:r/>
      <w:bookmarkStart w:id="87" w:name="_Toc20823301"/>
      <w:r/>
      <w:bookmarkStart w:id="88" w:name="_Toc120614218"/>
      <w:r/>
      <w:bookmarkStart w:id="89" w:name="_Toc16938545"/>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供应商撤回电子响应文件，则认为其不再参与本项目</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活动。</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响应文件的修改</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lang w:val="zh-CN" w:eastAsia="zh-CN"/>
        </w:rPr>
        <w:t xml:space="preserve">供应商可在提交响应文件截止时间前，对其电子响应文件进行修改。</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lang w:val="zh-CN" w:eastAsia="zh-CN"/>
        </w:rPr>
        <w:t xml:space="preserve">提交响应文件截止时间之后，供应商不得对其电子响应文件作任何修改。</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86"/>
      <w:r/>
      <w:bookmarkEnd w:id="87"/>
      <w:r/>
      <w:bookmarkEnd w:id="88"/>
      <w:r/>
      <w:bookmarkEnd w:id="89"/>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pageBreakBefore w:val="0"/>
        <w:spacing w:line="240" w:lineRule="auto"/>
        <w:widowControl w:val="off"/>
        <w:rPr>
          <w:rFonts w:hint="eastAsia" w:ascii="宋体" w:hAnsi="宋体" w:eastAsia="宋体" w:cs="Times New Roman"/>
          <w:color w:val="000000"/>
          <w:sz w:val="24"/>
          <w:szCs w:val="21"/>
          <w:highlight w:val="none"/>
          <w:lang w:val="en-US"/>
        </w:rPr>
      </w:pPr>
      <w:r>
        <w:rPr>
          <w:rFonts w:hint="eastAsia" w:ascii="宋体" w:hAnsi="宋体" w:eastAsia="宋体" w:cs="Times New Roman"/>
          <w:color w:val="000000"/>
          <w:sz w:val="24"/>
          <w:szCs w:val="21"/>
          <w:highlight w:val="none"/>
          <w:lang w:val="en-US" w:eastAsia="zh-CN"/>
        </w:rPr>
        <w:t xml:space="preserve">17.1 </w:t>
      </w:r>
      <w:r>
        <w:rPr>
          <w:rFonts w:hint="eastAsia" w:ascii="宋体" w:hAnsi="宋体" w:eastAsia="宋体" w:cs="Times New Roman"/>
          <w:color w:val="000000"/>
          <w:sz w:val="24"/>
          <w:szCs w:val="21"/>
          <w:highlight w:val="none"/>
          <w:lang w:val="en-US"/>
        </w:rPr>
        <w:t xml:space="preserve">供应商应当在苏采云系统规定的时间内对响应文件进行解密。</w:t>
      </w:r>
      <w:r>
        <w:rPr>
          <w:rFonts w:hint="eastAsia" w:ascii="宋体" w:hAnsi="宋体" w:eastAsia="宋体" w:cs="Times New Roman"/>
          <w:color w:val="000000"/>
          <w:sz w:val="24"/>
          <w:szCs w:val="21"/>
          <w:highlight w:val="none"/>
          <w:lang w:val="en-US"/>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0" w:name="_Toc20823303"/>
      <w:r/>
      <w:bookmarkStart w:id="91" w:name="_Toc16938547"/>
      <w:r/>
      <w:bookmarkStart w:id="92" w:name="_Toc513029231"/>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依法组建的询价小组对响应文件进行评审。</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询价小组由采购人代表和有关方面的专家组成，人员构成符合政府采购有关规定。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询价小组独立工作，负责评审所有响应文件并推荐成交候选人，或根据采购人授权直接确定成交供应商。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90"/>
      <w:r/>
      <w:bookmarkEnd w:id="91"/>
      <w:r/>
      <w:bookmarkEnd w:id="92"/>
      <w:r/>
      <w:bookmarkStart w:id="93" w:name="_Toc20823304"/>
      <w:r/>
      <w:bookmarkStart w:id="94" w:name="_Toc513029232"/>
      <w:r/>
      <w:bookmarkStart w:id="95" w:name="_Toc16938548"/>
      <w:r>
        <w:rPr>
          <w:rFonts w:hint="eastAsia" w:ascii="宋体" w:hAnsi="宋体" w:eastAsia="宋体" w:cs="Times New Roman"/>
          <w:color w:val="000000"/>
          <w:sz w:val="24"/>
          <w:szCs w:val="21"/>
          <w:highlight w:val="none"/>
          <w:lang w:val="en-US" w:eastAsia="zh-CN"/>
        </w:rPr>
        <w:t xml:space="preserve">19.1 询价小组、采购人和交易中心工作人员、相关监督人员等与评审工作有关的人员，对评审情况以及在评审过程中获悉的国家秘密、商业秘密负有保密责任。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交易中心和询价小组不向未成交的供应商解释未成交原因，也不公布评审过程中的相关细节。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93"/>
      <w:r/>
      <w:bookmarkEnd w:id="94"/>
      <w:r/>
      <w:bookmarkEnd w:id="95"/>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6" w:name="_Toc513029233"/>
      <w:r/>
      <w:bookmarkStart w:id="97" w:name="_Toc16938549"/>
      <w:r/>
      <w:bookmarkStart w:id="98" w:name="_Toc20823305"/>
      <w:r>
        <w:rPr>
          <w:rFonts w:hint="eastAsia" w:ascii="宋体" w:hAnsi="宋体" w:eastAsia="宋体" w:cs="Times New Roman"/>
          <w:color w:val="000000"/>
          <w:sz w:val="24"/>
          <w:szCs w:val="21"/>
          <w:highlight w:val="none"/>
          <w:lang w:val="en-US" w:eastAsia="zh-CN"/>
        </w:rPr>
        <w:t xml:space="preserve">20.1 项目评审期间，询价小组有权要求供应商对响应文件中含义不明确、同类问题表述不一致或者有明显文字和计算错误的内容等作出必要的澄清、说明或者补正。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询价小组并非对每个供应商都做澄清要求。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需要供应商进行澄清、说明和补正的，询价小组将通过苏采云系统向供应商发出</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szCs w:val="21"/>
          <w:highlight w:val="none"/>
          <w:lang w:val="zh-CN" w:eastAsia="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接到询价小组澄清、说明和补正要求的供应商如未按规定做出澄清、说明和补正，其风险由供应商自行承担。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96"/>
      <w:r/>
      <w:bookmarkEnd w:id="97"/>
      <w:r/>
      <w:bookmarkEnd w:id="98"/>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9" w:name="_Toc16938550"/>
      <w:r/>
      <w:bookmarkStart w:id="100" w:name="_Toc513029234"/>
      <w:r/>
      <w:bookmarkStart w:id="101" w:name="_Toc20823306"/>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1"/>
          <w:highlight w:val="none"/>
          <w:lang w:val="en-US" w:eastAsia="zh-CN"/>
        </w:rPr>
        <w:t xml:space="preserve">依据法律法规和询价文件的规定，对响应文件中的资格证明文件进行审查，以确定供应商是否具备参加询价的资格。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询价小组进行资格审查时，将在“信用中国”网站查询供应商的信用记录，以确定供应商是否具备询价资格，查询结果留存并归档。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符合性审查。询价小组对通过资格审查的供应商的响应文件进行符合性审查，以确定是否满足询价文件的实质性要求。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未通过资格审查或符合性审查的供应商，询价小组将通过苏采云系统告知具体原因，评审结束后将不再接受有关询问。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2" w:name="OLE_LINK3"/>
      <w:r>
        <w:rPr>
          <w:rFonts w:hint="eastAsia" w:ascii="宋体" w:hAnsi="宋体" w:eastAsia="宋体" w:cs="Times New Roman"/>
          <w:color w:val="000000"/>
          <w:sz w:val="24"/>
          <w:szCs w:val="21"/>
          <w:highlight w:val="none"/>
          <w:lang w:val="en-US" w:eastAsia="zh-CN"/>
        </w:rPr>
        <w:t xml:space="preserve">21.3 如果响应文件实质上没有响应询价文件的要求，询价小组将予以拒绝，供应商不得通过修改或撤销不符合要求的偏离或保留而使其成为实质性响应的文件。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bookmarkEnd w:id="102"/>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50%</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50%</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3"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03"/>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未实质性响应询价文件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28"/>
        <w:ind w:firstLine="455"/>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询价文件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询价文件另有约定的除外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供应商不具备询价文件中规定的资格要求。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val="0"/>
          <w:bCs w:val="0"/>
          <w:color w:val="000000"/>
          <w:sz w:val="24"/>
          <w:szCs w:val="21"/>
          <w:highlight w:val="none"/>
          <w:lang w:val="en-US" w:eastAsia="zh-CN"/>
        </w:rPr>
        <w:t xml:space="preserve">询价小组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本询价文件</w:t>
      </w:r>
      <w:r>
        <w:rPr>
          <w:rFonts w:hint="eastAsia" w:ascii="宋体" w:hAnsi="宋体" w:eastAsia="宋体" w:cs="Times New Roman"/>
          <w:color w:val="000000"/>
          <w:sz w:val="24"/>
          <w:szCs w:val="21"/>
          <w:highlight w:val="none"/>
        </w:rPr>
        <w:t xml:space="preserve">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响应文件未按照询价文件要求加盖电子公章。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法律法规及本询价文件规定的其他无效响应的情形。</w:t>
      </w:r>
      <w:r>
        <w:rPr>
          <w:rFonts w:hint="eastAsia" w:ascii="宋体" w:hAnsi="宋体" w:eastAsia="宋体" w:cs="Times New Roman"/>
          <w:color w:val="000000"/>
          <w:sz w:val="24"/>
          <w:szCs w:val="21"/>
          <w:highlight w:val="none"/>
          <w:lang w:val="en-US" w:eastAsia="zh-CN"/>
        </w:rPr>
      </w:r>
      <w:r/>
    </w:p>
    <w:p>
      <w:pPr>
        <w:pStyle w:val="928"/>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92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bookmarkEnd w:id="99"/>
      <w:r/>
      <w:bookmarkEnd w:id="100"/>
      <w:r/>
      <w:bookmarkEnd w:id="101"/>
      <w:r>
        <w:rPr>
          <w:rFonts w:hint="eastAsia" w:ascii="方正楷体_GBK" w:hAnsi="方正楷体_GBK" w:eastAsia="方正楷体_GBK" w:cs="方正楷体_GBK"/>
          <w:b/>
          <w:bCs/>
          <w:color w:val="000000"/>
          <w:highlight w:val="none"/>
          <w:lang w:val="zh-CN" w:eastAsia="zh-CN"/>
        </w:rPr>
        <w:t xml:space="preserve">2</w:t>
      </w:r>
      <w:r>
        <w:rPr>
          <w:rFonts w:hint="eastAsia" w:ascii="方正楷体_GBK" w:hAnsi="方正楷体_GBK" w:eastAsia="方正楷体_GBK" w:cs="方正楷体_GBK"/>
          <w:b/>
          <w:bCs/>
          <w:color w:val="000000"/>
          <w:highlight w:val="none"/>
          <w:lang w:val="en-US" w:eastAsia="zh-CN"/>
        </w:rPr>
        <w:t xml:space="preserve">3.采购活动终止</w:t>
      </w:r>
      <w:r>
        <w:rPr>
          <w:rFonts w:ascii="方正楷体_GBK" w:hAnsi="方正楷体_GBK" w:eastAsia="方正楷体_GBK" w:cs="方正楷体_GBK"/>
          <w:b/>
          <w:bCs/>
          <w:color w:val="000000"/>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采购活动终止情形</w:t>
      </w:r>
      <w:r>
        <w:rPr>
          <w:rFonts w:hint="eastAsia" w:ascii="宋体" w:hAnsi="宋体" w:eastAsia="宋体" w:cs="Times New Roman"/>
          <w:b/>
          <w:bCs/>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.1因情况变化，不再符合规定的竞争性</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采购方式适用情形。</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.4在</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4" w:name="_Toc513029238"/>
      <w:r/>
      <w:bookmarkStart w:id="105" w:name="_Toc20823310"/>
      <w:r/>
      <w:bookmarkStart w:id="106" w:name="_Toc16938554"/>
      <w:r/>
      <w:bookmarkStart w:id="107" w:name="_Toc120614220"/>
      <w:r/>
      <w:bookmarkStart w:id="108" w:name="_Toc20823308"/>
      <w:r/>
      <w:bookmarkStart w:id="109" w:name="_Toc16938552"/>
      <w:r/>
      <w:bookmarkStart w:id="110" w:name="_Toc513029236"/>
      <w:r>
        <w:rPr>
          <w:rFonts w:hint="eastAsia" w:ascii="方正楷体_GBK" w:hAnsi="方正楷体_GBK" w:eastAsia="方正楷体_GBK" w:cs="方正楷体_GBK"/>
          <w:b/>
          <w:bCs/>
          <w:color w:val="000000"/>
          <w:sz w:val="28"/>
          <w:szCs w:val="28"/>
          <w:highlight w:val="none"/>
          <w:lang w:val="en-US" w:eastAsia="zh-CN"/>
        </w:rPr>
        <w:t xml:space="preserve">2</w:t>
      </w:r>
      <w:bookmarkEnd w:id="104"/>
      <w:r>
        <w:rPr>
          <w:rFonts w:hint="eastAsia" w:ascii="方正楷体_GBK" w:hAnsi="方正楷体_GBK" w:eastAsia="方正楷体_GBK" w:cs="方正楷体_GBK"/>
          <w:b/>
          <w:bCs/>
          <w:color w:val="000000"/>
          <w:sz w:val="28"/>
          <w:szCs w:val="28"/>
          <w:highlight w:val="none"/>
          <w:lang w:val="en-US" w:eastAsia="zh-CN"/>
        </w:rPr>
        <w:t xml:space="preserve">4.确定</w:t>
      </w:r>
      <w:bookmarkEnd w:id="105"/>
      <w:r/>
      <w:bookmarkEnd w:id="106"/>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w:t>
      </w:r>
      <w:r>
        <w:rPr>
          <w:rFonts w:hint="eastAsia" w:ascii="宋体" w:hAnsi="宋体" w:eastAsia="宋体" w:cs="Times New Roman"/>
          <w:color w:val="000000"/>
          <w:sz w:val="24"/>
          <w:szCs w:val="21"/>
          <w:highlight w:val="none"/>
          <w:lang w:val="en-US" w:eastAsia="zh-CN"/>
        </w:rPr>
        <w:t xml:space="preserve">成交候选供应商的确定原则和数量见询价文件第五章。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（1）询价小组直接确定排名第一的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（2）采购人在询价小组推荐的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不满足本询价文件规定的实质性要求，但在评审过程中未被询价小组发现。</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bookmarkEnd w:id="107"/>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108"/>
      <w:r/>
      <w:bookmarkEnd w:id="109"/>
      <w:r/>
      <w:bookmarkEnd w:id="110"/>
      <w:r/>
      <w:bookmarkStart w:id="111" w:name="_Toc479757207"/>
      <w:r/>
      <w:bookmarkStart w:id="112" w:name="_Toc513029242"/>
      <w:r/>
      <w:bookmarkStart w:id="113" w:name="_Toc16938558"/>
      <w:r/>
      <w:bookmarkStart w:id="114" w:name="_Toc120614221"/>
      <w:r/>
      <w:bookmarkStart w:id="115" w:name="_Toc20823314"/>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询价文件、成交供应商的响应文件及采购过程中有关澄清、承诺文件均作为合同附件。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询价</w:t>
      </w:r>
      <w:r>
        <w:rPr>
          <w:rFonts w:hint="eastAsia" w:ascii="宋体" w:hAnsi="宋体" w:eastAsia="宋体" w:cs="Times New Roman"/>
          <w:color w:val="000000"/>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w:t>
      </w:r>
      <w:r>
        <w:rPr>
          <w:rFonts w:hint="eastAsia" w:ascii="宋体" w:hAnsi="宋体" w:eastAsia="宋体" w:cs="Times New Roman"/>
          <w:color w:val="000000"/>
          <w:sz w:val="24"/>
          <w:szCs w:val="21"/>
          <w:highlight w:val="none"/>
          <w:lang w:val="en-US" w:eastAsia="zh-CN"/>
        </w:rPr>
        <w:t xml:space="preserve">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.提出质疑的供应商应当是参与所质疑项目采购活动的供应商，潜在供应商依法获取其可质疑的询价文件的，可以对询价文件提出质疑。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.供应商认为询价文件、采购过程和采购结果使自己的权益受到损害的，可以在知道或应知其权益受到损害之日起七个工作日内，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采购人或</w:t>
      </w:r>
      <w:r>
        <w:rPr>
          <w:rFonts w:hint="eastAsia" w:ascii="宋体" w:hAnsi="宋体" w:eastAsia="宋体" w:cs="Times New Roman"/>
          <w:color w:val="000000"/>
          <w:sz w:val="24"/>
          <w:highlight w:val="none"/>
          <w:lang w:val="zh-CN"/>
        </w:rPr>
        <w:t xml:space="preserve">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对询价文件提出质疑的，为收到询价文件之日或者询价文件公告期限届满之日。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8"/>
        <w:ind w:firstLine="420"/>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质疑答复主体提出质疑，具体详见询价文件第一章。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8"/>
        <w:ind w:firstLine="422"/>
        <w:jc w:val="left"/>
        <w:keepLines w:val="0"/>
        <w:keepNext w:val="0"/>
        <w:pageBreakBefore w:val="0"/>
        <w:spacing w:line="240" w:lineRule="auto"/>
        <w:widowControl/>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val="0"/>
          <w:bCs w:val="0"/>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32"/>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38.绿色采购</w:t>
      </w:r>
      <w:r>
        <w:rPr>
          <w:rFonts w:ascii="方正楷体_GBK" w:hAnsi="方正楷体_GBK" w:eastAsia="方正楷体_GBK" w:cs="方正楷体_GBK"/>
          <w:color w:val="000000"/>
          <w:sz w:val="28"/>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文件执行。询价文件对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采购产品中涉及数据中心相关设备、运维服务的，应按照《关于印发&lt;绿色数据中心政府采购需求标准（试行）&gt;的通知》（财办库〔2023〕7号）、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932"/>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932"/>
        <w:ind w:firstLine="420"/>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szCs w:val="21"/>
          <w:highlight w:val="none"/>
          <w:lang w:val="en-US" w:eastAsia="zh-CN"/>
        </w:rPr>
      </w:r>
      <w:r/>
    </w:p>
    <w:p>
      <w:pPr>
        <w:pStyle w:val="932"/>
        <w:ind w:firstLine="420"/>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928"/>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928"/>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928"/>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928"/>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28"/>
        <w:jc w:val="center"/>
        <w:keepLines w:val="0"/>
        <w:keepNext/>
        <w:pageBreakBefore w:val="0"/>
        <w:spacing w:line="240" w:lineRule="auto"/>
        <w:widowControl w:val="off"/>
        <w:rPr>
          <w:rFonts w:hint="eastAsia" w:ascii="黑体" w:hAnsi="Times New Roman" w:eastAsia="黑体" w:cs="Times New Roman"/>
          <w:color w:val="000000"/>
          <w:sz w:val="44"/>
          <w:szCs w:val="44"/>
          <w:highlight w:val="none"/>
        </w:rPr>
        <w:outlineLvl w:val="0"/>
      </w:pPr>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11"/>
      <w:r/>
      <w:bookmarkEnd w:id="112"/>
      <w:r/>
      <w:bookmarkEnd w:id="113"/>
      <w:r/>
      <w:bookmarkEnd w:id="114"/>
      <w:r/>
      <w:bookmarkEnd w:id="11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928"/>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16" w:name="_Hlt16619369"/>
      <w:r/>
      <w:bookmarkEnd w:id="116"/>
      <w:r/>
      <w:bookmarkStart w:id="117" w:name="_Toc20823315"/>
      <w:r/>
      <w:bookmarkStart w:id="118" w:name="_Toc16938559"/>
      <w:r/>
      <w:bookmarkStart w:id="119" w:name="_Toc513029243"/>
      <w:r/>
      <w:bookmarkStart w:id="120" w:name="_Hlt16619350"/>
      <w:r/>
      <w:bookmarkStart w:id="121" w:name="_Toc120614244"/>
      <w:r/>
      <w:bookmarkStart w:id="122" w:name="_Toc20823346"/>
      <w:r/>
      <w:bookmarkStart w:id="123" w:name="_Toc16938590"/>
      <w:r/>
      <w:bookmarkStart w:id="124" w:name="_Toc462564139"/>
      <w:r/>
      <w:bookmarkStart w:id="125"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合同双方不得对采购、响应文件内容作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8"/>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询价</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eastAsia="宋体" w:cs="Courier New"/>
          <w:color w:val="000000"/>
          <w:sz w:val="24"/>
          <w:szCs w:val="24"/>
          <w:highlight w:val="none"/>
          <w:lang w:eastAsia="zh-CN"/>
        </w:rPr>
      </w:r>
      <w:r/>
    </w:p>
    <w:p>
      <w:pPr>
        <w:pStyle w:val="928"/>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询价</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7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询价</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合同签订完成，甲方支付合同总价款的10%作为预付款。</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8.1.2供货结束验收合格，支付90%尾款。</w:t>
      </w:r>
      <w:r>
        <w:rPr>
          <w:rFonts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满足合同约定支付条件且预算资金下达后，甲方收到乙方发票10个工作日内，将资金支付到合同约定的乙方账户。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规定的货物性能、技术要求、质量标准向甲方提供未经使用的全新产品。</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竞争</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28"/>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0.5%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30%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17"/>
      <w:r/>
      <w:bookmarkEnd w:id="118"/>
      <w:r/>
      <w:bookmarkEnd w:id="119"/>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70"/>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70"/>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spacing w:before="120" w:after="120" w:line="0" w:lineRule="atLeast"/>
        <w:rPr>
          <w:rFonts w:hint="eastAsia" w:ascii="黑体" w:hAnsi="Courier New" w:eastAsia="黑体" w:cs="Courier New"/>
          <w:bCs/>
          <w:color w:val="000000"/>
          <w:sz w:val="44"/>
          <w:szCs w:val="21"/>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20"/>
      <w:r>
        <w:rPr>
          <w:rFonts w:hint="eastAsia" w:ascii="方正小标宋简体" w:hAnsi="方正小标宋简体" w:eastAsia="方正小标宋简体" w:cs="方正小标宋简体"/>
          <w:color w:val="000000"/>
          <w:sz w:val="36"/>
          <w:szCs w:val="36"/>
          <w:highlight w:val="none"/>
          <w:lang w:val="en-US"/>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采购需求</w:t>
      </w:r>
      <w:bookmarkEnd w:id="121"/>
      <w:r/>
      <w:bookmarkEnd w:id="122"/>
      <w:r/>
      <w:bookmarkEnd w:id="123"/>
      <w:r/>
      <w:bookmarkStart w:id="126" w:name="_Toc26554093"/>
      <w:r/>
      <w:bookmarkStart w:id="127" w:name="_Toc49090575"/>
      <w:r>
        <w:rPr>
          <w:rFonts w:hint="eastAsia" w:ascii="黑体" w:hAnsi="Courier New" w:eastAsia="黑体" w:cs="Courier New"/>
          <w:bCs/>
          <w:color w:val="000000"/>
          <w:sz w:val="44"/>
          <w:szCs w:val="21"/>
          <w:highlight w:val="none"/>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本项目采购内容为安防系统配套不间断电源系统（UPS）电池，覆盖监控大屏、可视对讲系统、视频监控系统、门禁系统、入侵报警系统，以及一层、二层安防设备间主机等各类安防设施。</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928"/>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1、GB/T 7260.1—2023：UPS 安全要求 </w:t>
      </w:r>
      <w:r>
        <w:rPr>
          <w:rFonts w:hint="eastAsia" w:ascii="宋体" w:hAnsi="宋体" w:eastAsia="宋体" w:cs="宋体"/>
          <w:bCs/>
          <w:color w:val="000000"/>
          <w:sz w:val="24"/>
          <w:szCs w:val="24"/>
          <w:highlight w:val="none"/>
          <w:lang w:val="en-US" w:eastAsia="zh-CN"/>
        </w:rPr>
      </w:r>
      <w:r/>
    </w:p>
    <w:p>
      <w:pPr>
        <w:pStyle w:val="928"/>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 7260.2—2009：电磁兼容（EMC）要求 </w:t>
      </w:r>
      <w:r>
        <w:rPr>
          <w:rFonts w:hint="eastAsia" w:ascii="宋体" w:hAnsi="宋体" w:eastAsia="宋体" w:cs="宋体"/>
          <w:bCs/>
          <w:color w:val="000000"/>
          <w:sz w:val="24"/>
          <w:szCs w:val="24"/>
          <w:highlight w:val="none"/>
          <w:lang w:val="en-US" w:eastAsia="zh-CN"/>
        </w:rPr>
      </w:r>
      <w:r/>
    </w:p>
    <w:p>
      <w:pPr>
        <w:pStyle w:val="928"/>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3、GB/T 7260.3—2024：性能确定和试验方法 </w:t>
      </w:r>
      <w:r>
        <w:rPr>
          <w:rFonts w:hint="eastAsia" w:ascii="宋体" w:hAnsi="宋体" w:eastAsia="宋体" w:cs="宋体"/>
          <w:bCs/>
          <w:color w:val="000000"/>
          <w:sz w:val="24"/>
          <w:szCs w:val="24"/>
          <w:highlight w:val="none"/>
          <w:lang w:val="en-US" w:eastAsia="zh-CN"/>
        </w:rPr>
      </w:r>
      <w:r/>
    </w:p>
    <w:p>
      <w:pPr>
        <w:pStyle w:val="928"/>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4、GB/T 14715—2017：信息技术设备用 UPS 通用规范</w:t>
      </w:r>
      <w:r>
        <w:rPr>
          <w:rFonts w:hint="eastAsia" w:ascii="宋体" w:hAnsi="宋体" w:eastAsia="宋体" w:cs="宋体"/>
          <w:bCs/>
          <w:color w:val="000000"/>
          <w:sz w:val="24"/>
          <w:szCs w:val="24"/>
          <w:highlight w:val="none"/>
          <w:lang w:val="en-US" w:eastAsia="zh-CN"/>
        </w:rPr>
      </w:r>
      <w:r/>
    </w:p>
    <w:p>
      <w:pPr>
        <w:pStyle w:val="928"/>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询价文件</w:t>
      </w:r>
      <w:r>
        <w:rPr>
          <w:rFonts w:hint="eastAsia" w:ascii="宋体" w:hAnsi="宋体" w:eastAsia="宋体" w:cs="宋体"/>
          <w:bCs/>
          <w:color w:val="000000"/>
          <w:sz w:val="24"/>
          <w:szCs w:val="24"/>
          <w:highlight w:val="none"/>
        </w:rPr>
        <w:t xml:space="preserve">涉及标准中未标年号的一律采用最新的标准；随着标准的修订，以修订后的最新标准为依据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1048"/>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0"/>
        <w:gridCol w:w="1201"/>
        <w:gridCol w:w="1281"/>
      </w:tblGrid>
      <w:tr>
        <w:trPr>
          <w:trHeight w:val="470"/>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928"/>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UPS电池</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112</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块</w:t>
            </w:r>
            <w:r>
              <w:rPr>
                <w:rFonts w:hint="eastAsia"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950</w:t>
            </w:r>
            <w:r>
              <w:rPr>
                <w:rFonts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主要产品</w:t>
            </w:r>
            <w:r>
              <w:rPr>
                <w:rFonts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bl>
    <w:p>
      <w:pPr>
        <w:pStyle w:val="928"/>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798"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9"/>
        <w:gridCol w:w="1353"/>
        <w:gridCol w:w="7786"/>
      </w:tblGrid>
      <w:tr>
        <w:trPr/>
        <w:tc>
          <w:tcPr>
            <w:tcW w:w="65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W w:w="135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产品</w:t>
            </w:r>
            <w:r>
              <w:rPr>
                <w:rFonts w:hint="eastAsia" w:ascii="宋体" w:hAnsi="宋体" w:eastAsia="宋体" w:cs="宋体"/>
                <w:b/>
                <w:bCs w:val="0"/>
                <w:color w:val="000000"/>
                <w:sz w:val="24"/>
                <w:szCs w:val="24"/>
                <w:highlight w:val="none"/>
                <w:lang w:eastAsia="zh-CN"/>
              </w:rPr>
              <w:t xml:space="preserve">名称</w:t>
            </w:r>
            <w:r>
              <w:rPr>
                <w:rFonts w:hint="eastAsia" w:ascii="宋体" w:hAnsi="宋体" w:eastAsia="宋体" w:cs="宋体"/>
                <w:b/>
                <w:bCs w:val="0"/>
                <w:color w:val="000000"/>
                <w:sz w:val="24"/>
                <w:szCs w:val="24"/>
                <w:highlight w:val="none"/>
                <w:lang w:eastAsia="zh-CN"/>
              </w:rPr>
            </w:r>
            <w:r/>
          </w:p>
        </w:tc>
        <w:tc>
          <w:tcPr>
            <w:tcW w:w="778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功能、性能、配置要求</w:t>
            </w:r>
            <w:r>
              <w:rPr>
                <w:rFonts w:hint="eastAsia" w:ascii="宋体" w:hAnsi="宋体" w:eastAsia="宋体" w:cs="宋体"/>
                <w:b/>
                <w:bCs w:val="0"/>
                <w:color w:val="000000"/>
                <w:sz w:val="24"/>
                <w:szCs w:val="24"/>
                <w:highlight w:val="none"/>
                <w:lang w:val="en-US" w:eastAsia="zh-CN"/>
              </w:rPr>
              <w:t xml:space="preserve">不低于以下要求</w:t>
            </w:r>
            <w:r>
              <w:rPr>
                <w:rFonts w:hint="eastAsia" w:ascii="宋体" w:hAnsi="宋体" w:eastAsia="宋体" w:cs="宋体"/>
                <w:b/>
                <w:bCs w:val="0"/>
                <w:color w:val="000000"/>
                <w:sz w:val="24"/>
                <w:szCs w:val="24"/>
                <w:highlight w:val="none"/>
              </w:rPr>
            </w:r>
            <w:r/>
          </w:p>
        </w:tc>
      </w:tr>
      <w:tr>
        <w:trPr>
          <w:cantSplit/>
        </w:trPr>
        <w:tc>
          <w:tcPr>
            <w:tcW w:w="65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bookmarkStart w:id="128" w:name="OLE_LINK4"/>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353"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UPS电池</w:t>
            </w:r>
            <w:r>
              <w:rPr>
                <w:rFonts w:hint="eastAsia" w:ascii="宋体" w:hAnsi="宋体" w:eastAsia="宋体" w:cs="宋体"/>
                <w:bCs/>
                <w:color w:val="000000"/>
                <w:sz w:val="24"/>
                <w:szCs w:val="24"/>
                <w:highlight w:val="none"/>
                <w:lang w:eastAsia="zh-CN"/>
              </w:rPr>
            </w:r>
            <w:r/>
          </w:p>
        </w:tc>
        <w:tc>
          <w:tcPr>
            <w:tcW w:w="7786" w:type="dxa"/>
            <w:vAlign w:val="center"/>
            <w:textDirection w:val="lrTb"/>
            <w:noWrap w:val="false"/>
          </w:tcPr>
          <w:p>
            <w:pPr>
              <w:pStyle w:val="928"/>
              <w:rPr>
                <w:color w:val="000000"/>
                <w:highlight w:val="none"/>
                <w:lang w:val="en-US" w:eastAsia="zh-CN"/>
              </w:rPr>
            </w:pPr>
            <w:r>
              <w:rPr>
                <w:color w:val="000000"/>
                <w:highlight w:val="none"/>
                <w:lang w:val="en-US" w:eastAsia="zh-CN"/>
              </w:rPr>
              <w:t xml:space="preserve">基本参数</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1、容量：</w:t>
            </w:r>
            <w:r>
              <w:rPr>
                <w:rFonts w:hint="eastAsia"/>
                <w:color w:val="000000"/>
                <w:highlight w:val="none"/>
                <w:lang w:val="en-US" w:eastAsia="zh-CN"/>
              </w:rPr>
              <w:t xml:space="preserve">12</w:t>
            </w:r>
            <w:r>
              <w:rPr>
                <w:color w:val="000000"/>
                <w:highlight w:val="none"/>
                <w:lang w:val="en-US" w:eastAsia="zh-CN"/>
              </w:rPr>
              <w:t xml:space="preserve">kVA</w:t>
            </w:r>
            <w:r>
              <w:rPr>
                <w:rFonts w:hint="eastAsia"/>
                <w:color w:val="000000"/>
                <w:highlight w:val="none"/>
                <w:lang w:val="en-US" w:eastAsia="zh-CN"/>
              </w:rPr>
              <w:t xml:space="preserve">。</w:t>
            </w:r>
            <w:r>
              <w:rPr>
                <w:color w:val="000000"/>
                <w:highlight w:val="none"/>
                <w:lang w:val="en-US" w:eastAsia="zh-CN"/>
              </w:rPr>
            </w:r>
            <w:r/>
          </w:p>
          <w:p>
            <w:pPr>
              <w:pStyle w:val="928"/>
              <w:rPr>
                <w:color w:val="000000"/>
                <w:highlight w:val="none"/>
                <w:lang w:val="en-US" w:eastAsia="zh-CN"/>
              </w:rPr>
            </w:pPr>
            <w:r>
              <w:rPr>
                <w:rFonts w:hint="eastAsia"/>
                <w:color w:val="000000"/>
                <w:highlight w:val="none"/>
                <w:lang w:val="en-US" w:eastAsia="zh-CN"/>
              </w:rPr>
              <w:t xml:space="preserve">2</w:t>
            </w:r>
            <w:r>
              <w:rPr>
                <w:color w:val="000000"/>
                <w:highlight w:val="none"/>
                <w:lang w:val="en-US" w:eastAsia="zh-CN"/>
              </w:rPr>
              <w:t xml:space="preserve">、拓扑：关键负载</w:t>
            </w:r>
            <w:r>
              <w:rPr>
                <w:rFonts w:hint="eastAsia"/>
                <w:color w:val="000000"/>
                <w:highlight w:val="none"/>
                <w:lang w:val="en-US" w:eastAsia="zh-CN"/>
              </w:rPr>
              <w:t xml:space="preserve">为</w:t>
            </w:r>
            <w:r>
              <w:rPr>
                <w:color w:val="000000"/>
                <w:highlight w:val="none"/>
                <w:lang w:val="en-US" w:eastAsia="zh-CN"/>
              </w:rPr>
              <w:t xml:space="preserve">在线式双变换，停电切换 0ms，不中断设备。</w:t>
            </w:r>
            <w:r>
              <w:rPr>
                <w:color w:val="000000"/>
                <w:highlight w:val="none"/>
                <w:lang w:val="en-US" w:eastAsia="zh-CN"/>
              </w:rPr>
            </w:r>
            <w:r/>
          </w:p>
          <w:p>
            <w:pPr>
              <w:pStyle w:val="928"/>
              <w:rPr>
                <w:color w:val="000000"/>
                <w:highlight w:val="none"/>
                <w:lang w:val="en-US" w:eastAsia="zh-CN"/>
              </w:rPr>
            </w:pPr>
            <w:r>
              <w:rPr>
                <w:rFonts w:hint="eastAsia"/>
                <w:color w:val="000000"/>
                <w:highlight w:val="none"/>
                <w:lang w:val="en-US" w:eastAsia="zh-CN"/>
              </w:rPr>
              <w:t xml:space="preserve">3</w:t>
            </w:r>
            <w:r>
              <w:rPr>
                <w:color w:val="000000"/>
                <w:highlight w:val="none"/>
                <w:lang w:val="en-US" w:eastAsia="zh-CN"/>
              </w:rPr>
              <w:t xml:space="preserve">、输出波形：纯正弦波，适配服务器、网络设备。</w:t>
            </w:r>
            <w:r>
              <w:rPr>
                <w:color w:val="000000"/>
                <w:highlight w:val="none"/>
                <w:lang w:val="en-US" w:eastAsia="zh-CN"/>
              </w:rPr>
            </w:r>
            <w:r/>
          </w:p>
          <w:p>
            <w:pPr>
              <w:pStyle w:val="928"/>
              <w:rPr>
                <w:color w:val="000000"/>
                <w:highlight w:val="none"/>
                <w:lang w:val="en-US" w:eastAsia="zh-CN"/>
              </w:rPr>
            </w:pPr>
            <w:r>
              <w:rPr>
                <w:rFonts w:hint="eastAsia"/>
                <w:color w:val="000000"/>
                <w:highlight w:val="none"/>
                <w:lang w:val="en-US" w:eastAsia="zh-CN"/>
              </w:rPr>
              <w:t xml:space="preserve">4</w:t>
            </w:r>
            <w:r>
              <w:rPr>
                <w:color w:val="000000"/>
                <w:highlight w:val="none"/>
                <w:lang w:val="en-US" w:eastAsia="zh-CN"/>
              </w:rPr>
              <w:t xml:space="preserve">、功率因数</w:t>
            </w:r>
            <w:r>
              <w:rPr>
                <w:color w:val="000000"/>
                <w:highlight w:val="none"/>
                <w:lang w:val="en-US" w:eastAsia="zh-CN"/>
              </w:rPr>
              <w:t xml:space="preserve">：</w:t>
            </w:r>
            <w:r>
              <w:rPr>
                <w:rFonts w:hint="eastAsia"/>
                <w:color w:val="000000"/>
                <w:highlight w:val="none"/>
                <w:lang w:val="en-US" w:eastAsia="zh-CN"/>
              </w:rPr>
              <w:t xml:space="preserve">≥</w:t>
            </w:r>
            <w:r>
              <w:rPr>
                <w:color w:val="000000"/>
                <w:highlight w:val="none"/>
                <w:lang w:val="en-US" w:eastAsia="zh-CN"/>
              </w:rPr>
              <w:t xml:space="preserve">0.8。</w:t>
            </w:r>
            <w:r>
              <w:rPr>
                <w:color w:val="000000"/>
                <w:highlight w:val="none"/>
                <w:lang w:val="en-US" w:eastAsia="zh-CN"/>
              </w:rPr>
            </w:r>
            <w:r/>
          </w:p>
          <w:p>
            <w:pPr>
              <w:pStyle w:val="928"/>
              <w:rPr>
                <w:color w:val="000000"/>
                <w:highlight w:val="none"/>
                <w:lang w:val="en-US" w:eastAsia="zh-CN"/>
              </w:rPr>
            </w:pPr>
            <w:r>
              <w:rPr>
                <w:rFonts w:hint="eastAsia"/>
                <w:color w:val="000000"/>
                <w:highlight w:val="none"/>
                <w:lang w:val="en-US" w:eastAsia="zh-CN"/>
              </w:rPr>
              <w:t xml:space="preserve">5</w:t>
            </w:r>
            <w:r>
              <w:rPr>
                <w:color w:val="000000"/>
                <w:highlight w:val="none"/>
                <w:lang w:val="en-US" w:eastAsia="zh-CN"/>
              </w:rPr>
              <w:t xml:space="preserve">、峰值系数：</w:t>
            </w:r>
            <w:r>
              <w:rPr>
                <w:rFonts w:hint="eastAsia"/>
                <w:color w:val="000000"/>
                <w:highlight w:val="none"/>
                <w:lang w:val="en-US" w:eastAsia="zh-CN"/>
              </w:rPr>
              <w:t xml:space="preserve">≥</w:t>
            </w:r>
            <w:r>
              <w:rPr>
                <w:color w:val="000000"/>
                <w:highlight w:val="none"/>
                <w:lang w:val="en-US" w:eastAsia="zh-CN"/>
              </w:rPr>
              <w:t xml:space="preserve">3:1。</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输入要求</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1、输入电压范围：单相 220V ±15%～±20%，三相 380V ±10%～±15%。</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2、输入频率范围：50Hz ±2～2.5Hz。</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3、输入功率因数：</w:t>
            </w:r>
            <w:r>
              <w:rPr>
                <w:rFonts w:hint="eastAsia"/>
                <w:color w:val="000000"/>
                <w:highlight w:val="none"/>
                <w:lang w:val="en-US" w:eastAsia="zh-CN"/>
              </w:rPr>
              <w:t xml:space="preserve">≥</w:t>
            </w:r>
            <w:r>
              <w:rPr>
                <w:color w:val="000000"/>
                <w:highlight w:val="none"/>
                <w:lang w:val="en-US" w:eastAsia="zh-CN"/>
              </w:rPr>
              <w:t xml:space="preserve">0.95。</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4、输入电流谐波：THDi </w:t>
            </w:r>
            <w:r>
              <w:rPr>
                <w:rFonts w:hint="eastAsia"/>
                <w:color w:val="000000"/>
                <w:highlight w:val="none"/>
                <w:lang w:val="en-US" w:eastAsia="zh-CN"/>
              </w:rPr>
              <w:t xml:space="preserve">≤</w:t>
            </w:r>
            <w:r>
              <w:rPr>
                <w:color w:val="000000"/>
                <w:highlight w:val="none"/>
                <w:lang w:val="en-US" w:eastAsia="zh-CN"/>
              </w:rPr>
              <w:t xml:space="preserve">5%。</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输出要求</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1、输出电压精度：稳态 ±1%～±2%。</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2、输出频率：50Hz ±0.5Hz。</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3、波形失真度：总谐波 THD </w:t>
            </w:r>
            <w:r>
              <w:rPr>
                <w:rFonts w:hint="eastAsia"/>
                <w:color w:val="000000"/>
                <w:highlight w:val="none"/>
                <w:lang w:val="en-US" w:eastAsia="zh-CN"/>
              </w:rPr>
              <w:t xml:space="preserve">≤</w:t>
            </w:r>
            <w:r>
              <w:rPr>
                <w:color w:val="000000"/>
                <w:highlight w:val="none"/>
                <w:lang w:val="en-US" w:eastAsia="zh-CN"/>
              </w:rPr>
              <w:t xml:space="preserve">5%。</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4、三相不平衡度：三相机型 </w:t>
            </w:r>
            <w:r>
              <w:rPr>
                <w:rFonts w:hint="eastAsia"/>
                <w:color w:val="000000"/>
                <w:highlight w:val="none"/>
                <w:lang w:val="en-US" w:eastAsia="zh-CN"/>
              </w:rPr>
              <w:t xml:space="preserve">≤</w:t>
            </w:r>
            <w:r>
              <w:rPr>
                <w:color w:val="000000"/>
                <w:highlight w:val="none"/>
                <w:lang w:val="en-US" w:eastAsia="zh-CN"/>
              </w:rPr>
              <w:t xml:space="preserve">2%～3%。</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5、动态响应：100% 负载突变时，瞬变恢复时间 </w:t>
            </w:r>
            <w:r>
              <w:rPr>
                <w:rFonts w:hint="eastAsia"/>
                <w:color w:val="000000"/>
                <w:highlight w:val="none"/>
                <w:lang w:val="en-US" w:eastAsia="zh-CN"/>
              </w:rPr>
              <w:t xml:space="preserve">≤</w:t>
            </w:r>
            <w:r>
              <w:rPr>
                <w:color w:val="000000"/>
                <w:highlight w:val="none"/>
                <w:lang w:val="en-US" w:eastAsia="zh-CN"/>
              </w:rPr>
              <w:t xml:space="preserve">20～40ms。</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转换与后备</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1、市电/电池切换：</w:t>
            </w:r>
            <w:r>
              <w:rPr>
                <w:rFonts w:hint="eastAsia"/>
                <w:color w:val="000000"/>
                <w:highlight w:val="none"/>
                <w:lang w:val="en-US" w:eastAsia="zh-CN"/>
              </w:rPr>
              <w:t xml:space="preserve">≤5</w:t>
            </w:r>
            <w:r>
              <w:rPr>
                <w:color w:val="000000"/>
                <w:highlight w:val="none"/>
                <w:lang w:val="en-US" w:eastAsia="zh-CN"/>
              </w:rPr>
              <w:t xml:space="preserve">ms</w:t>
            </w:r>
            <w:r>
              <w:rPr>
                <w:color w:val="000000"/>
                <w:highlight w:val="none"/>
                <w:lang w:val="en-US" w:eastAsia="zh-CN"/>
              </w:rPr>
              <w:t xml:space="preserve">。</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2、旁路/逆变切换：</w:t>
            </w:r>
            <w:r>
              <w:rPr>
                <w:rFonts w:hint="eastAsia"/>
                <w:color w:val="000000"/>
                <w:highlight w:val="none"/>
                <w:lang w:val="en-US" w:eastAsia="zh-CN"/>
              </w:rPr>
              <w:t xml:space="preserve">≤</w:t>
            </w:r>
            <w:r>
              <w:rPr>
                <w:color w:val="000000"/>
                <w:highlight w:val="none"/>
                <w:lang w:val="en-US" w:eastAsia="zh-CN"/>
              </w:rPr>
              <w:t xml:space="preserve">1～5ms。</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3、后备时间：安防系统</w:t>
            </w:r>
            <w:r>
              <w:rPr>
                <w:rFonts w:hint="eastAsia"/>
                <w:color w:val="000000"/>
                <w:highlight w:val="none"/>
                <w:lang w:val="en-US" w:eastAsia="zh-CN"/>
              </w:rPr>
              <w:t xml:space="preserve">≥</w:t>
            </w:r>
            <w:r>
              <w:rPr>
                <w:color w:val="000000"/>
                <w:highlight w:val="none"/>
                <w:lang w:val="en-US" w:eastAsia="zh-CN"/>
              </w:rPr>
              <w:t xml:space="preserve">30min。</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4、再充电时间：满载放电后，回到 95% 容量 </w:t>
            </w:r>
            <w:r>
              <w:rPr>
                <w:rFonts w:hint="eastAsia"/>
                <w:color w:val="000000"/>
                <w:highlight w:val="none"/>
                <w:lang w:val="en-US" w:eastAsia="zh-CN"/>
              </w:rPr>
              <w:t xml:space="preserve">≤</w:t>
            </w:r>
            <w:r>
              <w:rPr>
                <w:color w:val="000000"/>
                <w:highlight w:val="none"/>
                <w:lang w:val="en-US" w:eastAsia="zh-CN"/>
              </w:rPr>
              <w:t xml:space="preserve">8～24h。</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过载能力</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1、110% 负载：持续 60min。2、125% 负载：持续 10min。3、150% 负载：持续 1min。</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4、短路：限流并保护。</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保护与告警</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1、必须具备：输出短路、过载、过温、输入过欠压、输出过欠压、电池低压、风扇故障、防雷浪涌、急停、旁路异常、故障告警。</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2、在线式 UPS故障时应能自动转静态旁路，保障负载不断电。</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电池要求</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1、类型：阀控式铅酸 VRLA或磷酸铁锂 LiFePO₄。</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2、管理：浮充、均充、温度补偿、定期自检、过充过放保护。</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3、监测：电压、电流、温度、剩余容量、内阻。</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4、电池开关：独立配置，支持紧急切断。</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5、安全：电池柜需通风、阻燃、接地、防短路。</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监控与接口</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1、本地显示：LCD 屏，显示输入/输出、电池、负载、故障记录。</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2、通信接口：RS485、RS232。</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3、协议：Modbus RTU/TCP、SNMPv3。</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4、上传内容：市电异常、电池供电、过载、旁路、故障、运行日志。</w:t>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环境与可靠性</w:t>
            </w:r>
            <w:r>
              <w:rPr>
                <w:color w:val="000000"/>
                <w:highlight w:val="none"/>
                <w:lang w:val="en-US" w:eastAsia="zh-CN"/>
              </w:rPr>
              <w:tab/>
            </w:r>
            <w:r>
              <w:rPr>
                <w:color w:val="000000"/>
                <w:highlight w:val="none"/>
                <w:lang w:val="en-US" w:eastAsia="zh-CN"/>
              </w:rPr>
            </w:r>
            <w:r/>
          </w:p>
          <w:p>
            <w:pPr>
              <w:pStyle w:val="928"/>
              <w:rPr>
                <w:color w:val="000000"/>
                <w:highlight w:val="none"/>
                <w:lang w:val="en-US" w:eastAsia="zh-CN"/>
              </w:rPr>
            </w:pPr>
            <w:r>
              <w:rPr>
                <w:color w:val="000000"/>
                <w:highlight w:val="none"/>
                <w:lang w:val="en-US" w:eastAsia="zh-CN"/>
              </w:rPr>
              <w:t xml:space="preserve">1、工作温度：0～40℃。2、相对湿度：20%～90%。3、海拔：</w:t>
            </w:r>
            <w:r>
              <w:rPr>
                <w:rFonts w:hint="eastAsia"/>
                <w:color w:val="000000"/>
                <w:highlight w:val="none"/>
                <w:lang w:val="en-US" w:eastAsia="zh-CN"/>
              </w:rPr>
              <w:t xml:space="preserve">≤</w:t>
            </w:r>
            <w:r>
              <w:rPr>
                <w:color w:val="000000"/>
                <w:highlight w:val="none"/>
                <w:lang w:val="en-US" w:eastAsia="zh-CN"/>
              </w:rPr>
              <w:t xml:space="preserve">1000m。4、噪声：</w:t>
            </w:r>
            <w:r>
              <w:rPr>
                <w:rFonts w:hint="eastAsia"/>
                <w:color w:val="000000"/>
                <w:highlight w:val="none"/>
                <w:lang w:val="en-US" w:eastAsia="zh-CN"/>
              </w:rPr>
              <w:t xml:space="preserve">≤</w:t>
            </w:r>
            <w:r>
              <w:rPr>
                <w:color w:val="000000"/>
                <w:highlight w:val="none"/>
                <w:lang w:val="en-US" w:eastAsia="zh-CN"/>
              </w:rPr>
              <w:t xml:space="preserve">55dB(A)@1m。5、防护等级：不低于IP20。6、MTBF：</w:t>
            </w:r>
            <w:r>
              <w:rPr>
                <w:rFonts w:hint="eastAsia"/>
                <w:color w:val="000000"/>
                <w:highlight w:val="none"/>
                <w:lang w:val="en-US" w:eastAsia="zh-CN"/>
              </w:rPr>
              <w:t xml:space="preserve">≥</w:t>
            </w:r>
            <w:r>
              <w:rPr>
                <w:color w:val="000000"/>
                <w:highlight w:val="none"/>
                <w:lang w:val="en-US" w:eastAsia="zh-CN"/>
              </w:rPr>
              <w:t xml:space="preserve">100000小时（不含蓄电池）。</w:t>
            </w:r>
            <w:r>
              <w:rPr>
                <w:color w:val="000000"/>
                <w:highlight w:val="none"/>
                <w:lang w:val="en-US" w:eastAsia="zh-CN"/>
              </w:rPr>
            </w:r>
            <w:r/>
          </w:p>
        </w:tc>
      </w:tr>
    </w:tbl>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End w:id="128"/>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其他技术要求 </w:t>
      </w:r>
      <w:r>
        <w:rPr>
          <w:rFonts w:hint="eastAsia" w:ascii="宋体" w:hAnsi="宋体" w:eastAsia="宋体" w:cs="宋体"/>
          <w:bCs/>
          <w:color w:val="000000"/>
          <w:sz w:val="24"/>
          <w:szCs w:val="24"/>
          <w:highlight w:val="none"/>
          <w:lang w:val="en-US" w:eastAsia="zh-CN"/>
        </w:rPr>
      </w:r>
      <w:r/>
    </w:p>
    <w:p>
      <w:pPr>
        <w:pStyle w:val="928"/>
        <w:ind w:firstLine="482"/>
        <w:jc w:val="left"/>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en-US"/>
        </w:rPr>
      </w:pPr>
      <w:r>
        <w:rPr>
          <w:rFonts w:hint="eastAsia" w:ascii="宋体" w:hAnsi="宋体" w:eastAsia="宋体" w:cs="宋体"/>
          <w:b/>
          <w:bCs w:val="0"/>
          <w:color w:val="000000"/>
          <w:sz w:val="24"/>
          <w:szCs w:val="24"/>
          <w:highlight w:val="none"/>
          <w:lang w:val="en-US" w:eastAsia="zh-CN"/>
        </w:rPr>
        <w:t xml:space="preserve">（1）UPS电箱移位，监控室内UPS电箱（32块电池12V100AH，供安防系统及监控大屏不间断电源）移位至信息机房，含穿线、套管、穿墙、线槽敷设、开槽、补槽等</w:t>
      </w:r>
      <w:r>
        <w:rPr>
          <w:rFonts w:hint="eastAsia" w:ascii="宋体" w:hAnsi="宋体" w:eastAsia="宋体" w:cs="宋体"/>
          <w:b/>
          <w:bCs w:val="0"/>
          <w:color w:val="000000"/>
          <w:sz w:val="24"/>
          <w:szCs w:val="24"/>
          <w:highlight w:val="none"/>
          <w:lang w:val="en-US" w:eastAsia="en-US"/>
        </w:rPr>
        <w:t xml:space="preserve">。</w:t>
      </w:r>
      <w:r>
        <w:rPr>
          <w:rFonts w:hint="eastAsia" w:ascii="宋体" w:hAnsi="宋体" w:eastAsia="宋体" w:cs="宋体"/>
          <w:b/>
          <w:bCs w:val="0"/>
          <w:color w:val="000000"/>
          <w:sz w:val="24"/>
          <w:szCs w:val="24"/>
          <w:highlight w:val="none"/>
          <w:lang w:val="en-US" w:eastAsia="en-US"/>
        </w:rPr>
      </w:r>
      <w:r/>
    </w:p>
    <w:p>
      <w:pPr>
        <w:pStyle w:val="928"/>
        <w:ind w:firstLine="482"/>
        <w:jc w:val="left"/>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en-US"/>
        </w:rPr>
      </w:pPr>
      <w:r>
        <w:rPr>
          <w:rFonts w:hint="eastAsia" w:ascii="宋体" w:hAnsi="宋体" w:eastAsia="宋体" w:cs="宋体"/>
          <w:b/>
          <w:bCs w:val="0"/>
          <w:color w:val="000000"/>
          <w:sz w:val="24"/>
          <w:szCs w:val="24"/>
          <w:highlight w:val="none"/>
          <w:lang w:val="en-US" w:eastAsia="zh-CN"/>
        </w:rPr>
        <w:t xml:space="preserve">（2）112块旧电池保护性拆除，放置在采购人指定位置</w:t>
      </w:r>
      <w:r>
        <w:rPr>
          <w:rFonts w:hint="eastAsia" w:ascii="宋体" w:hAnsi="宋体" w:eastAsia="宋体" w:cs="宋体"/>
          <w:b/>
          <w:bCs w:val="0"/>
          <w:color w:val="000000"/>
          <w:sz w:val="24"/>
          <w:szCs w:val="24"/>
          <w:highlight w:val="none"/>
          <w:lang w:val="en-US" w:eastAsia="en-US"/>
        </w:rPr>
        <w:t xml:space="preserve">。</w:t>
      </w:r>
      <w:r>
        <w:rPr>
          <w:rFonts w:hint="eastAsia" w:ascii="宋体" w:hAnsi="宋体" w:eastAsia="宋体" w:cs="宋体"/>
          <w:b/>
          <w:bCs w:val="0"/>
          <w:color w:val="000000"/>
          <w:sz w:val="24"/>
          <w:szCs w:val="24"/>
          <w:highlight w:val="none"/>
          <w:lang w:val="en-US" w:eastAsia="en-US"/>
        </w:rPr>
      </w:r>
      <w:r/>
    </w:p>
    <w:p>
      <w:pPr>
        <w:pStyle w:val="928"/>
        <w:ind w:firstLine="482"/>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UPS电池安装完成后，接入现安防系统（包括报警系统、视频监控系统、可视对讲系统、门禁系统等），并进行调试，确保不间断电源系统稳定运行。</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（3）供应商报价除包含询价文件中列明的项目外，还应包括保障产品正常使用应当具有的物资和服务，对产品正常使用应当具有的物资和服务理解不一致的以采购人理解为准。</w:t>
      </w:r>
      <w:r>
        <w:rPr>
          <w:rFonts w:ascii="宋体" w:hAnsi="宋体" w:eastAsia="宋体" w:cs="宋体"/>
          <w:color w:val="000000"/>
          <w:sz w:val="24"/>
          <w:szCs w:val="24"/>
          <w:highlight w:val="none"/>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实施要求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eastAsia="zh-CN"/>
        </w:rPr>
        <w:t xml:space="preserve">总体要求</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供应商提供的UPS电池需要接入不间断电源系统，并确保系统稳定运行。</w:t>
      </w:r>
      <w:r>
        <w:rPr>
          <w:rFonts w:ascii="宋体" w:hAnsi="宋体" w:eastAsia="宋体" w:cs="宋体"/>
          <w:bCs/>
          <w:color w:val="000000"/>
          <w:sz w:val="24"/>
          <w:szCs w:val="24"/>
          <w:highlight w:val="none"/>
          <w:lang w:val="en-US" w:eastAsia="zh-CN"/>
        </w:rPr>
      </w:r>
      <w:r/>
    </w:p>
    <w:p>
      <w:pPr>
        <w:pStyle w:val="928"/>
        <w:numPr>
          <w:ilvl w:val="0"/>
          <w:numId w:val="0"/>
        </w:numPr>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（2）质量要求</w:t>
      </w:r>
      <w:r>
        <w:rPr>
          <w:rFonts w:hint="eastAsia"/>
          <w:color w:val="000000"/>
          <w:highlight w:val="none"/>
          <w:lang w:val="en-US" w:eastAsia="zh-CN"/>
        </w:rPr>
      </w:r>
      <w:r/>
    </w:p>
    <w:p>
      <w:pPr>
        <w:pStyle w:val="928"/>
        <w:ind w:firstLine="480"/>
        <w:jc w:val="left"/>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所供货物必须是全新的，原装正品，完全符合国家规定的质量标准。因产品质量或安装不当导致验收不合格，应及时处理直至验收合格，期间产生的一切费用由供应商承担。</w:t>
      </w:r>
      <w:r>
        <w:rPr>
          <w:rFonts w:hint="eastAsia" w:ascii="宋体" w:hAnsi="宋体" w:eastAsia="宋体" w:cs="宋体"/>
          <w:b w:val="0"/>
          <w:bCs w:val="0"/>
          <w:color w:val="000000"/>
          <w:sz w:val="24"/>
          <w:szCs w:val="24"/>
          <w:highlight w:val="none"/>
          <w:lang w:val="en-US" w:eastAsia="zh-CN"/>
        </w:rPr>
      </w:r>
      <w:r/>
    </w:p>
    <w:p>
      <w:pPr>
        <w:pStyle w:val="928"/>
        <w:ind w:firstLine="482"/>
        <w:jc w:val="left"/>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配套服务</w:t>
      </w:r>
      <w:r>
        <w:rPr>
          <w:rFonts w:hint="eastAsia" w:ascii="宋体" w:hAnsi="宋体" w:eastAsia="宋体" w:cs="宋体"/>
          <w:b/>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验收要求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安装调试完成后由采购人验收小组组织验收，验收标准为断电后后备电源能提供30min以上的供能，验收完成后由双方共同在验收报告上签字。提供</w:t>
      </w:r>
      <w:r>
        <w:rPr>
          <w:rFonts w:ascii="宋体" w:hAnsi="宋体" w:eastAsia="宋体" w:cs="宋体"/>
          <w:bCs/>
          <w:color w:val="000000"/>
          <w:sz w:val="24"/>
          <w:szCs w:val="24"/>
          <w:highlight w:val="none"/>
          <w:lang w:val="en-US" w:eastAsia="zh-CN"/>
        </w:rPr>
        <w:t xml:space="preserve">操作维护手册</w:t>
      </w:r>
      <w:r>
        <w:rPr>
          <w:rFonts w:hint="eastAsia" w:ascii="宋体" w:hAnsi="宋体" w:eastAsia="宋体" w:cs="宋体"/>
          <w:bCs/>
          <w:color w:val="000000"/>
          <w:sz w:val="24"/>
          <w:szCs w:val="24"/>
          <w:highlight w:val="none"/>
          <w:lang w:val="en-US" w:eastAsia="zh-CN"/>
        </w:rPr>
        <w:t xml:space="preserve">、产品</w:t>
      </w:r>
      <w:r>
        <w:rPr>
          <w:rFonts w:ascii="宋体" w:hAnsi="宋体" w:eastAsia="宋体" w:cs="宋体"/>
          <w:bCs/>
          <w:color w:val="000000"/>
          <w:sz w:val="24"/>
          <w:szCs w:val="24"/>
          <w:highlight w:val="none"/>
          <w:lang w:val="en-US" w:eastAsia="zh-CN"/>
        </w:rPr>
        <w:t xml:space="preserve">检测报告、合格证。</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质保及售后要求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本项目要求整体质保期3年，从验收合格之日起计算。</w:t>
      </w:r>
      <w:r>
        <w:rPr>
          <w:rFonts w:ascii="宋体" w:hAnsi="宋体" w:eastAsia="宋体" w:cs="宋体"/>
          <w:color w:val="000000"/>
          <w:sz w:val="24"/>
          <w:szCs w:val="24"/>
          <w:highlight w:val="none"/>
          <w:lang w:val="en-US" w:eastAsia="zh-CN"/>
        </w:rPr>
        <w:t xml:space="preserve">签订合同后提供设备原厂质保服务的承诺函原件（格式自拟），加盖原厂公章。</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②质保期内</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一旦产品发生质量问题</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供应商接到报修请求</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在2小时内响应</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12小时内维修人员到达现场进行修理、更换或退货</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费用由供应商负责。如供应商在接到通知后2小时内没有答复</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color w:val="000000"/>
          <w:sz w:val="24"/>
          <w:szCs w:val="24"/>
          <w:highlight w:val="none"/>
          <w:lang w:val="en-US" w:eastAsia="zh-CN"/>
        </w:rPr>
        <w:t xml:space="preserve">产品</w:t>
      </w:r>
      <w:r>
        <w:rPr>
          <w:rFonts w:ascii="宋体" w:hAnsi="宋体" w:eastAsia="宋体" w:cs="宋体"/>
          <w:color w:val="000000"/>
          <w:sz w:val="24"/>
          <w:szCs w:val="24"/>
          <w:highlight w:val="none"/>
          <w:lang w:val="en-US" w:eastAsia="zh-CN"/>
        </w:rPr>
        <w:t xml:space="preserve">的一切质量问题</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更换部件及</w:t>
      </w:r>
      <w:r>
        <w:rPr>
          <w:rFonts w:hint="eastAsia" w:ascii="宋体" w:hAnsi="宋体" w:eastAsia="宋体" w:cs="宋体"/>
          <w:color w:val="000000"/>
          <w:sz w:val="24"/>
          <w:szCs w:val="24"/>
          <w:highlight w:val="none"/>
          <w:lang w:val="en-US" w:eastAsia="zh-CN"/>
        </w:rPr>
        <w:t xml:space="preserve">产品</w:t>
      </w:r>
      <w:r>
        <w:rPr>
          <w:rFonts w:ascii="宋体" w:hAnsi="宋体" w:eastAsia="宋体" w:cs="宋体"/>
          <w:color w:val="000000"/>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应向采购人提供应急备用产品。 </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fldChar w:fldCharType="begin"/>
      </w:r>
      <w:r>
        <w:rPr>
          <w:rFonts w:ascii="宋体" w:hAnsi="宋体" w:eastAsia="宋体" w:cs="宋体"/>
          <w:color w:val="000000"/>
          <w:sz w:val="24"/>
          <w:szCs w:val="24"/>
          <w:highlight w:val="none"/>
          <w:lang w:val="en-US" w:eastAsia="zh-CN"/>
        </w:rPr>
        <w:instrText xml:space="preserve"> = 3 \* GB3 \* MERGEFORMAT </w:instrText>
      </w:r>
      <w:r>
        <w:rPr>
          <w:rFonts w:ascii="宋体" w:hAnsi="宋体" w:eastAsia="宋体" w:cs="宋体"/>
          <w:color w:val="000000"/>
          <w:sz w:val="24"/>
          <w:szCs w:val="24"/>
          <w:highlight w:val="none"/>
          <w:lang w:val="en-US" w:eastAsia="zh-CN"/>
        </w:rPr>
        <w:fldChar w:fldCharType="separate"/>
      </w:r>
      <w:r>
        <w:rPr>
          <w:rFonts w:ascii="宋体" w:hAnsi="宋体" w:eastAsia="宋体" w:cs="宋体"/>
          <w:color w:val="000000"/>
          <w:sz w:val="24"/>
          <w:szCs w:val="24"/>
          <w:highlight w:val="none"/>
          <w:lang w:val="en-US" w:eastAsia="zh-CN"/>
        </w:rPr>
        <w:t xml:space="preserve">③</w:t>
      </w:r>
      <w:r>
        <w:rPr>
          <w:rFonts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质保期内维修（人为因素除外）费用包含在总价中，质保期外提供不高于市场价格的终身维护。成交后提供质保期外配件价格明细表。</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合同签订后</w:t>
      </w:r>
      <w:r>
        <w:rPr>
          <w:rFonts w:hint="eastAsia" w:ascii="宋体" w:hAnsi="宋体" w:eastAsia="宋体" w:cs="Times New Roman"/>
          <w:color w:val="000000"/>
          <w:sz w:val="24"/>
          <w:szCs w:val="24"/>
          <w:highlight w:val="none"/>
          <w:lang w:val="en-US" w:eastAsia="zh-CN"/>
        </w:rPr>
        <w:t xml:space="preserve">10</w:t>
      </w:r>
      <w:r>
        <w:rPr>
          <w:rFonts w:ascii="宋体" w:hAnsi="宋体" w:eastAsia="宋体" w:cs="宋体"/>
          <w:color w:val="000000"/>
          <w:sz w:val="24"/>
          <w:szCs w:val="24"/>
          <w:highlight w:val="none"/>
        </w:rPr>
        <w:t xml:space="preserve">天内交付</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29"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询价文件中要求提供证明材料的，签订合同时供应商应按询价文件要求和响应文件响应内容提供相应证明材料原件供采购人核验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询价文件成交标准中涉及的相关证明材料，应在响应文件中提供，由评审小组在评审现场予以确认。签订合同时供应商应按采购人要求提供上述证明材料原件供采购人核验，否则采购人将取消其成交资格。</w:t>
      </w:r>
      <w:r>
        <w:rPr>
          <w:rFonts w:hint="eastAsia" w:ascii="宋体" w:hAnsi="宋体" w:eastAsia="宋体" w:cs="宋体"/>
          <w:bCs/>
          <w:color w:val="000000"/>
          <w:sz w:val="24"/>
          <w:szCs w:val="24"/>
          <w:highlight w:val="none"/>
          <w:lang w:val="en-US" w:eastAsia="zh-CN"/>
        </w:rPr>
      </w:r>
      <w:r/>
    </w:p>
    <w:p>
      <w:pPr>
        <w:pStyle w:val="928"/>
        <w:jc w:val="center"/>
        <w:spacing w:line="259" w:lineRule="auto"/>
        <w:rPr>
          <w:rFonts w:hint="eastAsia" w:ascii="黑体" w:hAnsi="宋体" w:eastAsia="黑体" w:cs="宋体"/>
          <w:color w:val="000000"/>
          <w:spacing w:val="-10"/>
          <w:sz w:val="36"/>
          <w:szCs w:val="36"/>
          <w:highlight w:val="none"/>
          <w:lang w:val="zh-CN"/>
        </w:rPr>
        <w:outlineLvl w:val="0"/>
      </w:pPr>
      <w:r/>
      <w:bookmarkEnd w:id="129"/>
      <w:r/>
      <w:bookmarkStart w:id="130" w:name="_Toc120614281"/>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zh-CN"/>
        </w:rPr>
        <w:t xml:space="preserve">成交标准</w:t>
      </w:r>
      <w:r>
        <w:rPr>
          <w:rFonts w:hint="eastAsia" w:ascii="黑体" w:hAnsi="宋体" w:eastAsia="黑体" w:cs="宋体"/>
          <w:color w:val="000000"/>
          <w:spacing w:val="-10"/>
          <w:sz w:val="36"/>
          <w:szCs w:val="36"/>
          <w:highlight w:val="none"/>
          <w:lang w:val="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rPr>
        <w:t xml:space="preserve">询价小组从质量和服务均满足询价文件实质性要求的供应商中，按照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928"/>
        <w:ind w:firstLine="480"/>
        <w:rPr>
          <w:rFonts w:hint="eastAsia"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供应商的评审价格如相同，</w:t>
      </w:r>
      <w:r>
        <w:rPr>
          <w:rFonts w:hint="eastAsia" w:ascii="宋体" w:hAnsi="宋体" w:eastAsia="宋体" w:cs="宋体"/>
          <w:color w:val="000000"/>
          <w:sz w:val="24"/>
          <w:szCs w:val="24"/>
          <w:highlight w:val="none"/>
          <w:lang w:val="en-US" w:eastAsia="zh-CN"/>
        </w:rPr>
        <w:t xml:space="preserve">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rPr>
          <w:rFonts w:hint="eastAsia" w:ascii="宋体" w:hAnsi="宋体"/>
          <w:color w:val="000000"/>
          <w:sz w:val="24"/>
          <w:szCs w:val="24"/>
          <w:highlight w:val="none"/>
        </w:rPr>
      </w:r>
      <w:r/>
    </w:p>
    <w:p>
      <w:pPr>
        <w:pStyle w:val="928"/>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928"/>
        <w:ind w:firstLine="420"/>
        <w:spacing w:line="264"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28"/>
        <w:ind w:firstLine="420"/>
        <w:spacing w:line="264" w:lineRule="auto"/>
        <w:rPr>
          <w:color w:val="000000"/>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按照询价文件要求在《分项报价表》中作出承诺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color w:val="000000"/>
          <w:highlight w:val="none"/>
        </w:rPr>
      </w:r>
      <w:r/>
    </w:p>
    <w:p>
      <w:pPr>
        <w:pStyle w:val="928"/>
        <w:spacing w:line="264"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highlight w:val="none"/>
          <w:lang w:val="en-US" w:eastAsia="zh-CN"/>
        </w:rPr>
        <w:t xml:space="preserve">3.供应商需按照询价文件要求提供《关于符合本国产品标准的声明函》，如不提供将不享受本国产品价格评审优惠。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highlight w:val="none"/>
        </w:rPr>
      </w:r>
      <w:r/>
    </w:p>
    <w:p>
      <w:pPr>
        <w:pStyle w:val="928"/>
        <w:ind w:firstLine="420"/>
        <w:keepLines w:val="0"/>
        <w:keepNext w:val="0"/>
        <w:pageBreakBefore w:val="0"/>
        <w:spacing w:line="264"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928"/>
        <w:ind w:firstLine="480"/>
        <w:keepLines w:val="0"/>
        <w:keepNext w:val="0"/>
        <w:pageBreakBefore w:val="0"/>
        <w:spacing w:line="264" w:lineRule="auto"/>
        <w:widowControl/>
        <w:rPr>
          <w:rFonts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ascii="黑体" w:hAnsi="黑体" w:eastAsia="黑体" w:cs="黑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jc w:val="center"/>
        <w:spacing w:line="259" w:lineRule="auto"/>
        <w:rPr>
          <w:rFonts w:hint="eastAsia" w:ascii="方正小标宋简体" w:hAnsi="方正小标宋简体" w:eastAsia="方正小标宋简体" w:cs="方正小标宋简体"/>
          <w:color w:val="000000"/>
          <w:sz w:val="36"/>
          <w:szCs w:val="36"/>
          <w:highlight w:val="none"/>
          <w:lang w:val="zh-CN"/>
        </w:rPr>
        <w:outlineLvl w:val="0"/>
      </w:pPr>
      <w:r>
        <w:rPr>
          <w:rFonts w:hint="eastAsia" w:ascii="方正小标宋简体" w:hAnsi="方正小标宋简体" w:eastAsia="方正小标宋简体" w:cs="方正小标宋简体"/>
          <w:color w:val="000000"/>
          <w:sz w:val="36"/>
          <w:szCs w:val="36"/>
          <w:highlight w:val="none"/>
          <w:lang w:val="zh-CN"/>
        </w:rPr>
        <w:br w:type="page" w:clear="all"/>
      </w:r>
      <w:r>
        <w:rPr>
          <w:rFonts w:hint="eastAsia" w:ascii="方正小标宋简体" w:hAnsi="方正小标宋简体" w:eastAsia="方正小标宋简体" w:cs="方正小标宋简体"/>
          <w:color w:val="000000"/>
          <w:sz w:val="36"/>
          <w:szCs w:val="36"/>
          <w:highlight w:val="none"/>
          <w:lang w:val="zh-CN"/>
        </w:rPr>
        <w:t xml:space="preserve">第</w:t>
      </w:r>
      <w:r>
        <w:rPr>
          <w:rFonts w:hint="eastAsia" w:ascii="方正小标宋简体" w:hAnsi="方正小标宋简体" w:eastAsia="方正小标宋简体" w:cs="方正小标宋简体"/>
          <w:color w:val="000000"/>
          <w:sz w:val="36"/>
          <w:szCs w:val="36"/>
          <w:highlight w:val="none"/>
          <w:lang w:val="zh-CN" w:eastAsia="zh-CN"/>
        </w:rPr>
        <w:t xml:space="preserve">六</w:t>
      </w:r>
      <w:r>
        <w:rPr>
          <w:rFonts w:hint="eastAsia" w:ascii="方正小标宋简体" w:hAnsi="方正小标宋简体" w:eastAsia="方正小标宋简体" w:cs="方正小标宋简体"/>
          <w:color w:val="000000"/>
          <w:sz w:val="36"/>
          <w:szCs w:val="36"/>
          <w:highlight w:val="none"/>
          <w:lang w:val="zh-CN"/>
        </w:rPr>
        <w:t xml:space="preserve">章  </w:t>
      </w:r>
      <w:bookmarkEnd w:id="126"/>
      <w:r/>
      <w:bookmarkEnd w:id="127"/>
      <w:r/>
      <w:bookmarkEnd w:id="130"/>
      <w:r>
        <w:rPr>
          <w:rFonts w:hint="eastAsia" w:ascii="方正小标宋简体" w:hAnsi="方正小标宋简体" w:eastAsia="方正小标宋简体" w:cs="方正小标宋简体"/>
          <w:color w:val="000000"/>
          <w:sz w:val="36"/>
          <w:szCs w:val="36"/>
          <w:highlight w:val="none"/>
          <w:lang w:val="zh-CN"/>
        </w:rPr>
        <w:t xml:space="preserve">响应文件格式 </w:t>
      </w:r>
      <w:r>
        <w:rPr>
          <w:rFonts w:hint="eastAsia" w:ascii="方正小标宋简体" w:hAnsi="方正小标宋简体" w:eastAsia="方正小标宋简体" w:cs="方正小标宋简体"/>
          <w:color w:val="000000"/>
          <w:sz w:val="36"/>
          <w:szCs w:val="36"/>
          <w:highlight w:val="none"/>
          <w:lang w:val="zh-CN"/>
        </w:rPr>
      </w:r>
      <w:r/>
    </w:p>
    <w:p>
      <w:pPr>
        <w:pStyle w:val="928"/>
        <w:jc w:val="center"/>
        <w:rPr>
          <w:rFonts w:hint="eastAsia" w:ascii="宋体" w:hAnsi="宋体"/>
          <w:b/>
          <w:color w:val="000000"/>
          <w:sz w:val="72"/>
          <w:szCs w:val="21"/>
          <w:highlight w:val="none"/>
        </w:rPr>
      </w:pPr>
      <w:r/>
      <w:bookmarkStart w:id="131" w:name="_Hlt26955039"/>
      <w:r/>
      <w:bookmarkEnd w:id="131"/>
      <w:r/>
      <w:bookmarkStart w:id="132" w:name="_Hlt26671244"/>
      <w:r/>
      <w:bookmarkEnd w:id="132"/>
      <w:r/>
      <w:bookmarkStart w:id="133" w:name="_Toc49090576"/>
      <w:r/>
      <w:bookmarkStart w:id="134" w:name="_Toc120614282"/>
      <w:r/>
      <w:bookmarkStart w:id="135" w:name="_Toc26554094"/>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28"/>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8"/>
        <w:spacing w:line="440" w:lineRule="exact"/>
        <w:rPr>
          <w:rFonts w:ascii="宋体" w:hAnsi="宋体"/>
          <w:color w:val="000000"/>
          <w:szCs w:val="21"/>
          <w:highlight w:val="none"/>
        </w:rPr>
      </w:pPr>
      <w:r>
        <w:rPr>
          <w:rFonts w:ascii="宋体" w:hAnsi="宋体"/>
          <w:color w:val="000000"/>
          <w:szCs w:val="21"/>
          <w:highlight w:val="none"/>
        </w:rPr>
      </w:r>
      <w:r/>
    </w:p>
    <w:p>
      <w:pPr>
        <w:pStyle w:val="928"/>
        <w:jc w:val="both"/>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询价响应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询价报价表</w:t>
      </w:r>
      <w:r>
        <w:rPr>
          <w:rFonts w:hint="eastAsia" w:ascii="宋体" w:hAnsi="宋体" w:eastAsia="宋体" w:cs="宋体"/>
          <w:b w:val="0"/>
          <w:bCs w:val="0"/>
          <w:i w:val="0"/>
          <w:color w:val="00000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rPr>
        <w:t xml:space="preserve">联合体协议</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十一</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关于符合本国产品标准的声明函（如有）</w:t>
      </w:r>
      <w:r>
        <w:rPr>
          <w:rFonts w:hint="eastAsia" w:ascii="宋体" w:hAnsi="宋体" w:eastAsia="宋体" w:cs="宋体"/>
          <w:b w:val="0"/>
          <w:bCs w:val="0"/>
          <w:i w:val="0"/>
          <w:color w:val="000000"/>
          <w:sz w:val="28"/>
          <w:szCs w:val="28"/>
          <w:highlight w:val="none"/>
          <w:u w:val="none"/>
          <w:lang w:eastAsia="zh-CN"/>
        </w:rPr>
      </w:r>
      <w:r/>
    </w:p>
    <w:p>
      <w:pPr>
        <w:pStyle w:val="928"/>
        <w:ind w:firstLine="560"/>
        <w:spacing w:line="600" w:lineRule="exact"/>
        <w:rPr>
          <w:rFonts w:hint="eastAsia" w:ascii="宋体" w:hAnsi="宋体" w:eastAsia="宋体" w:cs="宋体"/>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十二、分包情况说明及分包意向协议（如有）</w:t>
      </w:r>
      <w:r>
        <w:rPr>
          <w:rFonts w:hint="eastAsia" w:ascii="宋体" w:hAnsi="宋体" w:eastAsia="宋体" w:cs="宋体"/>
          <w:i w:val="0"/>
          <w:color w:val="000000"/>
          <w:sz w:val="28"/>
          <w:szCs w:val="28"/>
          <w:highlight w:val="none"/>
          <w:u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rPr>
          <w:rFonts w:hint="eastAsia" w:ascii="黑体" w:hAnsi="黑体" w:eastAsia="黑体" w:cs="Times New Roman"/>
          <w:i w:val="0"/>
          <w:color w:val="000000"/>
          <w:sz w:val="32"/>
          <w:szCs w:val="32"/>
          <w:highlight w:val="none"/>
          <w:u w:val="none"/>
          <w:lang w:val="en-US" w:eastAsia="zh-CN"/>
        </w:rPr>
      </w:pPr>
      <w:r/>
      <w:bookmarkEnd w:id="133"/>
      <w:r/>
      <w:bookmarkEnd w:id="134"/>
      <w:r/>
      <w:bookmarkEnd w:id="135"/>
      <w:r/>
      <w:bookmarkStart w:id="136" w:name="_Toc120614284"/>
      <w:r>
        <w:rPr>
          <w:rFonts w:hint="eastAsia" w:ascii="黑体" w:hAnsi="黑体" w:eastAsia="黑体" w:cs="Times New Roman"/>
          <w:i w:val="0"/>
          <w:color w:val="000000"/>
          <w:sz w:val="32"/>
          <w:szCs w:val="32"/>
          <w:highlight w:val="none"/>
          <w:u w:val="non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8"/>
        <w:ind w:firstLine="492"/>
        <w:spacing w:line="460" w:lineRule="exact"/>
        <w:rPr>
          <w:color w:val="000000"/>
          <w:sz w:val="24"/>
          <w:szCs w:val="24"/>
          <w:highlight w:val="none"/>
        </w:rPr>
      </w:pPr>
      <w:r>
        <w:rPr>
          <w:color w:val="000000"/>
          <w:sz w:val="24"/>
          <w:szCs w:val="24"/>
          <w:highlight w:val="none"/>
        </w:rPr>
      </w:r>
      <w:r/>
    </w:p>
    <w:p>
      <w:pPr>
        <w:pStyle w:val="1047"/>
        <w:rPr>
          <w:color w:val="000000"/>
          <w:sz w:val="24"/>
          <w:szCs w:val="24"/>
          <w:highlight w:val="none"/>
        </w:rPr>
      </w:pPr>
      <w:r>
        <w:rPr>
          <w:color w:val="000000"/>
          <w:sz w:val="24"/>
          <w:szCs w:val="24"/>
          <w:highlight w:val="none"/>
        </w:rPr>
      </w:r>
      <w:r/>
    </w:p>
    <w:p>
      <w:pPr>
        <w:pStyle w:val="928"/>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28"/>
        <w:rPr>
          <w:color w:val="000000"/>
          <w:sz w:val="24"/>
          <w:szCs w:val="24"/>
          <w:highlight w:val="none"/>
        </w:rPr>
      </w:pPr>
      <w:r>
        <w:rPr>
          <w:color w:val="000000"/>
          <w:sz w:val="24"/>
          <w:szCs w:val="24"/>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2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1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1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询价</w:t>
      </w:r>
      <w:r>
        <w:rPr>
          <w:rFonts w:hint="eastAsia"/>
          <w:color w:val="000000"/>
          <w:sz w:val="24"/>
          <w:szCs w:val="24"/>
          <w:highlight w:val="none"/>
        </w:rPr>
        <w:t xml:space="preserve">有效期届满之日止。</w:t>
      </w:r>
      <w:r>
        <w:rPr>
          <w:rFonts w:hint="eastAsia"/>
          <w:color w:val="000000"/>
          <w:sz w:val="24"/>
          <w:szCs w:val="24"/>
          <w:highlight w:val="none"/>
        </w:rPr>
      </w:r>
      <w:r/>
    </w:p>
    <w:p>
      <w:pPr>
        <w:pStyle w:val="1018"/>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18"/>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18"/>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8"/>
        <w:ind w:firstLine="0"/>
        <w:rPr>
          <w:rFonts w:hint="eastAsia"/>
          <w:color w:val="000000"/>
          <w:highlight w:val="none"/>
        </w:rPr>
      </w:pPr>
      <w:r>
        <w:rPr>
          <w:rFonts w:hint="eastAsia"/>
          <w:color w:val="000000"/>
          <w:highlight w:val="none"/>
        </w:rPr>
      </w:r>
      <w:r/>
    </w:p>
    <w:p>
      <w:pPr>
        <w:pStyle w:val="101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（仅限询价文件注明允许分支机构投标情形）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5.未按询价文件要求和格式提供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928"/>
        <w:ind w:firstLine="420"/>
        <w:tabs>
          <w:tab w:val="left" w:pos="360" w:leader="none"/>
        </w:tabs>
        <w:rPr>
          <w:rFonts w:hint="eastAsia" w:ascii="宋体" w:hAnsi="宋体"/>
          <w:color w:val="000000"/>
          <w:szCs w:val="21"/>
          <w:highlight w:val="none"/>
          <w:u w:val="single"/>
          <w:lang w:val="en-US" w:eastAsia="zh-CN"/>
        </w:rPr>
      </w:pPr>
      <w:r>
        <w:rPr>
          <w:rFonts w:hint="eastAsia" w:ascii="宋体" w:hAnsi="宋体"/>
          <w:color w:val="000000"/>
          <w:szCs w:val="21"/>
          <w:highlight w:val="none"/>
          <w:u w:val="single"/>
          <w:lang w:val="en-US" w:eastAsia="zh-CN"/>
        </w:rPr>
      </w:r>
      <w:r/>
    </w:p>
    <w:p>
      <w:pPr>
        <w:pStyle w:val="928"/>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三、询价响应函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询价响应函</w:t>
      </w:r>
      <w:r>
        <w:rPr>
          <w:rFonts w:hint="eastAsia" w:ascii="方正小标宋简体" w:hAnsi="方正小标宋简体" w:eastAsia="方正小标宋简体" w:cs="方正小标宋简体"/>
          <w:color w:val="000000"/>
          <w:sz w:val="32"/>
          <w:szCs w:val="32"/>
          <w:highlight w:val="none"/>
          <w:lang w:val="zh-CN"/>
        </w:rPr>
      </w:r>
      <w:r/>
    </w:p>
    <w:p>
      <w:pPr>
        <w:pStyle w:val="1027"/>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致：                    （采购人名称）</w:t>
      </w:r>
      <w:r>
        <w:rPr>
          <w:rFonts w:hint="eastAsia" w:ascii="宋体" w:hAnsi="宋体"/>
          <w:color w:val="000000"/>
          <w:szCs w:val="21"/>
          <w:highlight w:val="none"/>
        </w:rPr>
      </w:r>
      <w:r/>
    </w:p>
    <w:p>
      <w:pPr>
        <w:pStyle w:val="1027"/>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询价</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交询价响应函，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文件规定的各项要求</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向</w:t>
      </w:r>
      <w:r>
        <w:rPr>
          <w:rFonts w:hint="eastAsia" w:ascii="宋体" w:hAnsi="宋体" w:eastAsia="宋体" w:cs="Times New Roman"/>
          <w:color w:val="000000"/>
          <w:sz w:val="24"/>
          <w:szCs w:val="21"/>
          <w:highlight w:val="none"/>
          <w:lang w:val="en-US" w:eastAsia="zh-CN"/>
        </w:rPr>
        <w:t xml:space="preserve">贵</w:t>
      </w:r>
      <w:r>
        <w:rPr>
          <w:rFonts w:hint="eastAsia" w:ascii="宋体" w:hAnsi="宋体" w:eastAsia="宋体" w:cs="Times New Roman"/>
          <w:color w:val="000000"/>
          <w:sz w:val="24"/>
          <w:szCs w:val="21"/>
          <w:highlight w:val="none"/>
        </w:rPr>
        <w:t xml:space="preserve">方提供所需</w:t>
      </w:r>
      <w:r>
        <w:rPr>
          <w:rFonts w:hint="eastAsia" w:ascii="宋体" w:hAnsi="宋体" w:eastAsia="宋体" w:cs="Times New Roman"/>
          <w:color w:val="000000"/>
          <w:sz w:val="24"/>
          <w:szCs w:val="21"/>
          <w:highlight w:val="none"/>
          <w:lang w:eastAsia="zh-CN"/>
        </w:rPr>
        <w:t xml:space="preserve">货物</w:t>
      </w:r>
      <w:r>
        <w:rPr>
          <w:rFonts w:hint="eastAsia" w:ascii="宋体" w:hAnsi="宋体" w:eastAsia="宋体" w:cs="Times New Roman"/>
          <w:color w:val="000000"/>
          <w:sz w:val="24"/>
          <w:szCs w:val="21"/>
          <w:highlight w:val="none"/>
        </w:rPr>
        <w:t xml:space="preserve">（包含与货物相关的服务）。</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2.我们完全理解贵方不一定将合同授予最低报价的供应商。</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文件及其有效补充文件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我们知道必须放弃提出含糊不清或误解问题的权利。</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日期起遵循本响应文件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并在规定的</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有效期期满之前均具有约束力。</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w:t>
      </w:r>
      <w:r>
        <w:rPr>
          <w:rFonts w:hint="eastAsia" w:ascii="宋体" w:hAnsi="宋体" w:eastAsia="宋体" w:cs="Times New Roman"/>
          <w:color w:val="000000"/>
          <w:sz w:val="24"/>
          <w:szCs w:val="21"/>
          <w:highlight w:val="none"/>
          <w:lang w:val="en-US" w:eastAsia="zh-CN"/>
        </w:rPr>
        <w:t xml:space="preserve">贵</w:t>
      </w:r>
      <w:r>
        <w:rPr>
          <w:rFonts w:hint="eastAsia" w:ascii="宋体" w:hAnsi="宋体" w:eastAsia="宋体" w:cs="Times New Roman"/>
          <w:color w:val="000000"/>
          <w:sz w:val="24"/>
          <w:szCs w:val="21"/>
          <w:highlight w:val="none"/>
        </w:rPr>
        <w:t xml:space="preserve">方验收、使用。</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微型企业（对应</w:t>
      </w:r>
      <w:r>
        <w:rPr>
          <w:rFonts w:ascii="Wingdings" w:hAnsi="Wingdings" w:eastAsia="Wingdings" w:cs="Wingdings"/>
          <w:color w:val="000000"/>
          <w:sz w:val="24"/>
          <w:szCs w:val="24"/>
          <w:highlight w:val="none"/>
          <w:u w:val="none"/>
        </w:rPr>
        <w:t xml:space="preserve">¨</w:t>
      </w:r>
      <w:r>
        <w:rPr>
          <w:rFonts w:hint="eastAsia" w:ascii="宋体" w:hAnsi="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0"/>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w:t>
      </w:r>
      <w:r>
        <w:rPr>
          <w:rFonts w:hint="eastAsia" w:ascii="宋体" w:hAnsi="宋体" w:eastAsia="宋体" w:cs="Times New Roman"/>
          <w:color w:val="000000"/>
          <w:sz w:val="24"/>
          <w:szCs w:val="24"/>
          <w:highlight w:val="none"/>
          <w:lang w:val="en-US" w:eastAsia="zh-CN"/>
        </w:rPr>
        <w:t xml:space="preserve">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w:t>
      </w:r>
      <w:r>
        <w:rPr>
          <w:rFonts w:hint="eastAsia" w:ascii="宋体" w:hAnsi="宋体" w:eastAsia="宋体" w:cs="Times New Roman"/>
          <w:color w:val="000000"/>
          <w:sz w:val="24"/>
          <w:szCs w:val="21"/>
          <w:highlight w:val="none"/>
          <w:lang w:eastAsia="zh-CN"/>
        </w:rPr>
        <w:t xml:space="preserve">次询价</w:t>
      </w:r>
      <w:r>
        <w:rPr>
          <w:rFonts w:hint="eastAsia" w:ascii="宋体" w:hAnsi="宋体" w:eastAsia="宋体" w:cs="Times New Roman"/>
          <w:color w:val="000000"/>
          <w:sz w:val="24"/>
          <w:szCs w:val="21"/>
          <w:highlight w:val="none"/>
        </w:rPr>
        <w:t xml:space="preserve">有关的正式通讯地址为：</w:t>
      </w:r>
      <w:r>
        <w:rPr>
          <w:rFonts w:hint="eastAsia" w:ascii="宋体" w:hAnsi="宋体" w:eastAsia="宋体" w:cs="Times New Roman"/>
          <w:color w:val="000000"/>
          <w:sz w:val="24"/>
          <w:szCs w:val="21"/>
          <w:highlight w:val="none"/>
        </w:rPr>
      </w:r>
      <w:r/>
    </w:p>
    <w:p>
      <w:pPr>
        <w:pStyle w:val="1027"/>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27"/>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27"/>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27"/>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28"/>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bCs/>
          <w:color w:val="000000"/>
          <w:sz w:val="24"/>
          <w:szCs w:val="21"/>
          <w:highlight w:val="none"/>
        </w:rPr>
        <w:br w:type="page" w:clear="all"/>
      </w:r>
      <w:bookmarkEnd w:id="124"/>
      <w:r/>
      <w:bookmarkEnd w:id="125"/>
      <w:r/>
      <w:bookmarkEnd w:id="136"/>
      <w:r>
        <w:rPr>
          <w:rFonts w:hint="eastAsia" w:ascii="黑体" w:hAnsi="黑体" w:eastAsia="黑体" w:cs="Times New Roman"/>
          <w:i w:val="0"/>
          <w:color w:val="000000"/>
          <w:sz w:val="32"/>
          <w:szCs w:val="32"/>
          <w:highlight w:val="none"/>
          <w:u w:val="none"/>
          <w:lang w:val="en-US" w:eastAsia="zh-CN"/>
        </w:rPr>
        <w:t xml:space="preserve">四、询价报价表</w:t>
      </w:r>
      <w:r>
        <w:rPr>
          <w:rFonts w:hint="eastAsia" w:ascii="黑体" w:hAnsi="黑体" w:eastAsia="黑体" w:cs="Times New Roman"/>
          <w:i w:val="0"/>
          <w:color w:val="000000"/>
          <w:sz w:val="32"/>
          <w:szCs w:val="32"/>
          <w:highlight w:val="none"/>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28"/>
        <w:ind w:firstLine="0"/>
        <w:keepLines w:val="0"/>
        <w:keepNext w:val="0"/>
        <w:pageBreakBefore w:val="0"/>
        <w:spacing w:line="48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928"/>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27"/>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28"/>
        <w:rPr>
          <w:rFonts w:ascii="宋体" w:hAnsi="宋体"/>
          <w:color w:val="000000"/>
          <w:sz w:val="24"/>
          <w:szCs w:val="24"/>
          <w:highlight w:val="none"/>
        </w:rPr>
      </w:pPr>
      <w:r>
        <w:rPr>
          <w:rFonts w:ascii="宋体" w:hAnsi="宋体"/>
          <w:color w:val="000000"/>
          <w:sz w:val="24"/>
          <w:szCs w:val="24"/>
          <w:highlight w:val="none"/>
        </w:rPr>
      </w:r>
      <w:r/>
    </w:p>
    <w:p>
      <w:pPr>
        <w:pStyle w:val="928"/>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28"/>
        <w:rPr>
          <w:color w:val="000000"/>
          <w:highlight w:val="none"/>
        </w:rPr>
      </w:pPr>
      <w:r>
        <w:rPr>
          <w:color w:val="000000"/>
          <w:highlight w:val="none"/>
        </w:rPr>
      </w:r>
      <w:r/>
    </w:p>
    <w:p>
      <w:pPr>
        <w:pStyle w:val="940"/>
        <w:rPr>
          <w:color w:val="000000"/>
          <w:highlight w:val="none"/>
        </w:rPr>
      </w:pPr>
      <w:r>
        <w:rPr>
          <w:color w:val="000000"/>
          <w:highlight w:val="none"/>
        </w:rPr>
      </w:r>
      <w:r/>
    </w:p>
    <w:p>
      <w:pPr>
        <w:pStyle w:val="928"/>
        <w:rPr>
          <w:color w:val="000000"/>
          <w:highlight w:val="none"/>
        </w:rPr>
      </w:pPr>
      <w:r>
        <w:rPr>
          <w:color w:val="000000"/>
          <w:highlight w:val="none"/>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313" w:type="dxa"/>
            <w:vAlign w:val="center"/>
            <w:textDirection w:val="lrTb"/>
            <w:noWrap w:val="false"/>
          </w:tcPr>
          <w:p>
            <w:pPr>
              <w:pStyle w:val="928"/>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（天）</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47" w:type="dxa"/>
            <w:vAlign w:val="center"/>
            <w:textDirection w:val="lrTb"/>
            <w:noWrap w:val="false"/>
          </w:tcPr>
          <w:p>
            <w:pPr>
              <w:pStyle w:val="928"/>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313"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928"/>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r/>
            <w:r/>
          </w:p>
        </w:tc>
      </w:tr>
    </w:tbl>
    <w:p>
      <w:pPr>
        <w:pStyle w:val="92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1.“总报价”应包括为完成整个项目所产生的所有费用，询价文件另有规定的除外。</w:t>
      </w:r>
      <w:r>
        <w:rPr>
          <w:rFonts w:hint="eastAsia" w:ascii="宋体" w:hAnsi="宋体" w:eastAsia="宋体" w:cs="宋体"/>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2.《分项报价表》中“总报价”应当与《询价报价表》中“总报价”一致。</w:t>
      </w:r>
      <w:r>
        <w:rPr>
          <w:rFonts w:hint="eastAsia" w:ascii="宋体" w:hAnsi="宋体" w:eastAsia="宋体" w:cs="宋体"/>
          <w:b w:val="0"/>
          <w:bCs w:val="0"/>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b w:val="0"/>
          <w:bCs w:val="0"/>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28"/>
        <w:rPr>
          <w:color w:val="000000"/>
          <w:highlight w:val="none"/>
        </w:rPr>
        <w:outlineLvl w:val="9"/>
      </w:pPr>
      <w:r>
        <w:rPr>
          <w:color w:val="000000"/>
          <w:highlight w:val="none"/>
        </w:rPr>
      </w:r>
      <w:r/>
    </w:p>
    <w:p>
      <w:pPr>
        <w:pStyle w:val="928"/>
        <w:rPr>
          <w:color w:val="000000"/>
          <w:highlight w:val="none"/>
        </w:rPr>
      </w:pPr>
      <w:r>
        <w:rPr>
          <w:color w:val="000000"/>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7"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4"/>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9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4"/>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1.供应商须对询价文件技术要求中的实质性要求（打“★”内容）及其他要求做出明确响应，否则视为无效响应。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994"/>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2.技术要求中实质性要求及其他要求明确需要提供证明材料的，签订合同时成交供应商应按询价文件要求和响应文件响应内容提供相应证明材料供采购人核验</w:t>
      </w:r>
      <w:r>
        <w:rPr>
          <w:rFonts w:hint="eastAsia"/>
          <w:b/>
          <w:bCs/>
          <w:color w:val="000000"/>
          <w:highlight w:val="none"/>
        </w:rPr>
        <w:t xml:space="preserve">，</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8"/>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1009"/>
        <w:rPr>
          <w:rFonts w:hint="eastAsia"/>
          <w:color w:val="000000"/>
          <w:highlight w:val="none"/>
          <w:lang w:val="en-US" w:eastAsia="zh-CN"/>
        </w:rPr>
      </w:pPr>
      <w:r>
        <w:rPr>
          <w:rFonts w:hint="eastAsia"/>
          <w:color w:val="000000"/>
          <w:highlight w:val="non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七、商务要求响应及偏离表</w:t>
      </w:r>
      <w:r>
        <w:rPr>
          <w:rFonts w:hint="eastAsia" w:ascii="黑体" w:hAnsi="黑体" w:eastAsia="黑体" w:cs="Times New Roman"/>
          <w:i w:val="0"/>
          <w:color w:val="00000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供应商须对</w:t>
      </w:r>
      <w:r>
        <w:rPr>
          <w:rFonts w:hint="eastAsia" w:cs="宋体"/>
          <w:b/>
          <w:bCs/>
          <w:color w:val="000000"/>
          <w:highlight w:val="none"/>
          <w:lang w:val="en-US" w:eastAsia="zh-CN"/>
        </w:rPr>
        <w:t xml:space="preserve">询价</w:t>
      </w:r>
      <w:r>
        <w:rPr>
          <w:rFonts w:hint="eastAsia" w:ascii="宋体" w:hAnsi="宋体" w:eastAsia="宋体" w:cs="宋体"/>
          <w:b/>
          <w:bCs/>
          <w:color w:val="000000"/>
          <w:highlight w:val="none"/>
          <w:lang w:val="en-US" w:eastAsia="zh-CN"/>
        </w:rPr>
        <w:t xml:space="preserve">文件商务要求中的实质性要求（打“★”内容）做出明确响应</w:t>
      </w:r>
      <w:r>
        <w:rPr>
          <w:rFonts w:hint="eastAsia" w:cs="宋体"/>
          <w:b/>
          <w:bCs/>
          <w:color w:val="000000"/>
          <w:highlight w:val="none"/>
          <w:lang w:val="en-US" w:eastAsia="zh-CN"/>
        </w:rPr>
        <w:t xml:space="preserve">，否则</w:t>
      </w:r>
      <w:r>
        <w:rPr>
          <w:rFonts w:hint="eastAsia" w:ascii="宋体" w:hAnsi="宋体" w:eastAsia="宋体" w:cs="宋体"/>
          <w:b/>
          <w:bCs/>
          <w:color w:val="000000"/>
          <w:highlight w:val="none"/>
          <w:lang w:val="en-US" w:eastAsia="zh-CN"/>
        </w:rPr>
        <w:t xml:space="preserve">视为无效响应。</w:t>
      </w:r>
      <w:r>
        <w:rPr>
          <w:rFonts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w:t>
      </w:r>
      <w:r>
        <w:rPr>
          <w:rFonts w:hint="eastAsia"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可自行添加。</w:t>
      </w:r>
      <w:r>
        <w:rPr>
          <w:rFonts w:hint="eastAsia" w:ascii="宋体" w:hAnsi="宋体" w:eastAsia="宋体" w:cs="宋体"/>
          <w:color w:val="000000"/>
          <w:highlight w:val="none"/>
          <w:lang w:val="en-US" w:eastAsia="zh-CN"/>
        </w:rPr>
      </w:r>
      <w:r/>
    </w:p>
    <w:p>
      <w:pPr>
        <w:pStyle w:val="928"/>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928"/>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仿宋_GB2312" w:hAnsi="Arial"/>
          <w:color w:val="000000"/>
          <w:sz w:val="30"/>
          <w:szCs w:val="21"/>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八、中小企业声明函</w:t>
      </w:r>
      <w:r>
        <w:rPr>
          <w:rFonts w:hint="eastAsia" w:ascii="黑体" w:hAnsi="黑体" w:eastAsia="黑体" w:cs="Times New Roman"/>
          <w:i w:val="0"/>
          <w:iCs w:val="0"/>
          <w:color w:val="000000"/>
          <w:sz w:val="32"/>
          <w:szCs w:val="32"/>
          <w:highlight w:val="none"/>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928"/>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（询价文件中明确的所属行业）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28"/>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（询价文件中明确的所属行业）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28"/>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8"/>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928"/>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09"/>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rPr>
          <w:rFonts w:hint="eastAsia"/>
          <w:color w:val="000000"/>
          <w:highlight w:val="none"/>
          <w:lang w:eastAsia="zh-CN"/>
        </w:rPr>
      </w:pPr>
      <w:r>
        <w:rPr>
          <w:rFonts w:hint="eastAsia"/>
          <w:color w:val="000000"/>
          <w:highlight w:val="none"/>
          <w:lang w:eastAsia="zh-CN"/>
        </w:rPr>
      </w:r>
      <w:r/>
    </w:p>
    <w:p>
      <w:pPr>
        <w:pStyle w:val="928"/>
        <w:ind w:right="180" w:firstLine="36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28"/>
        <w:ind w:firstLine="482"/>
        <w:keepLines w:val="0"/>
        <w:keepNext w:val="0"/>
        <w:pageBreakBefore w:val="0"/>
        <w:spacing w:line="264"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。询价文件第四章采购需求“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28"/>
        <w:ind w:firstLine="0"/>
        <w:jc w:val="left"/>
        <w:spacing w:line="264" w:lineRule="auto"/>
        <w:rPr>
          <w:rFonts w:hint="eastAsia" w:ascii="黑体" w:hAnsi="黑体" w:eastAsia="黑体"/>
          <w:b w:val="0"/>
          <w:color w:val="000000"/>
          <w:sz w:val="32"/>
          <w:szCs w:val="32"/>
          <w:highlight w:val="none"/>
        </w:rPr>
      </w:pPr>
      <w:r>
        <w:rPr>
          <w:rFonts w:hint="eastAsia" w:ascii="宋体" w:hAnsi="宋体" w:eastAsia="宋体" w:cs="Times New Roman"/>
          <w:color w:val="000000"/>
          <w:sz w:val="24"/>
          <w:szCs w:val="24"/>
          <w:highlight w:val="none"/>
          <w:lang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九、残疾人福利性单位声明函</w:t>
      </w:r>
      <w:r>
        <w:rPr>
          <w:rFonts w:hint="eastAsia" w:ascii="黑体" w:hAnsi="黑体" w:eastAsia="黑体"/>
          <w:b w:val="0"/>
          <w:color w:val="000000"/>
          <w:sz w:val="32"/>
          <w:szCs w:val="32"/>
          <w:highlight w:val="none"/>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或者提供其他残疾人福利性单位制造的货物（不包括使用非残疾人福利性单位注册商标的货物）。</w:t>
      </w:r>
      <w:r>
        <w:rPr>
          <w:rFonts w:hint="eastAsia" w:ascii="宋体" w:hAnsi="宋体"/>
          <w:color w:val="000000"/>
          <w:sz w:val="24"/>
          <w:szCs w:val="21"/>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1009"/>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rPr>
          <w:rFonts w:hint="eastAsia"/>
          <w:color w:val="000000"/>
          <w:highlight w:val="none"/>
          <w:lang w:eastAsia="zh-CN"/>
        </w:rPr>
      </w:pPr>
      <w:r>
        <w:rPr>
          <w:rFonts w:hint="eastAsia"/>
          <w:color w:val="000000"/>
          <w:highlight w:val="none"/>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928"/>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28"/>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928"/>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928"/>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49"/>
        <w:rPr>
          <w:color w:val="000000"/>
          <w:highlight w:val="none"/>
        </w:rPr>
      </w:pPr>
      <w:r>
        <w:rPr>
          <w:color w:val="000000"/>
          <w:highlight w:val="none"/>
        </w:rPr>
      </w:r>
      <w:r/>
    </w:p>
    <w:p>
      <w:pPr>
        <w:pStyle w:val="928"/>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92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8"/>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十、联合体协议</w:t>
      </w:r>
      <w:r>
        <w:rPr>
          <w:rFonts w:hint="eastAsia" w:ascii="黑体" w:hAnsi="黑体" w:eastAsia="黑体" w:cs="Times New Roman"/>
          <w:i w:val="0"/>
          <w:iCs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928"/>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928"/>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928"/>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928"/>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8"/>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28"/>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28"/>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928"/>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28"/>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28"/>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928"/>
        <w:ind w:firstLine="482"/>
        <w:keepLines w:val="0"/>
        <w:keepNext w:val="0"/>
        <w:pageBreakBefore w:val="0"/>
        <w:spacing w:line="360" w:lineRule="auto"/>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highlight w:val="none"/>
          <w:lang w:val="en-US" w:eastAsia="zh-CN"/>
        </w:rPr>
        <w:t xml:space="preserve">除另有说明外，本询价文件</w:t>
      </w:r>
      <w:r>
        <w:rPr>
          <w:rFonts w:hint="eastAsia" w:ascii="宋体" w:hAnsi="宋体" w:eastAsia="宋体" w:cs="Times New Roman"/>
          <w:b/>
          <w:bCs/>
          <w:color w:val="000000"/>
          <w:sz w:val="24"/>
          <w:highlight w:val="none"/>
        </w:rPr>
        <w:t xml:space="preserve">要求加盖电子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之处</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加盖牵头单位的电子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即可</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928"/>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rPr>
          <w:rFonts w:hint="eastAsia" w:ascii="宋体" w:hAnsi="宋体" w:eastAsia="宋体" w:cs="Times New Roman"/>
          <w:color w:val="000000"/>
          <w:sz w:val="24"/>
          <w:highlight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9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9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004"/>
          <w:rFonts w:hint="eastAsia"/>
          <w:i w:val="0"/>
          <w:color w:val="000000"/>
          <w:highlight w:val="none"/>
          <w:u w:val="single"/>
          <w:shd w:val="clear" w:color="auto" w:fill="ffffff"/>
        </w:rPr>
        <w:t xml:space="preserve">（产品名称1）</w:t>
      </w:r>
      <w:r>
        <w:rPr>
          <w:rStyle w:val="1004"/>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1004"/>
          <w:rFonts w:hint="eastAsia"/>
          <w:i w:val="0"/>
          <w:color w:val="000000"/>
          <w:highlight w:val="none"/>
          <w:u w:val="single"/>
          <w:shd w:val="clear" w:color="auto" w:fill="ffffff"/>
        </w:rPr>
        <w:t xml:space="preserve">（厂名）</w:t>
      </w:r>
      <w:r>
        <w:rPr>
          <w:rStyle w:val="1004"/>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00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00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Fonts w:hint="eastAsia"/>
          <w:strike w:val="0"/>
          <w:color w:val="000000"/>
          <w:highlight w:val="none"/>
          <w:shd w:val="clear" w:color="auto" w:fill="ffffff"/>
          <w:lang w:eastAsia="zh-CN"/>
        </w:rPr>
        <w:t xml:space="preserve">≥</w:t>
      </w:r>
      <w:r>
        <w:rPr>
          <w:rStyle w:val="1004"/>
          <w:rFonts w:hint="eastAsia"/>
          <w:i/>
          <w:strike w:val="0"/>
          <w:color w:val="000000"/>
          <w:highlight w:val="none"/>
          <w:u w:val="single"/>
          <w:shd w:val="clear" w:color="auto" w:fill="ffffff"/>
        </w:rPr>
        <w:t xml:space="preserve">（规定比例）</w:t>
      </w:r>
      <w:r>
        <w:rPr>
          <w:rStyle w:val="1004"/>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100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004"/>
          <w:rFonts w:hint="eastAsia"/>
          <w:i/>
          <w:strike w:val="0"/>
          <w:color w:val="000000"/>
          <w:highlight w:val="none"/>
          <w:u w:val="single"/>
          <w:shd w:val="clear" w:color="auto" w:fill="ffffff"/>
        </w:rPr>
        <w:t xml:space="preserve">（关键组件）</w:t>
      </w:r>
      <w:r>
        <w:rPr>
          <w:rStyle w:val="1004"/>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100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004"/>
          <w:rFonts w:hint="eastAsia"/>
          <w:i/>
          <w:strike w:val="0"/>
          <w:color w:val="000000"/>
          <w:highlight w:val="none"/>
          <w:u w:val="single"/>
          <w:shd w:val="clear" w:color="auto" w:fill="ffffff"/>
        </w:rPr>
        <w:t xml:space="preserve">（关键工序）</w:t>
      </w:r>
      <w:r>
        <w:rPr>
          <w:rStyle w:val="1004"/>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94"/>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100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1004"/>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100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00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Fonts w:hint="eastAsia"/>
          <w:strike w:val="0"/>
          <w:color w:val="000000"/>
          <w:highlight w:val="none"/>
          <w:shd w:val="clear" w:color="auto" w:fill="ffffff"/>
          <w:lang w:eastAsia="zh-CN"/>
        </w:rPr>
        <w:t xml:space="preserve">≥</w:t>
      </w:r>
      <w:r>
        <w:rPr>
          <w:rStyle w:val="1004"/>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100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004"/>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100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004"/>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94"/>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9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94"/>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94"/>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94"/>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9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9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94"/>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9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9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928"/>
        <w:jc w:val="left"/>
        <w:keepLines w:val="0"/>
        <w:keepNext w:val="0"/>
        <w:pageBreakBefore w:val="0"/>
        <w:spacing w:line="360" w:lineRule="auto"/>
        <w:widowControl/>
        <w:rPr>
          <w:color w:val="000000"/>
          <w:highlight w:val="none"/>
          <w:lang w:val="en-US"/>
        </w:rPr>
        <w:outlineLvl w:val="9"/>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十二、分包情况说明及分包意向协议</w:t>
      </w:r>
      <w:r>
        <w:rPr>
          <w:color w:val="000000"/>
          <w:highlight w:val="none"/>
          <w:lang w:val="en-US"/>
        </w:rPr>
      </w:r>
      <w:r/>
    </w:p>
    <w:p>
      <w:pPr>
        <w:pStyle w:val="928"/>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928"/>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928"/>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（采购包号）的询价。拟在成交后将以下非主体、非关键内容进行分包，我单位承诺一旦在该项目中获得采购合同，将按下表所列情况进行分包，同时承诺分包承担主体不再次分包。 </w:t>
      </w:r>
      <w:r>
        <w:rPr>
          <w:color w:val="000000"/>
          <w:highlight w:val="none"/>
        </w:rPr>
      </w:r>
      <w:r/>
    </w:p>
    <w:tbl>
      <w:tblPr>
        <w:tblStyle w:val="10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28"/>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928"/>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928"/>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928"/>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928"/>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928"/>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928"/>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928"/>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928"/>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28"/>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928"/>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928"/>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color w:val="000000"/>
          <w:highlight w:val="none"/>
        </w:rPr>
      </w:r>
      <w:r/>
    </w:p>
    <w:p>
      <w:pPr>
        <w:pStyle w:val="928"/>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如本询价文件载明本项目分包承担主体应具备的相应资质条件，则供应商须在本表中列明分包承担主体的资质等级，并提供资质证书。</w:t>
      </w:r>
      <w:r>
        <w:rPr>
          <w:rFonts w:hint="eastAsia"/>
          <w:color w:val="000000"/>
          <w:highlight w:val="none"/>
          <w:lang w:val="en-US" w:eastAsia="zh-CN"/>
        </w:rPr>
      </w:r>
      <w:r/>
    </w:p>
    <w:p>
      <w:pPr>
        <w:pStyle w:val="928"/>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928"/>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928"/>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928"/>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928"/>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28"/>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28"/>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928"/>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color w:val="000000"/>
          <w:highlight w:val="none"/>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928"/>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928"/>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928"/>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928"/>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28"/>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928"/>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928"/>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color w:val="000000"/>
          <w:highlight w:val="none"/>
        </w:rPr>
      </w:r>
      <w:r/>
    </w:p>
    <w:p>
      <w:pPr>
        <w:pStyle w:val="99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r>
      <w:r/>
    </w:p>
    <w:p>
      <w:pPr>
        <w:pStyle w:val="928"/>
        <w:jc w:val="center"/>
        <w:rPr>
          <w:rFonts w:hint="eastAsia" w:ascii="方正小标宋简体" w:hAnsi="方正小标宋简体" w:eastAsia="方正小标宋简体" w:cs="方正小标宋简体"/>
          <w:b w:val="0"/>
          <w:bCs w:val="0"/>
          <w:color w:val="000000"/>
          <w:sz w:val="32"/>
          <w:szCs w:val="32"/>
          <w:highlight w:val="none"/>
        </w:rPr>
      </w:pPr>
      <w:r>
        <w:rPr>
          <w:color w:val="000000"/>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28"/>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28"/>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928"/>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8"/>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928"/>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8"/>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8"/>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character" w:styleId="947">
    <w:name w:val="标题 3 Char"/>
    <w:next w:val="947"/>
    <w:link w:val="931"/>
    <w:rPr>
      <w:rFonts w:ascii="Times New Roman" w:hAnsi="Times New Roman" w:eastAsia="宋体" w:cs="Times New Roman"/>
      <w:b/>
      <w:bCs/>
      <w:sz w:val="32"/>
      <w:szCs w:val="32"/>
    </w:rPr>
  </w:style>
  <w:style w:type="paragraph" w:styleId="948">
    <w:name w:val="正文缩进"/>
    <w:basedOn w:val="928"/>
    <w:next w:val="948"/>
    <w:link w:val="949"/>
    <w:pPr>
      <w:ind w:firstLine="420"/>
    </w:pPr>
    <w:rPr>
      <w:szCs w:val="21"/>
    </w:rPr>
  </w:style>
  <w:style w:type="character" w:styleId="949">
    <w:name w:val="正文缩进 Char"/>
    <w:next w:val="949"/>
    <w:link w:val="948"/>
    <w:rPr>
      <w:szCs w:val="21"/>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jc w:val="left"/>
    </w:pPr>
  </w:style>
  <w:style w:type="character" w:styleId="961">
    <w:name w:val="批注文字 Char"/>
    <w:basedOn w:val="938"/>
    <w:next w:val="961"/>
    <w:link w:val="960"/>
    <w:uiPriority w:val="99"/>
    <w:semiHidden/>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style>
  <w:style w:type="paragraph" w:styleId="968">
    <w:name w:val="目录 5"/>
    <w:basedOn w:val="928"/>
    <w:next w:val="928"/>
    <w:link w:val="928"/>
    <w:semiHidden/>
    <w:pPr>
      <w:ind w:left="840"/>
      <w:jc w:val="left"/>
    </w:pPr>
    <w:rPr>
      <w:rFonts w:ascii="Times New Roman" w:hAnsi="Times New Roman" w:eastAsia="宋体" w:cs="Times New Roman"/>
      <w:szCs w:val="21"/>
    </w:rPr>
  </w:style>
  <w:style w:type="paragraph" w:styleId="969">
    <w:name w:val="目录 3"/>
    <w:basedOn w:val="928"/>
    <w:next w:val="928"/>
    <w:link w:val="928"/>
    <w:semiHidden/>
    <w:pPr>
      <w:ind w:left="420"/>
      <w:jc w:val="left"/>
    </w:pPr>
    <w:rPr>
      <w:rFonts w:ascii="Times New Roman" w:hAnsi="Times New Roman" w:eastAsia="宋体" w:cs="Times New Roman"/>
      <w:i/>
      <w:iCs/>
      <w:szCs w:val="24"/>
    </w:rPr>
  </w:style>
  <w:style w:type="paragraph" w:styleId="970">
    <w:name w:val="纯文本"/>
    <w:basedOn w:val="928"/>
    <w:next w:val="970"/>
    <w:link w:val="971"/>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pPr>
      <w:ind w:left="1470"/>
      <w:jc w:val="left"/>
    </w:pPr>
    <w:rPr>
      <w:rFonts w:ascii="Times New Roman" w:hAnsi="Times New Roman" w:eastAsia="宋体" w:cs="Times New Roman"/>
      <w:szCs w:val="21"/>
    </w:rPr>
  </w:style>
  <w:style w:type="paragraph" w:styleId="973">
    <w:name w:val="日期"/>
    <w:basedOn w:val="928"/>
    <w:next w:val="928"/>
    <w:link w:val="974"/>
    <w:rPr>
      <w:rFonts w:ascii="Times New Roman" w:hAnsi="Times New Roman" w:eastAsia="宋体" w:cs="Times New Roman"/>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28"/>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28"/>
    <w:next w:val="979"/>
    <w:link w:val="980"/>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页眉"/>
    <w:basedOn w:val="928"/>
    <w:next w:val="981"/>
    <w:link w:val="9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pPr>
      <w:ind w:left="200" w:hanging="200"/>
    </w:pPr>
    <w:rPr>
      <w:rFonts w:ascii="Times New Roman" w:hAnsi="Times New Roman" w:eastAsia="宋体" w:cs="Times New Roman"/>
      <w:szCs w:val="21"/>
    </w:rPr>
  </w:style>
  <w:style w:type="paragraph" w:styleId="986">
    <w:name w:val="目录 6"/>
    <w:basedOn w:val="928"/>
    <w:next w:val="928"/>
    <w:link w:val="928"/>
    <w:semiHidden/>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pPr>
      <w:jc w:val="center"/>
      <w:widowControl/>
    </w:pPr>
    <w:rPr>
      <w:rFonts w:ascii="楷体_GB2312" w:hAnsi="Times New Roman" w:eastAsia="楷体_GB2312" w:cs="Times New Roman"/>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28"/>
    <w:next w:val="994"/>
    <w:link w:val="928"/>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rPr>
      <w:rFonts w:ascii="Times New Roman" w:hAnsi="Times New Roman" w:eastAsia="宋体" w:cs="Times New Roman"/>
      <w:b/>
      <w:bCs/>
      <w:szCs w:val="21"/>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rPr>
      <w:rFonts w:ascii="仿宋_GB2312" w:hAnsi="Times New Roman" w:eastAsia="仿宋_GB2312" w:cs="Times New Roman"/>
      <w:sz w:val="30"/>
      <w:szCs w:val="30"/>
    </w:rPr>
  </w:style>
  <w:style w:type="table" w:styleId="1000">
    <w:name w:val="网格型"/>
    <w:basedOn w:val="939"/>
    <w:next w:val="1000"/>
    <w:link w:val="928"/>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style>
  <w:style w:type="character" w:styleId="1003">
    <w:name w:val="已访问的超链接"/>
    <w:next w:val="1003"/>
    <w:link w:val="928"/>
    <w:rPr>
      <w:color w:val="800080"/>
      <w:u w:val="single"/>
    </w:rPr>
  </w:style>
  <w:style w:type="character" w:styleId="1004">
    <w:name w:val="强调"/>
    <w:next w:val="1004"/>
    <w:link w:val="928"/>
    <w:qFormat/>
    <w:rPr>
      <w:i/>
    </w:rPr>
  </w:style>
  <w:style w:type="character" w:styleId="1005">
    <w:name w:val="超链接"/>
    <w:next w:val="1005"/>
    <w:link w:val="928"/>
    <w:rPr>
      <w:color w:val="0000ff"/>
      <w:u w:val="single"/>
    </w:rPr>
  </w:style>
  <w:style w:type="character" w:styleId="1006">
    <w:name w:val="批注引用"/>
    <w:next w:val="1006"/>
    <w:link w:val="928"/>
    <w:semiHidden/>
    <w:rPr>
      <w:sz w:val="21"/>
      <w:szCs w:val="21"/>
    </w:rPr>
  </w:style>
  <w:style w:type="paragraph" w:styleId="1007">
    <w:name w:val="正文文本缩进1"/>
    <w:basedOn w:val="928"/>
    <w:next w:val="1008"/>
    <w:link w:val="928"/>
    <w:unhideWhenUsed/>
    <w:qFormat/>
    <w:pPr>
      <w:ind w:left="420"/>
      <w:spacing w:after="120"/>
    </w:pPr>
  </w:style>
  <w:style w:type="paragraph" w:styleId="1008">
    <w:name w:val="正文文本首行缩进 2"/>
    <w:basedOn w:val="1007"/>
    <w:next w:val="1008"/>
    <w:link w:val="928"/>
    <w:qFormat/>
    <w:pPr>
      <w:ind w:left="0" w:firstLine="420"/>
      <w:spacing w:after="0" w:line="360" w:lineRule="auto"/>
    </w:pPr>
    <w:rPr>
      <w:rFonts w:ascii="宋体" w:hAnsi="宋体"/>
      <w:sz w:val="20"/>
      <w:szCs w:val="20"/>
      <w:lang w:val="en-US" w:eastAsia="en-US"/>
    </w:rPr>
  </w:style>
  <w:style w:type="paragraph" w:styleId="1009">
    <w:name w:val="索引 41"/>
    <w:basedOn w:val="928"/>
    <w:next w:val="928"/>
    <w:link w:val="928"/>
    <w:semiHidden/>
    <w:qFormat/>
    <w:pPr>
      <w:ind w:left="1260"/>
    </w:pPr>
    <w:rPr>
      <w:rFonts w:ascii="Calibri" w:hAnsi="Calibri" w:eastAsia="Calibri" w:cs="宋体"/>
      <w:sz w:val="20"/>
      <w:lang w:val="zh-CN"/>
    </w:rPr>
  </w:style>
  <w:style w:type="character" w:styleId="1010">
    <w:name w:val="二级目录 Char"/>
    <w:next w:val="1010"/>
    <w:link w:val="1011"/>
    <w:rPr>
      <w:b/>
      <w:sz w:val="30"/>
      <w:szCs w:val="28"/>
    </w:rPr>
  </w:style>
  <w:style w:type="paragraph" w:styleId="1011">
    <w:name w:val="二级目录"/>
    <w:next w:val="928"/>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character" w:styleId="1014">
    <w:name w:val="font5 Char"/>
    <w:next w:val="1014"/>
    <w:link w:val="928"/>
    <w:rPr>
      <w:rFonts w:ascii="宋体" w:hAnsi="宋体" w:eastAsia="宋体"/>
      <w:sz w:val="28"/>
      <w:szCs w:val="28"/>
      <w:lang w:val="en-US" w:eastAsia="zh-CN" w:bidi="ar-SA"/>
    </w:rPr>
  </w:style>
  <w:style w:type="paragraph" w:styleId="1015">
    <w:name w:val="xl26"/>
    <w:basedOn w:val="928"/>
    <w:next w:val="10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font5"/>
    <w:basedOn w:val="928"/>
    <w:next w:val="1016"/>
    <w:link w:val="928"/>
    <w:pPr>
      <w:jc w:val="left"/>
      <w:spacing w:before="100" w:beforeAutospacing="1" w:after="100" w:afterAutospacing="1"/>
      <w:widowControl/>
    </w:pPr>
    <w:rPr>
      <w:rFonts w:hint="eastAsia" w:ascii="宋体" w:hAnsi="宋体" w:eastAsia="宋体" w:cs="Times New Roman"/>
      <w:sz w:val="28"/>
      <w:szCs w:val="28"/>
    </w:rPr>
  </w:style>
  <w:style w:type="paragraph" w:styleId="1017">
    <w:name w:val="附录1"/>
    <w:next w:val="1017"/>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8">
    <w:name w:val="Char"/>
    <w:basedOn w:val="928"/>
    <w:next w:val="1018"/>
    <w:link w:val="928"/>
    <w:pPr>
      <w:ind w:firstLine="200"/>
      <w:tabs>
        <w:tab w:val="left" w:pos="360" w:leader="none"/>
      </w:tabs>
    </w:pPr>
    <w:rPr>
      <w:rFonts w:ascii="Times New Roman" w:hAnsi="Times New Roman" w:eastAsia="宋体" w:cs="Times New Roman"/>
      <w:sz w:val="28"/>
      <w:szCs w:val="30"/>
    </w:rPr>
  </w:style>
  <w:style w:type="paragraph" w:styleId="1019">
    <w:name w:val="修订"/>
    <w:next w:val="1019"/>
    <w:link w:val="928"/>
    <w:uiPriority w:val="99"/>
    <w:semiHidden/>
    <w:rPr>
      <w:rFonts w:ascii="Times New Roman" w:hAnsi="Times New Roman"/>
      <w:sz w:val="21"/>
      <w:szCs w:val="21"/>
      <w:lang w:val="en-US" w:eastAsia="zh-CN" w:bidi="ar-SA"/>
    </w:rPr>
  </w:style>
  <w:style w:type="paragraph" w:styleId="1020">
    <w:name w:val="font7"/>
    <w:basedOn w:val="928"/>
    <w:next w:val="1020"/>
    <w:link w:val="928"/>
    <w:pPr>
      <w:jc w:val="left"/>
      <w:spacing w:before="100" w:beforeAutospacing="1" w:after="100" w:afterAutospacing="1"/>
      <w:widowControl/>
    </w:pPr>
    <w:rPr>
      <w:rFonts w:hint="eastAsia" w:ascii="宋体" w:hAnsi="宋体" w:eastAsia="宋体" w:cs="Times New Roman"/>
      <w:sz w:val="18"/>
      <w:szCs w:val="18"/>
    </w:rPr>
  </w:style>
  <w:style w:type="paragraph" w:styleId="1021">
    <w:name w:val="Body Text(ch)"/>
    <w:basedOn w:val="928"/>
    <w:next w:val="964"/>
    <w:link w:val="928"/>
    <w:pPr>
      <w:spacing w:after="120"/>
    </w:pPr>
    <w:rPr>
      <w:rFonts w:ascii="宋体" w:hAnsi="Arial" w:eastAsia="宋体" w:cs="Times New Roman"/>
      <w:bCs/>
      <w:iCs/>
      <w:szCs w:val="24"/>
    </w:rPr>
  </w:style>
  <w:style w:type="paragraph" w:styleId="1022">
    <w:name w:val="table_lines"/>
    <w:basedOn w:val="928"/>
    <w:next w:val="1022"/>
    <w:link w:val="928"/>
    <w:pPr>
      <w:jc w:val="left"/>
      <w:widowControl/>
    </w:pPr>
    <w:rPr>
      <w:rFonts w:ascii="Times New Roman" w:hAnsi="Times New Roman" w:eastAsia="宋体" w:cs="Times New Roman"/>
      <w:sz w:val="20"/>
      <w:szCs w:val="20"/>
      <w:lang w:val="de-DE" w:eastAsia="de-DE"/>
    </w:rPr>
  </w:style>
  <w:style w:type="paragraph" w:styleId="1023">
    <w:name w:val=" Char"/>
    <w:basedOn w:val="958"/>
    <w:next w:val="1023"/>
    <w:link w:val="928"/>
    <w:rPr>
      <w:rFonts w:ascii="Tahoma" w:hAnsi="Tahoma"/>
      <w:sz w:val="24"/>
      <w:szCs w:val="24"/>
    </w:rPr>
  </w:style>
  <w:style w:type="paragraph" w:styleId="1024">
    <w:name w:val="xl27"/>
    <w:basedOn w:val="928"/>
    <w:next w:val="102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name w:val="列出段落"/>
    <w:basedOn w:val="928"/>
    <w:next w:val="1025"/>
    <w:link w:val="928"/>
    <w:qFormat/>
    <w:pPr>
      <w:contextualSpacing/>
      <w:ind w:left="720"/>
      <w:jc w:val="left"/>
      <w:widowControl/>
    </w:pPr>
    <w:rPr>
      <w:rFonts w:ascii="Calibri" w:hAnsi="Calibri" w:eastAsia="宋体" w:cs="Times New Roman"/>
      <w:sz w:val="24"/>
      <w:szCs w:val="24"/>
      <w:lang w:eastAsia="en-US" w:bidi="en-US"/>
    </w:rPr>
  </w:style>
  <w:style w:type="paragraph" w:styleId="1026">
    <w:name w:val=" Char Char Char Char"/>
    <w:basedOn w:val="958"/>
    <w:next w:val="1026"/>
    <w:link w:val="928"/>
    <w:pPr>
      <w:spacing w:line="360" w:lineRule="auto"/>
    </w:pPr>
    <w:rPr>
      <w:rFonts w:ascii="Tahoma" w:hAnsi="Tahoma"/>
      <w:sz w:val="24"/>
      <w:szCs w:val="24"/>
    </w:rPr>
  </w:style>
  <w:style w:type="paragraph" w:styleId="1027">
    <w:name w:val="普通正文"/>
    <w:basedOn w:val="1028"/>
    <w:next w:val="1027"/>
    <w:link w:val="928"/>
    <w:pPr>
      <w:ind w:firstLine="480"/>
      <w:jc w:val="left"/>
      <w:spacing w:before="120" w:after="120" w:line="360" w:lineRule="auto"/>
    </w:pPr>
    <w:rPr>
      <w:rFonts w:ascii="Arial" w:hAnsi="Arial" w:eastAsia="宋体" w:cs="Times New Roman"/>
      <w:sz w:val="24"/>
      <w:szCs w:val="24"/>
    </w:rPr>
  </w:style>
  <w:style w:type="paragraph" w:styleId="1028">
    <w:name w:val="正文1"/>
    <w:next w:val="1028"/>
    <w:link w:val="928"/>
    <w:qFormat/>
    <w:pPr>
      <w:spacing w:after="200" w:line="276" w:lineRule="auto"/>
    </w:pPr>
    <w:rPr>
      <w:rFonts w:ascii="Calibri" w:hAnsi="Calibri" w:eastAsia="宋体" w:cs="Times New Roman"/>
      <w:sz w:val="22"/>
      <w:szCs w:val="22"/>
      <w:lang w:val="en-US" w:eastAsia="en-US" w:bidi="ar-SA"/>
    </w:rPr>
  </w:style>
  <w:style w:type="paragraph" w:styleId="1029">
    <w:name w:val="4"/>
    <w:basedOn w:val="928"/>
    <w:next w:val="987"/>
    <w:link w:val="928"/>
    <w:pPr>
      <w:ind w:firstLine="420"/>
      <w:spacing w:line="360" w:lineRule="auto"/>
    </w:pPr>
    <w:rPr>
      <w:rFonts w:ascii="Times New Roman" w:hAnsi="Times New Roman" w:eastAsia="宋体" w:cs="Times New Roman"/>
      <w:color w:val="ff0000"/>
      <w:sz w:val="24"/>
      <w:szCs w:val="24"/>
    </w:rPr>
  </w:style>
  <w:style w:type="paragraph" w:styleId="1030">
    <w:name w:val="普通 (Web)"/>
    <w:basedOn w:val="928"/>
    <w:next w:val="1030"/>
    <w:link w:val="928"/>
    <w:pPr>
      <w:jc w:val="left"/>
      <w:spacing w:before="100" w:beforeAutospacing="1" w:after="100" w:afterAutospacing="1"/>
      <w:widowControl/>
    </w:pPr>
    <w:rPr>
      <w:rFonts w:ascii="宋体" w:hAnsi="宋体" w:eastAsia="宋体" w:cs="Times New Roman"/>
      <w:sz w:val="24"/>
      <w:szCs w:val="24"/>
    </w:rPr>
  </w:style>
  <w:style w:type="paragraph" w:styleId="1031">
    <w:name w:val=" Char Char Char Char Char Char Char Char Char Char"/>
    <w:basedOn w:val="928"/>
    <w:next w:val="1031"/>
    <w:link w:val="928"/>
    <w:pPr>
      <w:spacing w:line="360" w:lineRule="auto"/>
    </w:pPr>
    <w:rPr>
      <w:rFonts w:ascii="Times New Roman" w:hAnsi="Times New Roman" w:eastAsia="宋体" w:cs="Times New Roman"/>
      <w:sz w:val="24"/>
      <w:szCs w:val="20"/>
    </w:rPr>
  </w:style>
  <w:style w:type="paragraph" w:styleId="1032">
    <w:name w:val="样式1"/>
    <w:basedOn w:val="928"/>
    <w:next w:val="1032"/>
    <w:link w:val="928"/>
    <w:pPr>
      <w:numPr>
        <w:ilvl w:val="0"/>
        <w:numId w:val="3"/>
      </w:numPr>
      <w:tabs>
        <w:tab w:val="left" w:pos="709" w:leader="none"/>
      </w:tabs>
    </w:pPr>
    <w:rPr>
      <w:rFonts w:ascii="宋体" w:hAnsi="宋体" w:eastAsia="宋体" w:cs="Times New Roman"/>
      <w:szCs w:val="21"/>
    </w:rPr>
  </w:style>
  <w:style w:type="paragraph" w:styleId="1033">
    <w:name w:val="font6"/>
    <w:basedOn w:val="928"/>
    <w:next w:val="1033"/>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name w:val="xl25"/>
    <w:basedOn w:val="928"/>
    <w:next w:val="1034"/>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6">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7">
    <w:name w:val="xl24"/>
    <w:basedOn w:val="928"/>
    <w:next w:val="103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9"/>
    <w:basedOn w:val="928"/>
    <w:next w:val="1038"/>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9">
    <w:name w:val="Char Char Char Char Char Char Char Char"/>
    <w:basedOn w:val="928"/>
    <w:next w:val="1039"/>
    <w:link w:val="928"/>
    <w:pPr>
      <w:jc w:val="left"/>
      <w:spacing w:after="160" w:line="240" w:lineRule="exact"/>
      <w:widowControl/>
    </w:pPr>
    <w:rPr>
      <w:rFonts w:ascii="Verdana" w:hAnsi="Verdana" w:eastAsia="宋体" w:cs="Times New Roman"/>
      <w:sz w:val="20"/>
      <w:szCs w:val="20"/>
      <w:lang w:eastAsia="en-US"/>
    </w:rPr>
  </w:style>
  <w:style w:type="paragraph" w:styleId="1040">
    <w:name w:val="xl28"/>
    <w:basedOn w:val="928"/>
    <w:next w:val="1040"/>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1">
    <w:name w:val=" Char Char Char Char Char Char Char Char"/>
    <w:basedOn w:val="928"/>
    <w:next w:val="1041"/>
    <w:link w:val="928"/>
    <w:pPr>
      <w:jc w:val="left"/>
      <w:spacing w:after="160" w:line="240" w:lineRule="exact"/>
      <w:widowControl/>
    </w:pPr>
    <w:rPr>
      <w:rFonts w:ascii="Verdana" w:hAnsi="Verdana" w:eastAsia="宋体" w:cs="Times New Roman"/>
      <w:sz w:val="20"/>
      <w:szCs w:val="20"/>
      <w:lang w:eastAsia="en-US"/>
    </w:rPr>
  </w:style>
  <w:style w:type="paragraph" w:styleId="1042">
    <w:name w:val="xl30"/>
    <w:basedOn w:val="928"/>
    <w:next w:val="1042"/>
    <w:link w:val="928"/>
    <w:pPr>
      <w:jc w:val="center"/>
      <w:spacing w:before="100" w:beforeAutospacing="1" w:after="100" w:afterAutospacing="1"/>
      <w:widowControl/>
    </w:pPr>
    <w:rPr>
      <w:rFonts w:ascii="宋体" w:hAnsi="宋体" w:eastAsia="宋体" w:cs="Times New Roman"/>
      <w:b/>
      <w:bCs/>
      <w:sz w:val="36"/>
      <w:szCs w:val="36"/>
    </w:rPr>
  </w:style>
  <w:style w:type="paragraph" w:styleId="1043">
    <w:name w:val="Char Char Char Char"/>
    <w:basedOn w:val="958"/>
    <w:next w:val="1043"/>
    <w:link w:val="928"/>
    <w:pPr>
      <w:spacing w:line="360" w:lineRule="auto"/>
    </w:pPr>
    <w:rPr>
      <w:rFonts w:ascii="Tahoma" w:hAnsi="Tahoma"/>
      <w:sz w:val="24"/>
      <w:szCs w:val="24"/>
    </w:rPr>
  </w:style>
  <w:style w:type="paragraph" w:styleId="1044">
    <w:name w:val="table_1stline"/>
    <w:basedOn w:val="928"/>
    <w:next w:val="1044"/>
    <w:link w:val="928"/>
    <w:pPr>
      <w:jc w:val="left"/>
      <w:spacing w:before="120"/>
      <w:widowControl/>
    </w:pPr>
    <w:rPr>
      <w:rFonts w:ascii="Times New Roman" w:hAnsi="Times New Roman" w:eastAsia="宋体" w:cs="Times New Roman"/>
      <w:bCs/>
      <w:sz w:val="20"/>
      <w:szCs w:val="20"/>
      <w:lang w:val="de-DE" w:eastAsia="de-DE"/>
    </w:rPr>
  </w:style>
  <w:style w:type="paragraph" w:styleId="1045">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无间隔"/>
    <w:next w:val="1046"/>
    <w:link w:val="928"/>
    <w:uiPriority w:val="99"/>
    <w:qFormat/>
    <w:pPr>
      <w:jc w:val="both"/>
      <w:widowControl w:val="off"/>
    </w:pPr>
    <w:rPr>
      <w:rFonts w:ascii="Times New Roman" w:hAnsi="Times New Roman"/>
      <w:sz w:val="21"/>
      <w:szCs w:val="21"/>
      <w:lang w:val="en-US" w:eastAsia="zh-CN" w:bidi="ar-SA"/>
    </w:rPr>
  </w:style>
  <w:style w:type="paragraph" w:styleId="1047">
    <w:name w:val="正文文本 211"/>
    <w:basedOn w:val="928"/>
    <w:next w:val="1047"/>
    <w:link w:val="928"/>
    <w:uiPriority w:val="99"/>
    <w:qFormat/>
    <w:pPr>
      <w:jc w:val="center"/>
    </w:pPr>
    <w:rPr>
      <w:b/>
      <w:bCs/>
      <w:sz w:val="20"/>
      <w:szCs w:val="20"/>
    </w:rPr>
  </w:style>
  <w:style w:type="table" w:styleId="1048">
    <w:name w:val="Table Normal"/>
    <w:next w:val="1048"/>
    <w:link w:val="928"/>
    <w:qFormat/>
    <w:tblPr/>
  </w:style>
  <w:style w:type="paragraph" w:styleId="1049">
    <w:name w:val="正文文本12"/>
    <w:basedOn w:val="928"/>
    <w:next w:val="1049"/>
    <w:link w:val="928"/>
    <w:uiPriority w:val="1"/>
    <w:qFormat/>
    <w:pPr>
      <w:ind w:left="120"/>
    </w:pPr>
    <w:rPr>
      <w:rFonts w:ascii="宋体" w:hAnsi="宋体" w:eastAsia="宋体" w:cs="宋体"/>
      <w:sz w:val="21"/>
      <w:szCs w:val="21"/>
      <w:lang w:val="zh-CN" w:eastAsia="zh-CN" w:bidi="zh-CN"/>
    </w:rPr>
  </w:style>
  <w:style w:type="table" w:styleId="1050">
    <w:name w:val="网格型1"/>
    <w:basedOn w:val="1051"/>
    <w:next w:val="1050"/>
    <w:link w:val="928"/>
    <w:qFormat/>
    <w:pPr>
      <w:jc w:val="both"/>
      <w:widowControl w:val="off"/>
    </w:pPr>
    <w:tblPr/>
  </w:style>
  <w:style w:type="table" w:styleId="1051">
    <w:name w:val="普通表格1"/>
    <w:next w:val="1051"/>
    <w:link w:val="928"/>
    <w:uiPriority w:val="99"/>
    <w:unhideWhenUsed/>
    <w:qFormat/>
    <w:tblPr/>
  </w:style>
  <w:style w:type="paragraph" w:styleId="1052">
    <w:name w:val="正文首行缩进 211"/>
    <w:basedOn w:val="1053"/>
    <w:next w:val="928"/>
    <w:link w:val="928"/>
    <w:qFormat/>
    <w:pPr>
      <w:ind w:left="0" w:firstLine="420"/>
      <w:spacing w:after="0" w:line="360" w:lineRule="auto"/>
    </w:pPr>
    <w:rPr>
      <w:rFonts w:ascii="宋体" w:hAnsi="宋体" w:eastAsia="宋体" w:cs="Times New Roman"/>
      <w:szCs w:val="20"/>
    </w:rPr>
  </w:style>
  <w:style w:type="paragraph" w:styleId="1053">
    <w:name w:val="正文文本缩进11"/>
    <w:basedOn w:val="928"/>
    <w:next w:val="1054"/>
    <w:link w:val="928"/>
    <w:unhideWhenUsed/>
    <w:qFormat/>
    <w:pPr>
      <w:ind w:left="420"/>
      <w:spacing w:after="120"/>
    </w:pPr>
  </w:style>
  <w:style w:type="paragraph" w:styleId="1054">
    <w:name w:val="寄信人地址1"/>
    <w:basedOn w:val="928"/>
    <w:next w:val="1054"/>
    <w:link w:val="928"/>
    <w:qFormat/>
    <w:rPr>
      <w:rFonts w:ascii="Arial" w:hAnsi="Arial" w:eastAsia="宋体" w:cs="宋体"/>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3</cp:revision>
  <dcterms:created xsi:type="dcterms:W3CDTF">2023-03-27T07:28:00Z</dcterms:created>
  <dcterms:modified xsi:type="dcterms:W3CDTF">2026-10-21T06:02:00Z</dcterms:modified>
</cp:coreProperties>
</file>