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06" w:right="0" w:firstLine="0"/>
        <w:spacing w:before="120" w:after="120" w:line="85" w:lineRule="atLeast"/>
        <w:pBdr>
          <w:top w:val="none" w:color="000000" w:sz="4" w:space="0"/>
          <w:left w:val="none" w:color="000000" w:sz="4" w:space="0"/>
          <w:bottom w:val="none" w:color="000000" w:sz="4" w:space="0"/>
          <w:right w:val="none" w:color="000000" w:sz="4" w:space="0"/>
        </w:pBdr>
      </w:pPr>
      <w:r>
        <w:t xml:space="preserve"> </w:t>
      </w:r>
      <w:r>
        <w:rPr>
          <w:rFonts w:ascii="Calibri" w:hAnsi="Calibri" w:eastAsia="Calibri" w:cs="Calibri"/>
          <w:color w:val="000000"/>
          <w:sz w:val="24"/>
          <w:u w:val="none"/>
        </w:rPr>
        <w:t xml:space="preserve"> </w:t>
      </w:r>
      <w:r/>
    </w:p>
    <w:p>
      <w:pPr>
        <w:ind w:left="-206" w:right="0" w:firstLine="253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206" w:right="0" w:firstLine="546"/>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206" w:right="0" w:firstLine="546"/>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1920" w:right="0" w:hanging="150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项目名称：盐城市大丰区综合为老服务管理平台运营和监管服务</w:t>
      </w:r>
      <w:r/>
    </w:p>
    <w:p>
      <w:pPr>
        <w:ind w:left="-206" w:right="0" w:firstLine="60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w:t>
      </w:r>
      <w:r>
        <w:rPr>
          <w:rFonts w:ascii="Arial" w:hAnsi="Arial" w:eastAsia="Arial" w:cs="Arial"/>
          <w:color w:val="000000"/>
          <w:sz w:val="30"/>
        </w:rPr>
        <w:t xml:space="preserve">JSZC-320904-JSJY-G2026-0033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sz w:val="24"/>
        </w:r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64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  标   人：</w:t>
      </w:r>
      <w:r>
        <w:rPr>
          <w:rFonts w:ascii="SimSun" w:hAnsi="SimSun" w:eastAsia="SimSun" w:cs="SimSun"/>
          <w:color w:val="000000"/>
          <w:sz w:val="32"/>
          <w:u w:val="single"/>
        </w:rPr>
        <w:t xml:space="preserve">盐城市大丰区民政局</w:t>
      </w:r>
      <w:r/>
    </w:p>
    <w:p>
      <w:pPr>
        <w:ind w:left="-206" w:right="0" w:firstLine="64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招标代理机构：</w:t>
      </w:r>
      <w:r>
        <w:rPr>
          <w:rFonts w:ascii="SimSun" w:hAnsi="SimSun" w:eastAsia="SimSun" w:cs="SimSun"/>
          <w:color w:val="000000"/>
          <w:sz w:val="32"/>
          <w:u w:val="single"/>
        </w:rPr>
        <w:t xml:space="preserve">江苏建友兴业工程项目管理有限公司</w:t>
      </w:r>
      <w:r/>
    </w:p>
    <w:p>
      <w:pPr>
        <w:ind w:left="-206" w:right="0" w:firstLine="544"/>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2026年10月</w:t>
      </w:r>
      <w:r/>
    </w:p>
    <w:p>
      <w:pPr>
        <w:ind w:left="-206" w:right="0" w:firstLine="748"/>
        <w:jc w:val="center"/>
        <w:spacing w:before="120" w:after="120" w:line="85" w:lineRule="atLeast"/>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206" w:right="0" w:firstLine="748"/>
        <w:jc w:val="center"/>
        <w:spacing w:before="120" w:after="120" w:line="85" w:lineRule="atLeast"/>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第一章</w:t>
      </w:r>
      <w:r>
        <w:rPr>
          <w:rFonts w:ascii="SimSun" w:hAnsi="SimSun" w:eastAsia="SimSun" w:cs="SimSun"/>
          <w:color w:val="000000"/>
          <w:sz w:val="44"/>
        </w:rPr>
        <w:t xml:space="preserve"> </w:t>
      </w:r>
      <w:r>
        <w:rPr>
          <w:rFonts w:ascii="SimHei" w:hAnsi="SimHei" w:eastAsia="SimHei" w:cs="SimHei"/>
          <w:color w:val="000000"/>
          <w:sz w:val="44"/>
        </w:rPr>
        <w:t xml:space="preserve">招标公告</w:t>
      </w:r>
      <w:r/>
    </w:p>
    <w:p>
      <w:pPr>
        <w:ind w:left="0" w:right="0" w:firstLine="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盐城市大丰区综合为老服务管理平台运营和监管服务JSZC-320904-JSJY-G2026-0033</w:t>
      </w:r>
      <w:r>
        <w:rPr>
          <w:rFonts w:ascii="SimSun" w:hAnsi="SimSun" w:eastAsia="SimSun" w:cs="SimSun"/>
          <w:color w:val="000000"/>
          <w:sz w:val="24"/>
        </w:rPr>
        <w:t xml:space="preserve">招标项目的潜在投标人应在“苏采云”系统内免费下载（投标人必须在苏采云系统中获取采购文件，方能参与政府采购项目）获取招标文件，并于</w:t>
      </w:r>
      <w:r>
        <w:rPr>
          <w:rFonts w:ascii="SimSun" w:hAnsi="SimSun" w:eastAsia="SimSun" w:cs="SimSun"/>
          <w:color w:val="000000"/>
          <w:sz w:val="24"/>
          <w:u w:val="single"/>
        </w:rPr>
        <w:t xml:space="preserve">2026-10-30 9:00</w:t>
      </w:r>
      <w:r>
        <w:rPr>
          <w:rFonts w:ascii="SimSun" w:hAnsi="SimSun" w:eastAsia="SimSun" w:cs="SimSun"/>
          <w:color w:val="000000"/>
          <w:sz w:val="24"/>
        </w:rPr>
        <w:t xml:space="preserve">（北京时间）前递交投标文件。</w:t>
      </w:r>
      <w:r/>
    </w:p>
    <w:p>
      <w:pPr>
        <w:ind w:left="-206"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JSZC-320904-JSJY-G2026-0033</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盐城市大丰区综合为老服务管理平台运营和监管服务</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rPr>
          <w:rFonts w:ascii="SimSun" w:hAnsi="SimSun" w:eastAsia="SimSun" w:cs="SimSun"/>
          <w:color w:val="000000"/>
          <w:sz w:val="24"/>
          <w:u w:val="single"/>
        </w:rPr>
        <w:t xml:space="preserve">273.79万元</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最高限价：</w:t>
      </w:r>
      <w:r>
        <w:rPr>
          <w:rFonts w:ascii="SimSun" w:hAnsi="SimSun" w:eastAsia="SimSun" w:cs="SimSun"/>
          <w:color w:val="000000"/>
          <w:sz w:val="24"/>
          <w:u w:val="single"/>
        </w:rPr>
        <w:t xml:space="preserve">273.79万元</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color w:val="000000"/>
          <w:sz w:val="24"/>
          <w:u w:val="single"/>
        </w:rPr>
        <w:t xml:space="preserve">盐城市大丰区综合为老服务管理平台运营和监管服务，为全面提升大丰区养老服务监管效能，引入专业第三方机构承担全区养老服务综合监管工作。中标供应商须提供成熟的综合为老服务管理平台（即智慧养老服务监管平台），通过“线上监管+线下监管”相结合的模式，实现养老服务全场景覆盖、全流程监管、全要素赋能，推动养老服务从被动监管向主动服务、精准服务转型，切实提升养老服务供给质量与治理效能。项目覆盖大丰区养老机构、社区养老服务设施、居家养老服务组织，面向全区老年人、家属、养老服务机构及民政监管人员提供服务与管理支撑。具体内容详见</w:t>
      </w:r>
      <w:r>
        <w:rPr>
          <w:rFonts w:ascii="SimSun" w:hAnsi="SimSun" w:eastAsia="SimSun" w:cs="SimSun"/>
          <w:color w:val="000000"/>
          <w:sz w:val="24"/>
          <w:u w:val="single"/>
        </w:rPr>
        <w:t xml:space="preserve">本项目招标文件采购需求。</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合同履行期限：</w:t>
      </w:r>
      <w:r>
        <w:rPr>
          <w:rFonts w:ascii="SimSun" w:hAnsi="SimSun" w:eastAsia="SimSun" w:cs="SimSun"/>
          <w:color w:val="000000"/>
          <w:sz w:val="24"/>
          <w:u w:val="single"/>
        </w:rPr>
        <w:t xml:space="preserve">自合同签订起3年（其中综合为老服务管理平台自本项目合同签订之日起上线使用）。</w:t>
      </w:r>
      <w:r/>
    </w:p>
    <w:p>
      <w:pPr>
        <w:ind w:left="-206"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w:t>
      </w:r>
      <w:r>
        <w:rPr>
          <w:rFonts w:ascii="SimSun" w:hAnsi="SimSun" w:eastAsia="SimSun" w:cs="SimSun"/>
          <w:color w:val="000000"/>
          <w:sz w:val="24"/>
          <w:u w:val="single"/>
        </w:rPr>
        <w:t xml:space="preserve">否</w:t>
      </w:r>
      <w:r>
        <w:rPr>
          <w:rFonts w:ascii="SimSun" w:hAnsi="SimSun" w:eastAsia="SimSun" w:cs="SimSun"/>
          <w:color w:val="000000"/>
          <w:sz w:val="24"/>
        </w:rPr>
        <w:t xml:space="preserve">。</w:t>
      </w:r>
      <w:r/>
    </w:p>
    <w:p>
      <w:pPr>
        <w:ind w:left="-206"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（一）满足《中华人民共和国政府采购法》第二十二条规定：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法人或者其他组织的营业执照等证明文件，自然人的身份证明；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2.上一年度的财务状况报表（成立不满一年无需提供）；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8.单位负责人为同一人或者存在直接控股、管理关系的不同供应商，不得参加同一合同项下的政府采购活动。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1.落实政府采购政策需满足的资格要求：无。</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1.本项目的特定资格要求：无。</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自招标文件公告发布之日起5个工作日</w:t>
      </w:r>
      <w:r>
        <w:rPr>
          <w:rFonts w:ascii="SimSun" w:hAnsi="SimSun" w:eastAsia="SimSun" w:cs="SimSun"/>
          <w:color w:val="000000"/>
          <w:sz w:val="24"/>
        </w:rPr>
        <w:t xml:space="preserve">。</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地点：“苏采云”系统内免费下载（投标人必须在苏采云系统中获取采购文件，方能参与政府采购项目）。</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72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2026-10-30 9:00（北京时间）。</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none"/>
        </w:rPr>
        <w:t xml:space="preserve">“</w:t>
      </w:r>
      <w:r>
        <w:rPr>
          <w:rFonts w:ascii="SimSun" w:hAnsi="SimSun" w:eastAsia="SimSun" w:cs="SimSun"/>
          <w:color w:val="000000"/>
          <w:sz w:val="24"/>
        </w:rPr>
        <w:t xml:space="preserve">苏采云</w:t>
      </w:r>
      <w:r>
        <w:rPr>
          <w:rFonts w:ascii="SimSun" w:hAnsi="SimSun" w:eastAsia="SimSun" w:cs="SimSun"/>
          <w:color w:val="000000"/>
          <w:sz w:val="24"/>
          <w:u w:val="none"/>
        </w:rPr>
        <w:t xml:space="preserve">”</w:t>
      </w:r>
      <w:r>
        <w:rPr>
          <w:rFonts w:ascii="SimSun" w:hAnsi="SimSun" w:eastAsia="SimSun" w:cs="SimSun"/>
          <w:color w:val="000000"/>
          <w:sz w:val="24"/>
        </w:rPr>
        <w:t xml:space="preserve">政府采购交易系统网上开标大厅。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本项目采购方式：公开招标。</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2.本项目评标办法：综合评分法。</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4.方式：本项目采用网上注册登记方式。</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潜在供应商访问电子招标响应交易平台的网络地址和方法：</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潜在投标人访问“苏采云”系统方法：江苏省政府采购网首页-“苏采云”链接（https://jszfcg.jsczt.cn/jszc/login）。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采购文件（后缀名为“.kedt”）、供应商操作手册及政府采购客户端 工具可通过“苏采云”系统相应链接进行下载。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采购代理机构将数据电文形式的采购文件加载至“苏采云”系统，供潜在供应商下载或者查阅。</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请潜在投标单位提前安装相应的控件（详见《“苏采云”系统供应商操作手册》）并使用谷歌浏览器登录“苏采云”系统参与不见面开评标。</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5.有关本次招标的事项若存在变动或修改，敬请及时关注盐城市政府采购中心在“中国政府采购网”、“江苏政府采购网”、“盐城市政府采购网”发布的更正公告。</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6.本次招标不收取投标保证金，不收取质量保证金。</w:t>
      </w:r>
      <w:r/>
    </w:p>
    <w:p>
      <w:pPr>
        <w:pStyle w:val="652"/>
        <w:ind w:left="-206" w:right="0" w:firstLine="482"/>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称：盐城市大丰区民政局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址：盐城市大丰区丰华国际大厦19楼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联系人：吴孟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联系方式：13851019168</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称：江苏建友兴业工程项目管理有限公司</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址：盐城市大丰区黄海东路28号（恒达世纪新城18幢4楼）</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联系人：单钰锋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联系方式：18761249196                   </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3.</w:t>
      </w:r>
      <w:r>
        <w:rPr>
          <w:rFonts w:ascii="SimSun" w:hAnsi="SimSun" w:eastAsia="SimSun" w:cs="SimSun"/>
          <w:color w:val="000000"/>
          <w:sz w:val="24"/>
          <w:highlight w:val="white"/>
        </w:rPr>
        <w:t xml:space="preserve">项目联系方式</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项目联系人：单钰锋</w:t>
      </w:r>
      <w:r/>
    </w:p>
    <w:p>
      <w:pPr>
        <w:ind w:left="-206" w:right="0" w:firstLine="480"/>
        <w:jc w:val="both"/>
        <w:spacing w:before="240" w:after="24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　　  话：18761249196</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第二章</w:t>
      </w:r>
      <w:r>
        <w:rPr>
          <w:rFonts w:ascii="SimSun" w:hAnsi="SimSun" w:eastAsia="SimSun" w:cs="SimSun"/>
          <w:b/>
          <w:color w:val="000000"/>
          <w:sz w:val="44"/>
        </w:rPr>
        <w:t xml:space="preserve"> </w:t>
      </w:r>
      <w:r>
        <w:rPr>
          <w:rFonts w:ascii="SimHei" w:hAnsi="SimHei" w:eastAsia="SimHei" w:cs="SimHei"/>
          <w:b/>
          <w:color w:val="000000"/>
          <w:sz w:val="44"/>
        </w:rPr>
        <w:t xml:space="preserve"> 投标人须知</w:t>
      </w:r>
      <w:r>
        <w:rPr>
          <w:rFonts w:ascii="SimSun" w:hAnsi="SimSun" w:eastAsia="SimSun" w:cs="SimSun"/>
          <w:sz w:val="21"/>
        </w:rPr>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3、适用法律和标准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4.1投标人应自行承担所有与参加投标有关的费用，无论投标过程中的做法和结果如何，采购人和江苏建友兴业工程项目管理有限公司在任何情况下均无义务和责任承担这些费用。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4.2本次招标采购中心和采购人不收取标书工本费与中标服务费。</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招标文件的约束力</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请仔细检查招标文件是否齐全，如有缺漏请立即与采购人（或招标代理机构）联系解决。</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前按招标公告中的通讯地址，以书面形式通知招标代理机构。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8.1在投标截止时间前，采购中心可以对招标文件进行修改。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8.2招标人有权按照法定的要求推迟投标截止日期和开标日期。</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w:t>
      </w:r>
      <w:r>
        <w:rPr>
          <w:rFonts w:ascii="SimSun" w:hAnsi="SimSun" w:eastAsia="SimSun" w:cs="SimSun"/>
          <w:color w:val="000000"/>
          <w:sz w:val="24"/>
          <w:highlight w:val="white"/>
        </w:rPr>
        <w:t xml:space="preserve">、</w:t>
      </w:r>
      <w:r>
        <w:rPr>
          <w:rFonts w:ascii="SimSun" w:hAnsi="SimSun" w:eastAsia="SimSun" w:cs="SimSun"/>
          <w:color w:val="000000"/>
          <w:sz w:val="24"/>
        </w:rPr>
        <w:t xml:space="preserve">江苏政府采购网、盐城市政府采购网公布，补充文件将作为招标文件的组成部分，并对投标人具有约束力。</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9.1投标人提交的投标文件以及投标人与采购人就有关投标的所有来往通知、函件和文件均应使用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w:t>
      </w:r>
      <w:r>
        <w:rPr>
          <w:rFonts w:ascii="SimSun" w:hAnsi="SimSun" w:eastAsia="SimSun" w:cs="SimSun"/>
          <w:color w:val="000000"/>
          <w:sz w:val="24"/>
          <w:highlight w:val="white"/>
        </w:rPr>
        <w:t xml:space="preserve">“</w:t>
      </w:r>
      <w:r>
        <w:rPr>
          <w:rFonts w:ascii="SimSun" w:hAnsi="SimSun" w:eastAsia="SimSun" w:cs="SimSun"/>
          <w:color w:val="000000"/>
          <w:sz w:val="24"/>
        </w:rPr>
        <w:t xml:space="preserve">中国政府采购网”“江苏政府采购网”“盐城市政府采购网”发布的招标文件不一致，请以</w:t>
      </w:r>
      <w:r>
        <w:rPr>
          <w:rFonts w:ascii="SimSun" w:hAnsi="SimSun" w:eastAsia="SimSun" w:cs="SimSun"/>
          <w:color w:val="000000"/>
          <w:sz w:val="24"/>
          <w:highlight w:val="white"/>
        </w:rPr>
        <w:t xml:space="preserve">“</w:t>
      </w:r>
      <w:r>
        <w:rPr>
          <w:rFonts w:ascii="SimSun" w:hAnsi="SimSun" w:eastAsia="SimSun" w:cs="SimSun"/>
          <w:color w:val="000000"/>
          <w:sz w:val="24"/>
        </w:rPr>
        <w:t xml:space="preserve">中国政府采购网”“江苏政府采购网”“盐城市政府采购网”发布的招标文件为准。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11、证明投标人及投标标的符合招标文件规定的文件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11.1投标人应按照法律、法规、规章和规范性文件以及招标文件要求提交证明文件，证明其及投标标的符合招标文件规定。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240" w:after="240" w:line="479" w:lineRule="atLeast"/>
        <w:tabs>
          <w:tab w:val="left" w:pos="103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14、投标函和开标一览表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15、投标有效期</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15.1投标有效期为采购中心规定的开标之日后</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17、投标文件的递交</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18、投标截止时间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18.1投标人上传电子投标文件的时间不得迟于招标公告中规定的投标截止时间。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18.2采购人可以按照规定，通过修改招标文件酌情延长投标截止时间，在此情况下，投标人的所有权利和义务以及投标人受制的截止时间均应以延长后新的截止时间为准。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19、投标文件的拒收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19.1采购人拒绝接收在其规定的投标截止时间后上传的任何投标文件。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20、投标文件的撤回和修改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21.1采购人将在招标公告中规定的时间和地点组织公开开标。投标人应当按照《操作手册》规定，参加开标活动和在苏采云系统规定的时间内对投标文件进行解密。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21.2开标仪式由采购人及代理机构组织。苏采云系统将自动对项目进行开标，并宣布各投标人名称和投标价格。</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22、评标委员会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22.1开标后，采购人将立即组织评标委员会（以下简称评委会）进行评标。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23.1凡是与审查、澄清、评价和比较投标的有关资料以及授标建议等，采购人、评委、采购中心均不得向投标人或与评标无关的其他人员透露。</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23.3采购人、代理机构和评标委员会不向未中标的投标人解释未中标原因，也不公布评标过程中的相关细节。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24、投标文件的澄清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24.3接到评委会澄清、说明和补正要求的投标人如未按规定作出澄清、说明和补正，其风险由投标人自行承担。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25、对投标文件的初审</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25.6投标人在开、评标全过程中应保持通信畅通，及时登录苏采云系统查阅、答复相关信息，并安排专人与采购人、代理机构及评标委员会联系。</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26.1.10投标人不能证明其报价合理性的，评标委员会应当将其作为无效投标处理。</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（一）评审过程中出现下列情形之一的，评标委员会应当启动异常低价投标审查程序：</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3.投标（响应）报价低于采购项目最高限价45%的，即投标（响应）报价&lt;采购项目最高限价×45%；</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4.评审委员会基于专业判断，认为供应商报价过低，有可能影响产品质量或者不能诚信履约的其他情形。</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相关法律法规对供应商报价有规定的，从其规定。</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26.1.11投标文件未按照招标文件要求加盖CA电子公章的。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27、确定中标单位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27.3采购人将在“中国政府采购网”“江苏政府采购网”“盐城市政府采购网”发布中标公告，公告期限为1个工作日。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27.4.2向采购人行贿或者提供其他不正当利益的。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27.5</w:t>
      </w:r>
      <w:r>
        <w:rPr>
          <w:rFonts w:ascii="SimSun" w:hAnsi="SimSun" w:eastAsia="SimSun" w:cs="SimSun"/>
          <w:color w:val="000000"/>
          <w:sz w:val="24"/>
        </w:rPr>
        <w:t xml:space="preserve">有下列情形之一的，视为投标人串通投标，投标无效：</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left="0" w:right="0" w:firstLine="480"/>
        <w:spacing w:before="0" w:after="0" w:line="479"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采购人及采购代理机构只接收以纸质原件形式送达的质疑,采购人和招标代理机构不接受未填写快递运单的快件。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29.2中标通知书将是合同的一个组成部分。对采购人和中标人均具有法律效力。中标通知书发出后，中标人放弃中标项目的，应当依法承担投标报价2%的违约金。</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30.签订合同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31、服务（包含与服务相关的货物）的追加</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32.政府采购政策功能落实</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32.1政府采购线上合同信用融资政策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480"/>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32.2进口产品</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32.3中小企业、监狱企业及残疾人福利性单位</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32.3.1中小企业定义：</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32.3.2供应商提供的货物、工程或者服务符合下列情形的，享受中小企业扶持政策：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32.3.2.1在货物采购项目中，货物由中小企业制造，即货物由中小企业生产且使用该中小企业商号或者注册商标；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32.3.2.2在工程采购项目中，工程由中小企业承建，即工程施工单位为中小企业；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32.3.2.3在服务采购项目中，服务由中小企业承接，即提供服务的人员为中小企业依照《中华人民共和国劳动合同法》订立劳动合同的从业人员。</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32.3.3在货物采购项目中，供应商提供的货物既有中小企业制造货物，也有大型企业制造货物的，不享受中小企业扶持政策。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32.3.4以联合体形式参加政府采购活动，联合体各方均为中小企业的，联合体视同中小企业。其中，联合体各方均为小微企业的，联合体视同小微企业。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32.3.6残疾人福利单位定义：享受政府采购支持政策的残疾人福利性单位应当同时满足以下条件：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32.3.6.1安置的残疾人占本单位在职职工人数的比例不低于25%（含25%），并且安置的残疾人人数不少于10 人（含10 人）；</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32.3.6.2依法与安置的每位残疾人签订了一年以上（含一年）的劳动合同或服务协议；</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32.3.6.3为安置的每位残疾人按月足额缴纳了基本养老保险、基本医疗保险、失业保险、工伤保险和生育保险等社会保险费；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32.3.6.4通过银行等金融机构向安置的每位残疾人，按月支付了不低于单位所在区县适用的经省级人民政府批准的月最低工资标准的工资；</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32.3.7本项目是否专门面向中小企业预留采购份额见第一章《招标公告》。</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32.3.8采购标的对应的中小企业划分标准所属行业见第四章《采购需求》。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32.3.9小微企业价格评审优惠的政策：见第五章《评标方法和评标标准》。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32.4政府采购节能产品、环境标志产品</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SimSun" w:hAnsi="SimSun" w:eastAsia="SimSun" w:cs="SimSun"/>
          <w:color w:val="000000"/>
          <w:sz w:val="24"/>
        </w:rPr>
        <w:t xml:space="preserve">应当优先采购节能产品、环境标志产品。</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32.5绿色包装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0"/>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32.6政府采购创新产品</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0"/>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32.7绿色数据中心政策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32.8实施本国产品标准及相关政策</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1.本项目对采购本国产品给予政策支持，具体内容见招标文件“第五章 评标方法与评标标准”。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SimSun" w:hAnsi="SimSun" w:eastAsia="SimSun" w:cs="SimSun"/>
          <w:b/>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left="0" w:right="0" w:firstLine="480"/>
        <w:jc w:val="both"/>
        <w:spacing w:before="0" w:after="0" w:line="479"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32.9履约保证金政策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预付款制度</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本项目落实预付款制度，预付款比例为30%。在签订合同时，中标、成交供应商明确书面表示无需预付款或者主动要求降低预付款比例的，采购人可就预付款比例作相应调整。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34、招标代理报酬</w:t>
      </w:r>
      <w:r/>
    </w:p>
    <w:p>
      <w:pPr>
        <w:ind w:left="-206"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34.1.本项目招标代理报酬参照苏招协【2022】002号规定收费标准的40%计取，由中标供应商在领取中标通知书时一次性支付给本项目代理机构，投标报价时请综合考虑到报价中，不单列。</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rPr>
          <w:rFonts w:ascii="Calibri" w:hAnsi="Calibri" w:eastAsia="Calibri" w:cs="Calibri"/>
          <w:color w:val="000000"/>
          <w:sz w:val="24"/>
        </w:rPr>
        <w:tab/>
        <w:t xml:space="preserve">    </w:t>
      </w:r>
      <w:r>
        <w:rPr>
          <w:rFonts w:ascii="SimSun" w:hAnsi="SimSun" w:eastAsia="SimSun" w:cs="SimSun"/>
          <w:b/>
          <w:color w:val="000000"/>
          <w:sz w:val="30"/>
        </w:rPr>
        <w:t xml:space="preserve">第三章  合同条款</w:t>
      </w:r>
      <w:r>
        <w:rPr>
          <w:rFonts w:ascii="Calibri" w:hAnsi="Calibri" w:eastAsia="Calibri" w:cs="Calibri"/>
          <w:sz w:val="21"/>
        </w:rPr>
      </w:r>
      <w:r/>
    </w:p>
    <w:p>
      <w:pPr>
        <w:ind w:left="0" w:right="0" w:firstLine="480"/>
        <w:jc w:val="both"/>
        <w:spacing w:before="0" w:after="0" w:line="479" w:lineRule="atLeast"/>
        <w:tabs>
          <w:tab w:val="left" w:pos="24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采购方</w:t>
      </w:r>
      <w:r>
        <w:rPr>
          <w:rFonts w:ascii="SimSun" w:hAnsi="SimSun" w:eastAsia="SimSun" w:cs="SimSun"/>
          <w:color w:val="000000"/>
          <w:sz w:val="24"/>
        </w:rPr>
        <w:t xml:space="preserve">(</w:t>
      </w:r>
      <w:r>
        <w:rPr>
          <w:rFonts w:ascii="SimSun" w:hAnsi="SimSun" w:eastAsia="SimSun" w:cs="SimSun"/>
          <w:color w:val="000000"/>
          <w:sz w:val="24"/>
          <w:u w:val="none"/>
        </w:rPr>
        <w:t xml:space="preserve">以下简称甲方</w:t>
      </w:r>
      <w:r>
        <w:rPr>
          <w:rFonts w:ascii="SimSun" w:hAnsi="SimSun" w:eastAsia="SimSun" w:cs="SimSun"/>
          <w:color w:val="000000"/>
          <w:sz w:val="24"/>
        </w:rPr>
        <w:t xml:space="preserve">)</w:t>
      </w:r>
      <w:r>
        <w:rPr>
          <w:rFonts w:ascii="SimSun" w:hAnsi="SimSun" w:eastAsia="SimSun" w:cs="SimSun"/>
          <w:color w:val="000000"/>
          <w:sz w:val="24"/>
          <w:u w:val="none"/>
        </w:rPr>
        <w:t xml:space="preserve">：</w:t>
      </w:r>
      <w:r>
        <w:rPr>
          <w:rFonts w:ascii="SimSun" w:hAnsi="SimSun" w:eastAsia="SimSun" w:cs="SimSun"/>
          <w:color w:val="000000"/>
          <w:sz w:val="24"/>
          <w:u w:val="single"/>
        </w:rPr>
        <w:t xml:space="preserve">盐城市大丰区民政局</w:t>
      </w:r>
      <w:r/>
    </w:p>
    <w:p>
      <w:pPr>
        <w:ind w:left="0" w:right="0" w:firstLine="480"/>
        <w:jc w:val="both"/>
        <w:spacing w:before="0" w:after="0" w:line="479" w:lineRule="atLeast"/>
        <w:tabs>
          <w:tab w:val="left" w:pos="24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供应商(以下简称乙方)：</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根据《中华人民共和国民法典》等法律法规的规定，甲乙双方就</w:t>
      </w:r>
      <w:r>
        <w:rPr>
          <w:rFonts w:ascii="SimSun" w:hAnsi="SimSun" w:eastAsia="SimSun" w:cs="SimSun"/>
          <w:color w:val="000000"/>
          <w:sz w:val="24"/>
          <w:u w:val="single"/>
        </w:rPr>
        <w:t xml:space="preserve">盐城市大丰区综合为老服务管理平台运营和监管服务</w:t>
      </w:r>
      <w:r>
        <w:rPr>
          <w:rFonts w:ascii="SimSun" w:hAnsi="SimSun" w:eastAsia="SimSun" w:cs="SimSun"/>
          <w:color w:val="000000"/>
          <w:sz w:val="24"/>
        </w:rPr>
        <w:t xml:space="preserve">按照招标结果签订本合同。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第一条合同内容：</w:t>
      </w:r>
      <w:r>
        <w:rPr>
          <w:rFonts w:ascii="SimSun" w:hAnsi="SimSun" w:eastAsia="SimSun" w:cs="SimSun"/>
          <w:color w:val="000000"/>
          <w:sz w:val="24"/>
          <w:u w:val="single"/>
        </w:rPr>
        <w:t xml:space="preserve">盐城市大丰区综合为老服务管理平台运营和监管服务，为全面提升大丰区养老服务监管效能，引入专业第三方机构承担全区养老服务综合监管工作。中标供应商须提供成熟的综合为老服务管理平台（即智慧养老服务监管平台），通过“线上监管+线下监管”相结合的模式，实现养老服务全场景覆盖、全流程监管、全要素赋能，推动养老服务从被动监管向主动服务、精准服务转型，切实提升养老服务供给质量与治理效能。项目覆盖大丰区养老机构、社区养老服务设施、居家养老服务组织，面向全区老年人、家属、养老服务机构及民政监管人员提供服务与管理支撑。具体内容详见</w:t>
      </w:r>
      <w:r>
        <w:rPr>
          <w:rFonts w:ascii="SimSun" w:hAnsi="SimSun" w:eastAsia="SimSun" w:cs="SimSun"/>
          <w:color w:val="000000"/>
          <w:sz w:val="24"/>
          <w:u w:val="single"/>
        </w:rPr>
        <w:t xml:space="preserve">本项目招标文件采购需求。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服务过程中，平台软件应依据上级最新文件要求，随时开展升级、功能完善与维护工作。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第二条本合同项下合同含税总价款：（大写）</w:t>
      </w:r>
      <w:r>
        <w:rPr>
          <w:rFonts w:ascii="SimSun" w:hAnsi="SimSun" w:eastAsia="SimSun" w:cs="SimSun"/>
          <w:color w:val="000000"/>
          <w:sz w:val="24"/>
          <w:u w:val="single"/>
        </w:rPr>
        <w:t xml:space="preserve">             </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第三条组成本合同的有关文件   </w:t>
      </w:r>
      <w:r/>
    </w:p>
    <w:p>
      <w:pPr>
        <w:ind w:left="0" w:right="0" w:firstLine="480"/>
        <w:jc w:val="both"/>
        <w:spacing w:before="0" w:after="0" w:line="47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本项目中标通知书、招标、投标文件和有关附件是本合同不可分割的组成部分，与本合同具有同等法律效力。</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第四条权利保证</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向乙方提交的所有资料、文件及乙方为履行本合同向甲方交付的服务、服务成果的知识产权属于甲方，乙方对甲方提供的业务资料、技术资料应严格保密，不得扩散。乙方应保证甲方在使用、接受本合同采购货物、服务任何一部分时不受乙方及第三方提出侵犯其专利权、版权、商标权和工业设计权等知识产权的起诉。一旦出现侵权，由乙方负全部责任和损失。同时消除对甲方产生的不利影响，如造成甲方损失的，乙方应承担赔偿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第五条合同履行期限</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第六条合同价款支付与履约担保</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2、本项目价款一律通过银行非现金结算，每次付款前乙方须按照甲方财务要求提供相应的增值税发票，否则甲方有权拒绝付款，并不产生违约责任。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后支付合同价款的30%作为预付款（甲方在收到发票后10个工作日内将预付款支付到乙方账户（在签订合同时，乙方明确书面表示无需预付款或者主动要求降低预付款比例的，甲方可就预付款比例作相应调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3.2合同签订满一年且综合为老服务管理平台经相关主管部门验收合格付至合同价款的40%。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3.3合同签订满二年付至合同价款的80%。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3.4余款待合同履行期限满且经甲方确认后结清。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注：以上付款均不计任何利息和相关费用，付款一律通过银行结转。乙方需出具经甲方确认的有效增值税发票。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4、乙方于合同签订前交纳人民币_</w:t>
      </w:r>
      <w:r>
        <w:rPr>
          <w:rFonts w:ascii="SimSun" w:hAnsi="SimSun" w:eastAsia="SimSun" w:cs="SimSun"/>
          <w:color w:val="000000"/>
          <w:sz w:val="24"/>
          <w:u w:val="single"/>
        </w:rPr>
        <w:t xml:space="preserve">（中标价的10%）</w:t>
      </w:r>
      <w:r>
        <w:rPr>
          <w:rFonts w:ascii="SimSun" w:hAnsi="SimSun" w:eastAsia="SimSun" w:cs="SimSun"/>
          <w:color w:val="000000"/>
          <w:sz w:val="24"/>
        </w:rPr>
        <w:t xml:space="preserve">_元作为本合同的履约保证金。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备注：甲方对AA评级及以上政府采购供应商（需提供信用管理部门备案的第三方信用报告）降低履约保证金缴纳比例（合同价款金额的5%）。</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4.1履约保证金的缴纳形式：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 如以履约保函（保险）形式缴纳履约保证金，供应商可通过政府采购电子履约保函（保险）平台（www.jsdzbh.com）在线申请履约保函（保险）。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4.2履约保证金的退还：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4.2.1方式：无息退还至乙方缴纳履约保证金的账户。如为保函，在到期时自行失效。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4.2.2时间：验收合格且甲方收到收据后30日内。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4.3.3条件：按合同要求全部履约完成并经甲方验收合格无违约情形，且甲方收到乙方出具的收据。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采用固定总价合同，不调整（甲方同意调整除外）。合同价款包括但不限于人工费、平台使用费、调试费、运维费、验收费、人员车旅费、人员保险费、培训费、网费、电话费、管理费、税费、企业管理费、利润等以及所有不可预见的全部相关费用（应充分考虑所有风险、责任等），招标文件和合同未列明，而乙方认为必需的费用投标时已自行综合考虑到合同价款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第七条违约责任</w:t>
        <w:tab/>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1.合同签订后，甲方无故中止或解除合同，甲方按乙方实际完成的工作量支付乙方合同价款。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按照本合同约定按期支付合同价款。非因甲方原因导致未按期支付乙方合同价款的，甲方应积极协调费用支付事宜。注：因财政预算调度、国库集中支付流程客观延迟导致付款延迟的，甲方不承担逾期违约责任，但甲方应积极办理付款申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3.合同签订后，如乙方擅自中止或解除合同，乙方向甲方支付合同价款的30％违约金，如造成甲方损失的，乙方还应赔偿损失。</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逾期提供服务的，每日按合同总价款的万分之五向甲方支付违约金，累计违约金不超过合同金额的10%，由甲方从待付合同款项中扣除。逾期超过约定日期10个工作日不能提供服务的，甲方可解除本合同。乙方因逾期提供服务或因其他违约行为导致甲方解除合同的，如造成甲方损失超过违约金的，超出部分由乙方继续承担赔偿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5.乙方在承担违约责任后，仍应继续履行合同约定的义务（甲方解除合同的除外）。甲方未能及时追究乙方的任何一项违约责任并不表明甲方放弃追究乙方该项或其他违约责任。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6.对于甲方提供的有关资料，乙方有保密义务，不得向第三人以任何方式泄漏。否则，乙方应赔偿甲方损失。</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7.合同履行期间，乙方人员的人员、财产安全由乙方自行负责，与甲方无关。若乙方不能及时处理所发生的问题和责任，并且影响到项目整体进度时，甲方有权处理相关事务，所发生的费用在合同价款中扣除。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第八条合同的变更和终止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除发生法律规定的不能预见、不能避免并不能克服的客观情况外，甲乙双方不得放弃或拒绝履行合同。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第九条合同的转让</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乙方不得擅自部分或全部转让其应履行的合同义务，如出现此行为，甲方有权解除合同，同时乙方应承担合同价款30%的违约金。如造成甲方损失的，乙方应赔偿损失。</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第十条争议的解决</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因履行本合同引起的或与本合同有关的争议，甲、乙双方应首先通过友好协商解决，如果协商不能解决争议，则向甲方住所地有管辖权的人民法院提起诉讼。</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第十一条诚实信用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乙方应诚实信用，严格按照招标文件要求和承诺履行合同，不向甲方进行商业贿赂或者提供不正当利益。</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第十二条合同生效及其他</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1、本合同自双方盖章、法定代表人或授权代理人签名之日起生效。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2、本合同一式捌份，甲乙双方各执肆份，具有同等法律效力。</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4、本项目合同价款债权不得转让和质押。</w:t>
      </w:r>
      <w:r/>
    </w:p>
    <w:p>
      <w:pPr>
        <w:ind w:left="-206" w:right="0" w:firstLine="0"/>
        <w:jc w:val="both"/>
        <w:spacing w:before="120" w:after="120" w:line="479" w:lineRule="atLeast"/>
        <w:tabs>
          <w:tab w:val="left" w:pos="24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甲方(盖章)：_________　　　　　　　 乙方(盖章)：_________</w:t>
      </w:r>
      <w:r/>
    </w:p>
    <w:p>
      <w:pPr>
        <w:ind w:left="-206" w:right="0" w:firstLine="0"/>
        <w:jc w:val="both"/>
        <w:spacing w:before="120" w:after="120" w:line="479" w:lineRule="atLeast"/>
        <w:tabs>
          <w:tab w:val="left" w:pos="24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法定代表人或授权代理人(签名)：      法定代表人或授权代理人(签名)： </w:t>
      </w:r>
      <w:r/>
    </w:p>
    <w:p>
      <w:pPr>
        <w:ind w:left="-181" w:right="0" w:firstLine="357"/>
        <w:jc w:val="both"/>
        <w:spacing w:before="120" w:after="120" w:line="479" w:lineRule="atLeast"/>
        <w:tabs>
          <w:tab w:val="left" w:pos="24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_________年____月____日　　　　　　　　_________年____月____日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20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政府采购合同履约验收书（参考格式）</w:t>
      </w:r>
      <w:r/>
    </w:p>
    <w:p>
      <w:pPr>
        <w:ind w:left="-206"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根据政府采购合同（编号：</w:t>
      </w:r>
      <w:r>
        <w:rPr>
          <w:rFonts w:ascii="Calibri" w:hAnsi="Calibri" w:eastAsia="Calibri" w:cs="Calibri"/>
          <w:color w:val="000000"/>
          <w:sz w:val="21"/>
          <w:u w:val="single"/>
        </w:rPr>
        <w:t xml:space="preserve">          </w:t>
      </w:r>
      <w:r>
        <w:rPr>
          <w:rFonts w:ascii="SimSun" w:hAnsi="SimSun" w:eastAsia="SimSun" w:cs="SimSun"/>
          <w:color w:val="000000"/>
          <w:sz w:val="21"/>
        </w:rPr>
        <w:t xml:space="preserve">）的约定，我单位组织对</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项目中标（成交）供应商</w:t>
      </w:r>
      <w:r>
        <w:rPr>
          <w:rFonts w:ascii="SimSun" w:hAnsi="SimSun" w:eastAsia="SimSun" w:cs="SimSun"/>
          <w:color w:val="000000"/>
          <w:sz w:val="21"/>
          <w:u w:val="single"/>
        </w:rPr>
        <w:t xml:space="preserve">（公司名称）</w:t>
      </w:r>
      <w:r>
        <w:rPr>
          <w:rFonts w:ascii="SimSun" w:hAnsi="SimSun" w:eastAsia="SimSun" w:cs="SimSun"/>
          <w:color w:val="000000"/>
          <w:sz w:val="21"/>
        </w:rPr>
        <w:t xml:space="preserve">提供的货物（工程、服务）进行了履约验收，验收情况如下：</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7"/>
        <w:gridCol w:w="2705"/>
        <w:gridCol w:w="1585"/>
        <w:gridCol w:w="2361"/>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5"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1" w:type="dxa"/>
            <w:vAlign w:val="center"/>
            <w:textDirection w:val="lrTb"/>
            <w:noWrap w:val="false"/>
          </w:tcPr>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验收情况和验收意见</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（可另附）</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验收小组（签名）：</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供应商确认意见（签章）：</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7" w:type="dxa"/>
            <w:vAlign w:val="top"/>
            <w:textDirection w:val="lrTb"/>
            <w:noWrap w:val="false"/>
          </w:tcPr>
          <w:p>
            <w:pPr>
              <w:ind w:left="-206"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采购人确认意见（签章）：</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bl>
    <w:p>
      <w:pPr>
        <w:ind w:left="-206" w:right="0" w:firstLine="748"/>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06" w:right="0" w:firstLine="748"/>
        <w:jc w:val="center"/>
        <w:spacing w:before="120" w:after="12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206" w:right="0" w:firstLine="748"/>
        <w:jc w:val="center"/>
        <w:spacing w:before="120" w:after="12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206" w:right="0" w:firstLine="748"/>
        <w:jc w:val="center"/>
        <w:spacing w:before="120" w:after="12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206" w:right="0" w:firstLine="748"/>
        <w:jc w:val="center"/>
        <w:spacing w:before="120" w:after="12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06" w:right="0" w:firstLine="748"/>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一、项目属性:服务类项目。</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二、采购标的对应的中小企业划分标准所属行业一览表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58"/>
        <w:gridCol w:w="3584"/>
        <w:gridCol w:w="35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对应中小企业划分标准所属行业</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盐城市大丰区综合为老服务管理平台运营和监管服务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bl>
    <w:p>
      <w:pPr>
        <w:ind w:left="573" w:right="0" w:hanging="573"/>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大丰区已建成标准化智慧养老指挥调度中心，机房、网络、大屏、终端等信息化硬件设施配套完善。2023年初，大丰区立足本地养老服务实际需求，启动居家社区养老服务项目建设，并同步购买三年期运营监管服务，服务内容涵盖线上监管及热线电话、服务对象关怀、上门服务工单监管等配套线下监管运营服务，有效支撑了居家社区养老服务的规范有序运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根据《中共中央 国务院关于深化养老服务改革发展的意见》（2024年）、《民政部 财政部关于实施向中度以上失能老年人发放养老服务消费补贴项目的通知》（民发〔2025〕37号）、《“十四五”民政信息化发展规划》（民发〔2021〕104号）、《关于进一步规范政府购买居家养老上门服务工作的通知》（盐民养老〔2025〕9号）、《大丰区加强居家上门服务质量监管“五审”联动工作指引》及《关于印发大丰区居家养老服务质量考评办法的通知》（大民发〔2024〕36号）等文件精神，大丰区积极贯彻落实国家、省、市关于深化养老服务改革</w:t>
      </w:r>
      <w:r>
        <w:rPr>
          <w:rFonts w:ascii="SimSun" w:hAnsi="SimSun" w:eastAsia="SimSun" w:cs="SimSun"/>
          <w:color w:val="000000"/>
          <w:sz w:val="24"/>
        </w:rPr>
        <w:t xml:space="preserve">发展和养老服务数字化转型的决策部署。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全面提升养老服务监管效能，大丰区民政局拟通过政府购买服务方式，引入专业第三方机构承担全区养老服务综合监管工作。中标供应商须提供成熟的智慧养老服务监管平台，通过“线上监管+线下监管”相结合的模式，实现养老服务全场景覆盖、全流程监管、全要素赋能，推动养老服务从被动监管向主动服务、精准服务转型，切实提升养老服务供给质量与治理效能。项目覆盖大丰区养老机构、社区养老服务设施、居家养老服务组织，面向全区老年人、家属、养老服务机构及民政监管人员提供服务与管理支撑。</w:t>
      </w:r>
      <w:r/>
    </w:p>
    <w:p>
      <w:pPr>
        <w:ind w:left="573" w:right="0" w:hanging="573"/>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服务范围为盐城市大丰区行政区域全域。</w:t>
      </w:r>
      <w:r/>
    </w:p>
    <w:p>
      <w:pPr>
        <w:ind w:left="573" w:right="0" w:hanging="573"/>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五、服务内容及要求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5.1线上监管服务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中标供应商须提供成熟的智慧养老服务监管平台（成品软件），覆盖大丰区养老服务全场景，须包含以下功能模块：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1.养老服务监管门户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统一监管操作入口，包含门户支撑（工作台、个人中心）、系统管理（账号管理、部门管理、用户组管理、机构管理）、配置中心（应用管理、个性化配置、更新日志）、系统监控（场景埋点统计、埋点应用分析、应用运行健康监控）、数据仓（数据对接、数据整理、数据存储）等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2.社区养老服务监管应用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全区社区养老服务设施进行监管，包含填报模板、站点管理（综合为老服务设施备案、助餐点管理、助浴点管理）、助餐补贴规则、服务对象管理、核定标记（助餐核定、助浴核定）、补贴统计（助餐消费补贴、助浴消费补贴）等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3.养老机构服务监管应用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全区养老机构进行集中监管，包含填报模板、机构管理（信息列表、详情查看、机构信息维护、状态变更、机构档案导出）、入住机构长者（长者查询）、人员管理（工作人员列表、条件筛选、详情查看、人员统计）、医养结合型养老机构机构运营补助（补贴清册查看、补贴统计查看）等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4.居家养老服务监管应用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居家养老服务监管端：包含基础信息管理（服务商管理、服务人员管理、老人管理）、死亡预警、工单管理（存疑工单、申诉审核、工单查询、工单补录审核）、服务设置、代办服务、监管中心（监管设置、服务人员轨迹数据大屏、数据大屏、统计分析）、服务回访（工单回访、日常回访、照片墙）、对账结算（平台审核、村镇联审、区级复审、审核进度查询、对账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居家养老服务商端：包含服务概况、基础信息管理（服务人员管理）、工单管理（待接单列表、工单派单、工单申诉、工单查询、工单补录）、服务设置（服务项目设置、服务包设置）、对账结算（审核任务、对账结算、服务人员对账、服务对象服务统计、历史结算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（3）居家养老服务人员移动端：包含服务（服务过程记录）、我的（服务概况、修改密码、人脸录入、退出登录）。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（4）代办人员移动端：代办服务。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5.养老服务老年人移动端应用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向老年人及家属提供便捷服务入口，包含首页（政策咨询、资讯活动、养老服务）、智能服务（涉老政策智能匹配：前端应用、涉老政策知识库、政策匹配智能体、管理后端）、我的（消费券账户概览、我的订单、账号与身份管理）等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6.养老服务监管大屏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机构养老监管分屏（全区养老机构总数、床位总数、入住老人总数、工作人员总数等核心指标卡片展示，支持区/街道/村社三级下钻）、社区养老监管分屏（全区社区养老服务设施总数及分类统计，支持区/街道/村社三级下钻）、居家养老监管分屏（居家服务老人总数、服务工单总数、服务人员总数、服务商总数、月度补贴金额等核心指标，支持区/街道/村社三级下钻）。</w:t>
      </w:r>
      <w:r/>
    </w:p>
    <w:p>
      <w:pPr>
        <w:ind w:left="7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5.2线下监管服务</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1.大丰区居家养老服务消费券监管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立专门窗口及咨询热线，协助老年人完成大丰区消费券认证申请，核验申请人信息真实性；每月对新增享受补贴老年人资格进行随机抽查核验；对已享受补贴老年人资格进行动态复核；对申请参与消费券项目的养老服务机构核验准入材料并督促签署诚信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（2）每日随机抽取前一日正常服务工单，核查工单真实性；每日对系统标记的存疑工单按100%比例进行人工审核，必要时联系老人或服务人员核实。每日监控消费券核销情况，发现异常后一周内完成核实处理。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（3）建立服务商惩戒机制，情节恶劣服务商列入黑名单；设立投诉专线，投诉1个工作日内转交、3个工作日内反馈结果。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2.社区养老监管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在运营的社区养老设施（综合为老服务设施、助餐点、助浴点等），每个季度抽取一定比例进行上门勘查监管，服务期内做到100%覆盖；勘查内容包括服务质量、安全隐患、满意度等。对巡查发现的问题下发整改通知书限期整改，复查闭环，并完成季度运营质态评估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3.机构养老监管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针对医养结合型养老机构的运营补助进行监管，主要负责对机构报送的资料进行合规性复核与标准审查。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4.养老热线电话服务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（1）开通统一对外养老服务热线，配备专职话务员，提供政策解答、投诉受理、紧急救援转介、服务诉求登记、助行服务预约等综合服务。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定话务员接听规范，所有通话录音留存不少于3个月。每月初制定回访计划，按各服务商上月居家服务工单量的20%随机抽取回访对象，通过电话回访核实服务及时性、内容完整性、态度满意度等，回访结果汇总形成月度服务质量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（3）每年初筛选60岁以上老年人按比例确定关怀名单，确保年度覆盖率达到50%以上，重点关注高龄、独居、失能、空巢老人，根据节日、天气、老人生日等节点主动致电关怀。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5.线下巡查监管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（1）组建线下回访团队，每月按照1%的居家服务工单比例对上门服务工单进行随机入户抽查，重点检查服务真实性、服务质量、老人满意度。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（2）对热线反馈的问题工单，安排专人上门核实，协调解决，并跟踪整改结果。</w:t>
      </w:r>
      <w:r/>
    </w:p>
    <w:p>
      <w:pPr>
        <w:ind w:left="7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5.3中心运营</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1.日常基础数据维护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（1）指定专人与民政建立日常联络机制，定期收集老年人基础信息变动、新增服务需求、服务资源变化等信息。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（2）对采集的数据进行格式规范性检查和逻辑性检查，发现错误及时反馈修正。动态变化数据根据报送信息及时更新，历史数据按年度归档。</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2.长效运营服务监管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（1）制定年度培训计划，培训内容包含政策法规解读、职业道德教育、应急处置技能等，每期培训建立档案。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（2）遵循养老服务地方标准和操作规范，组织标准宣贯会并对照标准检查执行情况。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（3）负责智慧养老指挥调度中心日常接待和讲解演示，所有接待记录在案形成接待台账。</w:t>
      </w:r>
      <w:r/>
    </w:p>
    <w:p>
      <w:pPr>
        <w:ind w:left="210" w:right="0" w:firstLine="241"/>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5.4其他要求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1.网络安全相关服务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中标供应商须负责系统二级等保测评、密评、软件测评及渗透测试相关工作，确保系统符合网络安全等级保护二级标准要求，并自行承担相关费用。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2.系统迁移部署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中标供应商须完成原大丰区智慧健康养老服务信息平台历史数据的全量迁移，确保历史数据不丢失、可查询、可追溯。同时待政务云建好后，线上监管平台需无缝迁移至政务云。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3.数据归属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服务期满后，全部业务数据归大丰区民政局所有并留存于本地政务云，民政局可永久访问、查询和导出全部历史数据，不因服务期满而丧失数据使用权。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4.第三方监管独立性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严格落实第三方监管独立性。中标人严禁参与大丰区本地的居家养老上门服务业务，必须保持中立身份，专注于平台运营与质量监管，确保监管数据的客观公正。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5.合同履行期满后，中标供应商无条件将平台数据提交给甲方。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6.中标供应商需承担中心办公设备升级费用、线上回访电话费用以及中心运营日常杂费（水电费+网络费+打印费+线下走访交通费等）。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7.在大丰区范围内从事居家上门服务的供应商不得承接本项目。（供应商必须在投标文件中承诺，否则为无效响应）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次项目为养老服务综合管理信息系统（即智慧养老服务监管平台）专业性强。为保证项目顺利实施及交付后长期稳定运行，投标人具有同类项目的建设经验，承接过类似项目业绩的，有同类项目成功案例的，具备与本项目相关的计算机软件著作权登记证书（如“智慧养老门户系统类”、“智慧社区居家助老服务系统类”、“居家养老服务平台类”、“健康养老管理信息平台类”等），以保障系统后续的升级迭代能力、源代码可控性及知识产权风险可控。采购人优先选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建设内容涉及软件开发、数据安全及信息技术服务等多个方面，投标人应具备规范的管理体系保障能力。具有有效的ISO9001质量管理体系认证、ISO27001信息安全管理体系认证、ISO20000信息技术服务管理体系认证，且认证范围与本项目实施内容相关的，采购人优先选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时间紧、任务重、协调面广，运营推广等多方面工作，项目负责人须具备较强的架构设计及项目管理能力。项目负责人具有人社部门颁发的系统架构设计师证书、信息系统项目管理师（高级）证书的，项目团队其他成员具有数据库管理工程师、人力资源管理师、网络工程师等与本项目实施相适应的专业技术能力的，采购人优先选择。</w:t>
      </w:r>
      <w:r/>
    </w:p>
    <w:p>
      <w:pPr>
        <w:ind w:left="210" w:right="0" w:firstLine="241"/>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5.5驻场人员要求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中标供应商须在采购人指定地点安排不少于7名驻场工作人员，人员要求如下：</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2"/>
        <w:gridCol w:w="919"/>
        <w:gridCol w:w="7003"/>
      </w:tblGrid>
      <w:tr>
        <w:trPr>
          <w:trHeight w:val="440"/>
        </w:trPr>
        <w:tc>
          <w:tcPr>
            <w:tcBorders>
              <w:top w:val="single" w:color="000000" w:sz="8" w:space="0"/>
              <w:left w:val="single" w:color="000000" w:sz="8" w:space="0"/>
              <w:bottom w:val="single" w:color="000000" w:sz="8" w:space="0"/>
              <w:right w:val="single" w:color="000000" w:sz="8" w:space="0"/>
            </w:tcBorders>
            <w:tcMar>
              <w:left w:w="160" w:type="dxa"/>
              <w:top w:w="160" w:type="dxa"/>
              <w:right w:w="160" w:type="dxa"/>
              <w:bottom w:w="160" w:type="dxa"/>
            </w:tcMar>
            <w:tcW w:w="14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60" w:type="dxa"/>
              <w:top w:w="160" w:type="dxa"/>
              <w:right w:w="160" w:type="dxa"/>
              <w:bottom w:w="160" w:type="dxa"/>
            </w:tcMar>
            <w:tcW w:w="91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人数</w:t>
            </w:r>
            <w:r/>
          </w:p>
        </w:tc>
        <w:tc>
          <w:tcPr>
            <w:tcBorders>
              <w:top w:val="single" w:color="000000" w:sz="8" w:space="0"/>
              <w:left w:val="none" w:color="000000" w:sz="4" w:space="0"/>
              <w:bottom w:val="single" w:color="000000" w:sz="8" w:space="0"/>
              <w:right w:val="single" w:color="000000" w:sz="8" w:space="0"/>
            </w:tcBorders>
            <w:tcMar>
              <w:left w:w="160" w:type="dxa"/>
              <w:top w:w="160" w:type="dxa"/>
              <w:right w:w="160" w:type="dxa"/>
              <w:bottom w:w="160" w:type="dxa"/>
            </w:tcMar>
            <w:tcW w:w="700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主要职责</w:t>
            </w:r>
            <w:r/>
          </w:p>
        </w:tc>
      </w:tr>
      <w:tr>
        <w:trPr>
          <w:trHeight w:val="1175"/>
        </w:trPr>
        <w:tc>
          <w:tcPr>
            <w:tcBorders>
              <w:top w:val="none" w:color="000000" w:sz="4" w:space="0"/>
              <w:left w:val="single" w:color="000000" w:sz="8" w:space="0"/>
              <w:bottom w:val="single" w:color="000000" w:sz="8" w:space="0"/>
              <w:right w:val="single" w:color="000000" w:sz="8" w:space="0"/>
            </w:tcBorders>
            <w:tcMar>
              <w:left w:w="160" w:type="dxa"/>
              <w:top w:w="160" w:type="dxa"/>
              <w:right w:w="160" w:type="dxa"/>
              <w:bottom w:w="160" w:type="dxa"/>
            </w:tcMar>
            <w:tcW w:w="14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60" w:type="dxa"/>
              <w:top w:w="160" w:type="dxa"/>
              <w:right w:w="160" w:type="dxa"/>
              <w:bottom w:w="160" w:type="dxa"/>
            </w:tcMar>
            <w:tcW w:w="91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w:t>
            </w:r>
            <w:r/>
          </w:p>
        </w:tc>
        <w:tc>
          <w:tcPr>
            <w:tcBorders>
              <w:top w:val="none" w:color="000000" w:sz="4" w:space="0"/>
              <w:left w:val="none" w:color="000000" w:sz="4" w:space="0"/>
              <w:bottom w:val="single" w:color="000000" w:sz="8" w:space="0"/>
              <w:right w:val="single" w:color="000000" w:sz="8" w:space="0"/>
            </w:tcBorders>
            <w:tcMar>
              <w:left w:w="160" w:type="dxa"/>
              <w:top w:w="160" w:type="dxa"/>
              <w:right w:w="160" w:type="dxa"/>
              <w:bottom w:w="160" w:type="dxa"/>
            </w:tcMar>
            <w:tcW w:w="700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统筹驻场团队日常管理、人员调度及工作考核，牵头对接民政局各相关科室，协调解决运营及监管过程中的各类问题。</w:t>
            </w:r>
            <w:r/>
          </w:p>
        </w:tc>
      </w:tr>
      <w:tr>
        <w:trPr>
          <w:trHeight w:val="780"/>
        </w:trPr>
        <w:tc>
          <w:tcPr>
            <w:tcBorders>
              <w:top w:val="none" w:color="000000" w:sz="4" w:space="0"/>
              <w:left w:val="single" w:color="000000" w:sz="8" w:space="0"/>
              <w:bottom w:val="single" w:color="000000" w:sz="8" w:space="0"/>
              <w:right w:val="single" w:color="000000" w:sz="8" w:space="0"/>
            </w:tcBorders>
            <w:tcMar>
              <w:left w:w="160" w:type="dxa"/>
              <w:top w:w="160" w:type="dxa"/>
              <w:right w:w="160" w:type="dxa"/>
              <w:bottom w:w="160" w:type="dxa"/>
            </w:tcMar>
            <w:tcW w:w="14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话务座席</w:t>
            </w:r>
            <w:r/>
          </w:p>
        </w:tc>
        <w:tc>
          <w:tcPr>
            <w:tcBorders>
              <w:top w:val="none" w:color="000000" w:sz="4" w:space="0"/>
              <w:left w:val="none" w:color="000000" w:sz="4" w:space="0"/>
              <w:bottom w:val="single" w:color="000000" w:sz="8" w:space="0"/>
              <w:right w:val="single" w:color="000000" w:sz="8" w:space="0"/>
            </w:tcBorders>
            <w:tcMar>
              <w:left w:w="160" w:type="dxa"/>
              <w:top w:w="160" w:type="dxa"/>
              <w:right w:w="160" w:type="dxa"/>
              <w:bottom w:w="160" w:type="dxa"/>
            </w:tcMar>
            <w:tcW w:w="91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w:t>
            </w:r>
            <w:r/>
          </w:p>
        </w:tc>
        <w:tc>
          <w:tcPr>
            <w:tcBorders>
              <w:top w:val="none" w:color="000000" w:sz="4" w:space="0"/>
              <w:left w:val="none" w:color="000000" w:sz="4" w:space="0"/>
              <w:bottom w:val="single" w:color="000000" w:sz="8" w:space="0"/>
              <w:right w:val="single" w:color="000000" w:sz="8" w:space="0"/>
            </w:tcBorders>
            <w:tcMar>
              <w:left w:w="160" w:type="dxa"/>
              <w:top w:w="160" w:type="dxa"/>
              <w:right w:w="160" w:type="dxa"/>
              <w:bottom w:w="160" w:type="dxa"/>
            </w:tcMar>
            <w:tcW w:w="700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承担养老服务热线咨询接听、诉求登记与转办、通话记录整理归档等话务工作。</w:t>
            </w:r>
            <w:r/>
          </w:p>
        </w:tc>
      </w:tr>
      <w:tr>
        <w:trPr>
          <w:trHeight w:val="780"/>
        </w:trPr>
        <w:tc>
          <w:tcPr>
            <w:tcBorders>
              <w:top w:val="none" w:color="000000" w:sz="4" w:space="0"/>
              <w:left w:val="single" w:color="000000" w:sz="8" w:space="0"/>
              <w:bottom w:val="single" w:color="000000" w:sz="8" w:space="0"/>
              <w:right w:val="single" w:color="000000" w:sz="8" w:space="0"/>
            </w:tcBorders>
            <w:tcMar>
              <w:left w:w="160" w:type="dxa"/>
              <w:top w:w="160" w:type="dxa"/>
              <w:right w:w="160" w:type="dxa"/>
              <w:bottom w:w="160" w:type="dxa"/>
            </w:tcMar>
            <w:tcW w:w="14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运营人员</w:t>
            </w:r>
            <w:r/>
          </w:p>
        </w:tc>
        <w:tc>
          <w:tcPr>
            <w:tcBorders>
              <w:top w:val="none" w:color="000000" w:sz="4" w:space="0"/>
              <w:left w:val="none" w:color="000000" w:sz="4" w:space="0"/>
              <w:bottom w:val="single" w:color="000000" w:sz="8" w:space="0"/>
              <w:right w:val="single" w:color="000000" w:sz="8" w:space="0"/>
            </w:tcBorders>
            <w:tcMar>
              <w:left w:w="160" w:type="dxa"/>
              <w:top w:w="160" w:type="dxa"/>
              <w:right w:w="160" w:type="dxa"/>
              <w:bottom w:w="160" w:type="dxa"/>
            </w:tcMar>
            <w:tcW w:w="91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w:t>
            </w:r>
            <w:r/>
          </w:p>
        </w:tc>
        <w:tc>
          <w:tcPr>
            <w:tcBorders>
              <w:top w:val="none" w:color="000000" w:sz="4" w:space="0"/>
              <w:left w:val="none" w:color="000000" w:sz="4" w:space="0"/>
              <w:bottom w:val="single" w:color="000000" w:sz="8" w:space="0"/>
              <w:right w:val="single" w:color="000000" w:sz="8" w:space="0"/>
            </w:tcBorders>
            <w:tcMar>
              <w:left w:w="160" w:type="dxa"/>
              <w:top w:w="160" w:type="dxa"/>
              <w:right w:w="160" w:type="dxa"/>
              <w:bottom w:w="160" w:type="dxa"/>
            </w:tcMar>
            <w:tcW w:w="700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承担养老服务质量及服务真实性的实地核查、入户走访、问题跟踪整改、监管台账更新等工作。</w:t>
            </w:r>
            <w:r/>
          </w:p>
        </w:tc>
      </w:tr>
      <w:tr>
        <w:trPr>
          <w:trHeight w:val="780"/>
        </w:trPr>
        <w:tc>
          <w:tcPr>
            <w:tcBorders>
              <w:top w:val="none" w:color="000000" w:sz="4" w:space="0"/>
              <w:left w:val="single" w:color="000000" w:sz="8" w:space="0"/>
              <w:bottom w:val="single" w:color="000000" w:sz="8" w:space="0"/>
              <w:right w:val="single" w:color="000000" w:sz="8" w:space="0"/>
            </w:tcBorders>
            <w:tcMar>
              <w:left w:w="160" w:type="dxa"/>
              <w:top w:w="160" w:type="dxa"/>
              <w:right w:w="160" w:type="dxa"/>
              <w:bottom w:w="160" w:type="dxa"/>
            </w:tcMar>
            <w:tcW w:w="14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技术运维</w:t>
            </w:r>
            <w:r/>
          </w:p>
        </w:tc>
        <w:tc>
          <w:tcPr>
            <w:tcBorders>
              <w:top w:val="none" w:color="000000" w:sz="4" w:space="0"/>
              <w:left w:val="none" w:color="000000" w:sz="4" w:space="0"/>
              <w:bottom w:val="single" w:color="000000" w:sz="8" w:space="0"/>
              <w:right w:val="single" w:color="000000" w:sz="8" w:space="0"/>
            </w:tcBorders>
            <w:tcMar>
              <w:left w:w="160" w:type="dxa"/>
              <w:top w:w="160" w:type="dxa"/>
              <w:right w:w="160" w:type="dxa"/>
              <w:bottom w:w="160" w:type="dxa"/>
            </w:tcMar>
            <w:tcW w:w="91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w:t>
            </w:r>
            <w:r/>
          </w:p>
        </w:tc>
        <w:tc>
          <w:tcPr>
            <w:tcBorders>
              <w:top w:val="none" w:color="000000" w:sz="4" w:space="0"/>
              <w:left w:val="none" w:color="000000" w:sz="4" w:space="0"/>
              <w:bottom w:val="single" w:color="000000" w:sz="8" w:space="0"/>
              <w:right w:val="single" w:color="000000" w:sz="8" w:space="0"/>
            </w:tcBorders>
            <w:tcMar>
              <w:left w:w="160" w:type="dxa"/>
              <w:top w:w="160" w:type="dxa"/>
              <w:right w:w="160" w:type="dxa"/>
              <w:bottom w:w="160" w:type="dxa"/>
            </w:tcMar>
            <w:tcW w:w="700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专职负责养老服务监管日常运维工作。</w:t>
            </w:r>
            <w:r/>
          </w:p>
        </w:tc>
      </w:tr>
    </w:tbl>
    <w:p>
      <w:pPr>
        <w:ind w:left="573" w:right="0" w:hanging="573"/>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5.6验收、考核办法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采购人基于中标单位提交的运营报告及日常工作情况，根据考评内容及评分标准实行半年度验收、考核。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1）得分在85分以上的，为合格。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2）得分在85分及以下，为不合格。结算时，在整改合格前相应合同价款不予支付，待整改合格后一并予以支付。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3）服务过程中存在“一票否决”情况的，为不合格。结算时，扣除相应合同价款。</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1"/>
        <w:gridCol w:w="836"/>
        <w:gridCol w:w="6370"/>
        <w:gridCol w:w="592"/>
        <w:gridCol w:w="453"/>
      </w:tblGrid>
      <w:tr>
        <w:trPr>
          <w:trHeight w:val="6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考评项目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 评 内 容 及 评 分 标 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vMerge w:val="restart"/>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内部管理</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办公场所</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有必备办公设施设备（2分），室内外墙面无破损、污垢（1分），氛围布置到位（1分），办公环境干净整洁（2分），工作人员无迟到、早退现象（2分），无影响政府形象的行为发生（2分）。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vMerge w:val="restart"/>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管理制度</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建立完善人员管理、服务流程、培训考核、服务监督、意见投诉处置等整套规章制度（5分），并将管理制度上墙公布（1分）。少1项规章制度扣1分，扣完为止。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建立人事管理制度，规范开展人力资源管理（2分），保障人事管理规范有序（2分）。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档案台账</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建立服务机构管理和人事档案。服务机构档案包括行政文书、财务管理、员工信息（劳动合同、管理档案、社保和保险缴纳记录）、人事管理、业务培训、投诉建议等资料。有1项资料不全扣1分，扣完为止。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vMerge w:val="restart"/>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平台管理</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电话接听</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规范友好地接听各类来电，并形成电话记录，及时妥善处理各类服务诉求。有一个不规范现象或来电未形成记录，扣0.5分，扣完为止。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及时派单和回访</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及时处置服务对象的服务需求，形成有效服务工单记录。在服务完成后，按要求对服务结果和满意度进行回访，形成回访记录。未及时派单或未对服务工单进行回访的，有一个扣0.5分，扣完为止。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数据更新和上传</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根据每月各类服务对象信息，及时更新平台数据内容（5分）。按照省市主管部门要求，准确无误上传各类服务工单（5分）。未及时更新数据或上传数据的，此项不得分。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平台维护</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根据工作需要和区局工作要求，对现有平台进行维护，保证平台运营良好。未根据要求进行维护，此项不得分。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数据备份</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按月保存备份相关服务工单、服务照片、服务电话录音等各类数据信息，确保数据的安全性、稳定性。未根据要求进行数据备份，此项不得分。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信息管理</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根据区局要求按月整理服务工单及平台数据情况，形成月度服务情况简报。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vMerge w:val="restart"/>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线下监管</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监管计划</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能根据实际工作制定监管计划，突出重点监管范围和事项，并能够按计划执行。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监管简报</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每月形成监管工作简报，对月度工作进行总结，对相关问题提出整改意见，并督促相关人员执行到位。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定期走访</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能有计划地对线下服务情况开展登门入户走访核查，调查了解实际情况。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及时调整服务项目</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能根据服务对象需求和实际监管过程中发现的问题，协助区局，科学合理修改完善服务项目，并根据需求变化，及时调整提供的服务套餐。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来访处理</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能协助区局热情接待并处理各类来信来访。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安全管理</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在日常工作中，重视安全管理工作，每半年至少开展1次安全主题教育和疫情防控培训活动，记录齐全、准确。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社区养老服务设施监管3分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对各类第三方运营的居家社区养老服务设施活动开展情况实施常态化监管。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业务指导</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业务培训</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根据每月工作情况，对相关服务商及服务人员召开服务督导会议，及时通报相关问题，做好服务指导工作。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vMerge w:val="restart"/>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团队建设</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vMerge w:val="restart"/>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团队形象</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工作人员有良好的职业道德，语言文明，服务整洁，服务过程中能全程佩戴工作卡、穿戴统一工作服（2分）。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设立线下监管团队常态化开展质量考评、满意度测评等活动（1分），确保有1名专职负责人（查看劳动合同、社保、名册等）（1分），全面负责我区居家社区线下服务监管工作（1分）。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积极组织管理和服务人员参加沟通协调、人员管理、绩效考核、服务督查、服务技能提升（养老护理、家政服务、医疗急救、康复理疗、社工服务、消防安全等）及其他与业务相关技能培训，每半年主题集中培训不少于1次，且有培训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员工岗前培训率达100%，培训内容包括服务技能、服务规章、管理规章、安全教育等，且有培训记录（方案、照片、签到等）。岗前培训率未达100%不得分。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根据每月完成区局或中心交办的事项结合日常工作情况进行综合评分。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一票否决项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0"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不接受民政部门监督、弄虚作假或拒不配合民政部门工作的，或发生安全责任事故，或存在服务对象群访投诉，或与监管方存在不正当往来影响项目实施的，存在以上任何1项经查实均一票否决。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7"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18"/>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5.7演示要求</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1.投标人演示人员和设备需在</w:t>
      </w:r>
      <w:r>
        <w:rPr>
          <w:rFonts w:ascii="SimSun" w:hAnsi="SimSun" w:eastAsia="SimSun" w:cs="SimSun"/>
          <w:b/>
          <w:color w:val="000000"/>
          <w:sz w:val="24"/>
        </w:rPr>
        <w:t xml:space="preserve">开标当日下午2点前</w:t>
      </w:r>
      <w:r>
        <w:rPr>
          <w:rFonts w:ascii="SimSun" w:hAnsi="SimSun" w:eastAsia="SimSun" w:cs="SimSun"/>
          <w:color w:val="000000"/>
          <w:sz w:val="24"/>
        </w:rPr>
        <w:t xml:space="preserve">到达江苏建友兴业工程项目管理有限公司会议室。按照苏采云系统安排的顺序进行现场演示，演示需按照招标文件的规定和评标委员会的要求进行，时间不超过15分钟。采购人提供投影机及幕布，其他所需设备由投标人自备。</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演示内容如下：</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1.服务设置功能演示</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（1）服务对象管理模块须演示服务对象新增、修改、删除、查看功能；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（2）演示高级查询功能；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（3）演示导入明细功能；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（4）演示自定义导出Excel字段功能；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（5）服务项目设置模块须演示新增服务项目功能；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（6）演示编辑服务项目功能；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（7）演示停用/启用服务项目功能；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（8）演示服务包新建、查看功能；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（9）服务工单执行模块须演示移动端查看预定工单功能；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（10）演示移动端服务人员人脸打卡功能；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（11）演示服务前拍照、录音、定位等全过程无键盘操作功能。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2.服务监管功能演示</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（1）监管设置模块须提供监管设置界面，并演示服务时间、服务位置、服务人员、服务对象、服务账户五个维度监管规则，每个维度不少于4个监管规则，规则总数达到20个以上；</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（2）预警存疑模块须演示系统依据监管规则判定生成存疑记录的功能；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（3）演示存疑工单作废功能；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（4）演示存疑工单申诉功能；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（5）演示存疑工单审核功能；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（6）服务轨迹模块须演示服务人员定位与轨迹地图可视化功能；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（7）照片墙模块须演示一屏查看当日所有服务影像图片功能；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（8）演示通过照片查看对应服务工单基本信息、服务信息、监管信息及工单轨迹功能；</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（9）视频飞检模块须演示电脑端发起视频呼叫功能；</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（10）演示服务人员接听，实时查看服务人员工作场景功能。</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2.投标人需在“法人授权书”中注明进行现场演示的人员姓名及身份证号，不接受非注明的人员进入评审现场进行演示。投标人进入评审现场的人员应出示有效身份证件。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1"/>
        </w:rPr>
        <w:t xml:space="preserve"> </w:t>
      </w:r>
      <w:r>
        <w:rPr>
          <w:rFonts w:ascii="Arial" w:hAnsi="Arial" w:eastAsia="Arial" w:cs="Arial"/>
          <w:sz w:val="24"/>
        </w:rPr>
      </w:r>
      <w:r/>
    </w:p>
    <w:p>
      <w:pPr>
        <w:ind w:left="-206" w:right="0" w:firstLine="748"/>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Sun" w:hAnsi="SimSun" w:eastAsia="SimSun" w:cs="SimSun"/>
          <w:color w:val="000000"/>
          <w:sz w:val="44"/>
        </w:rPr>
        <w:t xml:space="preserve"> </w:t>
      </w:r>
      <w:r>
        <w:rPr>
          <w:rFonts w:ascii="SimHei" w:hAnsi="SimHei" w:eastAsia="SimHei" w:cs="SimHei"/>
          <w:color w:val="000000"/>
          <w:sz w:val="44"/>
        </w:rPr>
        <w:t xml:space="preserve"> </w:t>
      </w:r>
      <w:r>
        <w:rPr>
          <w:rFonts w:ascii="SimHei" w:hAnsi="SimHei" w:eastAsia="SimHei" w:cs="SimHei"/>
          <w:b/>
          <w:color w:val="000000"/>
          <w:sz w:val="44"/>
        </w:rPr>
        <w:t xml:space="preserve">评标方法与评标标准</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标办法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Arial" w:hAnsi="Arial" w:eastAsia="Arial" w:cs="Arial"/>
          <w:color w:val="000000"/>
          <w:sz w:val="24"/>
        </w:rPr>
        <w:t xml:space="preserve">1</w:t>
      </w:r>
      <w:r>
        <w:rPr>
          <w:rFonts w:ascii="SimSun" w:hAnsi="SimSun" w:eastAsia="SimSun" w:cs="SimSun"/>
          <w:color w:val="000000"/>
          <w:sz w:val="24"/>
        </w:rPr>
        <w:t xml:space="preserve">名中标候选人。</w:t>
      </w:r>
      <w:r/>
    </w:p>
    <w:p>
      <w:pPr>
        <w:ind w:left="-206"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206"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（1）本项目不专门面向中小企业采购，对符合规定的小型和微型企业报价给予20%的扣除价格，用扣除后的价格参与评审。</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206"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3"/>
        <w:gridCol w:w="1323"/>
        <w:gridCol w:w="1051"/>
        <w:gridCol w:w="5537"/>
      </w:tblGrid>
      <w:tr>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67"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rHeight w:val="231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一、报价分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价格分采用低价优先法计算，即满足招标文件要求且投标价格最低的投标报价为评标基准价，报价得分按照下列公式计算：投标报价得分</w:t>
            </w:r>
            <w:r>
              <w:rPr>
                <w:rFonts w:ascii="SimSun" w:hAnsi="SimSun" w:eastAsia="SimSun" w:cs="SimSun"/>
                <w:color w:val="000000"/>
                <w:sz w:val="21"/>
              </w:rPr>
              <w:t xml:space="preserve">=</w:t>
            </w:r>
            <w:r>
              <w:rPr>
                <w:rFonts w:ascii="SimSun" w:hAnsi="SimSun" w:eastAsia="SimSun" w:cs="SimSun"/>
                <w:color w:val="000000"/>
                <w:sz w:val="21"/>
                <w:u w:val="none"/>
              </w:rPr>
              <w:t xml:space="preserve">（评标基准价</w:t>
            </w:r>
            <w:r>
              <w:rPr>
                <w:rFonts w:ascii="SimSun" w:hAnsi="SimSun" w:eastAsia="SimSun" w:cs="SimSun"/>
                <w:color w:val="000000"/>
                <w:sz w:val="21"/>
              </w:rPr>
              <w:t xml:space="preserve">/</w:t>
            </w:r>
            <w:r>
              <w:rPr>
                <w:rFonts w:ascii="SimSun" w:hAnsi="SimSun" w:eastAsia="SimSun" w:cs="SimSun"/>
                <w:color w:val="000000"/>
                <w:sz w:val="21"/>
                <w:u w:val="none"/>
              </w:rPr>
              <w:t xml:space="preserve">投标报价）×</w:t>
            </w:r>
            <w:r>
              <w:rPr>
                <w:rFonts w:ascii="SimSun" w:hAnsi="SimSun" w:eastAsia="SimSun" w:cs="SimSun"/>
                <w:color w:val="000000"/>
                <w:sz w:val="21"/>
              </w:rPr>
              <w:t xml:space="preserve">10</w:t>
            </w:r>
            <w:r>
              <w:rPr>
                <w:rFonts w:ascii="SimSun" w:hAnsi="SimSun" w:eastAsia="SimSun" w:cs="SimSun"/>
                <w:color w:val="000000"/>
                <w:sz w:val="21"/>
                <w:u w:val="none"/>
              </w:rPr>
              <w:t xml:space="preserve">，结果保留两位小数。（有效投标报价为未被评标委员会判定为无效标的投标文件）。</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二、投标人实力</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投标人自2023年1月1日（以合同签订时间为准）以来承接过类似项目业绩的，每提供一项有效类似业绩得1分，最高得2分。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注：1、类似项目业绩包含养老信息化监管平台或养老服务综合管理信息系统开发建设或运营等。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2、投标时须提供类似业绩合同扫描件，合同扫描件须清晰体现项目名称、服务内容、签订时间及双方签章等关键信息，未提供证明材料或证明材料无法有效证明上述内容的不得分。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企业认证</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投标人具有以下认证：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1.有效的ISO9001质量管理体系认证证书且认证范围与项目实施内容相关的得1分；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2.有效的ISO27001信息安全管理体系认证证书且认证范围与项目实施内容相关的得1分；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3.有效的ISO20000信息技术服务管理体系认证证书且认证范围与项目实施内容相关的的得1分；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注：投标时须提供有效期内的证书扫描件和国家认证认可业务信息统一查询平台（http://cx.cnca.cn）的证书查询截图和网址，否则不得分。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知识产权</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备相关计算机软件著作权登记证书（证书中软件名称需与本项目相关）：如“智慧养老门户系统类”、“智慧社区居家助老服务系统类”、“居家养老服务平台类”、“健康养老管理信息平台类”等，每提供一项得1分，本项最高得2分。</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三、拟派项目组人员能力</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项目负责人能力</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拟派项目负责人具备：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1.具有人社部门颁发的系统架构设计师证书的得1分；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2.具有人社部门颁发的信息系统项目管理师（高级）证书的得1分；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注：投标时须人员证书扫描件和与投标人本单位签订的劳动合同扫描件，未提供或提供不符合要求的不得分。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项目团队其他成员（除项目负责人）能力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项目团队其他成员（除项目负责人）：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项目团队成员中具有数据库管理工程师、人力资源管理师、网络工程师的，每有1人得1分，最高得3分。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注：1.一人多证或多人一证不重复得分。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投标时须人员证书扫描件和与投标人本单位签订的劳动合同扫描件，未提供或提供不符合要求的不得分。</w:t>
            </w:r>
            <w:r/>
          </w:p>
        </w:tc>
      </w:tr>
      <w:tr>
        <w:trPr>
          <w:trHeight w:val="349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四、项目技术方案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项目总体背景理解</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评委根据投标人对本区域养老服务现状、服务人群特征及监管痛点的深度剖析提出建设性意见，根据方案的完整性、针对性进行综合评分。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）本区域养老服务现状及监管痛点理解透彻全面，对服务人群特征分析精准详实，提出的应对方案及意见具有建设性、针对性、可操作性且思路清晰，得</w:t>
            </w:r>
            <w:r>
              <w:rPr>
                <w:rFonts w:ascii="Calibri" w:hAnsi="Calibri" w:eastAsia="Calibri" w:cs="Calibri"/>
                <w:color w:val="000000"/>
                <w:sz w:val="21"/>
              </w:rPr>
              <w:t xml:space="preserve">5</w:t>
            </w:r>
            <w:r>
              <w:rPr>
                <w:rFonts w:ascii="SimSun" w:hAnsi="SimSun" w:eastAsia="SimSun" w:cs="SimSun"/>
                <w:color w:val="000000"/>
                <w:sz w:val="21"/>
              </w:rPr>
              <w:t xml:space="preserve">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）对本区域养老服务现状及痛点理解不全面，提出的意见和方案基本可行，得</w:t>
            </w:r>
            <w:r>
              <w:rPr>
                <w:rFonts w:ascii="Calibri" w:hAnsi="Calibri" w:eastAsia="Calibri" w:cs="Calibri"/>
                <w:color w:val="000000"/>
                <w:sz w:val="21"/>
              </w:rPr>
              <w:t xml:space="preserve">4</w:t>
            </w:r>
            <w:r>
              <w:rPr>
                <w:rFonts w:ascii="SimSun" w:hAnsi="SimSun" w:eastAsia="SimSun" w:cs="SimSun"/>
                <w:color w:val="000000"/>
                <w:sz w:val="21"/>
              </w:rPr>
              <w:t xml:space="preserve">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）对本区域养老服务现状及痛点理解存在错误，得</w:t>
            </w:r>
            <w:r>
              <w:rPr>
                <w:rFonts w:ascii="Calibri" w:hAnsi="Calibri" w:eastAsia="Calibri" w:cs="Calibri"/>
                <w:color w:val="000000"/>
                <w:sz w:val="21"/>
              </w:rPr>
              <w:t xml:space="preserve">3</w:t>
            </w:r>
            <w:r>
              <w:rPr>
                <w:rFonts w:ascii="SimSun" w:hAnsi="SimSun" w:eastAsia="SimSun" w:cs="SimSun"/>
                <w:color w:val="000000"/>
                <w:sz w:val="21"/>
              </w:rPr>
              <w:t xml:space="preserve">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本项最高得分</w:t>
            </w:r>
            <w:r>
              <w:rPr>
                <w:rFonts w:ascii="Calibri" w:hAnsi="Calibri" w:eastAsia="Calibri" w:cs="Calibri"/>
                <w:color w:val="000000"/>
                <w:sz w:val="21"/>
              </w:rPr>
              <w:t xml:space="preserve">5</w:t>
            </w:r>
            <w:r>
              <w:rPr>
                <w:rFonts w:ascii="SimSun" w:hAnsi="SimSun" w:eastAsia="SimSun" w:cs="SimSun"/>
                <w:color w:val="000000"/>
                <w:sz w:val="21"/>
              </w:rPr>
              <w:t xml:space="preserve">分，未提供不得分。</w:t>
            </w:r>
            <w:r/>
          </w:p>
        </w:tc>
      </w:tr>
      <w:tr>
        <w:trPr>
          <w:trHeight w:val="6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评委根据投标人对现有大丰区智慧健康养老服务信息平台的理解，含总体设计、数据库设计、软件功能等方面进行综合评分：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（1）对原有平台总体设计理解全面；对数据库设计及软件功能描述清晰，得6分；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（2）对原有平台总体设计理解较全面；对数据库设计及软件功能描述较清晰，得5分；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（3）对原有平台总体设计理解存在错误；对数据库设计及软件功能仅有基本描述或存在描述错误，得4分；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本项最高得分6分，未提供不得分。</w:t>
            </w:r>
            <w:r/>
          </w:p>
        </w:tc>
      </w:tr>
      <w:tr>
        <w:trPr>
          <w:trHeight w:val="41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监管平台总体方案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评委根据投标人针对本项目的线上监管平台总体方案，包括总体建设思路、总体框架、技术路线、部署方式等进行综合评分: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（1）平台总体内容全面、方案详实、描述清晰、且完全满足采购需求要求的得4分；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（2）平台总体相对全面、方案内容相对充分、描述相对清晰、基本满足采购需求要求的得3分；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（3）平台总体简单笼统存在较大缺陷、描述模糊不清、不能满足采购需求要求的得2分: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本项最高得分4分，未提供不得分。未提供相关描述不得分。</w:t>
            </w:r>
            <w:r/>
          </w:p>
        </w:tc>
      </w:tr>
      <w:tr>
        <w:trPr>
          <w:trHeight w:val="11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监管平台功能</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针对本项目的线上监管平台详细功能计，包括养老服务监管门户、社区养老服务监管应用、养老机构服务监管应用、居家养老服务监管应用、养老服务移动端应用、养老服务监管大屏等进行综合评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（1）功能模块全面且全部满足采购需求要求的得6分；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（2）功能模块相对全面、内容相对充分、描述相对清晰、基本满足采购需求要求得5分；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（3）功能模块存在缺项漏项、设计笼统或描述模糊，不能满足采购需求要求的得4分；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本项最高得分6分，未提供不得分。</w:t>
            </w:r>
            <w:r/>
          </w:p>
        </w:tc>
      </w:tr>
      <w:tr>
        <w:trPr>
          <w:trHeight w:val="11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智能服务方案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评委根据投标人提供的智能服务方案（涉老政策智能匹配），包含前端应用、涉老政策知识库、政策匹配智能体、管理后端，进行综合评分。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（1）智能服务方案全面且全部满足采购需求要求的得6分；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（2）智能服务方案相对全面、内容相对充分、描述相对清晰、基本满足采购需求要求得5分；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（3）智能服务方案存在缺项漏项、描述模糊，不能满足采购需求要求的得4分；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本项最高得分6分，未提供不得分。</w:t>
            </w:r>
            <w:r/>
          </w:p>
        </w:tc>
      </w:tr>
      <w:tr>
        <w:trPr>
          <w:trHeight w:val="11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总体运营方案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评委根据投标人针对线下监管服务总体运营方案，包含线下监管服务、指导中心运营、工作进度，进行综合评分。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（1）总体运营方案全面且全部满足采购需求要求的得6分；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（2）总体运营方案相对全面、内容相对充分、描述相对清晰、基本满足采购需求要求得5分；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（3）总体运营方案存在缺项漏项、描述模糊，不能满足采购需求要求的得4分；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本项最高得分6分，未提供不得分。</w:t>
            </w:r>
            <w:r/>
          </w:p>
        </w:tc>
      </w:tr>
      <w:tr>
        <w:trPr>
          <w:trHeight w:val="113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运营回访方案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评委根据投标人针对运营回访方案，根据回访流程设计、回访重点内容，进行综合评分。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（1）运营回访方案内容全面，回访流程设计科学严密，回访重点内容精准全面，具备很强的可操作性的得5分；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（2）运营回访方案相对全面、内容相对充分、描述相对清晰、基本满足采购需求要求得4分；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（3）运营回访方案内容简单笼统，缺乏闭环管理；回访重点内容不全面，缺乏针对性和可操作性的得3分；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本项最高得分5分，未提供不得分。</w:t>
            </w:r>
            <w:r/>
          </w:p>
        </w:tc>
      </w:tr>
      <w:tr>
        <w:trPr>
          <w:trHeight w:val="113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考核制度响应方案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评委根据投标人考核制度响应方案，包含运营坐席人员管理制度、呼叫中心坐席人员排班制度、坐席考核监管方案，进行综合评分。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（1）考核制度响应方案全面且全部满足采购需求要求的得3分；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（2）考核制度响应方案相对全面、内容相对充分、描述相对清晰、基本满足采购需求要求得2分；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（3）考核制度响应方案存在缺项漏项、描述模糊，不能满足采购需求要求的得1分；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本项最高得分3分，未提供不得分。</w:t>
            </w:r>
            <w:r/>
          </w:p>
        </w:tc>
      </w:tr>
      <w:tr>
        <w:trPr>
          <w:trHeight w:val="113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数据迁移方案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的数据迁移方案，包括数据库建库、数据迁移服务全过程（数据迁移策略、迁移测试、执行、验证校对、后续处理及监控优化），实现原有历史数据平稳迁移，进行综合评分。（1）数据迁移方案全面且全部满足采购需求要求的得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（2）数据迁移方案相对全面、内容相对充分、描述相对清晰、基本满足采购需求要求得4分；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（3）数据迁移方案存在缺项漏项、描述模糊，不能满足采购需求要求的得3分；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本项最高得分5分，未提供不得分。</w:t>
            </w:r>
            <w:r/>
          </w:p>
        </w:tc>
      </w:tr>
      <w:tr>
        <w:trPr>
          <w:trHeight w:val="113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组织架构</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根据供应商针对本项目制定的组织架构，包括运作流程图、激励机制、监督机制、自我约束机制、信息反馈渠道及处理机制等描述，进行综合评分。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（1）数据迁移方案全面且全部满足采购需求要求的得3分；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（2）数据迁移方案相对全面、内容相对充分、描述相对清晰、基本满足采购需求要求得2分；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（3）数据迁移方案存在缺项漏项、描述模糊，不能满足采购需求要求的得1分；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本项最高得分3分，未提供不得分。</w:t>
            </w:r>
            <w:r/>
          </w:p>
        </w:tc>
      </w:tr>
      <w:tr>
        <w:trPr>
          <w:trHeight w:val="113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服务质量保障方案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评委根据投标人提供的服务质量保障方案，包含服务体系、服务质量保障措施、服务质量考核制度方案、突发应急方案措施等方面，进行综合评分。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（1）服务质量保障方案全面且全部满足采购需求要求的得3分；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（2）服务质量保障方案相对全面、内容相对充分、描述相对清晰、基本满足采购需求要求得2分；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（3）服务质量保障方案存在缺项漏项、描述模糊，不能满足采购需求要求的得1分；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本项最高得分3分，未提供不得分。</w:t>
            </w:r>
            <w:r/>
          </w:p>
        </w:tc>
      </w:tr>
      <w:tr>
        <w:trPr>
          <w:trHeight w:val="113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突发事件应急预案和处理措施组织方案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评委根据供应商针对本项目提出的突发事件应急预案及应急处理措施等进行综合评分。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（1）方案内容全面且全部满足采购需求要求的得3分；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（2）方案相对全面、内容相对充分、描述相对清晰、基本满足采购需求要求得2分；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（3）方案存在缺项漏项、描述模糊，不能满足采购需求要求的得1分；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本项最高得分3分，未提供不得分。</w:t>
            </w:r>
            <w:r/>
          </w:p>
        </w:tc>
      </w:tr>
      <w:tr>
        <w:trPr>
          <w:trHeight w:val="113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评委根据投标人针对本项目提供的培训方案，包含养老平台用户培训及运营中心员工培训方案等进行综合评分：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（1）方案内容全面且全部满足采购需求要求的得3分；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（2）方案相对全面、内容相对充分、描述相对清晰、基本满足采购需求要求得2分；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（3）方案存在缺项漏项、描述模糊，不能满足采购需求要求的得1分；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本项最高得分3分，未提供不得分</w:t>
            </w:r>
            <w:r/>
          </w:p>
        </w:tc>
      </w:tr>
      <w:tr>
        <w:trPr>
          <w:trHeight w:val="113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43"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信息化档案管理措施</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评委根据投标人针对本项目提出的信息化档案管理措施，包括各类资料的管理办法及操作流程情况等进行综合评分。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（1）档案管理措施内容详实、全面；管理办法及操作流程清晰明确、针对性及可操作性强，完全符合项目需求的得4分；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（2）档案管理措施内容基本完整；管理办法及操作流程较清晰，具备一定的可操作性，基本符合项目实际情况，但细节或针对性存在不足的得3分。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（3）档案管理措施内容简单笼统，缺乏对各类资料管理办法及操作流程的具体描述；针对性、可操作性较弱，不能完全满足项目实际需求的得2分。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本项最高得分4分，未提供相关描述不得分。</w:t>
            </w:r>
            <w:r/>
          </w:p>
        </w:tc>
      </w:tr>
      <w:tr>
        <w:trPr>
          <w:trHeight w:val="927"/>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67"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五、系统演示（时长不超过15分钟）</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针对本项目的主要建设内容，投标人应结合本项目下列业务场景进行系统演示。投标人需要采用真实系统演示（包括真实系统的操作视频），采用静态页面或PPT演示或不提供系统演示的，本项不得分。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1.服务设置功能演示（7.5分）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（1）服务对象管理模块须演示服务对象新增、修改、删除、查看功能，得0.5分；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（2）演示高级查询功能，得0.5分；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（3）演示导入明细功能，得0.5分；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（4）演示自定义导出Excel字段功能，得0.5分；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（5）服务项目设置模块须演示新增服务项目功能，得0.5分；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（6）演示编辑服务项目功能，得0.5分；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（7）演示停用/启用服务项目功能，得0.5分；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（8）演示服务包新建、查看功能，得0.5分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（9）服务工单执行模块须演示移动端查看预定工单功能，得0.5分；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（10）演示移动端服务人员人脸打卡功能，得1分；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（11）演示服务前拍照、录音、定位等全过程无键盘操作功能，得2分。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2.服务监管功能演示（7.5分）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管设置模块须提供监管设置界面，并演示服务时间、服务位置、服务人员、服务对象、服务账户五个维度监管规则，每个维度不少于4个监管规则，规则总数达到20个以上，得2.5分（任一维度规则不足4个或规则总数未达20个的，本项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（2）预警存疑模块须演示系统依据监管规则判定生成存疑记录的功能，得0.5分；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（3）演示存疑工单作废功能，得0.5分；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（4）演示存疑工单申诉功能，得0.5分；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（5）演示存疑工单审核功能，得0.5分；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（6）服务轨迹模块须演示服务人员定位与轨迹地图可视化功能，得1分；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（7）照片墙模块须演示一屏查看当日所有服务影像图片功能，得0.5分；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（8）演示通过照片查看对应服务工单基本信息、服务信息、监管信息及工单轨迹功能，得0.5分；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（9）视频飞检模块须演示电脑端发起视频呼叫功能，得0.5分；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（10）演示服务人员接听，实时查看服务人员工作场景功能，得0.5分。</w:t>
            </w:r>
            <w:r/>
          </w:p>
        </w:tc>
      </w:tr>
      <w:tr>
        <w:trPr>
          <w:trHeight w:val="927"/>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67" w:type="dxa"/>
            <w:vAlign w:val="center"/>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六、诚信投标</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1" w:type="dxa"/>
            <w:vAlign w:val="center"/>
            <w:textDirection w:val="lrTb"/>
            <w:noWrap w:val="false"/>
          </w:tcPr>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3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投标人提交签署并盖章《盐城市大丰区政府招标采购供应商承诺书》原件扫描件的得</w:t>
            </w:r>
            <w:r>
              <w:rPr>
                <w:rFonts w:ascii="SimSun" w:hAnsi="SimSun" w:eastAsia="SimSun" w:cs="SimSun"/>
                <w:color w:val="000000"/>
                <w:sz w:val="21"/>
              </w:rPr>
              <w:t xml:space="preserve">1</w:t>
            </w:r>
            <w:r>
              <w:rPr>
                <w:rFonts w:ascii="SimSun" w:hAnsi="SimSun" w:eastAsia="SimSun" w:cs="SimSun"/>
                <w:color w:val="000000"/>
                <w:sz w:val="21"/>
                <w:u w:val="none"/>
              </w:rPr>
              <w:t xml:space="preserve">分；没有提供的不得分。</w:t>
            </w:r>
            <w:r/>
          </w:p>
        </w:tc>
      </w:tr>
    </w:tbl>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206"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206" w:right="0" w:firstLine="748"/>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 投标文件格式 </w:t>
      </w:r>
      <w:r/>
    </w:p>
    <w:p>
      <w:pPr>
        <w:ind w:left="-206" w:right="0" w:firstLine="1229"/>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206" w:right="0" w:firstLine="1229"/>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61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206" w:right="0" w:firstLine="61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206" w:right="0" w:firstLine="61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206" w:right="0" w:firstLine="61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rPr>
          <w:rFonts w:ascii="SimSun" w:hAnsi="SimSun" w:eastAsia="SimSun" w:cs="SimSun"/>
          <w:b/>
          <w:color w:val="000000"/>
          <w:sz w:val="36"/>
          <w:u w:val="single"/>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left"/>
        <w:spacing w:before="240" w:after="24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color w:val="000000"/>
          <w:sz w:val="24"/>
        </w:rPr>
        <w:t xml:space="preserve">一、法人或者其他组织的营业执照等证明文件，自然人的身份证明</w:t>
      </w:r>
      <w:r>
        <w:rPr>
          <w:rFonts w:ascii="Calibri" w:hAnsi="Calibri" w:eastAsia="Calibri" w:cs="Calibri"/>
          <w:sz w:val="24"/>
        </w:rPr>
      </w:r>
      <w:r/>
    </w:p>
    <w:p>
      <w:pPr>
        <w:ind w:left="-206" w:right="0" w:firstLine="480"/>
        <w:spacing w:before="0" w:after="0" w:line="499"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二、上一年度的财务状况报表（至少提供资产负债表、利润表、现金流量表，投标人成立不满一年无需提供</w:t>
      </w:r>
      <w:r>
        <w:rPr>
          <w:rFonts w:ascii="SimSun" w:hAnsi="SimSun" w:eastAsia="SimSun" w:cs="SimSun"/>
          <w:color w:val="000000"/>
          <w:sz w:val="21"/>
        </w:rPr>
        <w:t xml:space="preserve">）</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3年内在经营活动中没有重大违法记录的书面声明</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十四、开标一览表</w:t>
      </w:r>
      <w:r/>
    </w:p>
    <w:p>
      <w:pPr>
        <w:ind w:left="-206"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十五、技术方案等</w:t>
      </w:r>
      <w:r/>
    </w:p>
    <w:p>
      <w:pPr>
        <w:ind w:left="-206"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十六、盐城市政府采购事前信用承诺书、盐城市大丰区政府招标采购供应商承诺书</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i/>
          <w:color w:val="000000"/>
          <w:sz w:val="32"/>
          <w:u w:val="single"/>
        </w:rPr>
        <w:t xml:space="preserve">一、法人或者其他组织的营业执照等证明文件，自然人的身份证明</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（至少提供资产负债表、利润表、现金流量表，投标人成立不满一年无需提供）</w:t>
      </w:r>
      <w:r>
        <w:rPr>
          <w:rFonts w:ascii="Calibri" w:hAnsi="Calibri" w:eastAsia="Calibri" w:cs="Calibri"/>
          <w:color w:val="000000"/>
          <w:sz w:val="24"/>
        </w:rPr>
        <w:t xml:space="preserve"> </w:t>
      </w:r>
      <w:r/>
    </w:p>
    <w:p>
      <w:pPr>
        <w:ind w:left="-206" w:right="0" w:firstLine="544"/>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206" w:right="0" w:firstLine="544"/>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206"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206"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24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24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206" w:right="0" w:firstLine="544"/>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544"/>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206" w:right="0" w:firstLine="751"/>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Pr>
          <w:rFonts w:ascii="SimSun" w:hAnsi="SimSun" w:eastAsia="SimSun" w:cs="SimSun"/>
          <w:b/>
          <w:color w:val="000000"/>
          <w:sz w:val="44"/>
        </w:rPr>
        <w:t xml:space="preserve">声  明</w:t>
      </w:r>
      <w:r>
        <w:rPr>
          <w:rFonts w:ascii="Calibri" w:hAnsi="Calibri" w:eastAsia="Calibri" w:cs="Calibri"/>
          <w:sz w:val="24"/>
        </w:rPr>
      </w:r>
      <w:r/>
    </w:p>
    <w:p>
      <w:pPr>
        <w:ind w:left="-206" w:right="0" w:firstLine="41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240"/>
        <w:spacing w:before="240" w:after="24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企业名称（加盖CA电子公章）：</w:t>
      </w:r>
      <w:r/>
    </w:p>
    <w:p>
      <w:pPr>
        <w:ind w:left="0" w:right="0" w:firstLine="24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544"/>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206" w:right="0" w:firstLine="544"/>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sz w:val="24"/>
        </w:rPr>
        <w:t xml:space="preserve"> </w:t>
      </w:r>
      <w:r/>
    </w:p>
    <w:p>
      <w:pPr>
        <w:ind w:left="-206" w:right="0" w:firstLine="544"/>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206" w:right="0" w:firstLine="408"/>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i/>
          <w:color w:val="000000"/>
          <w:sz w:val="24"/>
          <w:u w:val="single"/>
        </w:rPr>
        <w:t xml:space="preserve">该处填写项目编号</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206" w:right="0" w:firstLine="408"/>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206"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206"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206" w:right="0" w:firstLine="72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206" w:right="0" w:firstLine="408"/>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206" w:right="0" w:firstLine="408"/>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u w:val="single"/>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备注 </w:t>
      </w:r>
      <w:r>
        <w:rPr>
          <w:rFonts w:ascii="Calibri" w:hAnsi="Calibri" w:eastAsia="Calibri" w:cs="Calibri"/>
          <w:sz w:val="24"/>
        </w:rPr>
      </w:r>
      <w:r/>
    </w:p>
    <w:p>
      <w:pPr>
        <w:ind w:left="0" w:right="0" w:firstLine="48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我公司（单位）委托进行现场演示的人员为</w:t>
      </w:r>
      <w:r>
        <w:rPr>
          <w:rFonts w:ascii="SimSun" w:hAnsi="SimSun" w:eastAsia="SimSun" w:cs="SimSun"/>
          <w:color w:val="000000"/>
          <w:sz w:val="24"/>
          <w:u w:val="single"/>
        </w:rPr>
        <w:t xml:space="preserve">（人员姓名）</w:t>
      </w: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（手机号码）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546"/>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八、投标函</w:t>
      </w:r>
      <w:r/>
    </w:p>
    <w:p>
      <w:pPr>
        <w:ind w:left="-206"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盐城市大丰区民政局</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该处填写项目编号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206"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  开  户  行：</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206" w:right="0" w:firstLine="408"/>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九、中小企业声明函（服务）</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（招标人名称）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180" w:firstLine="3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十、残疾人福利性单位声明函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w:t>
      </w:r>
      <w:r/>
    </w:p>
    <w:p>
      <w:pPr>
        <w:ind w:left="-206" w:right="0" w:firstLine="12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2、中标供应商为残疾人福利单位的，此声明函将随中标结果同时公告，接受社会监督。</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1560" w:firstLine="510"/>
        <w:jc w:val="center"/>
        <w:spacing w:before="0" w:after="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206" w:right="1560" w:firstLine="408"/>
        <w:jc w:val="center"/>
        <w:spacing w:before="0" w:after="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十一、投标分项报价表（项目编号：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2310"/>
        <w:gridCol w:w="2899"/>
        <w:gridCol w:w="146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6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6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6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6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6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87"/>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7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6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投标分项报价表</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24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206"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206"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206" w:right="0" w:firstLine="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b/>
          <w:color w:val="000000"/>
          <w:sz w:val="32"/>
        </w:rPr>
        <w:t xml:space="preserve">十二、技术要求响应及偏离表（项目编号：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4"/>
        <w:gridCol w:w="2569"/>
        <w:gridCol w:w="2183"/>
        <w:gridCol w:w="1392"/>
        <w:gridCol w:w="155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sz w:val="24"/>
              </w:rPr>
              <w:t xml:space="preserve">备注</w:t>
            </w:r>
            <w:r>
              <w:rPr>
                <w:rFonts w:ascii="Calibri" w:hAnsi="Calibri" w:eastAsia="Calibri" w:cs="Calibri"/>
                <w:sz w:val="24"/>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24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十三、商务要求响应及偏离表（项目编号：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08"/>
        <w:gridCol w:w="1830"/>
        <w:gridCol w:w="1673"/>
        <w:gridCol w:w="2121"/>
        <w:gridCol w:w="19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sz w:val="24"/>
              </w:rPr>
              <w:t xml:space="preserve">备注</w:t>
            </w:r>
            <w:r>
              <w:rPr>
                <w:rFonts w:ascii="Calibri" w:hAnsi="Calibri" w:eastAsia="Calibri" w:cs="Calibri"/>
                <w:sz w:val="24"/>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3"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206"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spacing w:before="240" w:after="24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企业名称（加盖CA电子公章）：</w:t>
      </w:r>
      <w:r/>
    </w:p>
    <w:p>
      <w:pPr>
        <w:ind w:left="0" w:right="0" w:firstLine="24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206"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十四、开标一览表</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39"/>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39" w:type="dxa"/>
            <w:vAlign w:val="center"/>
            <w:textDirection w:val="lrTb"/>
            <w:noWrap w:val="false"/>
          </w:tcPr>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39" w:type="dxa"/>
            <w:vAlign w:val="center"/>
            <w:textDirection w:val="lrTb"/>
            <w:noWrap w:val="false"/>
          </w:tcPr>
          <w:p>
            <w:pPr>
              <w:ind w:left="-206"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408"/>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Calibri" w:hAnsi="Calibri" w:eastAsia="Calibri" w:cs="Calibri"/>
          <w:sz w:val="24"/>
        </w:rPr>
      </w:r>
      <w:r/>
    </w:p>
    <w:p>
      <w:pPr>
        <w:ind w:left="-206"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ab/>
      </w:r>
      <w:r>
        <w:rPr>
          <w:rFonts w:ascii="SimSun" w:hAnsi="SimSun" w:eastAsia="SimSun" w:cs="SimSun"/>
          <w:color w:val="000000"/>
          <w:sz w:val="32"/>
        </w:rPr>
        <w:t xml:space="preserve">十五、技术方案等</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206" w:right="0" w:firstLine="54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十六、</w:t>
      </w:r>
      <w:r/>
    </w:p>
    <w:p>
      <w:pPr>
        <w:ind w:left="-206" w:right="0" w:firstLine="544"/>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盐城市政府采购事前信用承诺书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（三）严格依照国家和省、市关于政府采购的法律、法规、规章、规范性文件，参加政府采购投标活动；积极履行社会责任，促进廉政建设；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（四）严格遵守即时信息公示规定，及时维护和更新维护和更新盐城市政府采购网中与本单位相关的信息；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206"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法定代表人（或负责人）签名：</w:t>
      </w:r>
      <w:r/>
    </w:p>
    <w:p>
      <w:pPr>
        <w:ind w:left="-206"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206"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206"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06" w:right="-92" w:firstLine="478"/>
        <w:jc w:val="center"/>
        <w:spacing w:before="50" w:after="5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206" w:right="-92" w:firstLine="478"/>
        <w:jc w:val="center"/>
        <w:spacing w:before="50" w:after="50" w:line="499"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206" w:right="-92" w:firstLine="478"/>
        <w:jc w:val="center"/>
        <w:spacing w:before="50" w:after="50" w:line="499"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206" w:right="-92" w:firstLine="478"/>
        <w:jc w:val="center"/>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盐城市大丰区政府招标采购供应商承诺书</w:t>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为营造公开、公平、公正、诚实守信的政府招标采购交易环境，树立诚信守法的投标人形象，本单位参加政府招标采购项目：</w:t>
      </w:r>
      <w:r>
        <w:rPr>
          <w:rFonts w:ascii="SimSun" w:hAnsi="SimSun" w:eastAsia="SimSun" w:cs="SimSun"/>
          <w:color w:val="000000"/>
          <w:sz w:val="24"/>
          <w:u w:val="single"/>
        </w:rPr>
        <w:t xml:space="preserve">                               </w:t>
      </w:r>
      <w:r>
        <w:rPr>
          <w:rFonts w:ascii="SimSun" w:hAnsi="SimSun" w:eastAsia="SimSun" w:cs="SimSun"/>
          <w:color w:val="000000"/>
          <w:sz w:val="24"/>
        </w:rPr>
        <w:t xml:space="preserve">的招标采购活动，本人代表本单位作出以下承诺：</w:t>
      </w:r>
      <w:r>
        <w:rPr>
          <w:rFonts w:ascii="Calibri" w:hAnsi="Calibri" w:eastAsia="Calibri" w:cs="Calibri"/>
          <w:sz w:val="21"/>
        </w:rPr>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经理、技术负责人、从业资质和资格、业绩、财务状况、信誉等所有资料，均合法、真实、准确、有效，无任何伪造、修改、虚假成份，并对所提供资料的真实性负责；</w:t>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（三）严格依照国家和省、市关于政府招标采购的法律、法规、规章、规范性文件，参加政府招标采购的投标活动；积极履行社会责任，促进廉政建设； </w:t>
      </w:r>
      <w:r/>
    </w:p>
    <w:p>
      <w:pPr>
        <w:ind w:left="-206" w:right="-92"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（四）严格遵守即时信息公示规定，及时维护和更新盐城市政府采购网、公共资源交易平台中与本单位相关的信息；</w:t>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206" w:right="-92" w:firstLine="40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法定代表人（或负责人）签名：             单位名称（盖章）：</w:t>
      </w:r>
      <w:r/>
    </w:p>
    <w:p>
      <w:pPr>
        <w:ind w:left="-206" w:right="-92" w:firstLine="9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年    月    日</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206" w:right="0" w:firstLine="546"/>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206" w:right="0" w:firstLine="546"/>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06" w:right="0" w:firstLine="546"/>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206"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206"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206"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206"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206" w:right="0" w:firstLine="41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206" w:right="0" w:firstLine="40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206"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r/>
      <w:r/>
    </w:p>
    <w:sectPr>
      <w:footerReference w:type="default" r:id="rId8"/>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Times New Roman">
    <w:panose1 w:val="02020603050405020304"/>
  </w:font>
  <w:font w:name="FangSong">
    <w:panose1 w:val="02010609060101010101"/>
  </w:font>
  <w:font w:name="SimHei">
    <w:panose1 w:val="02010609060101010101"/>
  </w:font>
  <w:font w:name="SimSun">
    <w:panose1 w:val="02010600030101010101"/>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pPr>
    <w:fldSimple w:instr="PAGE \* MERGEFORMAT">
      <w:r>
        <w:t xml:space="preserve">1</w:t>
      </w:r>
    </w:fldSimple>
    <w:r/>
    <w:r/>
  </w:p>
  <w:p>
    <w:pPr>
      <w:pStyle w:val="6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单钰锋</cp:lastModifiedBy>
  <cp:revision>3</cp:revision>
  <dcterms:created xsi:type="dcterms:W3CDTF">2026-10-08T09:22:33Z</dcterms:created>
  <dcterms:modified xsi:type="dcterms:W3CDTF">2026-10-09T07:02:39Z</dcterms:modified>
</cp:coreProperties>
</file>