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319A0">
      <w:pPr>
        <w:pStyle w:val="30"/>
        <w:spacing w:before="120" w:beforeAutospacing="0" w:after="12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043CFB2">
      <w:pPr>
        <w:pStyle w:val="30"/>
        <w:spacing w:before="120" w:beforeAutospacing="0" w:after="120" w:afterAutospacing="0" w:line="360" w:lineRule="auto"/>
        <w:jc w:val="center"/>
        <w:rPr>
          <w:rFonts w:hint="eastAsia" w:asciiTheme="minorEastAsia" w:hAnsiTheme="minorEastAsia" w:eastAsiaTheme="minorEastAsia" w:cstheme="minorEastAsia"/>
          <w:sz w:val="84"/>
          <w:szCs w:val="84"/>
        </w:rPr>
      </w:pPr>
      <w:r>
        <w:rPr>
          <w:rFonts w:hint="eastAsia" w:asciiTheme="minorEastAsia" w:hAnsiTheme="minorEastAsia" w:eastAsiaTheme="minorEastAsia" w:cstheme="minorEastAsia"/>
          <w:b/>
          <w:color w:val="000000"/>
          <w:sz w:val="84"/>
          <w:szCs w:val="84"/>
        </w:rPr>
        <w:t>招 标 文 件</w:t>
      </w:r>
    </w:p>
    <w:p w14:paraId="7B85941E">
      <w:pPr>
        <w:spacing w:line="360" w:lineRule="auto"/>
        <w:ind w:left="-210" w:right="-210"/>
        <w:jc w:val="center"/>
        <w:rPr>
          <w:rFonts w:hint="eastAsia" w:asciiTheme="minorEastAsia" w:hAnsiTheme="minorEastAsia" w:eastAsiaTheme="minorEastAsia" w:cstheme="minorEastAsia"/>
          <w:b/>
          <w:color w:val="000000"/>
          <w:sz w:val="24"/>
          <w:szCs w:val="24"/>
        </w:rPr>
      </w:pPr>
    </w:p>
    <w:p w14:paraId="3C6E27BF">
      <w:pPr>
        <w:spacing w:line="360" w:lineRule="auto"/>
        <w:ind w:left="-210" w:right="-210"/>
        <w:jc w:val="center"/>
        <w:rPr>
          <w:rFonts w:hint="eastAsia" w:asciiTheme="minorEastAsia" w:hAnsiTheme="minorEastAsia" w:eastAsiaTheme="minorEastAsia" w:cstheme="minorEastAsia"/>
          <w:b/>
          <w:color w:val="000000"/>
          <w:sz w:val="24"/>
          <w:szCs w:val="24"/>
        </w:rPr>
      </w:pPr>
    </w:p>
    <w:p w14:paraId="1A701AF6">
      <w:pPr>
        <w:spacing w:line="360" w:lineRule="auto"/>
        <w:ind w:left="-210" w:right="-210"/>
        <w:jc w:val="center"/>
        <w:rPr>
          <w:rFonts w:hint="eastAsia" w:asciiTheme="minorEastAsia" w:hAnsiTheme="minorEastAsia" w:eastAsiaTheme="minorEastAsia" w:cstheme="minorEastAsia"/>
          <w:b/>
          <w:color w:val="000000"/>
          <w:sz w:val="24"/>
          <w:szCs w:val="24"/>
        </w:rPr>
      </w:pPr>
    </w:p>
    <w:p w14:paraId="4F69D26C">
      <w:pPr>
        <w:spacing w:line="360" w:lineRule="auto"/>
        <w:ind w:right="-210" w:firstLine="321"/>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color w:val="000000"/>
          <w:sz w:val="32"/>
          <w:szCs w:val="32"/>
        </w:rPr>
        <w:t>项目名称：</w:t>
      </w:r>
      <w:r>
        <w:rPr>
          <w:rFonts w:hint="eastAsia" w:asciiTheme="minorEastAsia" w:hAnsiTheme="minorEastAsia" w:cstheme="minorEastAsia"/>
          <w:b/>
          <w:color w:val="000000"/>
          <w:sz w:val="32"/>
          <w:szCs w:val="32"/>
          <w:lang w:eastAsia="zh-CN"/>
        </w:rPr>
        <w:t>阜宁县芦蒲镇新建钢架大棚项目</w:t>
      </w:r>
    </w:p>
    <w:p w14:paraId="066289C9">
      <w:pPr>
        <w:pStyle w:val="30"/>
        <w:spacing w:before="120" w:beforeAutospacing="0" w:after="120" w:afterAutospacing="0" w:line="360" w:lineRule="auto"/>
        <w:ind w:firstLine="321"/>
        <w:jc w:val="both"/>
        <w:rPr>
          <w:rFonts w:hint="eastAsia" w:asciiTheme="minorEastAsia" w:hAnsiTheme="minorEastAsia" w:eastAsiaTheme="minorEastAsia" w:cstheme="minorEastAsia"/>
          <w:sz w:val="32"/>
          <w:szCs w:val="32"/>
        </w:rPr>
      </w:pPr>
    </w:p>
    <w:p w14:paraId="2106AC78">
      <w:pPr>
        <w:pStyle w:val="30"/>
        <w:spacing w:before="120" w:beforeAutospacing="0" w:after="120" w:afterAutospacing="0" w:line="360" w:lineRule="auto"/>
        <w:ind w:firstLine="321"/>
        <w:jc w:val="both"/>
        <w:rPr>
          <w:rFonts w:hint="eastAsia" w:eastAsia="宋体" w:asciiTheme="minorEastAsia" w:hAnsiTheme="minorEastAsia" w:cstheme="minorEastAsia"/>
          <w:b/>
          <w:bCs/>
          <w:color w:val="000000"/>
          <w:sz w:val="32"/>
          <w:szCs w:val="32"/>
          <w:highlight w:val="none"/>
          <w:lang w:eastAsia="zh-CN"/>
        </w:rPr>
      </w:pPr>
      <w:r>
        <w:rPr>
          <w:rFonts w:hint="eastAsia" w:asciiTheme="minorEastAsia" w:hAnsiTheme="minorEastAsia" w:eastAsiaTheme="minorEastAsia" w:cstheme="minorEastAsia"/>
          <w:b/>
          <w:color w:val="000000"/>
          <w:sz w:val="32"/>
          <w:szCs w:val="32"/>
        </w:rPr>
        <w:t>项目编号：JSZC-320923-YCSX-G2026-0006</w:t>
      </w:r>
    </w:p>
    <w:p w14:paraId="0AE0E896">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77B6627">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ED95061">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ABF6F25">
      <w:pPr>
        <w:pStyle w:val="30"/>
        <w:spacing w:beforeAutospacing="0" w:afterAutospacing="0" w:line="360" w:lineRule="auto"/>
        <w:rPr>
          <w:rFonts w:hint="eastAsia" w:asciiTheme="minorEastAsia" w:hAnsiTheme="minorEastAsia" w:eastAsiaTheme="minorEastAsia" w:cstheme="minorEastAsia"/>
          <w:sz w:val="24"/>
          <w:szCs w:val="24"/>
        </w:rPr>
      </w:pPr>
    </w:p>
    <w:p w14:paraId="5226F659">
      <w:pPr>
        <w:pStyle w:val="30"/>
        <w:spacing w:beforeAutospacing="0" w:afterAutospacing="0" w:line="360" w:lineRule="auto"/>
        <w:rPr>
          <w:rFonts w:hint="eastAsia" w:asciiTheme="minorEastAsia" w:hAnsiTheme="minorEastAsia" w:eastAsiaTheme="minorEastAsia" w:cstheme="minorEastAsia"/>
          <w:b/>
          <w:bCs/>
          <w:color w:val="000000"/>
          <w:sz w:val="32"/>
          <w:szCs w:val="32"/>
          <w:highlight w:val="none"/>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color w:val="000000"/>
          <w:sz w:val="32"/>
          <w:szCs w:val="32"/>
        </w:rPr>
        <w:t>采购单位</w:t>
      </w:r>
      <w:r>
        <w:rPr>
          <w:rFonts w:hint="eastAsia" w:asciiTheme="minorEastAsia" w:hAnsiTheme="minorEastAsia" w:cstheme="minorEastAsia"/>
          <w:b/>
          <w:color w:val="000000"/>
          <w:sz w:val="32"/>
          <w:szCs w:val="32"/>
          <w:lang w:eastAsia="zh-CN"/>
        </w:rPr>
        <w:t>：</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阜</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宁</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县</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芦</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蒲</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镇</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人</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民</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政</w:t>
      </w:r>
      <w:r>
        <w:rPr>
          <w:rFonts w:hint="eastAsia" w:asciiTheme="minorEastAsia" w:hAnsiTheme="minorEastAsia" w:cstheme="minorEastAsia"/>
          <w:b/>
          <w:color w:val="000000"/>
          <w:sz w:val="32"/>
          <w:szCs w:val="32"/>
          <w:lang w:val="en-US" w:eastAsia="zh-CN"/>
        </w:rPr>
        <w:t xml:space="preserve"> </w:t>
      </w:r>
      <w:r>
        <w:rPr>
          <w:rFonts w:hint="eastAsia" w:asciiTheme="minorEastAsia" w:hAnsiTheme="minorEastAsia" w:eastAsiaTheme="minorEastAsia" w:cstheme="minorEastAsia"/>
          <w:b/>
          <w:color w:val="000000"/>
          <w:sz w:val="32"/>
          <w:szCs w:val="32"/>
          <w:lang w:val="en-US" w:eastAsia="zh-CN"/>
        </w:rPr>
        <w:t>府</w:t>
      </w:r>
    </w:p>
    <w:p w14:paraId="1B18F498">
      <w:pPr>
        <w:pStyle w:val="30"/>
        <w:spacing w:before="120" w:beforeAutospacing="0" w:after="120" w:afterAutospacing="0" w:line="360" w:lineRule="auto"/>
        <w:jc w:val="distribute"/>
        <w:rPr>
          <w:rFonts w:hint="eastAsia" w:asciiTheme="minorEastAsia" w:hAnsiTheme="minorEastAsia" w:eastAsiaTheme="minorEastAsia" w:cstheme="minorEastAsia"/>
          <w:b/>
          <w:bCs/>
          <w:color w:val="000000"/>
          <w:sz w:val="32"/>
          <w:szCs w:val="32"/>
          <w:lang w:val="en-US" w:eastAsia="zh-CN"/>
        </w:rPr>
      </w:pPr>
    </w:p>
    <w:p w14:paraId="21BE348A">
      <w:pPr>
        <w:pStyle w:val="30"/>
        <w:spacing w:before="120" w:beforeAutospacing="0" w:after="120" w:afterAutospacing="0" w:line="360" w:lineRule="auto"/>
        <w:jc w:val="distribute"/>
        <w:rPr>
          <w:rFonts w:hint="eastAsia" w:asciiTheme="minorEastAsia" w:hAnsiTheme="minorEastAsia" w:eastAsiaTheme="minorEastAsia" w:cstheme="minorEastAsia"/>
          <w:b/>
          <w:bCs/>
          <w:color w:val="000000"/>
          <w:sz w:val="32"/>
          <w:szCs w:val="32"/>
          <w:lang w:val="en-US" w:eastAsia="zh-CN"/>
        </w:rPr>
      </w:pPr>
    </w:p>
    <w:p w14:paraId="7EF4A0DD">
      <w:pPr>
        <w:pStyle w:val="30"/>
        <w:spacing w:before="120" w:beforeAutospacing="0" w:after="120" w:afterAutospacing="0" w:line="360" w:lineRule="auto"/>
        <w:jc w:val="both"/>
        <w:rPr>
          <w:rFonts w:hint="eastAsia" w:asciiTheme="minorEastAsia" w:hAnsiTheme="minorEastAsia" w:eastAsiaTheme="minorEastAsia" w:cstheme="minorEastAsia"/>
          <w:b/>
          <w:color w:val="000000"/>
          <w:sz w:val="32"/>
          <w:szCs w:val="32"/>
          <w:lang w:val="en-US" w:eastAsia="zh-CN"/>
        </w:rPr>
      </w:pPr>
      <w:r>
        <w:rPr>
          <w:rFonts w:hint="eastAsia" w:asciiTheme="minorEastAsia" w:hAnsiTheme="minorEastAsia" w:eastAsiaTheme="minorEastAsia" w:cstheme="minorEastAsia"/>
          <w:b/>
          <w:color w:val="000000"/>
          <w:sz w:val="32"/>
          <w:szCs w:val="32"/>
        </w:rPr>
        <w:t>招标代理机构：</w:t>
      </w:r>
      <w:r>
        <w:rPr>
          <w:rFonts w:hint="eastAsia" w:asciiTheme="minorEastAsia" w:hAnsiTheme="minorEastAsia" w:eastAsiaTheme="minorEastAsia" w:cstheme="minorEastAsia"/>
          <w:b/>
          <w:color w:val="000000"/>
          <w:sz w:val="32"/>
          <w:szCs w:val="32"/>
          <w:lang w:eastAsia="zh-CN"/>
        </w:rPr>
        <w:t>盐城舜翔工程咨询管理有限公司</w:t>
      </w:r>
    </w:p>
    <w:p w14:paraId="18CD8C06">
      <w:pPr>
        <w:pStyle w:val="30"/>
        <w:spacing w:before="120" w:beforeAutospacing="0" w:after="120" w:afterAutospacing="0" w:line="360" w:lineRule="auto"/>
        <w:jc w:val="both"/>
        <w:rPr>
          <w:rFonts w:hint="eastAsia" w:asciiTheme="minorEastAsia" w:hAnsiTheme="minorEastAsia" w:eastAsiaTheme="minorEastAsia" w:cstheme="minorEastAsia"/>
          <w:b/>
          <w:color w:val="000000"/>
          <w:sz w:val="32"/>
          <w:szCs w:val="32"/>
        </w:rPr>
      </w:pPr>
    </w:p>
    <w:p w14:paraId="674E8A04">
      <w:pPr>
        <w:pStyle w:val="30"/>
        <w:spacing w:before="120" w:beforeAutospacing="0" w:after="120" w:afterAutospacing="0" w:line="360" w:lineRule="auto"/>
        <w:jc w:val="both"/>
        <w:rPr>
          <w:rFonts w:hint="eastAsia" w:asciiTheme="minorEastAsia" w:hAnsiTheme="minorEastAsia" w:eastAsiaTheme="minorEastAsia" w:cstheme="minorEastAsia"/>
          <w:b/>
          <w:bCs/>
          <w:color w:val="000000"/>
          <w:sz w:val="32"/>
          <w:szCs w:val="32"/>
        </w:rPr>
      </w:pPr>
    </w:p>
    <w:p w14:paraId="092D5933">
      <w:pPr>
        <w:pStyle w:val="30"/>
        <w:spacing w:before="120" w:beforeAutospacing="0" w:after="120" w:afterAutospacing="0" w:line="360" w:lineRule="auto"/>
        <w:jc w:val="both"/>
        <w:rPr>
          <w:rFonts w:hint="eastAsia" w:asciiTheme="minorEastAsia" w:hAnsiTheme="minorEastAsia" w:eastAsiaTheme="minorEastAsia" w:cstheme="minorEastAsia"/>
          <w:b/>
          <w:bCs/>
          <w:color w:val="000000"/>
          <w:sz w:val="32"/>
          <w:szCs w:val="32"/>
        </w:rPr>
      </w:pPr>
    </w:p>
    <w:p w14:paraId="745BE9FA">
      <w:pPr>
        <w:pStyle w:val="30"/>
        <w:spacing w:before="120" w:beforeAutospacing="0" w:after="120" w:afterAutospacing="0" w:line="360" w:lineRule="auto"/>
        <w:jc w:val="center"/>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b/>
          <w:color w:val="auto"/>
          <w:sz w:val="32"/>
          <w:szCs w:val="32"/>
          <w:lang w:val="en-US" w:eastAsia="zh-CN"/>
        </w:rPr>
        <w:t>2026</w:t>
      </w:r>
      <w:r>
        <w:rPr>
          <w:rFonts w:hint="eastAsia" w:asciiTheme="minorEastAsia" w:hAnsiTheme="minorEastAsia" w:eastAsiaTheme="minorEastAsia" w:cstheme="minorEastAsia"/>
          <w:b/>
          <w:color w:val="auto"/>
          <w:sz w:val="32"/>
          <w:szCs w:val="32"/>
        </w:rPr>
        <w:t>年</w:t>
      </w:r>
      <w:r>
        <w:rPr>
          <w:rFonts w:hint="eastAsia" w:asciiTheme="minorEastAsia" w:hAnsiTheme="minorEastAsia" w:cstheme="minorEastAsia"/>
          <w:b/>
          <w:color w:val="auto"/>
          <w:sz w:val="32"/>
          <w:szCs w:val="32"/>
          <w:lang w:val="en-US" w:eastAsia="zh-CN"/>
        </w:rPr>
        <w:t>10</w:t>
      </w:r>
      <w:r>
        <w:rPr>
          <w:rFonts w:hint="eastAsia" w:asciiTheme="minorEastAsia" w:hAnsiTheme="minorEastAsia" w:eastAsiaTheme="minorEastAsia" w:cstheme="minorEastAsia"/>
          <w:b/>
          <w:color w:val="auto"/>
          <w:sz w:val="32"/>
          <w:szCs w:val="32"/>
        </w:rPr>
        <w:t>月</w:t>
      </w:r>
      <w:r>
        <w:rPr>
          <w:rFonts w:hint="eastAsia" w:eastAsia="宋体" w:asciiTheme="minorEastAsia" w:hAnsiTheme="minorEastAsia" w:cstheme="minorEastAsia"/>
          <w:b/>
          <w:color w:val="auto"/>
          <w:sz w:val="32"/>
          <w:szCs w:val="32"/>
          <w:lang w:val="en-US" w:eastAsia="zh-CN"/>
        </w:rPr>
        <w:t>19</w:t>
      </w:r>
      <w:r>
        <w:rPr>
          <w:rFonts w:hint="eastAsia" w:asciiTheme="minorEastAsia" w:hAnsiTheme="minorEastAsia" w:eastAsiaTheme="minorEastAsia" w:cstheme="minorEastAsia"/>
          <w:b/>
          <w:color w:val="auto"/>
          <w:sz w:val="32"/>
          <w:szCs w:val="32"/>
        </w:rPr>
        <w:t>日</w:t>
      </w:r>
    </w:p>
    <w:p w14:paraId="4AA4A2D8">
      <w:pPr>
        <w:pStyle w:val="30"/>
        <w:spacing w:before="120" w:beforeAutospacing="0" w:after="12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                        </w:t>
      </w:r>
    </w:p>
    <w:p w14:paraId="7F379DEA">
      <w:pPr>
        <w:pStyle w:val="30"/>
        <w:spacing w:before="120" w:beforeAutospacing="0" w:after="120" w:afterAutospacing="0" w:line="360" w:lineRule="auto"/>
        <w:jc w:val="center"/>
        <w:rPr>
          <w:rFonts w:hint="eastAsia" w:asciiTheme="minorEastAsia" w:hAnsiTheme="minorEastAsia" w:eastAsiaTheme="minorEastAsia" w:cstheme="minorEastAsia"/>
          <w:sz w:val="24"/>
          <w:szCs w:val="24"/>
        </w:rPr>
      </w:pPr>
    </w:p>
    <w:p w14:paraId="3CD5B8A3">
      <w:pPr>
        <w:pStyle w:val="30"/>
        <w:spacing w:before="120" w:beforeAutospacing="0" w:after="120" w:afterAutospacing="0" w:line="360" w:lineRule="auto"/>
        <w:jc w:val="center"/>
        <w:rPr>
          <w:rFonts w:hint="eastAsia" w:asciiTheme="minorEastAsia" w:hAnsiTheme="minorEastAsia" w:eastAsiaTheme="minorEastAsia" w:cstheme="minorEastAsia"/>
          <w:sz w:val="24"/>
          <w:szCs w:val="24"/>
        </w:rPr>
      </w:pPr>
    </w:p>
    <w:p w14:paraId="0D7B8AAB">
      <w:pPr>
        <w:pStyle w:val="30"/>
        <w:spacing w:before="120" w:beforeAutospacing="0" w:after="12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b/>
          <w:bCs/>
          <w:color w:val="000000"/>
          <w:sz w:val="36"/>
          <w:szCs w:val="36"/>
        </w:rPr>
        <w:t> </w:t>
      </w:r>
      <w:bookmarkStart w:id="0" w:name="_Toc513029200"/>
      <w:bookmarkStart w:id="1" w:name="_Toc16938516"/>
      <w:bookmarkStart w:id="2" w:name="_Toc523127445"/>
      <w:bookmarkStart w:id="3" w:name="_Toc120614210"/>
      <w:bookmarkStart w:id="4" w:name="_Toc479757206"/>
      <w:bookmarkStart w:id="5" w:name="_Toc20823272"/>
      <w:r>
        <w:rPr>
          <w:rFonts w:hint="eastAsia" w:asciiTheme="minorEastAsia" w:hAnsiTheme="minorEastAsia" w:eastAsiaTheme="minorEastAsia" w:cstheme="minorEastAsia"/>
          <w:b/>
          <w:bCs/>
          <w:color w:val="000000"/>
          <w:sz w:val="44"/>
          <w:szCs w:val="44"/>
        </w:rPr>
        <w:t>总  目  录</w:t>
      </w:r>
      <w:bookmarkEnd w:id="0"/>
      <w:bookmarkEnd w:id="1"/>
      <w:bookmarkEnd w:id="2"/>
      <w:bookmarkEnd w:id="3"/>
      <w:bookmarkEnd w:id="4"/>
      <w:bookmarkEnd w:id="5"/>
    </w:p>
    <w:p w14:paraId="343306BE">
      <w:pPr>
        <w:pStyle w:val="30"/>
        <w:spacing w:beforeAutospacing="0" w:afterAutospacing="0" w:line="360" w:lineRule="auto"/>
        <w:jc w:val="both"/>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 </w:t>
      </w:r>
    </w:p>
    <w:p w14:paraId="7B603D2B">
      <w:pPr>
        <w:pStyle w:val="30"/>
        <w:tabs>
          <w:tab w:val="left" w:pos="1441"/>
        </w:tabs>
        <w:spacing w:beforeAutospacing="0" w:afterAutospacing="0" w:line="360" w:lineRule="auto"/>
        <w:ind w:left="2160" w:hanging="1440"/>
        <w:jc w:val="both"/>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color w:val="000000"/>
          <w:sz w:val="36"/>
          <w:szCs w:val="36"/>
        </w:rPr>
        <w:t>招标公告………………………………</w:t>
      </w:r>
      <w:r>
        <w:rPr>
          <w:rFonts w:hint="eastAsia" w:asciiTheme="minorEastAsia" w:hAnsiTheme="minorEastAsia" w:cstheme="minorEastAsia"/>
          <w:b/>
          <w:bCs/>
          <w:color w:val="000000"/>
          <w:sz w:val="36"/>
          <w:szCs w:val="36"/>
          <w:lang w:val="en-US" w:eastAsia="zh-CN"/>
        </w:rPr>
        <w:t>1-3</w:t>
      </w:r>
      <w:r>
        <w:rPr>
          <w:rFonts w:hint="eastAsia" w:asciiTheme="minorEastAsia" w:hAnsiTheme="minorEastAsia" w:eastAsiaTheme="minorEastAsia" w:cstheme="minorEastAsia"/>
          <w:b/>
          <w:bCs/>
          <w:color w:val="000000"/>
          <w:sz w:val="36"/>
          <w:szCs w:val="36"/>
        </w:rPr>
        <w:t xml:space="preserve"> </w:t>
      </w:r>
    </w:p>
    <w:p w14:paraId="763BCC4F">
      <w:pPr>
        <w:pStyle w:val="30"/>
        <w:tabs>
          <w:tab w:val="left" w:pos="1441"/>
        </w:tabs>
        <w:spacing w:beforeAutospacing="0" w:afterAutospacing="0" w:line="360" w:lineRule="auto"/>
        <w:ind w:left="2160" w:hanging="1440"/>
        <w:jc w:val="both"/>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color w:val="000000"/>
          <w:sz w:val="36"/>
          <w:szCs w:val="36"/>
        </w:rPr>
        <w:t>投标人须知……………………………</w:t>
      </w:r>
      <w:r>
        <w:rPr>
          <w:rFonts w:hint="eastAsia" w:asciiTheme="minorEastAsia" w:hAnsiTheme="minorEastAsia" w:cstheme="minorEastAsia"/>
          <w:b/>
          <w:bCs/>
          <w:color w:val="000000"/>
          <w:sz w:val="36"/>
          <w:szCs w:val="36"/>
          <w:lang w:val="en-US" w:eastAsia="zh-CN"/>
        </w:rPr>
        <w:t>4-15</w:t>
      </w:r>
      <w:r>
        <w:rPr>
          <w:rFonts w:hint="eastAsia" w:asciiTheme="minorEastAsia" w:hAnsiTheme="minorEastAsia" w:eastAsiaTheme="minorEastAsia" w:cstheme="minorEastAsia"/>
          <w:b/>
          <w:bCs/>
          <w:color w:val="000000"/>
          <w:sz w:val="36"/>
          <w:szCs w:val="36"/>
        </w:rPr>
        <w:t xml:space="preserve">  </w:t>
      </w:r>
    </w:p>
    <w:p w14:paraId="431F59F9">
      <w:pPr>
        <w:pStyle w:val="30"/>
        <w:tabs>
          <w:tab w:val="left" w:pos="1441"/>
        </w:tabs>
        <w:spacing w:beforeAutospacing="0" w:afterAutospacing="0" w:line="360" w:lineRule="auto"/>
        <w:ind w:left="2160" w:hanging="1440"/>
        <w:jc w:val="both"/>
        <w:rPr>
          <w:rFonts w:hint="eastAsia" w:asciiTheme="minorEastAsia" w:hAnsiTheme="minorEastAsia" w:cstheme="minorEastAsia"/>
          <w:b/>
          <w:bCs/>
          <w:color w:val="000000"/>
          <w:sz w:val="36"/>
          <w:szCs w:val="36"/>
          <w:lang w:val="en-US" w:eastAsia="zh-CN"/>
        </w:rPr>
      </w:pPr>
      <w:r>
        <w:rPr>
          <w:rFonts w:hint="eastAsia" w:asciiTheme="minorEastAsia" w:hAnsiTheme="minorEastAsia" w:eastAsiaTheme="minorEastAsia" w:cstheme="minorEastAsia"/>
          <w:b/>
          <w:bCs/>
          <w:color w:val="000000"/>
          <w:sz w:val="36"/>
          <w:szCs w:val="36"/>
        </w:rPr>
        <w:t>合同文本………………………………</w:t>
      </w:r>
      <w:r>
        <w:rPr>
          <w:rFonts w:hint="eastAsia" w:asciiTheme="minorEastAsia" w:hAnsiTheme="minorEastAsia" w:cstheme="minorEastAsia"/>
          <w:b/>
          <w:bCs/>
          <w:color w:val="000000"/>
          <w:sz w:val="36"/>
          <w:szCs w:val="36"/>
          <w:lang w:val="en-US" w:eastAsia="zh-CN"/>
        </w:rPr>
        <w:t>17-23</w:t>
      </w:r>
    </w:p>
    <w:p w14:paraId="7C800755">
      <w:pPr>
        <w:pStyle w:val="30"/>
        <w:tabs>
          <w:tab w:val="left" w:pos="1441"/>
        </w:tabs>
        <w:spacing w:beforeAutospacing="0" w:afterAutospacing="0" w:line="360" w:lineRule="auto"/>
        <w:ind w:left="2160" w:hanging="1440"/>
        <w:jc w:val="both"/>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color w:val="000000"/>
          <w:sz w:val="36"/>
          <w:szCs w:val="36"/>
        </w:rPr>
        <w:t>采购需求………………………………</w:t>
      </w:r>
      <w:r>
        <w:rPr>
          <w:rFonts w:hint="eastAsia" w:asciiTheme="minorEastAsia" w:hAnsiTheme="minorEastAsia" w:cstheme="minorEastAsia"/>
          <w:b/>
          <w:bCs/>
          <w:color w:val="000000"/>
          <w:sz w:val="36"/>
          <w:szCs w:val="36"/>
          <w:lang w:val="en-US" w:eastAsia="zh-CN"/>
        </w:rPr>
        <w:t>24-27</w:t>
      </w:r>
    </w:p>
    <w:p w14:paraId="1C39F8C9">
      <w:pPr>
        <w:pStyle w:val="30"/>
        <w:tabs>
          <w:tab w:val="left" w:pos="1441"/>
        </w:tabs>
        <w:spacing w:beforeAutospacing="0" w:afterAutospacing="0" w:line="360" w:lineRule="auto"/>
        <w:ind w:left="2160" w:hanging="1440"/>
        <w:jc w:val="both"/>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color w:val="000000"/>
          <w:sz w:val="36"/>
          <w:szCs w:val="36"/>
        </w:rPr>
        <w:t>评标方法与评标标准…………………</w:t>
      </w:r>
      <w:r>
        <w:rPr>
          <w:rFonts w:hint="eastAsia" w:asciiTheme="minorEastAsia" w:hAnsiTheme="minorEastAsia" w:cstheme="minorEastAsia"/>
          <w:b/>
          <w:bCs/>
          <w:color w:val="000000"/>
          <w:sz w:val="36"/>
          <w:szCs w:val="36"/>
          <w:lang w:val="en-US" w:eastAsia="zh-CN"/>
        </w:rPr>
        <w:t>28-31</w:t>
      </w:r>
    </w:p>
    <w:p w14:paraId="5859D4D2">
      <w:pPr>
        <w:pStyle w:val="30"/>
        <w:tabs>
          <w:tab w:val="left" w:pos="1441"/>
        </w:tabs>
        <w:spacing w:beforeAutospacing="0" w:afterAutospacing="0" w:line="360" w:lineRule="auto"/>
        <w:ind w:left="2160" w:hanging="1440"/>
        <w:jc w:val="both"/>
        <w:rPr>
          <w:rFonts w:hint="default"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color w:val="000000"/>
          <w:sz w:val="36"/>
          <w:szCs w:val="36"/>
        </w:rPr>
        <w:t>投标文件格式…………………………</w:t>
      </w:r>
      <w:r>
        <w:rPr>
          <w:rFonts w:hint="eastAsia" w:asciiTheme="minorEastAsia" w:hAnsiTheme="minorEastAsia" w:cstheme="minorEastAsia"/>
          <w:b/>
          <w:bCs/>
          <w:color w:val="000000"/>
          <w:sz w:val="36"/>
          <w:szCs w:val="36"/>
          <w:lang w:val="en-US" w:eastAsia="zh-CN"/>
        </w:rPr>
        <w:t>32-48</w:t>
      </w:r>
    </w:p>
    <w:p w14:paraId="1622FB01">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0BDFD75">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83625ED">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32F5946">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A947E8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6FDCB5E">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AD35F1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700EE6F">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BC452F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1964F8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5CF3B3D">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988609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0015EB0">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3175E64">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E9E2BB8">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A7E749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731C977">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EE2C7CE">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3034F9A">
      <w:pPr>
        <w:pStyle w:val="30"/>
        <w:keepNext/>
        <w:spacing w:beforeAutospacing="0" w:afterAutospacing="0" w:line="360" w:lineRule="auto"/>
        <w:jc w:val="center"/>
        <w:rPr>
          <w:rFonts w:hint="eastAsia" w:asciiTheme="minorEastAsia" w:hAnsiTheme="minorEastAsia" w:eastAsiaTheme="minorEastAsia" w:cstheme="minorEastAsia"/>
          <w:b/>
          <w:bCs/>
          <w:color w:val="000000"/>
          <w:sz w:val="36"/>
          <w:szCs w:val="36"/>
        </w:rPr>
        <w:sectPr>
          <w:pgSz w:w="11906" w:h="16838"/>
          <w:pgMar w:top="1440" w:right="1800" w:bottom="1440" w:left="1800" w:header="851" w:footer="992" w:gutter="0"/>
          <w:cols w:space="425" w:num="1"/>
          <w:docGrid w:linePitch="360" w:charSpace="0"/>
        </w:sectPr>
      </w:pPr>
      <w:bookmarkStart w:id="6" w:name="_Toc28359086"/>
    </w:p>
    <w:p w14:paraId="630B34C4">
      <w:pPr>
        <w:pStyle w:val="30"/>
        <w:keepNext/>
        <w:spacing w:beforeAutospacing="0" w:afterAutospacing="0" w:line="360" w:lineRule="auto"/>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color w:val="000000"/>
          <w:sz w:val="36"/>
          <w:szCs w:val="36"/>
        </w:rPr>
        <w:t>第一章 招标公告</w:t>
      </w:r>
    </w:p>
    <w:p w14:paraId="0A2B53FD">
      <w:pPr>
        <w:pStyle w:val="30"/>
        <w:pBdr>
          <w:top w:val="single" w:color="000000" w:sz="4" w:space="0"/>
          <w:left w:val="single" w:color="000000" w:sz="4" w:space="0"/>
          <w:bottom w:val="single" w:color="000000" w:sz="4" w:space="0"/>
          <w:right w:val="single" w:color="000000" w:sz="4" w:space="0"/>
        </w:pBdr>
        <w:spacing w:beforeAutospacing="0" w:afterAutospacing="0" w:line="360" w:lineRule="auto"/>
        <w:ind w:firstLine="480"/>
        <w:jc w:val="both"/>
        <w:rPr>
          <w:rFonts w:hint="eastAsia" w:ascii="宋体" w:hAnsi="宋体" w:eastAsia="宋体" w:cs="宋体"/>
          <w:sz w:val="24"/>
          <w:szCs w:val="24"/>
        </w:rPr>
      </w:pPr>
      <w:r>
        <w:rPr>
          <w:rFonts w:hint="eastAsia" w:ascii="宋体" w:hAnsi="宋体" w:eastAsia="宋体" w:cs="宋体"/>
          <w:color w:val="000000"/>
          <w:sz w:val="24"/>
          <w:szCs w:val="24"/>
        </w:rPr>
        <w:t>项目概况</w:t>
      </w:r>
    </w:p>
    <w:p w14:paraId="67068870">
      <w:pPr>
        <w:pStyle w:val="30"/>
        <w:pBdr>
          <w:top w:val="single" w:color="000000" w:sz="4" w:space="0"/>
          <w:left w:val="single" w:color="000000" w:sz="4" w:space="0"/>
          <w:bottom w:val="single" w:color="000000" w:sz="4" w:space="0"/>
          <w:right w:val="single" w:color="000000" w:sz="4" w:space="0"/>
        </w:pBdr>
        <w:spacing w:beforeAutospacing="0" w:afterAutospacing="0" w:line="360" w:lineRule="auto"/>
        <w:ind w:firstLine="480"/>
        <w:jc w:val="both"/>
        <w:rPr>
          <w:rFonts w:hint="eastAsia" w:ascii="宋体" w:hAnsi="宋体" w:eastAsia="宋体" w:cs="宋体"/>
          <w:sz w:val="24"/>
          <w:szCs w:val="24"/>
        </w:rPr>
      </w:pPr>
      <w:bookmarkStart w:id="7" w:name="OLE_LINK80"/>
      <w:r>
        <w:rPr>
          <w:rFonts w:hint="eastAsia" w:ascii="宋体" w:hAnsi="宋体" w:eastAsia="宋体" w:cs="宋体"/>
          <w:b w:val="0"/>
          <w:position w:val="0"/>
          <w:szCs w:val="24"/>
          <w:highlight w:val="none"/>
          <w:lang w:eastAsia="zh-CN"/>
        </w:rPr>
        <w:t>阜宁县芦蒲镇新建钢架大棚项目（项目编号：JSZC-320923-YCSX-G2026-0006）</w:t>
      </w:r>
      <w:r>
        <w:rPr>
          <w:rFonts w:hint="eastAsia" w:ascii="宋体" w:hAnsi="宋体" w:eastAsia="宋体" w:cs="宋体"/>
          <w:b w:val="0"/>
          <w:position w:val="0"/>
          <w:szCs w:val="24"/>
          <w:highlight w:val="none"/>
        </w:rPr>
        <w:t>招标项目的潜在投标人可在“</w:t>
      </w:r>
      <w:bookmarkEnd w:id="7"/>
      <w:r>
        <w:rPr>
          <w:rFonts w:hint="eastAsia" w:ascii="宋体" w:hAnsi="宋体" w:eastAsia="宋体" w:cs="宋体"/>
          <w:b w:val="0"/>
          <w:position w:val="0"/>
          <w:szCs w:val="24"/>
          <w:highlight w:val="none"/>
        </w:rPr>
        <w:t>苏采云”系统内免费下载（投标人必须在苏采云系统中获取采购文件，方能参与政府采购项目）</w:t>
      </w:r>
      <w:r>
        <w:rPr>
          <w:rFonts w:hint="eastAsia" w:ascii="宋体" w:hAnsi="宋体" w:eastAsia="宋体" w:cs="宋体"/>
          <w:color w:val="000000"/>
          <w:sz w:val="24"/>
          <w:szCs w:val="24"/>
        </w:rPr>
        <w:t>，并于</w:t>
      </w:r>
      <w:r>
        <w:rPr>
          <w:rFonts w:hint="eastAsia" w:ascii="宋体" w:hAnsi="宋体" w:eastAsia="宋体" w:cs="宋体"/>
          <w:color w:val="auto"/>
          <w:sz w:val="24"/>
          <w:szCs w:val="24"/>
          <w:u w:val="single"/>
          <w:lang w:val="en-US" w:eastAsia="zh-CN"/>
        </w:rPr>
        <w:t>2026</w:t>
      </w:r>
      <w:r>
        <w:rPr>
          <w:rFonts w:hint="eastAsia" w:ascii="宋体" w:hAnsi="宋体" w:eastAsia="宋体" w:cs="宋体"/>
          <w:color w:val="auto"/>
          <w:sz w:val="24"/>
          <w:szCs w:val="24"/>
          <w:u w:val="single"/>
        </w:rPr>
        <w:t>年</w:t>
      </w:r>
      <w:r>
        <w:rPr>
          <w:rFonts w:hint="eastAsia" w:ascii="宋体" w:hAnsi="宋体" w:eastAsia="宋体" w:cs="宋体"/>
          <w:color w:val="auto"/>
          <w:sz w:val="24"/>
          <w:szCs w:val="24"/>
          <w:u w:val="single"/>
          <w:lang w:val="en-US" w:eastAsia="zh-CN"/>
        </w:rPr>
        <w:t>11</w:t>
      </w:r>
      <w:r>
        <w:rPr>
          <w:rFonts w:hint="eastAsia" w:ascii="宋体" w:hAnsi="宋体" w:eastAsia="宋体" w:cs="宋体"/>
          <w:color w:val="auto"/>
          <w:sz w:val="24"/>
          <w:szCs w:val="24"/>
          <w:u w:val="single"/>
        </w:rPr>
        <w:t>月</w:t>
      </w:r>
      <w:r>
        <w:rPr>
          <w:rFonts w:hint="eastAsia" w:ascii="宋体" w:hAnsi="宋体" w:eastAsia="宋体" w:cs="宋体"/>
          <w:color w:val="auto"/>
          <w:sz w:val="24"/>
          <w:szCs w:val="24"/>
          <w:u w:val="single"/>
          <w:lang w:val="en-US" w:eastAsia="zh-CN"/>
        </w:rPr>
        <w:t>10</w:t>
      </w:r>
      <w:r>
        <w:rPr>
          <w:rFonts w:hint="eastAsia" w:ascii="宋体" w:hAnsi="宋体" w:eastAsia="宋体" w:cs="宋体"/>
          <w:color w:val="auto"/>
          <w:sz w:val="24"/>
          <w:szCs w:val="24"/>
          <w:u w:val="single"/>
        </w:rPr>
        <w:t>日</w:t>
      </w:r>
      <w:r>
        <w:rPr>
          <w:rFonts w:hint="eastAsia" w:ascii="宋体" w:hAnsi="宋体" w:eastAsia="宋体" w:cs="宋体"/>
          <w:color w:val="auto"/>
          <w:sz w:val="24"/>
          <w:szCs w:val="24"/>
          <w:u w:val="single"/>
          <w:lang w:val="en-US" w:eastAsia="zh-CN"/>
        </w:rPr>
        <w:t>9</w:t>
      </w:r>
      <w:r>
        <w:rPr>
          <w:rFonts w:hint="eastAsia" w:ascii="宋体" w:hAnsi="宋体" w:eastAsia="宋体" w:cs="宋体"/>
          <w:color w:val="auto"/>
          <w:sz w:val="24"/>
          <w:szCs w:val="24"/>
          <w:u w:val="single"/>
        </w:rPr>
        <w:t>点</w:t>
      </w:r>
      <w:r>
        <w:rPr>
          <w:rFonts w:hint="eastAsia" w:ascii="宋体" w:hAnsi="宋体" w:eastAsia="宋体" w:cs="宋体"/>
          <w:color w:val="auto"/>
          <w:sz w:val="24"/>
          <w:szCs w:val="24"/>
          <w:u w:val="single"/>
          <w:lang w:val="en-US" w:eastAsia="zh-CN"/>
        </w:rPr>
        <w:t>00</w:t>
      </w:r>
      <w:r>
        <w:rPr>
          <w:rFonts w:hint="eastAsia" w:ascii="宋体" w:hAnsi="宋体" w:eastAsia="宋体" w:cs="宋体"/>
          <w:color w:val="auto"/>
          <w:sz w:val="24"/>
          <w:szCs w:val="24"/>
          <w:u w:val="single"/>
        </w:rPr>
        <w:t>分（</w:t>
      </w:r>
      <w:r>
        <w:rPr>
          <w:rFonts w:hint="eastAsia" w:ascii="宋体" w:hAnsi="宋体" w:eastAsia="宋体" w:cs="宋体"/>
          <w:color w:val="auto"/>
          <w:sz w:val="24"/>
          <w:szCs w:val="24"/>
        </w:rPr>
        <w:t>北京时间）前递交投标文件。</w:t>
      </w:r>
    </w:p>
    <w:p w14:paraId="3027BAAE">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bookmarkStart w:id="8" w:name="_Toc38985263"/>
      <w:bookmarkStart w:id="9" w:name="_Toc35393790"/>
      <w:bookmarkStart w:id="10" w:name="_Toc28359002"/>
      <w:bookmarkStart w:id="11" w:name="_Hlk24379207"/>
      <w:bookmarkStart w:id="12" w:name="_Toc35393621"/>
      <w:bookmarkStart w:id="13" w:name="_Toc28359079"/>
      <w:r>
        <w:rPr>
          <w:rFonts w:hint="eastAsia" w:ascii="宋体" w:hAnsi="宋体" w:eastAsia="宋体" w:cs="宋体"/>
          <w:b/>
          <w:color w:val="000000"/>
          <w:sz w:val="24"/>
          <w:szCs w:val="24"/>
        </w:rPr>
        <w:t>一、项目基本情况</w:t>
      </w:r>
      <w:bookmarkEnd w:id="8"/>
      <w:bookmarkEnd w:id="9"/>
      <w:bookmarkEnd w:id="10"/>
      <w:bookmarkEnd w:id="11"/>
      <w:bookmarkEnd w:id="12"/>
      <w:bookmarkEnd w:id="13"/>
    </w:p>
    <w:p w14:paraId="5881FFEE">
      <w:pPr>
        <w:pStyle w:val="30"/>
        <w:spacing w:beforeAutospacing="0" w:afterAutospacing="0" w:line="360" w:lineRule="auto"/>
        <w:ind w:firstLine="48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1.项目编号：JSZC-320923-YCSX-G2026-0006</w:t>
      </w:r>
    </w:p>
    <w:p w14:paraId="5318C77A">
      <w:pPr>
        <w:pStyle w:val="30"/>
        <w:spacing w:beforeAutospacing="0" w:afterAutospacing="0" w:line="360" w:lineRule="auto"/>
        <w:ind w:firstLine="48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2.项目名称：</w:t>
      </w:r>
      <w:r>
        <w:rPr>
          <w:rFonts w:hint="eastAsia" w:ascii="宋体" w:hAnsi="宋体" w:eastAsia="宋体" w:cs="宋体"/>
          <w:color w:val="000000"/>
          <w:sz w:val="24"/>
          <w:szCs w:val="24"/>
          <w:lang w:eastAsia="zh-CN"/>
        </w:rPr>
        <w:t>阜宁县芦蒲镇新建钢架大棚项目</w:t>
      </w:r>
    </w:p>
    <w:p w14:paraId="513B99A4">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333333"/>
          <w:sz w:val="24"/>
          <w:szCs w:val="24"/>
          <w:shd w:val="clear" w:color="auto" w:fill="FFFFFF"/>
        </w:rPr>
        <w:t>3.采购方式：公开招标</w:t>
      </w:r>
    </w:p>
    <w:p w14:paraId="1002049B">
      <w:pPr>
        <w:pStyle w:val="30"/>
        <w:spacing w:beforeAutospacing="0" w:afterAutospacing="0" w:line="360" w:lineRule="auto"/>
        <w:ind w:firstLine="48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4.预算金额：</w:t>
      </w:r>
      <w:r>
        <w:rPr>
          <w:rFonts w:hint="eastAsia" w:ascii="宋体" w:hAnsi="宋体" w:eastAsia="宋体" w:cs="宋体"/>
          <w:color w:val="000000"/>
          <w:sz w:val="24"/>
          <w:szCs w:val="24"/>
          <w:lang w:val="en-US" w:eastAsia="zh-CN"/>
        </w:rPr>
        <w:t>314.53万元</w:t>
      </w:r>
    </w:p>
    <w:p w14:paraId="47C5D654">
      <w:pPr>
        <w:pStyle w:val="30"/>
        <w:spacing w:beforeAutospacing="0" w:afterAutospacing="0" w:line="360" w:lineRule="auto"/>
        <w:ind w:firstLine="480"/>
        <w:jc w:val="both"/>
        <w:rPr>
          <w:rFonts w:hint="eastAsia" w:ascii="宋体" w:hAnsi="宋体" w:eastAsia="宋体" w:cs="宋体"/>
          <w:color w:val="000000"/>
          <w:sz w:val="24"/>
          <w:szCs w:val="24"/>
          <w:shd w:val="clear" w:color="auto" w:fill="FFFF00"/>
          <w:lang w:val="en-US" w:eastAsia="zh-CN"/>
        </w:rPr>
      </w:pPr>
      <w:r>
        <w:rPr>
          <w:rFonts w:hint="eastAsia" w:ascii="宋体" w:hAnsi="宋体" w:eastAsia="宋体" w:cs="宋体"/>
          <w:color w:val="333333"/>
          <w:sz w:val="24"/>
          <w:szCs w:val="24"/>
          <w:shd w:val="clear" w:color="auto" w:fill="FFFFFF"/>
        </w:rPr>
        <w:t>5.最高限价：</w:t>
      </w:r>
      <w:r>
        <w:rPr>
          <w:rFonts w:hint="eastAsia" w:ascii="宋体" w:hAnsi="宋体" w:eastAsia="宋体" w:cs="宋体"/>
          <w:color w:val="333333"/>
          <w:sz w:val="24"/>
          <w:szCs w:val="24"/>
          <w:shd w:val="clear" w:color="auto" w:fill="FFFFFF"/>
          <w:lang w:val="en-US" w:eastAsia="zh-CN"/>
        </w:rPr>
        <w:t>314.53万元</w:t>
      </w:r>
    </w:p>
    <w:p w14:paraId="1DD86450">
      <w:pPr>
        <w:pStyle w:val="30"/>
        <w:spacing w:beforeAutospacing="0" w:afterAutospacing="0" w:line="360" w:lineRule="auto"/>
        <w:ind w:firstLine="48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6.采购需求：</w:t>
      </w:r>
      <w:r>
        <w:rPr>
          <w:rFonts w:hint="eastAsia" w:ascii="宋体" w:hAnsi="宋体" w:eastAsia="宋体" w:cs="宋体"/>
          <w:color w:val="000000"/>
          <w:sz w:val="24"/>
          <w:szCs w:val="24"/>
          <w:lang w:eastAsia="zh-CN"/>
        </w:rPr>
        <w:t>阜宁县芦蒲镇新建钢架大棚项目，主要建设内容包括新建约1</w:t>
      </w:r>
      <w:r>
        <w:rPr>
          <w:rFonts w:hint="eastAsia" w:ascii="宋体" w:hAnsi="宋体" w:eastAsia="宋体" w:cs="宋体"/>
          <w:color w:val="000000"/>
          <w:sz w:val="24"/>
          <w:szCs w:val="24"/>
          <w:lang w:val="en-US" w:eastAsia="zh-CN"/>
        </w:rPr>
        <w:t>55</w:t>
      </w:r>
      <w:r>
        <w:rPr>
          <w:rFonts w:hint="eastAsia" w:ascii="宋体" w:hAnsi="宋体" w:eastAsia="宋体" w:cs="宋体"/>
          <w:color w:val="000000"/>
          <w:sz w:val="24"/>
          <w:szCs w:val="24"/>
          <w:lang w:eastAsia="zh-CN"/>
        </w:rPr>
        <w:t>亩6米插地棚、8米联动棚及配套附属工程等</w:t>
      </w:r>
      <w:r>
        <w:rPr>
          <w:rFonts w:hint="eastAsia" w:ascii="宋体" w:hAnsi="宋体" w:eastAsia="宋体" w:cs="宋体"/>
          <w:color w:val="000000"/>
          <w:sz w:val="24"/>
          <w:szCs w:val="24"/>
          <w:lang w:val="en-US"/>
        </w:rPr>
        <w:t>。</w:t>
      </w:r>
      <w:r>
        <w:rPr>
          <w:rFonts w:hint="eastAsia" w:ascii="宋体" w:hAnsi="宋体" w:eastAsia="宋体" w:cs="宋体"/>
          <w:color w:val="000000"/>
          <w:sz w:val="24"/>
          <w:szCs w:val="24"/>
        </w:rPr>
        <w:t>具体内容和范围以工程量清单和图纸为准</w:t>
      </w:r>
      <w:r>
        <w:rPr>
          <w:rFonts w:hint="eastAsia" w:ascii="宋体" w:hAnsi="宋体" w:eastAsia="宋体" w:cs="宋体"/>
          <w:color w:val="000000"/>
          <w:sz w:val="24"/>
          <w:szCs w:val="24"/>
          <w:lang w:eastAsia="zh-CN"/>
        </w:rPr>
        <w:t>。</w:t>
      </w:r>
    </w:p>
    <w:p w14:paraId="6684E01D">
      <w:pPr>
        <w:pStyle w:val="30"/>
        <w:spacing w:beforeAutospacing="0" w:afterAutospacing="0" w:line="360" w:lineRule="auto"/>
        <w:ind w:firstLine="48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7.合同履行期限：</w:t>
      </w:r>
      <w:r>
        <w:rPr>
          <w:rFonts w:hint="eastAsia" w:ascii="宋体" w:hAnsi="宋体" w:eastAsia="宋体" w:cs="宋体"/>
          <w:color w:val="000000"/>
          <w:sz w:val="24"/>
          <w:szCs w:val="24"/>
          <w:lang w:val="en-US" w:eastAsia="zh-CN"/>
        </w:rPr>
        <w:t>30</w:t>
      </w:r>
      <w:bookmarkStart w:id="197" w:name="_GoBack"/>
      <w:r>
        <w:rPr>
          <w:rFonts w:hint="eastAsia" w:ascii="宋体" w:hAnsi="宋体" w:eastAsia="宋体" w:cs="宋体"/>
          <w:color w:val="000000"/>
          <w:sz w:val="24"/>
          <w:szCs w:val="24"/>
          <w:lang w:val="en-US" w:eastAsia="zh-CN"/>
        </w:rPr>
        <w:t>日历天</w:t>
      </w:r>
      <w:bookmarkEnd w:id="197"/>
      <w:r>
        <w:rPr>
          <w:rFonts w:hint="eastAsia" w:ascii="宋体" w:hAnsi="宋体" w:eastAsia="宋体" w:cs="宋体"/>
          <w:color w:val="000000"/>
          <w:sz w:val="24"/>
          <w:szCs w:val="24"/>
          <w:lang w:val="en-US" w:eastAsia="zh-CN"/>
        </w:rPr>
        <w:t>。</w:t>
      </w:r>
    </w:p>
    <w:p w14:paraId="463817F8">
      <w:pPr>
        <w:pStyle w:val="30"/>
        <w:spacing w:beforeAutospacing="0" w:afterAutospacing="0" w:line="360" w:lineRule="auto"/>
        <w:ind w:firstLine="480"/>
        <w:jc w:val="both"/>
        <w:rPr>
          <w:rFonts w:hint="eastAsia" w:ascii="宋体" w:hAnsi="宋体" w:eastAsia="宋体" w:cs="宋体"/>
          <w:color w:val="000000"/>
          <w:sz w:val="24"/>
          <w:szCs w:val="24"/>
          <w:shd w:val="clear" w:color="auto" w:fill="FFFF00"/>
          <w:lang w:eastAsia="zh-CN"/>
        </w:rPr>
      </w:pPr>
      <w:r>
        <w:rPr>
          <w:rFonts w:hint="eastAsia" w:ascii="宋体" w:hAnsi="宋体" w:eastAsia="宋体" w:cs="宋体"/>
          <w:color w:val="333333"/>
          <w:sz w:val="24"/>
          <w:szCs w:val="24"/>
          <w:shd w:val="clear" w:color="auto" w:fill="FFFFFF"/>
        </w:rPr>
        <w:t>8.本项目</w:t>
      </w:r>
      <w:r>
        <w:rPr>
          <w:rFonts w:hint="eastAsia" w:ascii="宋体" w:hAnsi="宋体" w:eastAsia="宋体" w:cs="宋体"/>
          <w:color w:val="333333"/>
          <w:sz w:val="24"/>
          <w:szCs w:val="24"/>
          <w:shd w:val="clear" w:color="auto" w:fill="FFFFFF"/>
          <w:lang w:eastAsia="zh-CN"/>
        </w:rPr>
        <w:t>不</w:t>
      </w:r>
      <w:r>
        <w:rPr>
          <w:rFonts w:hint="eastAsia" w:ascii="宋体" w:hAnsi="宋体" w:eastAsia="宋体" w:cs="宋体"/>
          <w:color w:val="333333"/>
          <w:sz w:val="24"/>
          <w:szCs w:val="24"/>
          <w:shd w:val="clear" w:color="auto" w:fill="FFFFFF"/>
        </w:rPr>
        <w:t>接受联合体</w:t>
      </w:r>
      <w:r>
        <w:rPr>
          <w:rFonts w:hint="eastAsia" w:ascii="宋体" w:hAnsi="宋体" w:eastAsia="宋体" w:cs="宋体"/>
          <w:color w:val="000000"/>
          <w:sz w:val="24"/>
          <w:szCs w:val="24"/>
        </w:rPr>
        <w:t>参与招标</w:t>
      </w:r>
      <w:r>
        <w:rPr>
          <w:rFonts w:hint="eastAsia" w:ascii="宋体" w:hAnsi="宋体" w:eastAsia="宋体" w:cs="宋体"/>
          <w:color w:val="000000"/>
          <w:sz w:val="24"/>
          <w:szCs w:val="24"/>
          <w:lang w:eastAsia="zh-CN"/>
        </w:rPr>
        <w:t>。</w:t>
      </w:r>
    </w:p>
    <w:p w14:paraId="43DCE757">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bookmarkStart w:id="14" w:name="_Toc35393791"/>
      <w:bookmarkStart w:id="15" w:name="_Toc28359080"/>
      <w:bookmarkStart w:id="16" w:name="_Toc28359003"/>
      <w:bookmarkStart w:id="17" w:name="_Toc38985264"/>
      <w:bookmarkStart w:id="18" w:name="_Toc35393622"/>
      <w:r>
        <w:rPr>
          <w:rFonts w:hint="eastAsia" w:ascii="宋体" w:hAnsi="宋体" w:eastAsia="宋体" w:cs="宋体"/>
          <w:b/>
          <w:color w:val="000000"/>
          <w:sz w:val="24"/>
          <w:szCs w:val="24"/>
        </w:rPr>
        <w:t>二、申请人的资格要求：</w:t>
      </w:r>
      <w:bookmarkEnd w:id="14"/>
      <w:bookmarkEnd w:id="15"/>
      <w:bookmarkEnd w:id="16"/>
      <w:bookmarkEnd w:id="17"/>
      <w:bookmarkEnd w:id="18"/>
    </w:p>
    <w:p w14:paraId="09DD0D48">
      <w:pPr>
        <w:pStyle w:val="30"/>
        <w:spacing w:beforeAutospacing="0" w:afterAutospacing="0" w:line="360" w:lineRule="auto"/>
        <w:ind w:firstLine="480"/>
        <w:jc w:val="both"/>
        <w:rPr>
          <w:rFonts w:hint="eastAsia" w:ascii="宋体" w:hAnsi="宋体" w:eastAsia="宋体" w:cs="宋体"/>
          <w:sz w:val="24"/>
          <w:szCs w:val="24"/>
        </w:rPr>
      </w:pPr>
      <w:r>
        <w:rPr>
          <w:rFonts w:hint="eastAsia" w:ascii="宋体" w:hAnsi="宋体" w:eastAsia="宋体" w:cs="宋体"/>
          <w:color w:val="000000"/>
          <w:sz w:val="24"/>
          <w:szCs w:val="24"/>
        </w:rPr>
        <w:t>1.满足《中华人民共和国政府采购法》第二十二条规定，并提供下列材料：</w:t>
      </w:r>
    </w:p>
    <w:p w14:paraId="7EB237E2">
      <w:pPr>
        <w:pStyle w:val="30"/>
        <w:spacing w:beforeAutospacing="0" w:afterAutospacing="0" w:line="360" w:lineRule="auto"/>
        <w:ind w:firstLine="480"/>
        <w:jc w:val="both"/>
        <w:rPr>
          <w:rFonts w:hint="eastAsia" w:ascii="宋体" w:hAnsi="宋体" w:eastAsia="宋体" w:cs="宋体"/>
          <w:sz w:val="24"/>
          <w:szCs w:val="24"/>
        </w:rPr>
      </w:pPr>
      <w:r>
        <w:rPr>
          <w:rFonts w:hint="eastAsia" w:ascii="宋体" w:hAnsi="宋体" w:eastAsia="宋体" w:cs="宋体"/>
          <w:color w:val="000000"/>
          <w:sz w:val="24"/>
          <w:szCs w:val="24"/>
        </w:rPr>
        <w:t>1.1 法人或者其他组织的营业执照等证明文件，自然人的身份证明；</w:t>
      </w:r>
    </w:p>
    <w:p w14:paraId="67F0A1A2">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1.2上一年度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2025年度）</w:t>
      </w:r>
      <w:r>
        <w:rPr>
          <w:rFonts w:hint="eastAsia" w:ascii="宋体" w:hAnsi="宋体" w:eastAsia="宋体" w:cs="宋体"/>
          <w:color w:val="000000"/>
          <w:sz w:val="24"/>
          <w:szCs w:val="24"/>
        </w:rPr>
        <w:t>的财务状况报表（财务报表至少应当包括资产负债表、利润表，成立不满一年无需提供）；</w:t>
      </w:r>
    </w:p>
    <w:p w14:paraId="7A520CC5">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1.3具备履行合同所必需的设备和专业技术能力的书面声明；</w:t>
      </w:r>
    </w:p>
    <w:p w14:paraId="5E6D0F64">
      <w:pPr>
        <w:pStyle w:val="30"/>
        <w:spacing w:beforeAutospacing="0" w:afterAutospacing="0" w:line="360" w:lineRule="auto"/>
        <w:ind w:firstLine="480"/>
        <w:jc w:val="both"/>
        <w:rPr>
          <w:rFonts w:hint="eastAsia" w:ascii="宋体" w:hAnsi="宋体" w:eastAsia="宋体" w:cs="宋体"/>
          <w:sz w:val="24"/>
          <w:szCs w:val="24"/>
        </w:rPr>
      </w:pPr>
      <w:r>
        <w:rPr>
          <w:rFonts w:hint="eastAsia" w:ascii="宋体" w:hAnsi="宋体" w:eastAsia="宋体" w:cs="宋体"/>
          <w:color w:val="000000"/>
          <w:sz w:val="24"/>
          <w:szCs w:val="24"/>
        </w:rPr>
        <w:t>1.4依法缴纳税收和社会保障资金的相关材料（提供提交响应文件截止时间前一年内至少一个月依法缴纳税收及缴纳社会保障资金的证明材料。供应商依法享受缓缴、免缴税收、社会保障资金的提供证明材料；</w:t>
      </w:r>
    </w:p>
    <w:p w14:paraId="30A645E6">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1.5参加政府采购活动前3年内在经营活动中没有重大违法记录的书面声明。</w:t>
      </w:r>
    </w:p>
    <w:p w14:paraId="56AEE00E">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1.6法律、行政法规规定的其他条件。</w:t>
      </w:r>
    </w:p>
    <w:p w14:paraId="7DA51BB5">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1.7在“信用中国”网站（www.creditchina.gov.cn）查询，无被列入失信被执行人、重大税收违法案件当事人名单、政府采购严重失信行为记录名单及其他不符合《中华人民共和国政府采购法》第二十二条规定条件的信用记录。（响应文件中无需提供证明材料）</w:t>
      </w:r>
    </w:p>
    <w:p w14:paraId="42130167">
      <w:pPr>
        <w:pStyle w:val="30"/>
        <w:spacing w:beforeAutospacing="0" w:afterAutospacing="0" w:line="360" w:lineRule="auto"/>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1.8单位负责人为同一人或者存在直接控股、管理关系的不同供应商，不得参加同一合同项下的政府采购活动。</w:t>
      </w:r>
    </w:p>
    <w:p w14:paraId="1D651759">
      <w:pPr>
        <w:pStyle w:val="30"/>
        <w:spacing w:beforeAutospacing="0" w:afterAutospacing="0" w:line="360" w:lineRule="auto"/>
        <w:ind w:firstLine="480"/>
        <w:jc w:val="both"/>
        <w:rPr>
          <w:rFonts w:hint="eastAsia" w:ascii="宋体" w:hAnsi="宋体" w:eastAsia="宋体" w:cs="宋体"/>
          <w:sz w:val="24"/>
          <w:szCs w:val="24"/>
          <w:lang w:val="en-US" w:eastAsia="zh-CN"/>
        </w:rPr>
      </w:pPr>
      <w:r>
        <w:rPr>
          <w:rFonts w:hint="eastAsia" w:ascii="宋体" w:hAnsi="宋体" w:eastAsia="宋体" w:cs="宋体"/>
          <w:color w:val="000000"/>
          <w:sz w:val="24"/>
          <w:szCs w:val="24"/>
        </w:rPr>
        <w:t>2.落实政府采购政策需满足的资格要求：</w:t>
      </w:r>
      <w:r>
        <w:rPr>
          <w:rFonts w:hint="eastAsia" w:ascii="宋体" w:hAnsi="宋体" w:eastAsia="宋体" w:cs="宋体"/>
          <w:color w:val="000000"/>
          <w:sz w:val="24"/>
          <w:szCs w:val="24"/>
          <w:lang w:val="en-US" w:eastAsia="zh-CN"/>
        </w:rPr>
        <w:t>无</w:t>
      </w:r>
    </w:p>
    <w:p w14:paraId="4B4CB211">
      <w:pPr>
        <w:numPr>
          <w:ilvl w:val="0"/>
          <w:numId w:val="0"/>
        </w:numPr>
        <w:spacing w:line="360" w:lineRule="auto"/>
        <w:ind w:firstLine="480" w:firstLineChars="0"/>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w:t>
      </w:r>
      <w:r>
        <w:rPr>
          <w:rFonts w:hint="eastAsia" w:ascii="宋体" w:hAnsi="宋体" w:eastAsia="宋体" w:cs="宋体"/>
          <w:color w:val="000000"/>
          <w:sz w:val="24"/>
          <w:szCs w:val="24"/>
        </w:rPr>
        <w:t>本项目的特定资格要求：</w:t>
      </w:r>
      <w:r>
        <w:rPr>
          <w:rFonts w:hint="eastAsia" w:ascii="宋体" w:hAnsi="宋体" w:eastAsia="宋体" w:cs="宋体"/>
          <w:color w:val="000000"/>
          <w:sz w:val="24"/>
          <w:szCs w:val="24"/>
          <w:lang w:val="en-US" w:eastAsia="zh-CN"/>
        </w:rPr>
        <w:t>无</w:t>
      </w:r>
      <w:r>
        <w:rPr>
          <w:rFonts w:hint="eastAsia" w:ascii="宋体" w:hAnsi="宋体" w:eastAsia="宋体" w:cs="宋体"/>
          <w:sz w:val="24"/>
          <w:szCs w:val="24"/>
          <w:lang w:val="en-US" w:eastAsia="zh-CN" w:bidi="ar-SA"/>
        </w:rPr>
        <w:t>。</w:t>
      </w:r>
    </w:p>
    <w:p w14:paraId="2217F5ED">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r>
        <w:rPr>
          <w:rFonts w:hint="eastAsia" w:ascii="宋体" w:hAnsi="宋体" w:eastAsia="宋体" w:cs="宋体"/>
          <w:b/>
          <w:color w:val="000000"/>
          <w:sz w:val="24"/>
          <w:szCs w:val="24"/>
        </w:rPr>
        <w:t>三、获取招标文件</w:t>
      </w:r>
    </w:p>
    <w:p w14:paraId="100047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宋体" w:hAnsi="宋体" w:eastAsia="宋体" w:cs="宋体"/>
          <w:color w:val="333333"/>
          <w:sz w:val="24"/>
          <w:szCs w:val="24"/>
          <w:shd w:val="clear" w:color="auto" w:fill="FFFFFF"/>
          <w:lang w:val="en-US" w:eastAsia="zh-CN" w:bidi="ar-SA"/>
        </w:rPr>
      </w:pPr>
      <w:bookmarkStart w:id="19" w:name="_Toc38985266"/>
      <w:r>
        <w:rPr>
          <w:rFonts w:hint="eastAsia" w:ascii="宋体" w:hAnsi="宋体" w:eastAsia="宋体" w:cs="宋体"/>
          <w:color w:val="333333"/>
          <w:sz w:val="24"/>
          <w:szCs w:val="24"/>
          <w:shd w:val="clear" w:color="auto" w:fill="FFFFFF"/>
          <w:lang w:val="en-US" w:eastAsia="zh-CN" w:bidi="ar-SA"/>
        </w:rPr>
        <w:t>1.时间：</w:t>
      </w:r>
      <w:bookmarkEnd w:id="19"/>
      <w:r>
        <w:rPr>
          <w:rFonts w:hint="eastAsia" w:ascii="宋体" w:hAnsi="宋体" w:eastAsia="宋体" w:cs="宋体"/>
          <w:color w:val="333333"/>
          <w:sz w:val="24"/>
          <w:szCs w:val="24"/>
          <w:shd w:val="clear" w:color="auto" w:fill="FFFFFF"/>
          <w:lang w:val="en-US" w:eastAsia="zh-CN" w:bidi="ar-SA"/>
        </w:rPr>
        <w:t>自招标文件公告发布之日起5个工作日。</w:t>
      </w:r>
    </w:p>
    <w:p w14:paraId="2799B4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2.地点：</w:t>
      </w:r>
      <w:bookmarkStart w:id="20" w:name="OLE_LINK130"/>
      <w:r>
        <w:rPr>
          <w:rFonts w:hint="eastAsia" w:ascii="宋体" w:hAnsi="宋体" w:eastAsia="宋体" w:cs="宋体"/>
          <w:color w:val="333333"/>
          <w:sz w:val="24"/>
          <w:szCs w:val="24"/>
          <w:shd w:val="clear" w:color="auto" w:fill="FFFFFF"/>
          <w:lang w:val="en-US" w:eastAsia="zh-CN" w:bidi="ar-SA"/>
        </w:rPr>
        <w:t>“苏采云”系统内免费下载（投标人必须在苏采云系统中获取采购文件，方能参与政府采购项目）</w:t>
      </w:r>
      <w:bookmarkEnd w:id="20"/>
    </w:p>
    <w:p w14:paraId="66C228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3.方式：</w:t>
      </w:r>
      <w:bookmarkStart w:id="21" w:name="OLE_LINK131"/>
      <w:r>
        <w:rPr>
          <w:rFonts w:hint="eastAsia" w:ascii="宋体" w:hAnsi="宋体" w:eastAsia="宋体" w:cs="宋体"/>
          <w:color w:val="333333"/>
          <w:sz w:val="24"/>
          <w:szCs w:val="24"/>
          <w:shd w:val="clear" w:color="auto" w:fill="FFFFFF"/>
          <w:lang w:val="en-US" w:eastAsia="zh-CN" w:bidi="ar-SA"/>
        </w:rPr>
        <w:t xml:space="preserve">本项目采用网上注册登记方式。 </w:t>
      </w:r>
      <w:bookmarkEnd w:id="21"/>
    </w:p>
    <w:p w14:paraId="27A867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4.售价：0元。</w:t>
      </w:r>
    </w:p>
    <w:p w14:paraId="0EC7FFF6">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r>
        <w:rPr>
          <w:rFonts w:hint="eastAsia" w:ascii="宋体" w:hAnsi="宋体" w:eastAsia="宋体" w:cs="宋体"/>
          <w:b/>
          <w:color w:val="000000"/>
          <w:sz w:val="24"/>
          <w:szCs w:val="24"/>
        </w:rPr>
        <w:t>四、提交投标文件截止时间、开标时间和地点</w:t>
      </w:r>
    </w:p>
    <w:p w14:paraId="6FCEA9A4">
      <w:pPr>
        <w:pStyle w:val="30"/>
        <w:widowControl/>
        <w:shd w:val="clear" w:color="auto" w:fill="FFFFFF"/>
        <w:spacing w:beforeAutospacing="0" w:afterAutospacing="0" w:line="360" w:lineRule="auto"/>
        <w:ind w:firstLine="540"/>
        <w:jc w:val="both"/>
        <w:rPr>
          <w:rFonts w:hint="eastAsia" w:ascii="宋体" w:hAnsi="宋体" w:eastAsia="宋体" w:cs="宋体"/>
          <w:sz w:val="24"/>
          <w:szCs w:val="24"/>
          <w:lang w:val="en-US" w:eastAsia="zh-CN"/>
        </w:rPr>
      </w:pPr>
      <w:r>
        <w:rPr>
          <w:rFonts w:hint="eastAsia" w:ascii="宋体" w:hAnsi="宋体" w:eastAsia="宋体" w:cs="宋体"/>
          <w:color w:val="000000"/>
          <w:sz w:val="24"/>
          <w:szCs w:val="24"/>
        </w:rPr>
        <w:t>1.时间：</w:t>
      </w:r>
      <w:r>
        <w:rPr>
          <w:rFonts w:hint="eastAsia" w:ascii="宋体" w:hAnsi="宋体" w:eastAsia="宋体" w:cs="宋体"/>
          <w:color w:val="auto"/>
          <w:sz w:val="24"/>
          <w:szCs w:val="24"/>
          <w:u w:val="single"/>
          <w:shd w:val="clear" w:color="auto" w:fill="FFFFFF"/>
          <w:lang w:val="en-US" w:eastAsia="zh-CN"/>
        </w:rPr>
        <w:t>2026</w:t>
      </w:r>
      <w:r>
        <w:rPr>
          <w:rFonts w:hint="eastAsia" w:ascii="宋体" w:hAnsi="宋体" w:eastAsia="宋体" w:cs="宋体"/>
          <w:color w:val="auto"/>
          <w:sz w:val="24"/>
          <w:szCs w:val="24"/>
          <w:u w:val="single"/>
          <w:shd w:val="clear" w:color="auto" w:fill="FFFFFF"/>
        </w:rPr>
        <w:t>年</w:t>
      </w:r>
      <w:r>
        <w:rPr>
          <w:rFonts w:hint="eastAsia" w:ascii="宋体" w:hAnsi="宋体" w:eastAsia="宋体" w:cs="宋体"/>
          <w:color w:val="auto"/>
          <w:sz w:val="24"/>
          <w:szCs w:val="24"/>
          <w:u w:val="single"/>
          <w:shd w:val="clear" w:color="auto" w:fill="FFFFFF"/>
          <w:lang w:val="en-US" w:eastAsia="zh-CN"/>
        </w:rPr>
        <w:t>11</w:t>
      </w:r>
      <w:r>
        <w:rPr>
          <w:rFonts w:hint="eastAsia" w:ascii="宋体" w:hAnsi="宋体" w:eastAsia="宋体" w:cs="宋体"/>
          <w:color w:val="auto"/>
          <w:sz w:val="24"/>
          <w:szCs w:val="24"/>
          <w:u w:val="single"/>
          <w:shd w:val="clear" w:color="auto" w:fill="FFFFFF"/>
        </w:rPr>
        <w:t>月</w:t>
      </w:r>
      <w:r>
        <w:rPr>
          <w:rFonts w:hint="eastAsia" w:ascii="宋体" w:hAnsi="宋体" w:eastAsia="宋体" w:cs="宋体"/>
          <w:color w:val="auto"/>
          <w:sz w:val="24"/>
          <w:szCs w:val="24"/>
          <w:u w:val="single"/>
          <w:shd w:val="clear" w:color="auto" w:fill="FFFFFF"/>
          <w:lang w:val="en-US" w:eastAsia="zh-CN"/>
        </w:rPr>
        <w:t>10</w:t>
      </w:r>
      <w:r>
        <w:rPr>
          <w:rFonts w:hint="eastAsia" w:ascii="宋体" w:hAnsi="宋体" w:eastAsia="宋体" w:cs="宋体"/>
          <w:color w:val="auto"/>
          <w:sz w:val="24"/>
          <w:szCs w:val="24"/>
          <w:u w:val="single"/>
          <w:shd w:val="clear" w:color="auto" w:fill="FFFFFF"/>
        </w:rPr>
        <w:t>日</w:t>
      </w:r>
      <w:r>
        <w:rPr>
          <w:rFonts w:hint="eastAsia" w:ascii="宋体" w:hAnsi="宋体" w:eastAsia="宋体" w:cs="宋体"/>
          <w:color w:val="auto"/>
          <w:sz w:val="24"/>
          <w:szCs w:val="24"/>
          <w:u w:val="single"/>
          <w:shd w:val="clear" w:color="auto" w:fill="FFFFFF"/>
          <w:lang w:val="en-US" w:eastAsia="zh-CN"/>
        </w:rPr>
        <w:t>9:00（北京时间）</w:t>
      </w:r>
    </w:p>
    <w:p w14:paraId="746BA0DC">
      <w:pPr>
        <w:pStyle w:val="30"/>
        <w:spacing w:beforeAutospacing="0" w:afterAutospacing="0" w:line="360" w:lineRule="auto"/>
        <w:ind w:firstLine="480"/>
        <w:jc w:val="both"/>
        <w:rPr>
          <w:rFonts w:hint="eastAsia" w:ascii="宋体" w:hAnsi="宋体" w:eastAsia="宋体" w:cs="宋体"/>
          <w:sz w:val="24"/>
          <w:szCs w:val="24"/>
        </w:rPr>
      </w:pPr>
      <w:r>
        <w:rPr>
          <w:rFonts w:hint="eastAsia" w:ascii="宋体" w:hAnsi="宋体" w:eastAsia="宋体" w:cs="宋体"/>
          <w:color w:val="000000"/>
          <w:sz w:val="24"/>
          <w:szCs w:val="24"/>
        </w:rPr>
        <w:t>2.地点：</w:t>
      </w:r>
      <w:r>
        <w:rPr>
          <w:rFonts w:hint="eastAsia" w:ascii="宋体" w:hAnsi="宋体" w:eastAsia="宋体" w:cs="宋体"/>
          <w:b w:val="0"/>
          <w:bCs/>
          <w:position w:val="0"/>
          <w:sz w:val="24"/>
          <w:szCs w:val="24"/>
          <w:highlight w:val="none"/>
        </w:rPr>
        <w:t>苏采云“不见面”开标大厅</w:t>
      </w:r>
      <w:r>
        <w:rPr>
          <w:rFonts w:hint="eastAsia" w:ascii="宋体" w:hAnsi="宋体" w:eastAsia="宋体" w:cs="宋体"/>
          <w:color w:val="FF0000"/>
          <w:sz w:val="24"/>
          <w:szCs w:val="24"/>
        </w:rPr>
        <w:t>。</w:t>
      </w:r>
    </w:p>
    <w:p w14:paraId="6832DCB7">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bookmarkStart w:id="22" w:name="_Toc38985267"/>
      <w:bookmarkStart w:id="23" w:name="_Toc35393625"/>
      <w:bookmarkStart w:id="24" w:name="_Toc35393794"/>
      <w:bookmarkStart w:id="25" w:name="_Toc28359007"/>
      <w:bookmarkStart w:id="26" w:name="_Toc28359084"/>
      <w:r>
        <w:rPr>
          <w:rFonts w:hint="eastAsia" w:ascii="宋体" w:hAnsi="宋体" w:eastAsia="宋体" w:cs="宋体"/>
          <w:b/>
          <w:color w:val="000000"/>
          <w:sz w:val="24"/>
          <w:szCs w:val="24"/>
        </w:rPr>
        <w:t>五、公告期限</w:t>
      </w:r>
      <w:bookmarkEnd w:id="22"/>
      <w:bookmarkEnd w:id="23"/>
      <w:bookmarkEnd w:id="24"/>
      <w:bookmarkEnd w:id="25"/>
      <w:bookmarkEnd w:id="26"/>
    </w:p>
    <w:p w14:paraId="75839D29">
      <w:pPr>
        <w:pStyle w:val="30"/>
        <w:widowControl/>
        <w:shd w:val="clear" w:color="auto" w:fill="FFFFFF"/>
        <w:spacing w:beforeAutospacing="0" w:afterAutospacing="0" w:line="360" w:lineRule="auto"/>
        <w:ind w:firstLine="560"/>
        <w:jc w:val="both"/>
        <w:rPr>
          <w:rFonts w:hint="eastAsia" w:ascii="宋体" w:hAnsi="宋体" w:eastAsia="宋体" w:cs="宋体"/>
          <w:color w:val="333333"/>
          <w:sz w:val="24"/>
          <w:szCs w:val="24"/>
          <w:shd w:val="clear" w:color="auto" w:fill="FFFFFF"/>
        </w:rPr>
      </w:pPr>
      <w:bookmarkStart w:id="27" w:name="_Toc38985268"/>
      <w:bookmarkStart w:id="28" w:name="_Toc35393626"/>
      <w:bookmarkStart w:id="29" w:name="_Toc35393795"/>
      <w:r>
        <w:rPr>
          <w:rFonts w:hint="eastAsia" w:ascii="宋体" w:hAnsi="宋体" w:eastAsia="宋体" w:cs="宋体"/>
          <w:color w:val="333333"/>
          <w:sz w:val="24"/>
          <w:szCs w:val="24"/>
          <w:shd w:val="clear" w:color="auto" w:fill="FFFFFF"/>
        </w:rPr>
        <w:t>自本公告发布之日起5个工作日。</w:t>
      </w:r>
      <w:bookmarkEnd w:id="27"/>
      <w:bookmarkEnd w:id="28"/>
      <w:bookmarkEnd w:id="29"/>
    </w:p>
    <w:p w14:paraId="3ADD7C49">
      <w:pPr>
        <w:pStyle w:val="30"/>
        <w:keepNext/>
        <w:keepLines/>
        <w:spacing w:before="145" w:beforeAutospacing="0" w:after="145" w:afterAutospacing="0" w:line="360" w:lineRule="auto"/>
        <w:ind w:firstLine="498"/>
        <w:jc w:val="both"/>
        <w:rPr>
          <w:rFonts w:hint="eastAsia" w:ascii="宋体" w:hAnsi="宋体" w:eastAsia="宋体" w:cs="宋体"/>
          <w:sz w:val="24"/>
          <w:szCs w:val="24"/>
        </w:rPr>
      </w:pPr>
      <w:r>
        <w:rPr>
          <w:rFonts w:hint="eastAsia" w:ascii="宋体" w:hAnsi="宋体" w:eastAsia="宋体" w:cs="宋体"/>
          <w:b/>
          <w:color w:val="000000"/>
          <w:sz w:val="24"/>
          <w:szCs w:val="24"/>
        </w:rPr>
        <w:t>六、其他补充事宜</w:t>
      </w:r>
    </w:p>
    <w:p w14:paraId="582BE856">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bookmarkStart w:id="30" w:name="OLE_LINK114"/>
      <w:bookmarkStart w:id="31" w:name="OLE_LINK113"/>
      <w:bookmarkStart w:id="32" w:name="_Toc28359018"/>
      <w:r>
        <w:rPr>
          <w:rFonts w:hint="eastAsia" w:ascii="宋体" w:hAnsi="宋体" w:eastAsia="宋体" w:cs="宋体"/>
          <w:b w:val="0"/>
          <w:bCs/>
          <w:color w:val="000000" w:themeColor="text1"/>
          <w:sz w:val="24"/>
          <w:szCs w:val="24"/>
          <w:shd w:val="clear" w:color="auto" w:fill="FFFFFF"/>
          <w14:textFill>
            <w14:solidFill>
              <w14:schemeClr w14:val="tx1"/>
            </w14:solidFill>
          </w14:textFill>
        </w:rPr>
        <w:t>1.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人通过苏采云系统参与政府采购项目，需要更换CA数字证书和电子签章。具体办理指南和操作手册：在盐城市政府采购网点击【办事指南】-【供应商参与政府采购活动相关资料】。</w:t>
      </w:r>
    </w:p>
    <w:p w14:paraId="277D0815">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领取CA和办理电子签章（请至盐城市盐都区府西路1号四楼盐城市公共资源交易中心办理，联系电话：15051556883，办理邮箱：yancheng@ideabank.net.cn，具体联系方式见《苏采云系统供应商操作手册》（以下简称《操作手册》））、进行注册并按《操作手册》要求制作、上传电子投标文件,《苏采云系统供应商操作手册》：在盐城市政府采购网点击【办事指南】-【供应商参与政府采购活动相关资料】。</w:t>
      </w:r>
    </w:p>
    <w:p w14:paraId="02ABC322">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2.潜在供应商访问电子招标响应交易平台的网络地址和方法： </w:t>
      </w:r>
    </w:p>
    <w:p w14:paraId="126996FE">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2.1“苏采云”系统用户注册--获取“CA 数字证书”--CA 绑定与登录--参与投 标--下载采购文件（后缀名为“.kedt”）--将后缀名为“.kedt”的采购文件导入政府采购客户端工具--制作响应文件--导出加密的响应文件（后缀名为 zip）--通过“苏采云”系统上传响应文件。具体见《“苏采云”系统供应商操作手册》 （手册下载地址：苏采云系统-右侧消息通知栏）。 </w:t>
      </w:r>
    </w:p>
    <w:p w14:paraId="77D2451F">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2.2 潜在投标人访问“苏采云”系统方法：江苏省政府采购网首页-“苏采云”链接。 </w:t>
      </w:r>
    </w:p>
    <w:p w14:paraId="58B2A59B">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2.3 采购文件（后缀名为“.kedt”）、供应商操作手册及政府采购客户端 工具可通过“苏采云”系统相应链接进行下载。 </w:t>
      </w:r>
    </w:p>
    <w:p w14:paraId="58880226">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2.4 采购代理机构将数据电文形式的采购文件加载至“苏采云”系统，供潜在供应商下载或者查阅。 </w:t>
      </w:r>
    </w:p>
    <w:p w14:paraId="74C759A6">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 xml:space="preserve">2.5 请潜在投标单位提前安装相应的控件（详见《“苏采云”系统供应商操作手册》）并使用谷歌浏览器登录“苏采云”系统参与不见面开评标。 </w:t>
      </w:r>
    </w:p>
    <w:p w14:paraId="1EC71A16">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如潜在投标人未按上述要求操作，将自行承担所产生的风险。</w:t>
      </w:r>
    </w:p>
    <w:p w14:paraId="57407D4E">
      <w:pPr>
        <w:pStyle w:val="30"/>
        <w:keepNext w:val="0"/>
        <w:keepLines w:val="0"/>
        <w:pageBreakBefore w:val="0"/>
        <w:widowControl w:val="0"/>
        <w:shd w:val="clear" w:color="auto" w:fill="FFFFFF"/>
        <w:kinsoku/>
        <w:wordWrap/>
        <w:overflowPunct/>
        <w:topLinePunct w:val="0"/>
        <w:bidi w:val="0"/>
        <w:spacing w:beforeAutospacing="0" w:afterAutospacing="0" w:line="360" w:lineRule="auto"/>
        <w:ind w:firstLine="480" w:firstLineChars="200"/>
        <w:rPr>
          <w:rFonts w:hint="eastAsia" w:ascii="宋体" w:hAnsi="宋体" w:eastAsia="宋体" w:cs="宋体"/>
          <w:b w:val="0"/>
          <w:bCs/>
          <w:color w:val="000000" w:themeColor="text1"/>
          <w:sz w:val="24"/>
          <w:szCs w:val="24"/>
          <w:shd w:val="clear" w:color="auto" w:fill="FFFFFF"/>
          <w14:textFill>
            <w14:solidFill>
              <w14:schemeClr w14:val="tx1"/>
            </w14:solidFill>
          </w14:textFill>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3.有关本次招标的事项若存在变动或修改，敬请及时关注采购人及采购代理机构在“中国政府采购网”、“江苏政府采购网”、“盐城市政府采购网”、“阜宁县公共资源电子化服务平台”发布的更正公告。</w:t>
      </w:r>
    </w:p>
    <w:p w14:paraId="3CA6D2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 w:val="0"/>
          <w:bCs/>
          <w:position w:val="0"/>
          <w:sz w:val="24"/>
          <w:szCs w:val="24"/>
          <w:highlight w:val="none"/>
        </w:rPr>
      </w:pPr>
      <w:r>
        <w:rPr>
          <w:rFonts w:hint="eastAsia" w:ascii="宋体" w:hAnsi="宋体" w:eastAsia="宋体" w:cs="宋体"/>
          <w:b w:val="0"/>
          <w:bCs/>
          <w:color w:val="000000" w:themeColor="text1"/>
          <w:sz w:val="24"/>
          <w:szCs w:val="24"/>
          <w:shd w:val="clear" w:color="auto" w:fill="FFFFFF"/>
          <w14:textFill>
            <w14:solidFill>
              <w14:schemeClr w14:val="tx1"/>
            </w14:solidFill>
          </w14:textFill>
        </w:rPr>
        <w:t>4.本次招标不收取投标保证金，不收取质量保证金。</w:t>
      </w:r>
      <w:bookmarkEnd w:id="30"/>
      <w:bookmarkEnd w:id="31"/>
    </w:p>
    <w:p w14:paraId="46D23643">
      <w:pPr>
        <w:pStyle w:val="3"/>
        <w:widowControl/>
        <w:shd w:val="clear" w:color="auto" w:fill="FFFFFF"/>
        <w:spacing w:beforeAutospacing="0" w:afterAutospacing="0" w:line="360" w:lineRule="auto"/>
        <w:ind w:firstLine="480"/>
        <w:jc w:val="both"/>
        <w:rPr>
          <w:rFonts w:hint="eastAsia" w:ascii="宋体" w:hAnsi="宋体" w:eastAsia="宋体" w:cs="宋体"/>
          <w:b w:val="0"/>
          <w:bCs w:val="0"/>
          <w:color w:val="333333"/>
          <w:sz w:val="24"/>
          <w:szCs w:val="24"/>
        </w:rPr>
      </w:pPr>
      <w:r>
        <w:rPr>
          <w:rFonts w:hint="eastAsia" w:ascii="宋体" w:hAnsi="宋体" w:eastAsia="宋体" w:cs="宋体"/>
          <w:b w:val="0"/>
          <w:bCs w:val="0"/>
          <w:color w:val="333333"/>
          <w:sz w:val="24"/>
          <w:szCs w:val="24"/>
          <w:shd w:val="clear" w:color="auto" w:fill="FFFFFF"/>
        </w:rPr>
        <w:t>七、对本次招标提出询问，请按以下方式联系。</w:t>
      </w:r>
      <w:bookmarkEnd w:id="32"/>
    </w:p>
    <w:p w14:paraId="43B11AFA">
      <w:pPr>
        <w:pStyle w:val="30"/>
        <w:widowControl/>
        <w:shd w:val="clear" w:color="auto" w:fill="FFFFFF"/>
        <w:spacing w:beforeAutospacing="0" w:afterAutospacing="0" w:line="360" w:lineRule="auto"/>
        <w:ind w:firstLine="560"/>
        <w:jc w:val="both"/>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1.采购人信息</w:t>
      </w:r>
    </w:p>
    <w:p w14:paraId="17217A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名 称：阜宁县芦蒲镇人民政府</w:t>
      </w:r>
    </w:p>
    <w:p w14:paraId="058DDF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地址：阜宁县芦蒲镇　</w:t>
      </w:r>
    </w:p>
    <w:p w14:paraId="07E962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联系人：陈尚兴</w:t>
      </w:r>
    </w:p>
    <w:p w14:paraId="028FABDB">
      <w:pPr>
        <w:pStyle w:val="30"/>
        <w:widowControl/>
        <w:shd w:val="clear" w:color="auto" w:fill="FFFFFF"/>
        <w:spacing w:beforeAutospacing="0" w:afterAutospacing="0" w:line="360" w:lineRule="auto"/>
        <w:ind w:firstLine="480" w:firstLineChars="200"/>
        <w:jc w:val="both"/>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lang w:val="en-US" w:eastAsia="zh-CN" w:bidi="ar-SA"/>
        </w:rPr>
        <w:t xml:space="preserve">联系方式：15358218172     </w:t>
      </w:r>
      <w:r>
        <w:rPr>
          <w:rFonts w:hint="eastAsia" w:ascii="宋体" w:hAnsi="宋体" w:eastAsia="宋体" w:cs="宋体"/>
          <w:color w:val="333333"/>
          <w:sz w:val="24"/>
          <w:szCs w:val="24"/>
          <w:shd w:val="clear" w:color="auto" w:fill="FFFFFF"/>
        </w:rPr>
        <w:t xml:space="preserve">      </w:t>
      </w:r>
    </w:p>
    <w:p w14:paraId="308214B3">
      <w:pPr>
        <w:pStyle w:val="30"/>
        <w:widowControl/>
        <w:shd w:val="clear" w:color="auto" w:fill="FFFFFF"/>
        <w:spacing w:beforeAutospacing="0" w:afterAutospacing="0" w:line="360" w:lineRule="auto"/>
        <w:ind w:firstLine="560"/>
        <w:jc w:val="both"/>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rPr>
        <w:t>2.采购代理机构信息</w:t>
      </w:r>
    </w:p>
    <w:p w14:paraId="0877FD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名 称：盐城舜翔工程咨询管理有限公司　</w:t>
      </w:r>
    </w:p>
    <w:p w14:paraId="32FB98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地　址：阜宁县无锡路 126 号　</w:t>
      </w:r>
    </w:p>
    <w:p w14:paraId="046761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联系人：刘舒琪</w:t>
      </w:r>
    </w:p>
    <w:p w14:paraId="78D8E8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rPr>
      </w:pPr>
      <w:r>
        <w:rPr>
          <w:rFonts w:hint="eastAsia" w:ascii="宋体" w:hAnsi="宋体" w:eastAsia="宋体" w:cs="宋体"/>
          <w:color w:val="333333"/>
          <w:sz w:val="24"/>
          <w:szCs w:val="24"/>
          <w:shd w:val="clear" w:color="auto" w:fill="FFFFFF"/>
          <w:lang w:val="en-US" w:eastAsia="zh-CN" w:bidi="ar-SA"/>
        </w:rPr>
        <w:t>联系方式：13914654179　　</w:t>
      </w:r>
      <w:r>
        <w:rPr>
          <w:rFonts w:hint="eastAsia" w:ascii="宋体" w:hAnsi="宋体" w:eastAsia="宋体" w:cs="宋体"/>
          <w:color w:val="333333"/>
          <w:sz w:val="24"/>
          <w:szCs w:val="24"/>
          <w:shd w:val="clear" w:color="auto" w:fill="FFFFFF"/>
        </w:rPr>
        <w:t>　　　　　　　</w:t>
      </w:r>
    </w:p>
    <w:p w14:paraId="253774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3.项目联系方式</w:t>
      </w:r>
    </w:p>
    <w:p w14:paraId="153BEB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 xml:space="preserve">项目联系人：陈尚兴、刘舒琪   </w:t>
      </w:r>
    </w:p>
    <w:p w14:paraId="0CA663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333333"/>
          <w:sz w:val="24"/>
          <w:szCs w:val="24"/>
          <w:shd w:val="clear" w:color="auto" w:fill="FFFFFF"/>
          <w:lang w:val="en-US" w:eastAsia="zh-CN" w:bidi="ar-SA"/>
        </w:rPr>
      </w:pPr>
      <w:r>
        <w:rPr>
          <w:rFonts w:hint="eastAsia" w:ascii="宋体" w:hAnsi="宋体" w:eastAsia="宋体" w:cs="宋体"/>
          <w:color w:val="333333"/>
          <w:sz w:val="24"/>
          <w:szCs w:val="24"/>
          <w:shd w:val="clear" w:color="auto" w:fill="FFFFFF"/>
          <w:lang w:val="en-US" w:eastAsia="zh-CN" w:bidi="ar-SA"/>
        </w:rPr>
        <w:t>电话：13914654179</w:t>
      </w:r>
    </w:p>
    <w:p w14:paraId="22B75022">
      <w:pPr>
        <w:spacing w:line="360" w:lineRule="auto"/>
        <w:jc w:val="center"/>
        <w:rPr>
          <w:rFonts w:hint="eastAsia" w:asciiTheme="minorEastAsia" w:hAnsiTheme="minorEastAsia" w:eastAsiaTheme="minorEastAsia" w:cstheme="minorEastAsia"/>
          <w:sz w:val="36"/>
          <w:szCs w:val="36"/>
        </w:rPr>
      </w:pPr>
    </w:p>
    <w:p w14:paraId="470801C6">
      <w:pPr>
        <w:spacing w:line="360" w:lineRule="auto"/>
        <w:jc w:val="center"/>
        <w:rPr>
          <w:rFonts w:hint="eastAsia" w:asciiTheme="minorEastAsia" w:hAnsiTheme="minorEastAsia" w:eastAsiaTheme="minorEastAsia" w:cstheme="minorEastAsia"/>
          <w:sz w:val="36"/>
          <w:szCs w:val="36"/>
        </w:rPr>
      </w:pPr>
    </w:p>
    <w:p w14:paraId="5F2DCF1A">
      <w:pPr>
        <w:spacing w:line="360" w:lineRule="auto"/>
        <w:jc w:val="center"/>
        <w:rPr>
          <w:rFonts w:hint="eastAsia" w:asciiTheme="minorEastAsia" w:hAnsiTheme="minorEastAsia" w:eastAsiaTheme="minorEastAsia" w:cstheme="minorEastAsia"/>
          <w:sz w:val="36"/>
          <w:szCs w:val="36"/>
        </w:rPr>
      </w:pPr>
    </w:p>
    <w:p w14:paraId="59313116">
      <w:pPr>
        <w:spacing w:line="360" w:lineRule="auto"/>
        <w:jc w:val="center"/>
        <w:rPr>
          <w:rFonts w:hint="eastAsia" w:asciiTheme="minorEastAsia" w:hAnsiTheme="minorEastAsia" w:eastAsiaTheme="minorEastAsia" w:cstheme="minorEastAsia"/>
          <w:sz w:val="36"/>
          <w:szCs w:val="36"/>
        </w:rPr>
      </w:pPr>
    </w:p>
    <w:p w14:paraId="1DC9DB87">
      <w:pPr>
        <w:spacing w:line="360" w:lineRule="auto"/>
        <w:jc w:val="center"/>
        <w:rPr>
          <w:rFonts w:hint="eastAsia" w:asciiTheme="minorEastAsia" w:hAnsiTheme="minorEastAsia" w:eastAsiaTheme="minorEastAsia" w:cstheme="minorEastAsia"/>
          <w:sz w:val="36"/>
          <w:szCs w:val="36"/>
        </w:rPr>
      </w:pPr>
    </w:p>
    <w:p w14:paraId="38E99566">
      <w:pPr>
        <w:spacing w:line="360" w:lineRule="auto"/>
        <w:jc w:val="center"/>
        <w:rPr>
          <w:rFonts w:hint="eastAsia" w:asciiTheme="minorEastAsia" w:hAnsiTheme="minorEastAsia" w:eastAsiaTheme="minorEastAsia" w:cstheme="minorEastAsia"/>
          <w:sz w:val="36"/>
          <w:szCs w:val="36"/>
        </w:rPr>
      </w:pPr>
    </w:p>
    <w:p w14:paraId="57B869C1">
      <w:pPr>
        <w:spacing w:line="360" w:lineRule="auto"/>
        <w:jc w:val="center"/>
        <w:rPr>
          <w:rFonts w:hint="eastAsia" w:asciiTheme="minorEastAsia" w:hAnsiTheme="minorEastAsia" w:eastAsiaTheme="minorEastAsia" w:cstheme="minorEastAsia"/>
          <w:sz w:val="36"/>
          <w:szCs w:val="36"/>
        </w:rPr>
      </w:pPr>
    </w:p>
    <w:p w14:paraId="3B3ED3D3">
      <w:pPr>
        <w:spacing w:line="360" w:lineRule="auto"/>
        <w:jc w:val="center"/>
        <w:rPr>
          <w:rFonts w:hint="eastAsia" w:asciiTheme="minorEastAsia" w:hAnsiTheme="minorEastAsia" w:eastAsiaTheme="minorEastAsia" w:cstheme="minorEastAsia"/>
          <w:sz w:val="36"/>
          <w:szCs w:val="36"/>
        </w:rPr>
      </w:pPr>
    </w:p>
    <w:p w14:paraId="1EB0152A">
      <w:pPr>
        <w:spacing w:line="360" w:lineRule="auto"/>
        <w:jc w:val="center"/>
        <w:rPr>
          <w:rFonts w:hint="eastAsia" w:asciiTheme="minorEastAsia" w:hAnsiTheme="minorEastAsia" w:eastAsiaTheme="minorEastAsia" w:cstheme="minorEastAsia"/>
          <w:sz w:val="36"/>
          <w:szCs w:val="36"/>
        </w:rPr>
      </w:pPr>
    </w:p>
    <w:p w14:paraId="4A0B06D0">
      <w:pPr>
        <w:spacing w:line="360" w:lineRule="auto"/>
        <w:jc w:val="center"/>
        <w:rPr>
          <w:rFonts w:hint="eastAsia" w:asciiTheme="minorEastAsia" w:hAnsiTheme="minorEastAsia" w:eastAsiaTheme="minorEastAsia" w:cstheme="minorEastAsia"/>
          <w:sz w:val="36"/>
          <w:szCs w:val="36"/>
        </w:rPr>
      </w:pPr>
    </w:p>
    <w:p w14:paraId="76A4FAA4">
      <w:pPr>
        <w:spacing w:line="360" w:lineRule="auto"/>
        <w:jc w:val="center"/>
        <w:rPr>
          <w:rFonts w:hint="eastAsia" w:asciiTheme="minorEastAsia" w:hAnsiTheme="minorEastAsia" w:eastAsiaTheme="minorEastAsia" w:cstheme="minorEastAsia"/>
          <w:sz w:val="36"/>
          <w:szCs w:val="36"/>
        </w:rPr>
      </w:pPr>
    </w:p>
    <w:p w14:paraId="341D6E80">
      <w:pPr>
        <w:spacing w:line="360" w:lineRule="auto"/>
        <w:jc w:val="center"/>
        <w:rPr>
          <w:rFonts w:hint="eastAsia" w:asciiTheme="minorEastAsia" w:hAnsiTheme="minorEastAsia" w:eastAsiaTheme="minorEastAsia" w:cstheme="minorEastAsia"/>
          <w:sz w:val="36"/>
          <w:szCs w:val="36"/>
        </w:rPr>
      </w:pPr>
    </w:p>
    <w:p w14:paraId="4915297F">
      <w:pPr>
        <w:spacing w:line="360" w:lineRule="auto"/>
        <w:jc w:val="center"/>
        <w:rPr>
          <w:rFonts w:hint="eastAsia" w:asciiTheme="minorEastAsia" w:hAnsiTheme="minorEastAsia" w:eastAsiaTheme="minorEastAsia" w:cstheme="minorEastAsia"/>
          <w:sz w:val="36"/>
          <w:szCs w:val="36"/>
        </w:rPr>
      </w:pPr>
    </w:p>
    <w:p w14:paraId="61CCF7C0">
      <w:pPr>
        <w:spacing w:line="360" w:lineRule="auto"/>
        <w:jc w:val="center"/>
        <w:rPr>
          <w:rFonts w:hint="eastAsia" w:asciiTheme="minorEastAsia" w:hAnsiTheme="minorEastAsia" w:eastAsiaTheme="minorEastAsia" w:cstheme="minorEastAsia"/>
          <w:sz w:val="36"/>
          <w:szCs w:val="36"/>
        </w:rPr>
      </w:pPr>
    </w:p>
    <w:p w14:paraId="1E1F7A96">
      <w:pPr>
        <w:spacing w:line="360" w:lineRule="auto"/>
        <w:jc w:val="center"/>
        <w:rPr>
          <w:rFonts w:hint="eastAsia" w:asciiTheme="minorEastAsia" w:hAnsiTheme="minorEastAsia" w:eastAsiaTheme="minorEastAsia" w:cstheme="minorEastAsia"/>
          <w:sz w:val="36"/>
          <w:szCs w:val="36"/>
        </w:rPr>
      </w:pPr>
    </w:p>
    <w:p w14:paraId="74E58CBF">
      <w:pPr>
        <w:spacing w:line="360" w:lineRule="auto"/>
        <w:jc w:val="center"/>
        <w:rPr>
          <w:rFonts w:asciiTheme="minorEastAsia" w:hAnsiTheme="minorEastAsia" w:eastAsiaTheme="minorEastAsia" w:cstheme="minorEastAsia"/>
          <w:highlight w:val="none"/>
        </w:rPr>
      </w:pPr>
      <w:bookmarkStart w:id="33" w:name="_Toc120614211"/>
      <w:r>
        <w:rPr>
          <w:rFonts w:hint="eastAsia" w:asciiTheme="minorEastAsia" w:hAnsiTheme="minorEastAsia" w:eastAsiaTheme="minorEastAsia" w:cstheme="minorEastAsia"/>
          <w:b/>
          <w:color w:val="000000"/>
          <w:sz w:val="36"/>
          <w:szCs w:val="36"/>
        </w:rPr>
        <w:t xml:space="preserve">第二章  </w:t>
      </w:r>
      <w:bookmarkEnd w:id="33"/>
      <w:bookmarkStart w:id="34" w:name="_Toc120614213"/>
      <w:bookmarkStart w:id="35" w:name="_Toc513029202"/>
      <w:bookmarkStart w:id="36" w:name="_Toc20823274"/>
      <w:bookmarkStart w:id="37" w:name="_Toc16938518"/>
      <w:r>
        <w:rPr>
          <w:rFonts w:hint="eastAsia" w:asciiTheme="minorEastAsia" w:hAnsiTheme="minorEastAsia" w:eastAsiaTheme="minorEastAsia" w:cstheme="minorEastAsia"/>
          <w:b/>
          <w:color w:val="000000"/>
          <w:sz w:val="36"/>
          <w:szCs w:val="36"/>
        </w:rPr>
        <w:t>投标人须知</w:t>
      </w:r>
      <w:bookmarkEnd w:id="34"/>
      <w:bookmarkEnd w:id="35"/>
      <w:bookmarkEnd w:id="36"/>
      <w:bookmarkEnd w:id="37"/>
    </w:p>
    <w:p w14:paraId="62BC1E70">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38" w:name="_Toc16938519"/>
      <w:bookmarkStart w:id="39" w:name="_Toc20823275"/>
      <w:bookmarkStart w:id="40" w:name="_Toc120614214"/>
      <w:bookmarkStart w:id="41" w:name="_Toc513029203"/>
      <w:bookmarkStart w:id="42" w:name="_Hlt16619475"/>
      <w:bookmarkStart w:id="43" w:name="_Hlt26954838"/>
      <w:bookmarkStart w:id="44" w:name="_Hlt26954848"/>
      <w:bookmarkStart w:id="45" w:name="_Hlt26668975"/>
      <w:bookmarkStart w:id="46" w:name="_Hlt26954846"/>
      <w:bookmarkStart w:id="47" w:name="_Hlt26954852"/>
      <w:bookmarkStart w:id="48" w:name="_Hlt26954739"/>
      <w:bookmarkStart w:id="49" w:name="_Hlt26670486"/>
      <w:bookmarkStart w:id="50" w:name="_Toc513029226"/>
      <w:bookmarkStart w:id="51" w:name="_Hlt26670482"/>
      <w:bookmarkStart w:id="52" w:name="_Hlt26670360"/>
      <w:bookmarkStart w:id="53" w:name="_Hlt26954731"/>
      <w:r>
        <w:rPr>
          <w:rFonts w:hint="eastAsia" w:ascii="宋体" w:hAnsi="宋体" w:eastAsia="宋体" w:cs="宋体"/>
          <w:b/>
          <w:color w:val="000000" w:themeColor="text1"/>
          <w:sz w:val="24"/>
          <w:szCs w:val="24"/>
          <w14:textFill>
            <w14:solidFill>
              <w14:schemeClr w14:val="tx1"/>
            </w14:solidFill>
          </w14:textFill>
        </w:rPr>
        <w:t>一、总则</w:t>
      </w:r>
      <w:bookmarkEnd w:id="38"/>
      <w:bookmarkEnd w:id="39"/>
      <w:bookmarkEnd w:id="40"/>
      <w:bookmarkEnd w:id="41"/>
    </w:p>
    <w:p w14:paraId="44FB9187">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54" w:name="_Toc20823276"/>
      <w:bookmarkStart w:id="55" w:name="_Toc16938520"/>
      <w:bookmarkStart w:id="56" w:name="_Toc458694821"/>
      <w:bookmarkStart w:id="57" w:name="_Toc513029204"/>
      <w:r>
        <w:rPr>
          <w:rFonts w:hint="eastAsia" w:ascii="宋体" w:hAnsi="宋体" w:eastAsia="宋体" w:cs="宋体"/>
          <w:color w:val="000000" w:themeColor="text1"/>
          <w:sz w:val="24"/>
          <w:szCs w:val="24"/>
          <w14:textFill>
            <w14:solidFill>
              <w14:schemeClr w14:val="tx1"/>
            </w14:solidFill>
          </w14:textFill>
        </w:rPr>
        <w:t>1</w:t>
      </w:r>
      <w:bookmarkEnd w:id="54"/>
      <w:r>
        <w:rPr>
          <w:rFonts w:hint="eastAsia" w:ascii="宋体" w:hAnsi="宋体" w:eastAsia="宋体" w:cs="宋体"/>
          <w:color w:val="000000" w:themeColor="text1"/>
          <w:sz w:val="24"/>
          <w:szCs w:val="24"/>
          <w14:textFill>
            <w14:solidFill>
              <w14:schemeClr w14:val="tx1"/>
            </w14:solidFill>
          </w14:textFill>
        </w:rPr>
        <w:t>、招标方式</w:t>
      </w:r>
      <w:bookmarkEnd w:id="55"/>
      <w:bookmarkEnd w:id="56"/>
      <w:bookmarkEnd w:id="57"/>
    </w:p>
    <w:p w14:paraId="4D5B8CA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 本次招标采取公开招标方式，本招标文件仅适用于招标公告中所述项目。</w:t>
      </w:r>
    </w:p>
    <w:p w14:paraId="42700208">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58" w:name="_Toc16938521"/>
      <w:bookmarkStart w:id="59" w:name="_Toc513029205"/>
      <w:bookmarkStart w:id="60" w:name="_Toc20823277"/>
      <w:r>
        <w:rPr>
          <w:rFonts w:hint="eastAsia" w:ascii="宋体" w:hAnsi="宋体" w:eastAsia="宋体" w:cs="宋体"/>
          <w:color w:val="000000" w:themeColor="text1"/>
          <w:sz w:val="24"/>
          <w:szCs w:val="24"/>
          <w14:textFill>
            <w14:solidFill>
              <w14:schemeClr w14:val="tx1"/>
            </w14:solidFill>
          </w14:textFill>
        </w:rPr>
        <w:t>2、合格的投标人</w:t>
      </w:r>
      <w:bookmarkEnd w:id="58"/>
      <w:bookmarkEnd w:id="59"/>
      <w:bookmarkEnd w:id="60"/>
    </w:p>
    <w:p w14:paraId="1555F18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2.1满足招标公告中供应商的资格要求的规定。</w:t>
      </w:r>
    </w:p>
    <w:p w14:paraId="20D83CF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 满足本文件实质性要求和条件的规定。</w:t>
      </w:r>
    </w:p>
    <w:p w14:paraId="53A94765">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61" w:name="_Toc16938522"/>
      <w:bookmarkStart w:id="62" w:name="_Toc513029206"/>
      <w:bookmarkStart w:id="63" w:name="_Toc20823278"/>
      <w:r>
        <w:rPr>
          <w:rFonts w:hint="eastAsia" w:ascii="宋体" w:hAnsi="宋体" w:eastAsia="宋体" w:cs="宋体"/>
          <w:color w:val="000000" w:themeColor="text1"/>
          <w:sz w:val="24"/>
          <w:szCs w:val="24"/>
          <w14:textFill>
            <w14:solidFill>
              <w14:schemeClr w14:val="tx1"/>
            </w14:solidFill>
          </w14:textFill>
        </w:rPr>
        <w:t>3、适用法律</w:t>
      </w:r>
      <w:bookmarkEnd w:id="61"/>
      <w:bookmarkEnd w:id="62"/>
      <w:bookmarkEnd w:id="63"/>
    </w:p>
    <w:p w14:paraId="00F420D2">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 本次招标及由此产生的合同受中华人民共和国有关的法律法规制约和保护。</w:t>
      </w:r>
    </w:p>
    <w:p w14:paraId="2AB01D3B">
      <w:pPr>
        <w:pStyle w:val="30"/>
        <w:keepNext/>
        <w:keepLines/>
        <w:spacing w:beforeAutospacing="0" w:afterAutospacing="0"/>
        <w:ind w:firstLine="480"/>
        <w:jc w:val="both"/>
        <w:rPr>
          <w:rFonts w:hint="eastAsia" w:ascii="宋体" w:hAnsi="宋体" w:eastAsia="宋体" w:cs="宋体"/>
          <w:color w:val="000000" w:themeColor="text1"/>
          <w:sz w:val="24"/>
          <w:szCs w:val="24"/>
          <w14:textFill>
            <w14:solidFill>
              <w14:schemeClr w14:val="tx1"/>
            </w14:solidFill>
          </w14:textFill>
        </w:rPr>
      </w:pPr>
      <w:bookmarkStart w:id="64" w:name="_Toc20823279"/>
      <w:bookmarkStart w:id="65" w:name="_Toc16938523"/>
      <w:bookmarkStart w:id="66" w:name="_Toc462564067"/>
      <w:bookmarkStart w:id="67" w:name="_Toc513029207"/>
      <w:r>
        <w:rPr>
          <w:rFonts w:hint="eastAsia" w:ascii="宋体" w:hAnsi="宋体" w:eastAsia="宋体" w:cs="宋体"/>
          <w:color w:val="000000" w:themeColor="text1"/>
          <w:sz w:val="24"/>
          <w:szCs w:val="24"/>
          <w14:textFill>
            <w14:solidFill>
              <w14:schemeClr w14:val="tx1"/>
            </w14:solidFill>
          </w14:textFill>
        </w:rPr>
        <w:t>3.2 在本项目政府采购活动过程中，如果所执行的标准有更新的，按照最新标准执行。</w:t>
      </w:r>
    </w:p>
    <w:p w14:paraId="40AEBF59">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4、投标费用</w:t>
      </w:r>
      <w:bookmarkEnd w:id="64"/>
      <w:bookmarkEnd w:id="65"/>
      <w:bookmarkEnd w:id="66"/>
      <w:bookmarkEnd w:id="67"/>
    </w:p>
    <w:p w14:paraId="27AEA6D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 投标人应自行承担所有与参加投标有关的费用，无论投标过程中的做法和结果如何，采购人及采购代理机构在任何情况下均无义务和责任承担这些费用。</w:t>
      </w:r>
    </w:p>
    <w:p w14:paraId="4787C9A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4.2本次招标采购代理机构和采购人不收取标书工本费。</w:t>
      </w:r>
    </w:p>
    <w:p w14:paraId="0D42584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r>
        <w:rPr>
          <w:rFonts w:hint="eastAsia" w:ascii="宋体" w:hAnsi="宋体" w:eastAsia="宋体" w:cs="宋体"/>
          <w:b/>
          <w:sz w:val="24"/>
          <w:szCs w:val="24"/>
        </w:rPr>
        <w:t>代理机构将根据委托代理合同和《政府采购代理机构管理暂行办法》【财库（2018）2号】第十五条规定，按采购项目中标价的</w:t>
      </w:r>
      <w:r>
        <w:rPr>
          <w:rFonts w:hint="eastAsia" w:ascii="宋体" w:hAnsi="宋体" w:eastAsia="宋体" w:cs="宋体"/>
          <w:b/>
          <w:color w:val="000000" w:themeColor="text1"/>
          <w:sz w:val="24"/>
          <w:szCs w:val="24"/>
          <w14:textFill>
            <w14:solidFill>
              <w14:schemeClr w14:val="tx1"/>
            </w14:solidFill>
          </w14:textFill>
        </w:rPr>
        <w:t>1.</w:t>
      </w:r>
      <w:r>
        <w:rPr>
          <w:rFonts w:hint="eastAsia" w:ascii="宋体" w:hAnsi="宋体" w:eastAsia="宋体" w:cs="宋体"/>
          <w:b/>
          <w:color w:val="000000" w:themeColor="text1"/>
          <w:sz w:val="24"/>
          <w:szCs w:val="24"/>
          <w:lang w:val="en-US" w:eastAsia="zh-CN"/>
          <w14:textFill>
            <w14:solidFill>
              <w14:schemeClr w14:val="tx1"/>
            </w14:solidFill>
          </w14:textFill>
        </w:rPr>
        <w:t>2</w:t>
      </w:r>
      <w:r>
        <w:rPr>
          <w:rFonts w:hint="eastAsia" w:ascii="宋体" w:hAnsi="宋体" w:eastAsia="宋体" w:cs="宋体"/>
          <w:b/>
          <w:color w:val="000000" w:themeColor="text1"/>
          <w:sz w:val="24"/>
          <w:szCs w:val="24"/>
          <w14:textFill>
            <w14:solidFill>
              <w14:schemeClr w14:val="tx1"/>
            </w14:solidFill>
          </w14:textFill>
        </w:rPr>
        <w:t>%向</w:t>
      </w:r>
      <w:r>
        <w:rPr>
          <w:rFonts w:hint="eastAsia" w:ascii="宋体" w:hAnsi="宋体" w:eastAsia="宋体" w:cs="宋体"/>
          <w:b/>
          <w:sz w:val="24"/>
          <w:szCs w:val="24"/>
        </w:rPr>
        <w:t>采购人收取招标代理费。</w:t>
      </w:r>
    </w:p>
    <w:p w14:paraId="2E3FB307">
      <w:pPr>
        <w:pStyle w:val="30"/>
        <w:keepNext/>
        <w:keepLines/>
        <w:spacing w:beforeAutospacing="0" w:afterAutospacing="0" w:line="0" w:lineRule="atLeast"/>
        <w:ind w:firstLine="60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招标文件的约束力</w:t>
      </w:r>
    </w:p>
    <w:p w14:paraId="5F4AAD3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5.1 投标人一旦参加本项目采购活动，即被认为接受了本招标文件的规定和约束。</w:t>
      </w:r>
    </w:p>
    <w:p w14:paraId="07B38712">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68" w:name="_Toc20823281"/>
      <w:bookmarkStart w:id="69" w:name="_Toc120614215"/>
      <w:bookmarkStart w:id="70" w:name="_Toc16938525"/>
      <w:bookmarkStart w:id="71" w:name="_Toc513029209"/>
      <w:r>
        <w:rPr>
          <w:rFonts w:hint="eastAsia" w:ascii="宋体" w:hAnsi="宋体" w:eastAsia="宋体" w:cs="宋体"/>
          <w:b/>
          <w:color w:val="000000" w:themeColor="text1"/>
          <w:sz w:val="24"/>
          <w:szCs w:val="24"/>
          <w14:textFill>
            <w14:solidFill>
              <w14:schemeClr w14:val="tx1"/>
            </w14:solidFill>
          </w14:textFill>
        </w:rPr>
        <w:t>二、招标文件</w:t>
      </w:r>
      <w:bookmarkEnd w:id="68"/>
      <w:bookmarkEnd w:id="69"/>
      <w:bookmarkEnd w:id="70"/>
      <w:bookmarkEnd w:id="71"/>
    </w:p>
    <w:p w14:paraId="2F83F8F5">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72" w:name="_Toc513029210"/>
      <w:bookmarkStart w:id="73" w:name="_Toc20823282"/>
      <w:bookmarkStart w:id="74" w:name="_Toc16938526"/>
      <w:r>
        <w:rPr>
          <w:rFonts w:hint="eastAsia" w:ascii="宋体" w:hAnsi="宋体" w:eastAsia="宋体" w:cs="宋体"/>
          <w:color w:val="000000" w:themeColor="text1"/>
          <w:sz w:val="24"/>
          <w:szCs w:val="24"/>
          <w14:textFill>
            <w14:solidFill>
              <w14:schemeClr w14:val="tx1"/>
            </w14:solidFill>
          </w14:textFill>
        </w:rPr>
        <w:t>6、招标文件构成</w:t>
      </w:r>
      <w:bookmarkEnd w:id="72"/>
      <w:bookmarkEnd w:id="73"/>
      <w:bookmarkEnd w:id="74"/>
    </w:p>
    <w:p w14:paraId="09D59A2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6.1 招标文件由以下部分组成：</w:t>
      </w:r>
    </w:p>
    <w:p w14:paraId="64B74B0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（1）招标公告</w:t>
      </w:r>
    </w:p>
    <w:p w14:paraId="6989F30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（2）投标人须知</w:t>
      </w:r>
    </w:p>
    <w:p w14:paraId="6605AC4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（3）合同文本</w:t>
      </w:r>
    </w:p>
    <w:p w14:paraId="769C3F0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（4）采购需求</w:t>
      </w:r>
    </w:p>
    <w:p w14:paraId="4607D885">
      <w:pPr>
        <w:pStyle w:val="30"/>
        <w:spacing w:beforeAutospacing="0" w:afterAutospacing="0"/>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（5）评标方法与评标标准</w:t>
      </w:r>
    </w:p>
    <w:p w14:paraId="740ADAA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（6）投标文件格式</w:t>
      </w:r>
    </w:p>
    <w:p w14:paraId="6BE2BA9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请仔细检查招标文件是否齐全，如有缺漏请立即与采购代理机构联系解决。</w:t>
      </w:r>
    </w:p>
    <w:p w14:paraId="48D5BE9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6917CDD9">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75" w:name="_Toc16938527"/>
      <w:bookmarkStart w:id="76" w:name="_Toc462564070"/>
      <w:bookmarkStart w:id="77" w:name="_Toc20823283"/>
      <w:bookmarkStart w:id="78" w:name="_Toc513029211"/>
      <w:r>
        <w:rPr>
          <w:rFonts w:hint="eastAsia" w:ascii="宋体" w:hAnsi="宋体" w:eastAsia="宋体" w:cs="宋体"/>
          <w:color w:val="000000" w:themeColor="text1"/>
          <w:sz w:val="24"/>
          <w:szCs w:val="24"/>
          <w14:textFill>
            <w14:solidFill>
              <w14:schemeClr w14:val="tx1"/>
            </w14:solidFill>
          </w14:textFill>
        </w:rPr>
        <w:t>7、招标文件的澄清</w:t>
      </w:r>
      <w:bookmarkEnd w:id="75"/>
      <w:bookmarkEnd w:id="76"/>
      <w:bookmarkEnd w:id="77"/>
      <w:bookmarkEnd w:id="78"/>
    </w:p>
    <w:p w14:paraId="22F4087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7.1 任何要求对招标文件进行澄清的投标人，应在投标截止期</w:t>
      </w:r>
      <w:r>
        <w:rPr>
          <w:rFonts w:hint="eastAsia" w:ascii="宋体" w:hAnsi="宋体" w:eastAsia="宋体" w:cs="宋体"/>
          <w:b/>
          <w:color w:val="000000" w:themeColor="text1"/>
          <w:sz w:val="24"/>
          <w:szCs w:val="24"/>
          <w14:textFill>
            <w14:solidFill>
              <w14:schemeClr w14:val="tx1"/>
            </w14:solidFill>
          </w14:textFill>
        </w:rPr>
        <w:t>十日</w:t>
      </w:r>
      <w:r>
        <w:rPr>
          <w:rFonts w:hint="eastAsia" w:ascii="宋体" w:hAnsi="宋体" w:eastAsia="宋体" w:cs="宋体"/>
          <w:color w:val="000000" w:themeColor="text1"/>
          <w:sz w:val="24"/>
          <w:szCs w:val="24"/>
          <w14:textFill>
            <w14:solidFill>
              <w14:schemeClr w14:val="tx1"/>
            </w14:solidFill>
          </w14:textFill>
        </w:rPr>
        <w:t>前按招标公告中的通讯地址，以书面形式通知采购代理机构。</w:t>
      </w:r>
    </w:p>
    <w:p w14:paraId="20CF7084">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79" w:name="_Toc16938528"/>
      <w:bookmarkStart w:id="80" w:name="_Toc513029212"/>
      <w:bookmarkStart w:id="81" w:name="_Toc462564071"/>
      <w:bookmarkStart w:id="82" w:name="_Toc20823284"/>
      <w:r>
        <w:rPr>
          <w:rFonts w:hint="eastAsia" w:ascii="宋体" w:hAnsi="宋体" w:eastAsia="宋体" w:cs="宋体"/>
          <w:color w:val="000000" w:themeColor="text1"/>
          <w:sz w:val="24"/>
          <w:szCs w:val="24"/>
          <w14:textFill>
            <w14:solidFill>
              <w14:schemeClr w14:val="tx1"/>
            </w14:solidFill>
          </w14:textFill>
        </w:rPr>
        <w:t>8、招标文件的修改</w:t>
      </w:r>
      <w:bookmarkEnd w:id="79"/>
      <w:bookmarkEnd w:id="80"/>
      <w:bookmarkEnd w:id="81"/>
      <w:bookmarkEnd w:id="82"/>
    </w:p>
    <w:p w14:paraId="62C809B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8.1 在投标截止时间前，采购人及采购代理机构可以对招标文件进行修改。</w:t>
      </w:r>
    </w:p>
    <w:p w14:paraId="2459CDD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8.2 采购人及采购代理机构有权按照法定的要求推迟投标截止日期和开标日期。</w:t>
      </w:r>
    </w:p>
    <w:p w14:paraId="5385C31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8.3 招标文件的修改将在中国政府采购网、江苏政府采购网、盐城市政府采购网、阜宁县公共资源电子化服务平台公布，补充文件将作为招标文件的组成部分，并对投标人具有约束力。</w:t>
      </w:r>
    </w:p>
    <w:p w14:paraId="2CDB0962">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83" w:name="_Toc16938529"/>
      <w:bookmarkStart w:id="84" w:name="_Toc462564072"/>
      <w:bookmarkStart w:id="85" w:name="_Toc513029213"/>
      <w:bookmarkStart w:id="86" w:name="_Toc120614216"/>
      <w:bookmarkStart w:id="87" w:name="_Toc20823285"/>
      <w:r>
        <w:rPr>
          <w:rFonts w:hint="eastAsia" w:ascii="宋体" w:hAnsi="宋体" w:eastAsia="宋体" w:cs="宋体"/>
          <w:b/>
          <w:color w:val="000000" w:themeColor="text1"/>
          <w:sz w:val="24"/>
          <w:szCs w:val="24"/>
          <w14:textFill>
            <w14:solidFill>
              <w14:schemeClr w14:val="tx1"/>
            </w14:solidFill>
          </w14:textFill>
        </w:rPr>
        <w:t>三、投标文件的编制</w:t>
      </w:r>
      <w:bookmarkEnd w:id="83"/>
      <w:bookmarkEnd w:id="84"/>
      <w:bookmarkEnd w:id="85"/>
      <w:bookmarkEnd w:id="86"/>
      <w:bookmarkEnd w:id="87"/>
    </w:p>
    <w:p w14:paraId="60E1EE2D">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88" w:name="_Toc16938530"/>
      <w:bookmarkStart w:id="89" w:name="_Toc462564073"/>
      <w:bookmarkStart w:id="90" w:name="_Toc513029214"/>
      <w:bookmarkStart w:id="91" w:name="_Toc20823286"/>
      <w:r>
        <w:rPr>
          <w:rFonts w:hint="eastAsia" w:ascii="宋体" w:hAnsi="宋体" w:eastAsia="宋体" w:cs="宋体"/>
          <w:color w:val="000000" w:themeColor="text1"/>
          <w:sz w:val="24"/>
          <w:szCs w:val="24"/>
          <w14:textFill>
            <w14:solidFill>
              <w14:schemeClr w14:val="tx1"/>
            </w14:solidFill>
          </w14:textFill>
        </w:rPr>
        <w:t>9、投标文件的语言及度量衡单位</w:t>
      </w:r>
      <w:bookmarkEnd w:id="88"/>
      <w:bookmarkEnd w:id="89"/>
      <w:bookmarkEnd w:id="90"/>
      <w:bookmarkEnd w:id="91"/>
    </w:p>
    <w:p w14:paraId="47E3879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9.1 投标人提交的投标文件以及投标人与采购代理机构就有关投标的所有来往通知、函件和文件均应使用</w:t>
      </w:r>
      <w:r>
        <w:rPr>
          <w:rFonts w:hint="eastAsia" w:ascii="宋体" w:hAnsi="宋体" w:eastAsia="宋体" w:cs="宋体"/>
          <w:b/>
          <w:color w:val="000000" w:themeColor="text1"/>
          <w:sz w:val="24"/>
          <w:szCs w:val="24"/>
          <w14:textFill>
            <w14:solidFill>
              <w14:schemeClr w14:val="tx1"/>
            </w14:solidFill>
          </w14:textFill>
        </w:rPr>
        <w:t>简体中文</w:t>
      </w:r>
      <w:r>
        <w:rPr>
          <w:rFonts w:hint="eastAsia" w:ascii="宋体" w:hAnsi="宋体" w:eastAsia="宋体" w:cs="宋体"/>
          <w:color w:val="000000" w:themeColor="text1"/>
          <w:sz w:val="24"/>
          <w:szCs w:val="24"/>
          <w14:textFill>
            <w14:solidFill>
              <w14:schemeClr w14:val="tx1"/>
            </w14:solidFill>
          </w14:textFill>
        </w:rPr>
        <w:t>。</w:t>
      </w:r>
    </w:p>
    <w:p w14:paraId="7A824E7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9.2 除技术性能另有规定外，投标文件所使用的度量衡单位，均须采用国家法定计量单位。</w:t>
      </w:r>
    </w:p>
    <w:p w14:paraId="6A40A865">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92" w:name="_Toc513029215"/>
      <w:bookmarkStart w:id="93" w:name="_Toc20823287"/>
      <w:bookmarkStart w:id="94" w:name="_Toc462564074"/>
      <w:bookmarkStart w:id="95" w:name="_Toc16938531"/>
      <w:r>
        <w:rPr>
          <w:rFonts w:hint="eastAsia" w:ascii="宋体" w:hAnsi="宋体" w:eastAsia="宋体" w:cs="宋体"/>
          <w:color w:val="000000" w:themeColor="text1"/>
          <w:sz w:val="24"/>
          <w:szCs w:val="24"/>
          <w14:textFill>
            <w14:solidFill>
              <w14:schemeClr w14:val="tx1"/>
            </w14:solidFill>
          </w14:textFill>
        </w:rPr>
        <w:t>10、投标文件构成</w:t>
      </w:r>
      <w:bookmarkEnd w:id="92"/>
      <w:bookmarkEnd w:id="93"/>
      <w:bookmarkEnd w:id="94"/>
      <w:bookmarkEnd w:id="95"/>
    </w:p>
    <w:p w14:paraId="275DB53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10.1 投标人编写的投标文件应包括资格证明文件、符合性证明文件、投标分项报价表、技术要求响应及偏离表、商务要求响应及偏离表、其他证明文件、投标函、开标一览表等部分。</w:t>
      </w:r>
    </w:p>
    <w:p w14:paraId="7CF7A2E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10.2 如标书制作工具中格式和内容与</w:t>
      </w:r>
      <w:r>
        <w:rPr>
          <w:rFonts w:hint="eastAsia" w:ascii="宋体" w:hAnsi="宋体" w:eastAsia="宋体" w:cs="宋体"/>
          <w:color w:val="000000" w:themeColor="text1"/>
          <w:sz w:val="24"/>
          <w:szCs w:val="24"/>
          <w:shd w:val="clear" w:color="auto" w:fill="FFFFFF"/>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中国政府采购网</w:t>
      </w:r>
      <w:r>
        <w:rPr>
          <w:rFonts w:hint="eastAsia" w:ascii="宋体" w:hAnsi="宋体" w:eastAsia="宋体" w:cs="宋体"/>
          <w:color w:val="000000" w:themeColor="text1"/>
          <w:sz w:val="24"/>
          <w:szCs w:val="24"/>
          <w:shd w:val="clear" w:color="auto" w:fill="FFFFFF"/>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“江苏政府采购网”、“盐城市政府采购网</w:t>
      </w:r>
      <w:r>
        <w:rPr>
          <w:rFonts w:hint="eastAsia" w:ascii="宋体" w:hAnsi="宋体" w:eastAsia="宋体" w:cs="宋体"/>
          <w:color w:val="000000" w:themeColor="text1"/>
          <w:sz w:val="24"/>
          <w:szCs w:val="24"/>
          <w:shd w:val="clear" w:color="auto" w:fill="FFFFFF"/>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发布的招标文件不一致，请以中国政府采购网</w:t>
      </w:r>
      <w:r>
        <w:rPr>
          <w:rFonts w:hint="eastAsia" w:ascii="宋体" w:hAnsi="宋体" w:eastAsia="宋体" w:cs="宋体"/>
          <w:color w:val="000000" w:themeColor="text1"/>
          <w:sz w:val="24"/>
          <w:szCs w:val="24"/>
          <w:shd w:val="clear" w:color="auto" w:fill="FFFFFF"/>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“江苏政府采购网”、“盐城市政府采购网</w:t>
      </w:r>
      <w:r>
        <w:rPr>
          <w:rFonts w:hint="eastAsia" w:ascii="宋体" w:hAnsi="宋体" w:eastAsia="宋体" w:cs="宋体"/>
          <w:color w:val="000000" w:themeColor="text1"/>
          <w:sz w:val="24"/>
          <w:szCs w:val="24"/>
          <w:shd w:val="clear" w:color="auto" w:fill="FFFFFF"/>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发布的招标文件为准。</w:t>
      </w:r>
    </w:p>
    <w:p w14:paraId="5BBD351A">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96" w:name="_Toc49090507"/>
      <w:bookmarkStart w:id="97" w:name="_Toc14577357"/>
      <w:bookmarkStart w:id="98" w:name="_Toc513029219"/>
      <w:bookmarkStart w:id="99" w:name="_Toc14577355"/>
      <w:bookmarkStart w:id="100" w:name="_Toc49090508"/>
      <w:bookmarkStart w:id="101" w:name="_Toc49090509"/>
      <w:bookmarkStart w:id="102" w:name="_Toc14577354"/>
      <w:bookmarkStart w:id="103" w:name="_Toc513029216"/>
      <w:r>
        <w:rPr>
          <w:rFonts w:hint="eastAsia" w:ascii="宋体" w:hAnsi="宋体" w:eastAsia="宋体" w:cs="宋体"/>
          <w:color w:val="000000" w:themeColor="text1"/>
          <w:sz w:val="24"/>
          <w:szCs w:val="24"/>
          <w14:textFill>
            <w14:solidFill>
              <w14:schemeClr w14:val="tx1"/>
            </w14:solidFill>
          </w14:textFill>
        </w:rPr>
        <w:t>11、证明投标人及投标标的符合招标文件规定的文件</w:t>
      </w:r>
      <w:bookmarkEnd w:id="96"/>
      <w:bookmarkEnd w:id="97"/>
      <w:bookmarkEnd w:id="98"/>
      <w:bookmarkEnd w:id="99"/>
      <w:bookmarkEnd w:id="100"/>
      <w:bookmarkEnd w:id="101"/>
      <w:bookmarkEnd w:id="102"/>
      <w:bookmarkEnd w:id="103"/>
    </w:p>
    <w:p w14:paraId="0718222F">
      <w:pPr>
        <w:pStyle w:val="30"/>
        <w:spacing w:beforeAutospacing="0" w:afterAutospacing="0" w:line="0" w:lineRule="atLeast"/>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11.1 投标人应按照招标文件要求提交证明文件，证明其及投标标的符合招标文件规定。</w:t>
      </w:r>
    </w:p>
    <w:p w14:paraId="5A9CFDC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11.2招标文件对证明文件无明确形式要求的，证明文件可以以文字资料、图纸和数据等形式提交。</w:t>
      </w:r>
    </w:p>
    <w:p w14:paraId="240AFD51">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12、投标分项报价表</w:t>
      </w:r>
    </w:p>
    <w:p w14:paraId="16C7F70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12.1 投标人应按照招标文件规定格式填报投标分项报价表。</w:t>
      </w:r>
    </w:p>
    <w:p w14:paraId="24BE96D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12.2投标货币。投标文件中的单价和总价无特殊规定的采用人民币报价，以元为单位标注。招标文件中另有规定的按规定执行。</w:t>
      </w:r>
    </w:p>
    <w:p w14:paraId="73ADED15">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13、技术要求响应及偏离表、商务要求响应及偏离表</w:t>
      </w:r>
    </w:p>
    <w:p w14:paraId="321FCB1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13.1 投标人需对招标文件中的技术要求与商务要求逐项作出响应或偏离，并说明原因。</w:t>
      </w:r>
    </w:p>
    <w:p w14:paraId="7FDE64E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13.2 投标人可在投标文件中提供认为需要的其他技术文件或说明。</w:t>
      </w:r>
    </w:p>
    <w:p w14:paraId="34DA4C08">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14、服务承诺、培训计划、人员安排及其他</w:t>
      </w:r>
    </w:p>
    <w:p w14:paraId="74ECEAD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14.1 投标人需根据招标文件要求提供有关售后服务的管理制度，售后服务机构的分布情况，售后服务人员的数量、素质、技术水平及售后服务的反应能力等。</w:t>
      </w:r>
    </w:p>
    <w:p w14:paraId="1128F8E2">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14.2 投标人需根据招标文件要求提供培训计划。</w:t>
      </w:r>
    </w:p>
    <w:p w14:paraId="6173709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14.3  投标人需根据招标文件要求提供所投标的的主要组成部分、功能设计、实现思路及关键技术等。</w:t>
      </w:r>
    </w:p>
    <w:p w14:paraId="5B2B6267">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04" w:name="_Toc49090510"/>
      <w:bookmarkStart w:id="105" w:name="_Toc14577359"/>
      <w:r>
        <w:rPr>
          <w:rFonts w:hint="eastAsia" w:ascii="宋体" w:hAnsi="宋体" w:eastAsia="宋体" w:cs="宋体"/>
          <w:color w:val="000000" w:themeColor="text1"/>
          <w:sz w:val="24"/>
          <w:szCs w:val="24"/>
          <w14:textFill>
            <w14:solidFill>
              <w14:schemeClr w14:val="tx1"/>
            </w14:solidFill>
          </w14:textFill>
        </w:rPr>
        <w:t>15、投标函和开标一览表</w:t>
      </w:r>
      <w:bookmarkEnd w:id="104"/>
      <w:bookmarkEnd w:id="105"/>
    </w:p>
    <w:p w14:paraId="3CB4F30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15.1 投标人应按照招标文件中提供的格式完整、正确填写投标函、开标一览表。</w:t>
      </w:r>
    </w:p>
    <w:p w14:paraId="3C52A66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15.2 对于采用货币报价的项目，开标一览表中的投标总报价应与投标分项报价表中的投标总报价一致，如不一致，不作为无效投标处理，但评标时按开标一览表中价格为准。</w:t>
      </w:r>
    </w:p>
    <w:p w14:paraId="036159CB">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06" w:name="_Toc49090511"/>
      <w:bookmarkStart w:id="107" w:name="_Toc14577360"/>
      <w:r>
        <w:rPr>
          <w:rFonts w:hint="eastAsia" w:ascii="宋体" w:hAnsi="宋体" w:eastAsia="宋体" w:cs="宋体"/>
          <w:color w:val="000000" w:themeColor="text1"/>
          <w:sz w:val="24"/>
          <w:szCs w:val="24"/>
          <w14:textFill>
            <w14:solidFill>
              <w14:schemeClr w14:val="tx1"/>
            </w14:solidFill>
          </w14:textFill>
        </w:rPr>
        <w:t>16、投标有效期</w:t>
      </w:r>
      <w:bookmarkEnd w:id="106"/>
      <w:bookmarkEnd w:id="107"/>
    </w:p>
    <w:p w14:paraId="32AAB68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16.1投标有效期为采购代理机构规定的开标之日后</w:t>
      </w:r>
      <w:r>
        <w:rPr>
          <w:rFonts w:hint="eastAsia" w:ascii="宋体" w:hAnsi="宋体" w:eastAsia="宋体" w:cs="宋体"/>
          <w:b/>
          <w:color w:val="000000" w:themeColor="text1"/>
          <w:sz w:val="24"/>
          <w:szCs w:val="24"/>
          <w:u w:val="single"/>
          <w14:textFill>
            <w14:solidFill>
              <w14:schemeClr w14:val="tx1"/>
            </w14:solidFill>
          </w14:textFill>
        </w:rPr>
        <w:t>六十（60）天</w:t>
      </w:r>
      <w:r>
        <w:rPr>
          <w:rFonts w:hint="eastAsia" w:ascii="宋体" w:hAnsi="宋体" w:eastAsia="宋体" w:cs="宋体"/>
          <w:color w:val="000000" w:themeColor="text1"/>
          <w:sz w:val="24"/>
          <w:szCs w:val="24"/>
          <w14:textFill>
            <w14:solidFill>
              <w14:schemeClr w14:val="tx1"/>
            </w14:solidFill>
          </w14:textFill>
        </w:rPr>
        <w:t>。投标有效期比规定短的将被视为未实质性响应招标文件而予以拒绝。</w:t>
      </w:r>
    </w:p>
    <w:p w14:paraId="43AEABA6">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17、投标有效期的延长</w:t>
      </w:r>
    </w:p>
    <w:p w14:paraId="5858C67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17.1在特殊情况下，采购人或采购代理机构于原投标有效期满之前，可向投标人提出延长投标有效期的要求。这种要求与答复均应采用书面形式。投标人可以拒绝采购人或采购代理机构的这一要求而放弃投标，同意延长投标有效期的投标人既不能要求也不允许修改其投标文件。受投标有效期约束的所有权利与义务均延长至新的有效期。</w:t>
      </w:r>
    </w:p>
    <w:p w14:paraId="4B10AB49">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108" w:name="_Toc120614217"/>
      <w:bookmarkStart w:id="109" w:name="_Toc513029224"/>
      <w:bookmarkStart w:id="110" w:name="_Toc20823296"/>
      <w:bookmarkStart w:id="111" w:name="_Toc16938540"/>
      <w:r>
        <w:rPr>
          <w:rFonts w:hint="eastAsia" w:ascii="宋体" w:hAnsi="宋体" w:eastAsia="宋体" w:cs="宋体"/>
          <w:b/>
          <w:color w:val="000000" w:themeColor="text1"/>
          <w:sz w:val="24"/>
          <w:szCs w:val="24"/>
          <w14:textFill>
            <w14:solidFill>
              <w14:schemeClr w14:val="tx1"/>
            </w14:solidFill>
          </w14:textFill>
        </w:rPr>
        <w:t>四、投标文件的递交</w:t>
      </w:r>
      <w:bookmarkEnd w:id="108"/>
      <w:bookmarkEnd w:id="109"/>
      <w:bookmarkEnd w:id="110"/>
      <w:bookmarkEnd w:id="111"/>
    </w:p>
    <w:p w14:paraId="462B5A82">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12" w:name="_Toc16938541"/>
      <w:bookmarkStart w:id="113" w:name="_Toc513029225"/>
      <w:bookmarkStart w:id="114" w:name="_Toc20823297"/>
      <w:bookmarkStart w:id="115" w:name="_Toc462564084"/>
      <w:r>
        <w:rPr>
          <w:rFonts w:hint="eastAsia" w:ascii="宋体" w:hAnsi="宋体" w:eastAsia="宋体" w:cs="宋体"/>
          <w:color w:val="000000" w:themeColor="text1"/>
          <w:sz w:val="24"/>
          <w:szCs w:val="24"/>
          <w14:textFill>
            <w14:solidFill>
              <w14:schemeClr w14:val="tx1"/>
            </w14:solidFill>
          </w14:textFill>
        </w:rPr>
        <w:t>18、电子投标文件</w:t>
      </w:r>
      <w:bookmarkEnd w:id="112"/>
      <w:bookmarkEnd w:id="113"/>
      <w:bookmarkEnd w:id="114"/>
      <w:bookmarkEnd w:id="115"/>
      <w:r>
        <w:rPr>
          <w:rFonts w:hint="eastAsia" w:ascii="宋体" w:hAnsi="宋体" w:eastAsia="宋体" w:cs="宋体"/>
          <w:color w:val="000000" w:themeColor="text1"/>
          <w:sz w:val="24"/>
          <w:szCs w:val="24"/>
          <w14:textFill>
            <w14:solidFill>
              <w14:schemeClr w14:val="tx1"/>
            </w14:solidFill>
          </w14:textFill>
        </w:rPr>
        <w:t>的递交</w:t>
      </w:r>
    </w:p>
    <w:p w14:paraId="71D0FF69">
      <w:pPr>
        <w:pStyle w:val="30"/>
        <w:spacing w:beforeAutospacing="0" w:afterAutospacing="0"/>
        <w:ind w:left="525"/>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18.1投标人应当按照《操作手册》规定，在投标截止时间前制作并上传电子投标</w:t>
      </w:r>
    </w:p>
    <w:p w14:paraId="0DD88C77">
      <w:pPr>
        <w:pStyle w:val="30"/>
        <w:spacing w:beforeAutospacing="0" w:afterAutospacing="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文件。</w:t>
      </w:r>
      <w:bookmarkStart w:id="116" w:name="_Toc20823298"/>
      <w:bookmarkEnd w:id="116"/>
      <w:bookmarkStart w:id="117" w:name="_Toc16938542"/>
      <w:bookmarkEnd w:id="117"/>
    </w:p>
    <w:p w14:paraId="588F88B2">
      <w:pPr>
        <w:pStyle w:val="30"/>
        <w:keepNext/>
        <w:keepLines/>
        <w:spacing w:beforeAutospacing="0" w:afterAutospacing="0" w:line="374" w:lineRule="auto"/>
        <w:ind w:firstLine="561"/>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19、投标截止日期</w:t>
      </w:r>
    </w:p>
    <w:p w14:paraId="6FB490A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color w:val="000000" w:themeColor="text1"/>
          <w:sz w:val="24"/>
          <w:szCs w:val="24"/>
          <w:u w:val="single"/>
          <w14:textFill>
            <w14:solidFill>
              <w14:schemeClr w14:val="tx1"/>
            </w14:solidFill>
          </w14:textFill>
        </w:rPr>
        <w:t>19.1 投标人上传电子投标文件的时间不得迟于招标公告中规定的投标截止时间。</w:t>
      </w:r>
    </w:p>
    <w:p w14:paraId="6D4403A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投标人应充分考虑到网络环境、网络带宽等风险因素，如因投标人自身原因造成的电子投标文件上传不成功的按照本招标文件第二章第27.1.2条规定做无效投标处理。</w:t>
      </w:r>
    </w:p>
    <w:p w14:paraId="110EB61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19.2 采购代理机构可以按照规定，通过修改招标文件酌情延长投标截止日期，在此情况下，投标人的所有权利和义务以及投标人受制的截止日期均应以延长后新的截止日期为准。</w:t>
      </w:r>
    </w:p>
    <w:p w14:paraId="7990164F">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18" w:name="_Toc16938543"/>
      <w:bookmarkStart w:id="119" w:name="_Toc513029227"/>
      <w:bookmarkStart w:id="120" w:name="_Toc20823299"/>
      <w:r>
        <w:rPr>
          <w:rFonts w:hint="eastAsia" w:ascii="宋体" w:hAnsi="宋体" w:eastAsia="宋体" w:cs="宋体"/>
          <w:color w:val="000000" w:themeColor="text1"/>
          <w:sz w:val="24"/>
          <w:szCs w:val="24"/>
          <w14:textFill>
            <w14:solidFill>
              <w14:schemeClr w14:val="tx1"/>
            </w14:solidFill>
          </w14:textFill>
        </w:rPr>
        <w:t>20、投标文件</w:t>
      </w:r>
      <w:bookmarkEnd w:id="118"/>
      <w:bookmarkEnd w:id="119"/>
      <w:bookmarkEnd w:id="120"/>
      <w:r>
        <w:rPr>
          <w:rFonts w:hint="eastAsia" w:ascii="宋体" w:hAnsi="宋体" w:eastAsia="宋体" w:cs="宋体"/>
          <w:color w:val="000000" w:themeColor="text1"/>
          <w:sz w:val="24"/>
          <w:szCs w:val="24"/>
          <w14:textFill>
            <w14:solidFill>
              <w14:schemeClr w14:val="tx1"/>
            </w14:solidFill>
          </w14:textFill>
        </w:rPr>
        <w:t>的拒收</w:t>
      </w:r>
    </w:p>
    <w:p w14:paraId="6254CB7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20.1 采购代理机构拒绝接收在其规定的投标截止时间后上传的任何投标文件。</w:t>
      </w:r>
    </w:p>
    <w:p w14:paraId="53D3CA18">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21" w:name="_Toc20823300"/>
      <w:bookmarkStart w:id="122" w:name="_Toc513029228"/>
      <w:bookmarkStart w:id="123" w:name="_Toc16938544"/>
      <w:r>
        <w:rPr>
          <w:rFonts w:hint="eastAsia" w:ascii="宋体" w:hAnsi="宋体" w:eastAsia="宋体" w:cs="宋体"/>
          <w:color w:val="000000" w:themeColor="text1"/>
          <w:sz w:val="24"/>
          <w:szCs w:val="24"/>
          <w14:textFill>
            <w14:solidFill>
              <w14:schemeClr w14:val="tx1"/>
            </w14:solidFill>
          </w14:textFill>
        </w:rPr>
        <w:t>21、投标文件的撤回和修改</w:t>
      </w:r>
      <w:bookmarkEnd w:id="121"/>
      <w:bookmarkEnd w:id="122"/>
      <w:bookmarkEnd w:id="123"/>
    </w:p>
    <w:p w14:paraId="71BB8C9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21.1 投标文件的撤回</w:t>
      </w:r>
    </w:p>
    <w:p w14:paraId="3D58AE5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21.1.1 电子投标文件的撤回</w:t>
      </w:r>
    </w:p>
    <w:p w14:paraId="6F98166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投标人可在投标截止时间前，撤回其电子投标文件，具体操作方法见《操作手册》。</w:t>
      </w:r>
    </w:p>
    <w:p w14:paraId="1679878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21.1.2 投标人撤回电子投标文件，则认为其不再参与本项目投标活动。</w:t>
      </w:r>
    </w:p>
    <w:p w14:paraId="2E4ED80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 投标文件的修改</w:t>
      </w:r>
    </w:p>
    <w:p w14:paraId="3B657B6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21.2.1投标人可在投标截止时间前，对其电子投标文件进行修改，具体操作方法见《操作手册》。</w:t>
      </w:r>
    </w:p>
    <w:p w14:paraId="7B1A054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21.2.2 在投标截止时间之后，投标人不得对其电子投标文件作任何修改。</w:t>
      </w:r>
    </w:p>
    <w:p w14:paraId="1B11C30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21.3 在投标截止时间至招标文件中规定的投标有效期满之间的这段时间内，投标人不得撤回其投标。</w:t>
      </w:r>
    </w:p>
    <w:p w14:paraId="52B22ECF">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124" w:name="_Toc20823301"/>
      <w:bookmarkStart w:id="125" w:name="_Toc120614218"/>
      <w:bookmarkStart w:id="126" w:name="_Toc16938545"/>
      <w:bookmarkStart w:id="127" w:name="_Toc513029229"/>
      <w:r>
        <w:rPr>
          <w:rFonts w:hint="eastAsia" w:ascii="宋体" w:hAnsi="宋体" w:eastAsia="宋体" w:cs="宋体"/>
          <w:b/>
          <w:color w:val="000000" w:themeColor="text1"/>
          <w:sz w:val="24"/>
          <w:szCs w:val="24"/>
          <w14:textFill>
            <w14:solidFill>
              <w14:schemeClr w14:val="tx1"/>
            </w14:solidFill>
          </w14:textFill>
        </w:rPr>
        <w:t>五、开标与评标</w:t>
      </w:r>
      <w:bookmarkEnd w:id="124"/>
      <w:bookmarkEnd w:id="125"/>
      <w:bookmarkEnd w:id="126"/>
      <w:bookmarkEnd w:id="127"/>
    </w:p>
    <w:p w14:paraId="522446D7">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28" w:name="_Toc20823302"/>
      <w:bookmarkStart w:id="129" w:name="_Toc16938546"/>
      <w:bookmarkStart w:id="130" w:name="_Toc513029230"/>
      <w:r>
        <w:rPr>
          <w:rFonts w:hint="eastAsia" w:ascii="宋体" w:hAnsi="宋体" w:eastAsia="宋体" w:cs="宋体"/>
          <w:color w:val="000000" w:themeColor="text1"/>
          <w:sz w:val="24"/>
          <w:szCs w:val="24"/>
          <w14:textFill>
            <w14:solidFill>
              <w14:schemeClr w14:val="tx1"/>
            </w14:solidFill>
          </w14:textFill>
        </w:rPr>
        <w:t>22、开标</w:t>
      </w:r>
      <w:bookmarkEnd w:id="128"/>
      <w:bookmarkEnd w:id="129"/>
      <w:bookmarkEnd w:id="130"/>
    </w:p>
    <w:p w14:paraId="09B53F55">
      <w:pPr>
        <w:pStyle w:val="30"/>
        <w:spacing w:beforeAutospacing="0" w:afterAutospacing="0"/>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22.1 采购代理机构将在招标公告中规定的时间和地点组织公开开标。投标人应当按照《操作手册》规定，参加开标活动和在苏采云系统规定的时间内对投标文件进行解密。</w:t>
      </w:r>
    </w:p>
    <w:p w14:paraId="6F1FA8C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22.2开标仪式由采购代理机构组织。苏采云系统将自动对项目进行开标，并宣布各投标人名称和投标价格。</w:t>
      </w:r>
    </w:p>
    <w:p w14:paraId="57469D8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22.3投标人在开标过程中涉及到的投标文件解密、开标结果确认等工作，应按照《操作手册》规定执行。</w:t>
      </w:r>
    </w:p>
    <w:p w14:paraId="37C541B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22.4投标人如果对开标过程和开标记录有疑义，应当根据《操作手册》规定提出，如 苏采云系统中《开标记录表》宣布后5分钟内未提出的，视同认可开标结果。</w:t>
      </w:r>
    </w:p>
    <w:p w14:paraId="58E1EAF2">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31" w:name="_Toc513029231"/>
      <w:bookmarkStart w:id="132" w:name="_Toc16938547"/>
      <w:bookmarkStart w:id="133" w:name="_Toc20823303"/>
      <w:r>
        <w:rPr>
          <w:rFonts w:hint="eastAsia" w:ascii="宋体" w:hAnsi="宋体" w:eastAsia="宋体" w:cs="宋体"/>
          <w:color w:val="000000" w:themeColor="text1"/>
          <w:sz w:val="24"/>
          <w:szCs w:val="24"/>
          <w14:textFill>
            <w14:solidFill>
              <w14:schemeClr w14:val="tx1"/>
            </w14:solidFill>
          </w14:textFill>
        </w:rPr>
        <w:t>23、评标委员会</w:t>
      </w:r>
      <w:bookmarkEnd w:id="131"/>
      <w:bookmarkEnd w:id="132"/>
      <w:bookmarkEnd w:id="133"/>
    </w:p>
    <w:p w14:paraId="3A81DF07">
      <w:pPr>
        <w:pStyle w:val="30"/>
        <w:spacing w:beforeAutospacing="0" w:afterAutospacing="0" w:line="0" w:lineRule="atLeast"/>
        <w:ind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23.1</w:t>
      </w:r>
      <w:r>
        <w:rPr>
          <w:rFonts w:hint="eastAsia" w:ascii="宋体" w:hAnsi="宋体" w:eastAsia="宋体" w:cs="宋体"/>
          <w:b/>
          <w:color w:val="000000" w:themeColor="text1"/>
          <w:sz w:val="24"/>
          <w:szCs w:val="24"/>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t>开标后，采购代理机构将立即组织评标委员会（以下简称评委会）进行评标。</w:t>
      </w:r>
    </w:p>
    <w:p w14:paraId="28485BD0">
      <w:pPr>
        <w:pStyle w:val="30"/>
        <w:spacing w:beforeAutospacing="0" w:afterAutospacing="0" w:line="0" w:lineRule="atLeast"/>
        <w:ind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23.2 评委会由采购人代表和有关技术、经济等方面的专家组成，且人员构成符合政府采购有关规定。</w:t>
      </w:r>
    </w:p>
    <w:p w14:paraId="51E2D4E3">
      <w:pPr>
        <w:pStyle w:val="30"/>
        <w:spacing w:beforeAutospacing="0" w:afterAutospacing="0" w:line="0" w:lineRule="atLeast"/>
        <w:ind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23.3评委会独立工作，负责评审所有投标文件并确定中标侯选人。</w:t>
      </w:r>
    </w:p>
    <w:p w14:paraId="2A3F73EE">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24．评标过程的保密与公正</w:t>
      </w:r>
    </w:p>
    <w:p w14:paraId="69AB217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24.1凡是与审查、澄清、评价和比较投标的有关资料以及授标建议等，采购人、评委、采购代理机构均不得向投标人或与评标无关的其他人员透露。</w:t>
      </w:r>
    </w:p>
    <w:p w14:paraId="4C3B448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24.2在评标过程中，投标人不得以任何行为影响评标过程，否则其投标文件将被作为无效投标文件。</w:t>
      </w:r>
    </w:p>
    <w:p w14:paraId="36CEA84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24.3 采购代理机构和评标委员会不向未中标的投标人解释未中标原因，也不公布评标过程中的相关细节。</w:t>
      </w:r>
    </w:p>
    <w:p w14:paraId="6B88B0A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24.4 采用综合评分法的项目，未中标的投标人可于中标结果公告期限届满之日起通过苏采云系统查看自己的评审得分及排序情况。</w:t>
      </w:r>
    </w:p>
    <w:p w14:paraId="7A360E34">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bookmarkStart w:id="134" w:name="_Toc513029232"/>
      <w:bookmarkStart w:id="135" w:name="_Toc20823304"/>
      <w:bookmarkStart w:id="136" w:name="_Toc16938548"/>
      <w:r>
        <w:rPr>
          <w:rFonts w:hint="eastAsia" w:ascii="宋体" w:hAnsi="宋体" w:eastAsia="宋体" w:cs="宋体"/>
          <w:color w:val="000000" w:themeColor="text1"/>
          <w:sz w:val="24"/>
          <w:szCs w:val="24"/>
          <w14:textFill>
            <w14:solidFill>
              <w14:schemeClr w14:val="tx1"/>
            </w14:solidFill>
          </w14:textFill>
        </w:rPr>
        <w:t>25．投标文件的澄清</w:t>
      </w:r>
      <w:bookmarkEnd w:id="134"/>
      <w:bookmarkEnd w:id="135"/>
      <w:bookmarkEnd w:id="136"/>
    </w:p>
    <w:p w14:paraId="518FE99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bookmarkStart w:id="137" w:name="_Toc16938549"/>
      <w:bookmarkStart w:id="138" w:name="_Toc20823305"/>
      <w:bookmarkStart w:id="139" w:name="_Toc513029233"/>
      <w:r>
        <w:rPr>
          <w:rFonts w:hint="eastAsia" w:ascii="宋体" w:hAnsi="宋体" w:eastAsia="宋体" w:cs="宋体"/>
          <w:color w:val="000000" w:themeColor="text1"/>
          <w:sz w:val="24"/>
          <w:szCs w:val="24"/>
          <w14:textFill>
            <w14:solidFill>
              <w14:schemeClr w14:val="tx1"/>
            </w14:solidFill>
          </w14:textFill>
        </w:rPr>
        <w:t>25.1评标期间，评委会对投标文件中含义不明确、同类问题表述不一致或者有明显文字和计算错误的内容 ，有权要求投标人作出必要的澄清、说明或者补正。</w:t>
      </w:r>
      <w:bookmarkEnd w:id="137"/>
      <w:bookmarkEnd w:id="138"/>
      <w:bookmarkEnd w:id="139"/>
    </w:p>
    <w:p w14:paraId="4251E80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投标人的澄清、说明或者补正不得超出投标文件的范围或者改变投标文件的实质性内容。</w:t>
      </w:r>
    </w:p>
    <w:p w14:paraId="6897B71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评标委员会并非对每个投标人都做澄清要求。</w:t>
      </w:r>
    </w:p>
    <w:p w14:paraId="4C8A077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25.2需要供应商进行澄清、说明和补正的，评委会将通过苏采云系统向供应商发出“澄清要求函”，接到“澄清要求函”的投标人应当按照要求在苏采云系统中提交“澄清响应函”并加盖CA电子公章。澄清、说明和补正的内容作为投标文件的补充部分，具体操作方式见《操作手册》。</w:t>
      </w:r>
    </w:p>
    <w:p w14:paraId="398575E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25.3 接到评委会澄清、说明和补正要求的投标人如未按规定做出澄清、说明和补正，其风险由投标人自行承担。</w:t>
      </w:r>
    </w:p>
    <w:p w14:paraId="1912575A">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26、对投标文件的初审</w:t>
      </w:r>
    </w:p>
    <w:p w14:paraId="50075BA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26.1投标文件初审分为资格审查和符合性审查。</w:t>
      </w:r>
    </w:p>
    <w:p w14:paraId="56905E9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26.1.1 资格审查：依据法律法规和招标文件的规定，由采购人或采购代理机构对投标文件中的资格证明文件进行审查。资格审查的结论，采购人以书面形式向评委会进行反馈。</w:t>
      </w:r>
    </w:p>
    <w:p w14:paraId="45C4FFC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采购人或采购代理机构在进行资格性审查的同时，将在“信用中国”网站（www.creditchina.gov.cn）查询投标人的信用记录，以确定投标人是否具备投标资格,查询结果留存并归档。</w:t>
      </w:r>
    </w:p>
    <w:p w14:paraId="71BC36B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接受联合体的项目，两个以上的自然人、法人或者其他组织组成一个联合体，以一个供应商的身份共同参加政府采购活动的,联合体成员中任何一方存在不良信用记录的，视同联合体存在不良应用记录。</w:t>
      </w:r>
    </w:p>
    <w:p w14:paraId="1210654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26.1.2 符合性审查：依据招标文件的规定，由评委会从投标文件的有效性、完整性和对招标文件的响应程度进行审查，以确定是否对招标文件的实质性要求作出响应。</w:t>
      </w:r>
    </w:p>
    <w:p w14:paraId="7AF371D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26.1.3 未通过资格审查或符合性审查的投标人，采购代理机构将在苏采云系统中告知未通过资格审查或符合性审查的原因，评审结束后，采购代理机构将不再告知未通过资格审查或符合性审查的原因。</w:t>
      </w:r>
    </w:p>
    <w:p w14:paraId="2CBF45E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26.2在详细评标之前，评委会将首先审查每份投标文件是否实质性响应了招标文件的要求。实质性响应的投标应该是与招标文件要求的全部条款、条件和规格相符，没有重大偏离或保留的投标。</w:t>
      </w:r>
    </w:p>
    <w:p w14:paraId="51EB3CA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67EF486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26.3如果投标文件实质上没有响应招标文件的要求，评委会将予以拒绝，投标人不得通过修改或撤销不合要求的偏离或保留而使其投标成为实质性响应的投标。</w:t>
      </w:r>
    </w:p>
    <w:p w14:paraId="251CC29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26.4评委会将对确定为实质性响应的投标进行进一步审核，看其是否有计算上或累加上的算术错误，修正错误的原则如下：</w:t>
      </w:r>
    </w:p>
    <w:p w14:paraId="6279A7D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（1）投标文件中开标一览表内容与投标文件中相应内容不一致的，以开标一览表为准。</w:t>
      </w:r>
    </w:p>
    <w:p w14:paraId="43D05FD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（2）大写金额和小写金额不一致的，以大写金额为准。</w:t>
      </w:r>
    </w:p>
    <w:p w14:paraId="0FF8128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（3）单价金额小数点或者百分比有明显错位的，以开标一览表的总价为准，并修改单价。</w:t>
      </w:r>
    </w:p>
    <w:p w14:paraId="3C281CA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（4）总价金额与按单价汇总金额不一致的，以单价金额计算结果为准。</w:t>
      </w:r>
    </w:p>
    <w:p w14:paraId="2B33B4A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同时出现两种以上错误的，按照前款规定的顺序修正。</w:t>
      </w:r>
    </w:p>
    <w:p w14:paraId="376C0D64">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26.5评委会将按上述修正错误的方法调整投标文件中的投标报价，并通过苏采云系统告知投标人，调整后的价格应对投标人具有约束力。如果投标人不接受修正后的价格，则其投标将被拒绝。</w:t>
      </w:r>
    </w:p>
    <w:p w14:paraId="6B1D8CB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bookmarkStart w:id="140" w:name="_Toc513029234"/>
      <w:bookmarkStart w:id="141" w:name="_Toc16938550"/>
      <w:bookmarkStart w:id="142" w:name="_Toc20823306"/>
      <w:r>
        <w:rPr>
          <w:rFonts w:hint="eastAsia" w:ascii="宋体" w:hAnsi="宋体" w:eastAsia="宋体" w:cs="宋体"/>
          <w:color w:val="000000" w:themeColor="text1"/>
          <w:sz w:val="24"/>
          <w:szCs w:val="24"/>
          <w14:textFill>
            <w14:solidFill>
              <w14:schemeClr w14:val="tx1"/>
            </w14:solidFill>
          </w14:textFill>
        </w:rPr>
        <w:t>26.6采用最低评标价法的采购项目，提供相同品牌产品的不同投标人参加同一合同项下投标的，以其中通过资格审查、符合性审查且报价最低的参加评标；报价相同的，由评标委员会按照招标文件规定的方式（招标文件未规定的通过随机抽取的方式）确定一个参加评标的投标人，其他投标无效。</w:t>
      </w:r>
      <w:bookmarkEnd w:id="140"/>
      <w:bookmarkEnd w:id="141"/>
      <w:bookmarkEnd w:id="142"/>
    </w:p>
    <w:p w14:paraId="456BE54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招标文件未规定的采取随机抽取的方式）确定一个中标候选人，其他同品牌投标人不作为中标候选人。</w:t>
      </w:r>
    </w:p>
    <w:p w14:paraId="26123D0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非单一产品采购项目，招标文件中将载明其中的核心产品。多家投标人提供的核心产品品牌相同的，按前两款规定处理。</w:t>
      </w:r>
    </w:p>
    <w:p w14:paraId="695D4A02">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26.7投标人在开、评标全过程中应保持通讯畅通，及时登录苏采云系统查阅、答复相关信息，并安排专人与采购代理机构及评标委员会联系。</w:t>
      </w:r>
    </w:p>
    <w:p w14:paraId="6258925A">
      <w:pPr>
        <w:pStyle w:val="30"/>
        <w:keepNext/>
        <w:keepLines/>
        <w:spacing w:beforeAutospacing="0" w:afterAutospacing="0"/>
        <w:ind w:firstLine="5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27、无效投标条款和废标条款</w:t>
      </w:r>
    </w:p>
    <w:p w14:paraId="6F72D55E">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bookmarkStart w:id="143" w:name="_Toc16938551"/>
      <w:bookmarkStart w:id="144" w:name="_Toc513029235"/>
      <w:bookmarkStart w:id="145" w:name="_Toc20823307"/>
      <w:r>
        <w:rPr>
          <w:rFonts w:hint="eastAsia" w:ascii="宋体" w:hAnsi="宋体" w:eastAsia="宋体" w:cs="宋体"/>
          <w:color w:val="000000" w:themeColor="text1"/>
          <w:sz w:val="24"/>
          <w:szCs w:val="24"/>
          <w14:textFill>
            <w14:solidFill>
              <w14:schemeClr w14:val="tx1"/>
            </w14:solidFill>
          </w14:textFill>
        </w:rPr>
        <w:t>27.1无效投标条款</w:t>
      </w:r>
      <w:bookmarkEnd w:id="143"/>
      <w:bookmarkEnd w:id="144"/>
      <w:bookmarkEnd w:id="145"/>
    </w:p>
    <w:p w14:paraId="199C480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27.1.1 投标人在苏采云系统规定的时间内未成功解密电子投标文件的。</w:t>
      </w:r>
    </w:p>
    <w:p w14:paraId="1EC94C0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27.1.2 投标人未按照招标文件要求上传电子投标文件的。</w:t>
      </w:r>
    </w:p>
    <w:p w14:paraId="51A8645C">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27.1.3同一投标人提交两个（含两个）以上不同的投标报价的。</w:t>
      </w:r>
    </w:p>
    <w:p w14:paraId="50627D9E">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27.1.4投标人不具备招标文件中规定资格要求的。</w:t>
      </w:r>
    </w:p>
    <w:p w14:paraId="6818F182">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27.1.5投标人的报价超过了采购预算或最高限价的。</w:t>
      </w:r>
    </w:p>
    <w:p w14:paraId="3098655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27.1.6未通过符合性审查的。</w:t>
      </w:r>
    </w:p>
    <w:p w14:paraId="4CB47D8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27.1.7不符合招标文件中规定的实质性要求和条件的（</w:t>
      </w:r>
      <w:r>
        <w:rPr>
          <w:rFonts w:hint="eastAsia" w:ascii="宋体" w:hAnsi="宋体" w:eastAsia="宋体" w:cs="宋体"/>
          <w:i/>
          <w:color w:val="000000" w:themeColor="text1"/>
          <w:sz w:val="24"/>
          <w:szCs w:val="24"/>
          <w:u w:val="single"/>
          <w14:textFill>
            <w14:solidFill>
              <w14:schemeClr w14:val="tx1"/>
            </w14:solidFill>
          </w14:textFill>
        </w:rPr>
        <w:t>本招标文件中斜体且有下划线部分为实质性要求和条件）。</w:t>
      </w:r>
    </w:p>
    <w:p w14:paraId="347ECC0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27.1.8 投标人被 “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67C93C1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27.1.9  投标文件含有采购人不能接受的附加条件的。</w:t>
      </w:r>
    </w:p>
    <w:p w14:paraId="7E07836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27.1.10评标委员会认为投标人的报价明显低于其他通过符合性审查投标人的报价，有可能影响产品质量或者不能诚信履约的，将通过苏采云系统要求其在合理的时间内提供说明，必要时提交相关证明材料；投标人不能证明其报价合理性的，评标委员会应当将其作为无效投标处理。</w:t>
      </w:r>
    </w:p>
    <w:p w14:paraId="069613FC">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（一）采购人应当在采购文件中明确，政府采购评审中出现下列情形之一的，评审委员会应当启动异常低价投标（响应）审查程序：</w:t>
      </w:r>
    </w:p>
    <w:p w14:paraId="468967D7">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0616CE9">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549BFD43">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3.投标（响应）报价低于采购项目最高限价45%的，即投标（响应）报价&lt;采购项目最高限价×45%；</w:t>
      </w:r>
    </w:p>
    <w:p w14:paraId="7F4FCC47">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4.评审委员会基于专业判断，认为供应商报价过低，有可能影响产品质量或者不能诚信履约的其他情形。</w:t>
      </w:r>
    </w:p>
    <w:p w14:paraId="335CB0F0">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采购人可以结合具体项目实际情况，提高上述第1项至第3项中启动异常低价投标（响应）审查的数值标准，但是最高不得超过65%。</w:t>
      </w:r>
    </w:p>
    <w:p w14:paraId="05FCA575">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相关法律法规对供应商报价有规定的，从其规定。</w:t>
      </w:r>
    </w:p>
    <w:p w14:paraId="48642ACE">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5CB0E9B">
      <w:pPr>
        <w:pStyle w:val="30"/>
        <w:spacing w:beforeAutospacing="0" w:afterAutospacing="0"/>
        <w:ind w:firstLine="48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9FC2E1F">
      <w:pPr>
        <w:pStyle w:val="30"/>
        <w:spacing w:beforeAutospacing="0" w:afterAutospacing="0"/>
        <w:ind w:firstLine="482"/>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CCD87D9">
      <w:pPr>
        <w:pStyle w:val="30"/>
        <w:spacing w:beforeAutospacing="0" w:afterAutospacing="0"/>
        <w:ind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p>
    <w:p w14:paraId="19E548C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27.1.11 本项目采购产品被财政部、国家发改委、生态环境部等列入“节能产品品目清单”、“环境标志产品品目清单”强制采购范围，而投标人所投标产品不在强制采购范围内的。（投标产品如属于政府强制采购节能产品品目清单范围内，投标文件中必须提供国家确定的认证机构出具的、处于有效期之内的该节能产品认证证书图片）</w:t>
      </w:r>
    </w:p>
    <w:p w14:paraId="188A343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27.1.12 投标文件未按照招标文件要求加盖CA电子公章的。</w:t>
      </w:r>
    </w:p>
    <w:p w14:paraId="69A8EFF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27.1.13其他法律、法规及本招标文件规定的属无效投标的情形。</w:t>
      </w:r>
    </w:p>
    <w:p w14:paraId="007CE7C7">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27.2废标条款</w:t>
      </w:r>
    </w:p>
    <w:p w14:paraId="2039F7F4">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27.2.1符合专业条件的供应商或者对招标文件作实质响应的供应商不足三家的。</w:t>
      </w:r>
    </w:p>
    <w:p w14:paraId="624DEA76">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27.2.2出现影响采购公正的违法、违规行为的。</w:t>
      </w:r>
    </w:p>
    <w:p w14:paraId="2E50E73F">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27.2.3因重大变故，采购任务取消的。</w:t>
      </w:r>
    </w:p>
    <w:p w14:paraId="37387DC1">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27.2.4评标委员会认定招标文件存在歧义、重大缺陷导致评审工作无法进行。</w:t>
      </w:r>
    </w:p>
    <w:p w14:paraId="604228ED">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27.2.5 因苏采云系统系统故障原因造成开标不成功的。</w:t>
      </w:r>
    </w:p>
    <w:p w14:paraId="2AFF2B5B">
      <w:pPr>
        <w:pStyle w:val="30"/>
        <w:spacing w:beforeAutospacing="0" w:afterAutospacing="0" w:line="0" w:lineRule="atLeast"/>
        <w:ind w:left="47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27.3 投标截止时间结束后参加投标的供应商不足三家的处理：</w:t>
      </w:r>
    </w:p>
    <w:p w14:paraId="707BB12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27.3.1如出现投标截止时间结束后参加投标的供应商或者在评标期间对招标文件做出实质响应的供应商不足三家情况，按政府采购相关规定执行。</w:t>
      </w:r>
    </w:p>
    <w:p w14:paraId="13BE58D4">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146" w:name="_Toc120614219"/>
      <w:r>
        <w:rPr>
          <w:rFonts w:hint="eastAsia" w:ascii="宋体" w:hAnsi="宋体" w:eastAsia="宋体" w:cs="宋体"/>
          <w:b/>
          <w:color w:val="000000" w:themeColor="text1"/>
          <w:sz w:val="24"/>
          <w:szCs w:val="24"/>
          <w14:textFill>
            <w14:solidFill>
              <w14:schemeClr w14:val="tx1"/>
            </w14:solidFill>
          </w14:textFill>
        </w:rPr>
        <w:t>六、定标</w:t>
      </w:r>
      <w:bookmarkEnd w:id="146"/>
    </w:p>
    <w:p w14:paraId="6CF15D84">
      <w:pPr>
        <w:pStyle w:val="30"/>
        <w:keepNext/>
        <w:keepLines/>
        <w:spacing w:beforeAutospacing="0" w:afterAutospacing="0"/>
        <w:ind w:firstLine="600"/>
        <w:jc w:val="both"/>
        <w:rPr>
          <w:rFonts w:hint="eastAsia" w:ascii="宋体" w:hAnsi="宋体" w:eastAsia="宋体" w:cs="宋体"/>
          <w:color w:val="000000" w:themeColor="text1"/>
          <w:sz w:val="24"/>
          <w:szCs w:val="24"/>
          <w14:textFill>
            <w14:solidFill>
              <w14:schemeClr w14:val="tx1"/>
            </w14:solidFill>
          </w14:textFill>
        </w:rPr>
      </w:pPr>
      <w:bookmarkStart w:id="147" w:name="_Toc20823310"/>
      <w:bookmarkStart w:id="148" w:name="_Toc513029238"/>
      <w:bookmarkStart w:id="149" w:name="_Toc16938554"/>
      <w:r>
        <w:rPr>
          <w:rFonts w:hint="eastAsia" w:ascii="宋体" w:hAnsi="宋体" w:eastAsia="宋体" w:cs="宋体"/>
          <w:color w:val="000000" w:themeColor="text1"/>
          <w:sz w:val="24"/>
          <w:szCs w:val="24"/>
          <w14:textFill>
            <w14:solidFill>
              <w14:schemeClr w14:val="tx1"/>
            </w14:solidFill>
          </w14:textFill>
        </w:rPr>
        <w:t>28、</w:t>
      </w:r>
      <w:bookmarkEnd w:id="147"/>
      <w:r>
        <w:rPr>
          <w:rFonts w:hint="eastAsia" w:ascii="宋体" w:hAnsi="宋体" w:eastAsia="宋体" w:cs="宋体"/>
          <w:color w:val="000000" w:themeColor="text1"/>
          <w:sz w:val="24"/>
          <w:szCs w:val="24"/>
          <w14:textFill>
            <w14:solidFill>
              <w14:schemeClr w14:val="tx1"/>
            </w14:solidFill>
          </w14:textFill>
        </w:rPr>
        <w:t>确定</w:t>
      </w:r>
      <w:bookmarkEnd w:id="148"/>
      <w:bookmarkEnd w:id="149"/>
      <w:r>
        <w:rPr>
          <w:rFonts w:hint="eastAsia" w:ascii="宋体" w:hAnsi="宋体" w:eastAsia="宋体" w:cs="宋体"/>
          <w:color w:val="000000" w:themeColor="text1"/>
          <w:sz w:val="24"/>
          <w:szCs w:val="24"/>
          <w14:textFill>
            <w14:solidFill>
              <w14:schemeClr w14:val="tx1"/>
            </w14:solidFill>
          </w14:textFill>
        </w:rPr>
        <w:t>中标单位</w:t>
      </w:r>
    </w:p>
    <w:p w14:paraId="5EB7BA6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28.1中标候选人的选取原则和数量见招标文件第五章规定。 </w:t>
      </w:r>
    </w:p>
    <w:p w14:paraId="2BE6DD4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28.2采购人应根据评委会推荐的中标候选人确定中标人。</w:t>
      </w:r>
    </w:p>
    <w:p w14:paraId="3D004C7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28.3采购代理机构将在中国政府采购网”、“江苏政府采购网”、“盐城市政府采购网”、“阜宁县公共资源电子化服务平台”发布中标公告，公告期限为1个工作日。</w:t>
      </w:r>
    </w:p>
    <w:p w14:paraId="386E0C9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28.4若有充分证据证明，中标人出现下列情况之一的，一经查实，将被取消中标资格：</w:t>
      </w:r>
    </w:p>
    <w:p w14:paraId="0BCD3E74">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28.4.1提供虚假材料谋取中标的。</w:t>
      </w:r>
    </w:p>
    <w:p w14:paraId="13E8AC6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28.4.2向采购人、采购代理机构行贿或者提供其他不正当利益的。</w:t>
      </w:r>
    </w:p>
    <w:p w14:paraId="734172C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28.4.3属于本文件规定的无效条件，但在评标过程中又未被评委会发现的。</w:t>
      </w:r>
    </w:p>
    <w:p w14:paraId="2D18E97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28.4.4与采购人或者其他供应商恶意串通的。</w:t>
      </w:r>
    </w:p>
    <w:p w14:paraId="6B4A574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28.4.5采取不正当手段诋毁、排挤其他供应商的。</w:t>
      </w:r>
    </w:p>
    <w:p w14:paraId="3FFAA27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bookmarkStart w:id="150" w:name="_Toc200451960"/>
      <w:r>
        <w:rPr>
          <w:rFonts w:hint="eastAsia" w:ascii="宋体" w:hAnsi="宋体" w:eastAsia="宋体" w:cs="宋体"/>
          <w:color w:val="000000" w:themeColor="text1"/>
          <w:sz w:val="24"/>
          <w:szCs w:val="24"/>
          <w14:textFill>
            <w14:solidFill>
              <w14:schemeClr w14:val="tx1"/>
            </w14:solidFill>
          </w14:textFill>
        </w:rPr>
        <w:t>28.5.有下列情形之一的，视为投标人串通投标，投标无效：</w:t>
      </w:r>
      <w:bookmarkEnd w:id="150"/>
    </w:p>
    <w:p w14:paraId="17D0A97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28.5.1不同投标人的投标文件由同一单位或者个人编制；</w:t>
      </w:r>
    </w:p>
    <w:p w14:paraId="25879A9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28.5.2不同投标人委托同一单位或者个人办理投标事宜；</w:t>
      </w:r>
    </w:p>
    <w:p w14:paraId="35059A6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28.5.3 不同投标人的投标文件载明的项目管理成员或者联系人员为同一人；</w:t>
      </w:r>
    </w:p>
    <w:p w14:paraId="16134A48">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28.5.4不同投标人的投标文件异常一致或者投标报价呈规律性差异；</w:t>
      </w:r>
    </w:p>
    <w:p w14:paraId="72D577B2">
      <w:pPr>
        <w:pStyle w:val="30"/>
        <w:keepNext/>
        <w:keepLines/>
        <w:spacing w:beforeAutospacing="0" w:afterAutospacing="0"/>
        <w:ind w:firstLine="6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29、质疑处理</w:t>
      </w:r>
    </w:p>
    <w:p w14:paraId="59C4C9E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29.1 提出质疑的供应商应当是参与所质疑项目采购活动的供应商。潜在供应商依法获取其可质疑的采购文件的，可以对采购文件提出质疑。</w:t>
      </w:r>
    </w:p>
    <w:p w14:paraId="5664335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29.2供应商认为采购文件、采购过程和采购结果使自己的权益受到损害的，可以在知道或应知其权益受到损害之日起七个工作日内，以书面形式根据下述29.4条款的规定向采购代理机构或采购人提出质疑。上述应知其权益受到损害之日，是指：</w:t>
      </w:r>
    </w:p>
    <w:p w14:paraId="2C6A5E0C">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29.2.1对可以质疑的采购文件提出质疑的，为收到采购文件之日或者采购文件公告期限届满之日；</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   29.2.2对采购过程提出质疑的，为各采购程序环节结束之日；</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   29.2.3对中标或者成交结果提出质疑的，为中标或者成交结果公告期限届满之日。</w:t>
      </w:r>
    </w:p>
    <w:p w14:paraId="1C1F729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bookmarkStart w:id="151" w:name="OLE_LINK24"/>
      <w:r>
        <w:rPr>
          <w:rFonts w:hint="eastAsia" w:ascii="宋体" w:hAnsi="宋体" w:eastAsia="宋体" w:cs="宋体"/>
          <w:color w:val="000000" w:themeColor="text1"/>
          <w:sz w:val="24"/>
          <w:szCs w:val="24"/>
          <w14:textFill>
            <w14:solidFill>
              <w14:schemeClr w14:val="tx1"/>
            </w14:solidFill>
          </w14:textFill>
        </w:rPr>
        <w:t>供应商应当在法定质疑期内一次性提出针对同一采购程序环节的质疑。供应商如在法定期限内对同一采购程序环节提出多次质疑的，采购人、采购代理机构将只对供应商第一次质疑作出答复。</w:t>
      </w:r>
      <w:bookmarkEnd w:id="151"/>
    </w:p>
    <w:p w14:paraId="5CF6537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29.3质疑函必须按照本招标文件中《质疑函范本》要求的格式和内容进行填写。供应商如组成联合体参加投标，则《质疑函范本》中要求签字、盖章、加盖公章之处，联合体各方均须按要求签字、盖章、加盖公章。</w:t>
      </w:r>
    </w:p>
    <w:p w14:paraId="47C9E77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29.4 供应商（含潜在供应商）对采购方式、招标文件中采购需求、供应商资格条件、评标方法和评标标准、合同文本及资格审查结果的询问、质疑请向采购人提出，由采购人负责答复。供应商对其他事项的询问、质疑请向采购代理机构提出，由采购代理机构负责答复。</w:t>
      </w:r>
    </w:p>
    <w:p w14:paraId="296C6A6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采购人及采购代理机构只接收以纸质原件形式送达的质疑,采购人和采购代理机构不接受未填写快递运单的快件。</w:t>
      </w:r>
    </w:p>
    <w:p w14:paraId="071C5D74">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 以下情形的质疑不予受理</w:t>
      </w:r>
    </w:p>
    <w:p w14:paraId="7F914B5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29.5.1 内容不符合《政府采购质疑和投诉办法》第十二条规定的质疑。</w:t>
      </w:r>
    </w:p>
    <w:p w14:paraId="5117AD5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29.5.2 超出政府采购法定期限的质疑。</w:t>
      </w:r>
    </w:p>
    <w:p w14:paraId="26178371">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29.5.3 以传真、电子邮件等方式递交的非原件形式的质疑。</w:t>
      </w:r>
    </w:p>
    <w:p w14:paraId="276C3DD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29.5.4 未参加投标活动的供应商或在投标活动中自身权益未受到损害的供应商所提出的质疑。</w:t>
      </w:r>
    </w:p>
    <w:p w14:paraId="295142B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29.5.5供应商组成联合体参加投标，联合体中任何一方或多方未按要求签字、盖章、加盖公章的质疑。</w:t>
      </w:r>
    </w:p>
    <w:p w14:paraId="0E6878F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29.6  供应商提出书面质疑必须有理、有据，不得捏造事实、提供虚假材料进行恶意质疑。否则，一经查实，采购代理机构有权依据政府采购的有关规定，报请政府采购监管部门对该供应商进行相应的行政处罚和记录该供应商的失信信息。</w:t>
      </w:r>
    </w:p>
    <w:p w14:paraId="0DF24AE6">
      <w:pPr>
        <w:pStyle w:val="30"/>
        <w:keepNext/>
        <w:keepLines/>
        <w:spacing w:beforeAutospacing="0" w:afterAutospacing="0"/>
        <w:ind w:firstLine="6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30、中标通知书</w:t>
      </w:r>
    </w:p>
    <w:p w14:paraId="4F0DFD4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30.l</w:t>
      </w:r>
      <w:r>
        <w:rPr>
          <w:rFonts w:hint="eastAsia" w:ascii="宋体" w:hAnsi="宋体" w:eastAsia="宋体" w:cs="宋体"/>
          <w:b/>
          <w:color w:val="000000" w:themeColor="text1"/>
          <w:sz w:val="24"/>
          <w:szCs w:val="24"/>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t>中标结果确定后，采购代理机构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4605D1C0">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30.2中标通知书将是合同的一个组成部分。对采购人和中标供应商均具有法律效力。中标通知书发出后，采购人改变中标结果的，或者中标供应商放弃中标项目的，应当依法承担法律责任。</w:t>
      </w:r>
    </w:p>
    <w:p w14:paraId="5ED6DDAB">
      <w:pPr>
        <w:pStyle w:val="30"/>
        <w:keepNext/>
        <w:keepLines/>
        <w:spacing w:before="145" w:beforeAutospacing="0" w:after="145" w:afterAutospacing="0" w:line="360" w:lineRule="auto"/>
        <w:ind w:firstLine="643"/>
        <w:jc w:val="both"/>
        <w:rPr>
          <w:rFonts w:hint="eastAsia" w:ascii="宋体" w:hAnsi="宋体" w:eastAsia="宋体" w:cs="宋体"/>
          <w:color w:val="000000" w:themeColor="text1"/>
          <w:sz w:val="24"/>
          <w:szCs w:val="24"/>
          <w14:textFill>
            <w14:solidFill>
              <w14:schemeClr w14:val="tx1"/>
            </w14:solidFill>
          </w14:textFill>
        </w:rPr>
      </w:pPr>
      <w:bookmarkStart w:id="152" w:name="_Toc20823308"/>
      <w:bookmarkStart w:id="153" w:name="_Toc513029236"/>
      <w:bookmarkStart w:id="154" w:name="_Toc120614220"/>
      <w:bookmarkStart w:id="155" w:name="_Toc16938552"/>
      <w:r>
        <w:rPr>
          <w:rFonts w:hint="eastAsia" w:ascii="宋体" w:hAnsi="宋体" w:eastAsia="宋体" w:cs="宋体"/>
          <w:b/>
          <w:color w:val="000000" w:themeColor="text1"/>
          <w:sz w:val="24"/>
          <w:szCs w:val="24"/>
          <w14:textFill>
            <w14:solidFill>
              <w14:schemeClr w14:val="tx1"/>
            </w14:solidFill>
          </w14:textFill>
        </w:rPr>
        <w:t>七、授予合同</w:t>
      </w:r>
      <w:bookmarkEnd w:id="152"/>
      <w:bookmarkEnd w:id="153"/>
      <w:bookmarkEnd w:id="154"/>
      <w:bookmarkEnd w:id="155"/>
    </w:p>
    <w:p w14:paraId="3FD53760">
      <w:pPr>
        <w:pStyle w:val="30"/>
        <w:keepNext/>
        <w:keepLines/>
        <w:spacing w:beforeAutospacing="0" w:afterAutospacing="0"/>
        <w:ind w:firstLine="600"/>
        <w:jc w:val="both"/>
        <w:rPr>
          <w:rFonts w:hint="eastAsia" w:ascii="宋体" w:hAnsi="宋体" w:eastAsia="宋体" w:cs="宋体"/>
          <w:color w:val="000000" w:themeColor="text1"/>
          <w:sz w:val="24"/>
          <w:szCs w:val="24"/>
          <w14:textFill>
            <w14:solidFill>
              <w14:schemeClr w14:val="tx1"/>
            </w14:solidFill>
          </w14:textFill>
        </w:rPr>
      </w:pPr>
      <w:bookmarkStart w:id="156" w:name="_Toc16938553"/>
      <w:bookmarkStart w:id="157" w:name="_Toc20823309"/>
      <w:bookmarkStart w:id="158" w:name="_Toc513029237"/>
      <w:r>
        <w:rPr>
          <w:rFonts w:hint="eastAsia" w:ascii="宋体" w:hAnsi="宋体" w:eastAsia="宋体" w:cs="宋体"/>
          <w:color w:val="000000" w:themeColor="text1"/>
          <w:sz w:val="24"/>
          <w:szCs w:val="24"/>
          <w14:textFill>
            <w14:solidFill>
              <w14:schemeClr w14:val="tx1"/>
            </w14:solidFill>
          </w14:textFill>
        </w:rPr>
        <w:t>31. 签订合同</w:t>
      </w:r>
      <w:bookmarkEnd w:id="156"/>
      <w:bookmarkEnd w:id="157"/>
      <w:bookmarkEnd w:id="158"/>
    </w:p>
    <w:p w14:paraId="3B519A32">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31.l中标人应当在中标通知书发出之日起三十日内，按照招标文件确定的事项与采购人签订政府采购合同。</w:t>
      </w:r>
    </w:p>
    <w:p w14:paraId="47C5C3E9">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31.2招标文件、中标人的投标文件及招标过程中有关澄清、承诺文件均应作为合同附件。</w:t>
      </w:r>
    </w:p>
    <w:p w14:paraId="60EA278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31.3 签订合同后，</w:t>
      </w:r>
      <w:r>
        <w:rPr>
          <w:rFonts w:hint="eastAsia" w:ascii="宋体" w:hAnsi="宋体" w:eastAsia="宋体" w:cs="宋体"/>
          <w:i/>
          <w:color w:val="000000" w:themeColor="text1"/>
          <w:sz w:val="24"/>
          <w:szCs w:val="24"/>
          <w:u w:val="single"/>
          <w14:textFill>
            <w14:solidFill>
              <w14:schemeClr w14:val="tx1"/>
            </w14:solidFill>
          </w14:textFill>
        </w:rPr>
        <w:t>中标人不得将合同标的进行转包</w:t>
      </w:r>
      <w:r>
        <w:rPr>
          <w:rFonts w:hint="eastAsia" w:ascii="宋体" w:hAnsi="宋体" w:eastAsia="宋体" w:cs="宋体"/>
          <w:color w:val="000000" w:themeColor="text1"/>
          <w:sz w:val="24"/>
          <w:szCs w:val="24"/>
          <w14:textFill>
            <w14:solidFill>
              <w14:schemeClr w14:val="tx1"/>
            </w14:solidFill>
          </w14:textFill>
        </w:rPr>
        <w:t>。未经采购人同意，中标人也不得采用分包的形式履行合同，否则采购人有权终止合同。转包或分包造成采购人损失的，中标人应承担相应赔偿责任。</w:t>
      </w:r>
    </w:p>
    <w:p w14:paraId="7A8BD332">
      <w:pPr>
        <w:pStyle w:val="30"/>
        <w:keepNext/>
        <w:keepLines/>
        <w:spacing w:beforeAutospacing="0" w:afterAutospacing="0"/>
        <w:ind w:firstLine="6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32、货物（包含与货物相关的服务）的追加</w:t>
      </w:r>
    </w:p>
    <w:p w14:paraId="779FCA9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32.1政府采购合同履行中，采购人需追加与合同标的相同的货物（包含与货物相关的服务）的，在不改变合同其他条款的前提下，可以与中标人协商签订补充合同，但所有补充合同的采购金额不超过原合同金额10%。</w:t>
      </w:r>
    </w:p>
    <w:p w14:paraId="720EEBF9">
      <w:pPr>
        <w:pStyle w:val="30"/>
        <w:spacing w:beforeAutospacing="0" w:afterAutospacing="0"/>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33.政府采购政策功能落实</w:t>
      </w:r>
    </w:p>
    <w:p w14:paraId="3EA2C724">
      <w:pPr>
        <w:pStyle w:val="30"/>
        <w:keepNext/>
        <w:keepLines/>
        <w:spacing w:beforeAutospacing="0" w:afterAutospacing="0"/>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33.1政府采购线上合同信用融资政策</w:t>
      </w:r>
    </w:p>
    <w:p w14:paraId="7831DEF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根据《转发江苏省财政厅 中国人民银行南京分行&lt;关于深入推进政府采购线上合同信用融资工作的通知&gt;的通知》（盐财购〔2021〕20号）规定，中标供应商如有融资需求，可持政府采购合同在线向相关金融机构（具体信息详见盐城市政府采购网“政采贷”栏目）申请贷款，相关金融机构按照双方自愿的原则提供便捷、优惠的贷款服务；具体操作流程请参考苏采云系统中供应商操作手册。 </w:t>
      </w:r>
    </w:p>
    <w:p w14:paraId="05A8ADEB">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33.2进口产品</w:t>
      </w:r>
    </w:p>
    <w:p w14:paraId="5E25FDB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734478A">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33.3中小企业、监狱企业及残疾人福利性单位</w:t>
      </w:r>
    </w:p>
    <w:p w14:paraId="63807B9C">
      <w:pPr>
        <w:spacing w:line="48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33.3.1中小企业定义：</w:t>
      </w:r>
    </w:p>
    <w:p w14:paraId="4C9CBD8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印发中小企业划型标准规定的通知》（工信部联企业〔2011〕300 号）、《国务院关于进一步促进中小企业发展的若干意见》（国发〔2009〕36 号）。</w:t>
      </w:r>
    </w:p>
    <w:p w14:paraId="30D4ACC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33.3.2供应商提供的货物、工程或者服务符合下列情形的，享受中小企业扶持政策：</w:t>
      </w:r>
    </w:p>
    <w:p w14:paraId="6761BEF4">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33.3.2.1在货物采购项目中，货物由中小企业制造，即货物由中小企业生产且使用该中小企业商号或者注册商标；</w:t>
      </w:r>
    </w:p>
    <w:p w14:paraId="31163D4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33.3.2.2在工程采购项目中，工程由中小企业承建，即工程施工单位为中小企业；</w:t>
      </w:r>
    </w:p>
    <w:p w14:paraId="4DFC19B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33.3.2.3在服务采购项目中，服务由中小企业承接，即提供服务的人员为中小企业依照《中华人民共和国劳动合同法》订立劳动合同的从业人员。</w:t>
      </w:r>
    </w:p>
    <w:p w14:paraId="3EA95C77">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33.3.3在货物采购项目中，供应商提供的货物既有中小企业制造货物，也有大型企业制造货物的，不享受中小企业扶持政策。</w:t>
      </w:r>
    </w:p>
    <w:p w14:paraId="18C13D1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33.3.4以联合体形式参加政府采购活动，联合体各方均为中小企业的，联合体视同中小企业。其中，联合体各方均为小微企业的，联合体视同小微企业。</w:t>
      </w:r>
    </w:p>
    <w:p w14:paraId="34D8F3DF">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33.3.5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5B434FA">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33.3.6残疾人福利单位定义：享受政府采购支持政策的残疾人福利性单位应当同时满足以下条件：</w:t>
      </w:r>
    </w:p>
    <w:p w14:paraId="2C10A4F6">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33.3.6.1安置的残疾人占本单位在职职工人数的比例不低于25%（含25%），并且安置的残疾人人数不少于10 人（含10 人）；</w:t>
      </w:r>
    </w:p>
    <w:p w14:paraId="273AB3B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33.3.6.2依法与安置的每位残疾人签订了一年以上（含一年）的劳动合同或服务协议；</w:t>
      </w:r>
    </w:p>
    <w:p w14:paraId="25054FF3">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33.3.6.3为安置的每位残疾人按月足额缴纳了基本养老保险、基本医疗保险、失业保险、工伤保险和生育保险等社会保险费；</w:t>
      </w:r>
    </w:p>
    <w:p w14:paraId="2B08B5C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33.3.6.4通过银行等金融机构向安置的每位残疾人，按月支付了不低于单位所在区县适用的经省级人民政府批准的月最低工资标准的工资；</w:t>
      </w:r>
    </w:p>
    <w:p w14:paraId="20CB233D">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33.3.6.5提供本单位制造的货物、承担的工程或者服务（以下简称产品），或者提供其他残疾人福利性单位制造的货物（不包括使用非残疾人福利性单位注册商标的货物）；</w:t>
      </w:r>
    </w:p>
    <w:p w14:paraId="3B85C34B">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33.3.6.6前款所称残疾人是指法定劳动年龄内，持有《中华人民共和国残疾人证》或者《中华人民共和国残疾军人证（1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677771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33.3.7本项目是否专门面向中小企业预留采购份额见第一章《投标邀请》。</w:t>
      </w:r>
    </w:p>
    <w:p w14:paraId="66321B5E">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33.3.8采购标的对应的中小企业划分标准所属行业见第四章《采购需求》。</w:t>
      </w:r>
    </w:p>
    <w:p w14:paraId="3CD37815">
      <w:pPr>
        <w:pStyle w:val="30"/>
        <w:spacing w:beforeAutospacing="0" w:afterAutospacing="0" w:line="0" w:lineRule="atLeast"/>
        <w:ind w:firstLine="4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33.3.9小微企业价格评审优惠的政策：见第五章《评标方法和评标标准》。</w:t>
      </w:r>
    </w:p>
    <w:p w14:paraId="24130294">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33.4政府采购节能产品、环境标志产品</w:t>
      </w:r>
    </w:p>
    <w:p w14:paraId="56196F77">
      <w:pPr>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33.4.1</w:t>
      </w:r>
      <w:r>
        <w:rPr>
          <w:rFonts w:hint="eastAsia" w:ascii="宋体" w:hAnsi="宋体" w:eastAsia="宋体" w:cs="宋体"/>
          <w:color w:val="000000" w:themeColor="text1"/>
          <w:kern w:val="0"/>
          <w:sz w:val="24"/>
          <w:szCs w:val="24"/>
          <w14:textFill>
            <w14:solidFill>
              <w14:schemeClr w14:val="tx1"/>
            </w14:solidFill>
          </w14:textFill>
        </w:rPr>
        <w:t>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w:t>
      </w:r>
      <w:r>
        <w:rPr>
          <w:rFonts w:hint="eastAsia" w:ascii="宋体" w:hAnsi="宋体" w:eastAsia="宋体" w:cs="宋体"/>
          <w:b/>
          <w:i/>
          <w:color w:val="000000" w:themeColor="text1"/>
          <w:kern w:val="0"/>
          <w:sz w:val="24"/>
          <w:szCs w:val="24"/>
          <w14:textFill>
            <w14:solidFill>
              <w14:schemeClr w14:val="tx1"/>
            </w14:solidFill>
          </w14:textFill>
        </w:rPr>
        <w:t>如属政府强制采购产品未提供认证证书的或认证证书提供不全的将视为未实质性响应采购要求</w:t>
      </w:r>
      <w:r>
        <w:rPr>
          <w:rFonts w:hint="eastAsia" w:ascii="宋体" w:hAnsi="宋体" w:eastAsia="宋体" w:cs="宋体"/>
          <w:i/>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其他条件相同情况下，应当优先采购节能产品、环境标志产品。</w:t>
      </w:r>
    </w:p>
    <w:p w14:paraId="3644E8D9">
      <w:pPr>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33.4.2</w:t>
      </w:r>
      <w:r>
        <w:rPr>
          <w:rFonts w:hint="eastAsia" w:ascii="宋体" w:hAnsi="宋体" w:eastAsia="宋体" w:cs="宋体"/>
          <w:color w:val="000000" w:themeColor="text1"/>
          <w:kern w:val="0"/>
          <w:sz w:val="24"/>
          <w:szCs w:val="24"/>
          <w14:textFill>
            <w14:solidFill>
              <w14:schemeClr w14:val="tx1"/>
            </w14:solidFill>
          </w14:textFill>
        </w:rPr>
        <w:t>节能、环保产品的品目清单按照《关于印发环境标志产品政府采购品目清单的通知》（财库〔2019〕18号）、《关于印发节能产品政府采购品目清单的通知》（财库〔2019〕19号）执行。国家对品目清单进行调整的，按照最新调整的品目清单执行。</w:t>
      </w:r>
    </w:p>
    <w:p w14:paraId="19DDC9C3">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33.5绿色包装</w:t>
      </w:r>
    </w:p>
    <w:p w14:paraId="3C828DB7">
      <w:pPr>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项目中涉及商品的包装应按照“财办库〔2020〕123号《关于印发《商品包装政府采购需求标准（试行）》、《快递包装政府采购需求标准（试行）》的通知》”执行,在供货、安装过程中能做到低碳物流、环保节约、提高资源利用率。</w:t>
      </w:r>
    </w:p>
    <w:p w14:paraId="4EFAFB2D">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33.6政府采购创新产品</w:t>
      </w:r>
    </w:p>
    <w:p w14:paraId="2D9B3368">
      <w:pPr>
        <w:pBdr>
          <w:top w:val="none" w:color="000000" w:sz="0" w:space="0"/>
          <w:left w:val="none" w:color="000000" w:sz="0" w:space="0"/>
          <w:bottom w:val="none" w:color="000000" w:sz="0" w:space="0"/>
          <w:right w:val="none" w:color="000000" w:sz="0" w:space="0"/>
        </w:pBdr>
        <w:spacing w:line="85" w:lineRule="atLeast"/>
        <w:ind w:firstLine="478"/>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采购人优先采购各级政府部门公开发布的有效期内的创新产品、创新服务、首台套、首购首用等《目录》的创新产品</w:t>
      </w:r>
      <w:r>
        <w:rPr>
          <w:rFonts w:hint="eastAsia" w:ascii="宋体" w:hAnsi="宋体" w:eastAsia="宋体" w:cs="宋体"/>
          <w:color w:val="000000" w:themeColor="text1"/>
          <w:sz w:val="24"/>
          <w:szCs w:val="24"/>
          <w14:textFill>
            <w14:solidFill>
              <w14:schemeClr w14:val="tx1"/>
            </w14:solidFill>
          </w14:textFill>
        </w:rPr>
        <w:t>。</w:t>
      </w:r>
    </w:p>
    <w:p w14:paraId="57947BB5">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33.7绿色数据中心政策 </w:t>
      </w:r>
    </w:p>
    <w:p w14:paraId="722A8D32">
      <w:pPr>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文件中若涉及到数据中心采购，采购人应依据《绿色数据中心政府采购需求标准（试行）》（财办库〔2023〕7号）文件精神，在采购数据中心相关设备、运维服务，应当有利于节约能源、环境保护和资源循环利用，按照《需求标准》实施相关采购活动。采购人应当加强采购需求管理，根据《需求标准》提出的指标编制数据中心相关设备、运维服务政府采购项目的采购文件，并在合同中明确对相关指标的验收方式和违约责任。采购人应当在履约验收中对供应商提供的产品或服务进行抽查检测，必要时可委托取得相关资质的第三方机构对其进行检测、认证。因检测、认证涉及生产过程或检测时间长等原因，不能在验收过程中开展检测、认证的，可要求供应商在验收阶段提供相关检测报告、认证报告。</w:t>
      </w:r>
    </w:p>
    <w:p w14:paraId="2CD48721">
      <w:pPr>
        <w:spacing w:line="480" w:lineRule="exact"/>
        <w:ind w:firstLine="480"/>
        <w:rPr>
          <w:rFonts w:hint="eastAsia" w:ascii="宋体" w:hAnsi="宋体" w:eastAsia="宋体" w:cs="宋体"/>
          <w:sz w:val="24"/>
          <w:szCs w:val="24"/>
        </w:rPr>
      </w:pPr>
      <w:r>
        <w:rPr>
          <w:rFonts w:hint="eastAsia" w:ascii="宋体" w:hAnsi="宋体" w:eastAsia="宋体" w:cs="宋体"/>
          <w:color w:val="000000" w:themeColor="text1"/>
          <w:kern w:val="0"/>
          <w:sz w:val="24"/>
          <w:szCs w:val="24"/>
          <w14:textFill>
            <w14:solidFill>
              <w14:schemeClr w14:val="tx1"/>
            </w14:solidFill>
          </w14:textFill>
        </w:rPr>
        <w:t>33.8实施本国产品标准及相关政策</w:t>
      </w:r>
    </w:p>
    <w:p w14:paraId="478F435E">
      <w:pPr>
        <w:ind w:firstLine="48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33.8.1本项目对采购本国产品给予政策支持，具体内容见招标文件“第五章 评标方法与评标标准”。</w:t>
      </w:r>
    </w:p>
    <w:p w14:paraId="0AE12D5C">
      <w:pPr>
        <w:ind w:firstLine="48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33.8.2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DAC844">
      <w:pPr>
        <w:tabs>
          <w:tab w:val="left" w:pos="1381"/>
        </w:tabs>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33.8.3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17E41D3">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33.9履约保证金政策</w:t>
      </w:r>
    </w:p>
    <w:p w14:paraId="0958FA7B">
      <w:pPr>
        <w:pStyle w:val="196"/>
        <w:spacing w:after="0"/>
        <w:ind w:left="0" w:firstLine="480" w:firstLineChars="200"/>
        <w:rPr>
          <w:rFonts w:hint="eastAsia" w:ascii="宋体" w:hAnsi="宋体" w:eastAsia="宋体" w:cs="宋体"/>
          <w:color w:val="000000" w:themeColor="text1"/>
          <w:kern w:val="0"/>
          <w:sz w:val="24"/>
          <w:szCs w:val="24"/>
          <w14:textFill>
            <w14:solidFill>
              <w14:schemeClr w14:val="tx1"/>
            </w14:solidFill>
          </w14:textFill>
        </w:rPr>
      </w:pPr>
      <w:bookmarkStart w:id="159" w:name="OLE_LINK1"/>
      <w:r>
        <w:rPr>
          <w:rFonts w:hint="eastAsia" w:ascii="宋体" w:hAnsi="宋体" w:eastAsia="宋体" w:cs="宋体"/>
          <w:color w:val="000000" w:themeColor="text1"/>
          <w:kern w:val="0"/>
          <w:sz w:val="24"/>
          <w:szCs w:val="24"/>
          <w14:textFill>
            <w14:solidFill>
              <w14:schemeClr w14:val="tx1"/>
            </w14:solidFill>
          </w14:textFill>
        </w:rPr>
        <w:t>履约保证金的缴纳形式：</w:t>
      </w:r>
    </w:p>
    <w:p w14:paraId="5026339F">
      <w:pPr>
        <w:pStyle w:val="196"/>
        <w:spacing w:after="0"/>
        <w:ind w:left="0" w:firstLine="480" w:firstLineChars="200"/>
        <w:rPr>
          <w:rFonts w:hint="eastAsia" w:ascii="宋体" w:hAnsi="宋体" w:eastAsia="宋体" w:cs="宋体"/>
          <w:b/>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项目履约保证金按中标（合同）价的5%执行，中标人应在签订合同前将履约保证金应当以支票、汇票、本票或者金融机构、担保机构出具的保函等非现金形式提交履约保证金。以转账、电汇或银行汇票等形式从乙方的账户转至下列账户，</w:t>
      </w:r>
      <w:r>
        <w:rPr>
          <w:rFonts w:hint="eastAsia" w:ascii="宋体" w:hAnsi="宋体" w:eastAsia="宋体" w:cs="宋体"/>
          <w:b/>
          <w:color w:val="000000" w:themeColor="text1"/>
          <w:kern w:val="0"/>
          <w:sz w:val="24"/>
          <w:szCs w:val="24"/>
          <w:u w:val="single"/>
          <w14:textFill>
            <w14:solidFill>
              <w14:schemeClr w14:val="tx1"/>
            </w14:solidFill>
          </w14:textFill>
        </w:rPr>
        <w:t>收款单位名称：阜宁县芦蒲镇财政和资产管理局 账号： 3209231401201000018856开户行：阜宁农商行芦蒲支行</w:t>
      </w:r>
    </w:p>
    <w:p w14:paraId="4AFD64AA">
      <w:pPr>
        <w:pStyle w:val="196"/>
        <w:spacing w:after="0"/>
        <w:ind w:left="0"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鼓励供应商以履约保函（保险）形式缴纳履约保证金，供应商可通过政府采购电子履约保函（保险）平台（www.jsdzbh.com）在线申请履约保函（保险）。采用保函形式提交的，其受益人为甲方，保函的有效期不得低于合同的履行期限。</w:t>
      </w:r>
    </w:p>
    <w:p w14:paraId="1ADFB88A">
      <w:pPr>
        <w:pStyle w:val="196"/>
        <w:spacing w:after="0"/>
        <w:ind w:left="0" w:firstLine="561"/>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采购人对第三方信用服务机构依据标准规范评定为 AA 级及以上的政府采购供应商（需在签订采购合同前提供信用管理部门备案的第三方信用报告，且信用报告通过“信用盐城网”可查实），免收履约保证金。</w:t>
      </w:r>
    </w:p>
    <w:bookmarkEnd w:id="159"/>
    <w:p w14:paraId="184C23EE">
      <w:pPr>
        <w:tabs>
          <w:tab w:val="left" w:pos="1381"/>
        </w:tabs>
        <w:spacing w:line="480" w:lineRule="exact"/>
        <w:ind w:firstLine="482"/>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34. 预付款制度</w:t>
      </w:r>
    </w:p>
    <w:p w14:paraId="23108FD2">
      <w:pPr>
        <w:ind w:firstLine="480" w:firstLineChars="20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本项目落实预付款制度，预付款比例为</w:t>
      </w:r>
      <w:r>
        <w:rPr>
          <w:rFonts w:hint="eastAsia" w:ascii="宋体" w:hAnsi="宋体" w:eastAsia="宋体" w:cs="宋体"/>
          <w:color w:val="000000" w:themeColor="text1"/>
          <w:kern w:val="0"/>
          <w:sz w:val="24"/>
          <w:szCs w:val="24"/>
          <w:u w:val="single"/>
          <w14:textFill>
            <w14:solidFill>
              <w14:schemeClr w14:val="tx1"/>
            </w14:solidFill>
          </w14:textFill>
        </w:rPr>
        <w:t>30</w:t>
      </w:r>
      <w:r>
        <w:rPr>
          <w:rFonts w:hint="eastAsia" w:ascii="宋体" w:hAnsi="宋体" w:eastAsia="宋体" w:cs="宋体"/>
          <w:color w:val="000000" w:themeColor="text1"/>
          <w:kern w:val="0"/>
          <w:sz w:val="24"/>
          <w:szCs w:val="24"/>
          <w14:textFill>
            <w14:solidFill>
              <w14:schemeClr w14:val="tx1"/>
            </w14:solidFill>
          </w14:textFill>
        </w:rPr>
        <w:t>%。在签订合同时，中标、成交供应商明确书面表示无需预付款或者主动要求降低预付款比例的，采购人可就预付款比例作相应调整。</w:t>
      </w:r>
    </w:p>
    <w:p w14:paraId="1A13F870">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宋体" w:hAnsi="宋体" w:eastAsia="宋体" w:cs="宋体"/>
          <w:b w:val="0"/>
          <w:bCs/>
          <w:sz w:val="44"/>
          <w:highlight w:val="none"/>
        </w:rPr>
        <w:br w:type="page" w:clear="all"/>
      </w:r>
    </w:p>
    <w:p w14:paraId="7B41FB95">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092696BA">
      <w:pPr>
        <w:pStyle w:val="30"/>
        <w:keepNext/>
        <w:spacing w:beforeAutospacing="0" w:afterAutospacing="0"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color w:val="000000"/>
          <w:sz w:val="32"/>
          <w:szCs w:val="32"/>
        </w:rPr>
        <w:t>第三章  合同文本</w:t>
      </w:r>
    </w:p>
    <w:p w14:paraId="573B32E7">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bookmarkStart w:id="160" w:name="_Toc16938559"/>
      <w:bookmarkStart w:id="161" w:name="_Toc513029243"/>
      <w:bookmarkStart w:id="162" w:name="_Toc20823315"/>
      <w:r>
        <w:rPr>
          <w:rFonts w:hint="eastAsia" w:asciiTheme="minorEastAsia" w:hAnsiTheme="minorEastAsia" w:eastAsiaTheme="minorEastAsia" w:cstheme="minorEastAsia"/>
          <w:color w:val="000000"/>
          <w:sz w:val="24"/>
          <w:szCs w:val="24"/>
        </w:rPr>
        <w:t>以下为中标后签定本项目合同的通用条款，中标人不得提出实质性的修改。</w:t>
      </w:r>
      <w:bookmarkEnd w:id="160"/>
      <w:bookmarkEnd w:id="161"/>
      <w:bookmarkEnd w:id="162"/>
    </w:p>
    <w:p w14:paraId="56D39AFB">
      <w:pPr>
        <w:pStyle w:val="30"/>
        <w:spacing w:before="145" w:beforeAutospacing="0" w:after="145"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盐城市政府采购合同（货物）（合同编号）</w:t>
      </w:r>
    </w:p>
    <w:p w14:paraId="65D2FDDE">
      <w:pPr>
        <w:pStyle w:val="30"/>
        <w:spacing w:before="120" w:beforeAutospacing="0" w:after="120" w:afterAutospacing="0" w:line="360" w:lineRule="auto"/>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项目名称：                        </w:t>
      </w:r>
    </w:p>
    <w:p w14:paraId="5BC2C4E2">
      <w:pPr>
        <w:pStyle w:val="30"/>
        <w:spacing w:before="120" w:beforeAutospacing="0" w:after="120" w:afterAutospacing="0" w:line="360" w:lineRule="auto"/>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项目编号：</w:t>
      </w:r>
    </w:p>
    <w:p w14:paraId="24395974">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甲方：（买方）_________</w:t>
      </w:r>
    </w:p>
    <w:p w14:paraId="1579C7EB">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乙方：（卖方）_________</w:t>
      </w:r>
    </w:p>
    <w:p w14:paraId="3D9E5F92">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 xml:space="preserve">   </w:t>
      </w:r>
      <w:r>
        <w:rPr>
          <w:rFonts w:hint="eastAsia" w:asciiTheme="minorEastAsia" w:hAnsiTheme="minorEastAsia" w:eastAsiaTheme="minorEastAsia" w:cstheme="minorEastAsia"/>
          <w:color w:val="000000"/>
          <w:sz w:val="24"/>
          <w:szCs w:val="24"/>
        </w:rPr>
        <w:t>甲、乙双方根据</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项目公开招标的结果，签署本合同。</w:t>
      </w:r>
    </w:p>
    <w:p w14:paraId="2F4EE456">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一、合同内容</w:t>
      </w:r>
    </w:p>
    <w:p w14:paraId="49564E1D">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 标的名称：</w:t>
      </w:r>
    </w:p>
    <w:p w14:paraId="13CE8A41">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1.2 标的质量：</w:t>
      </w:r>
    </w:p>
    <w:p w14:paraId="728C2E52">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1.3 标的数量（规模）：</w:t>
      </w:r>
    </w:p>
    <w:p w14:paraId="5AFE1D51">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1.4 履行时间（期限）：</w:t>
      </w:r>
    </w:p>
    <w:p w14:paraId="54D9DAFC">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1.5 履行地点：</w:t>
      </w:r>
    </w:p>
    <w:p w14:paraId="131E3F8E">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1.6 履行方式：</w:t>
      </w:r>
    </w:p>
    <w:p w14:paraId="02BDD38C">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1.7 包装方式：</w:t>
      </w:r>
    </w:p>
    <w:p w14:paraId="37433083">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二、合同金额</w:t>
      </w:r>
    </w:p>
    <w:p w14:paraId="44B4FD5C">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2.1 本合同金额为（大写）：</w:t>
      </w:r>
      <w:r>
        <w:rPr>
          <w:rFonts w:hint="eastAsia" w:asciiTheme="minorEastAsia" w:hAnsi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rPr>
        <w:t>（___元）人民币或其他币种。</w:t>
      </w:r>
    </w:p>
    <w:p w14:paraId="2FF2D22C">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三、技术资料</w:t>
      </w:r>
    </w:p>
    <w:p w14:paraId="72F7F70F">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3.1乙方应按招标文件规定的时间向甲方提供使用货物(包含与货物相关的服务)的有关技术资料。</w:t>
      </w:r>
    </w:p>
    <w:p w14:paraId="46EB74B6">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053E740">
      <w:pPr>
        <w:pStyle w:val="30"/>
        <w:spacing w:before="120" w:beforeAutospacing="0" w:after="120" w:afterAutospacing="0" w:line="360" w:lineRule="auto"/>
        <w:ind w:left="412" w:hanging="41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四、知识产权</w:t>
      </w:r>
    </w:p>
    <w:p w14:paraId="14181409">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4.1乙方应保证甲方在使用、接受本合同货物（包含与货物相关的服务）或其任何一部分时不受第三方提出侵犯其专利权、版权、商标权和工业设计权等知识产权的起诉。一旦出现侵权，由乙方负全部责任。</w:t>
      </w:r>
    </w:p>
    <w:p w14:paraId="7BD539F8">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五、产权担保</w:t>
      </w:r>
    </w:p>
    <w:p w14:paraId="20A63805">
      <w:pPr>
        <w:pStyle w:val="30"/>
        <w:spacing w:before="120" w:beforeAutospacing="0" w:after="120" w:afterAutospacing="0" w:line="360" w:lineRule="auto"/>
        <w:ind w:left="408" w:hanging="40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5.1 乙方保证所交付的货物（包含与货物相关的服务）的所有权完全属于乙方且无任何抵押、查封等产权瑕疵。</w:t>
      </w:r>
    </w:p>
    <w:p w14:paraId="7B319251">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六、履约保证金</w:t>
      </w:r>
    </w:p>
    <w:p w14:paraId="31F4C95C">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 履约保证金缴纳:</w:t>
      </w:r>
    </w:p>
    <w:p w14:paraId="7243B142">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6.1.1本项目履约保证金按中标（合同）价的5%执行，乙方应按阜政办发﹝2015﹞56号文件规定要求，在本项目中标结果公告质疑期结束之日起十日内且在签订合同前将履约保证金以转帐、电汇或银行汇票等形式从乙方的帐户转至下列账户，收款单位名称：阜宁县芦蒲镇财政和资产管理局 账号： 3209231401201000018856开户行：阜宁农商行芦蒲支行。</w:t>
      </w:r>
    </w:p>
    <w:p w14:paraId="53E802AC">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可以采用保函形式提交履约保证金，需要办理保函的，可以通过政府采购电子履约保函（保险）平台（www.jsdzbh.com)在线申请履约保函（保险），也可以自行另行办理。采用保函形式提交的，其受益人为甲方（采购人），保函的有效期不得低于合同的履行期限。</w:t>
      </w:r>
    </w:p>
    <w:p w14:paraId="6061630B">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6.1.2依据盐财购〔2021〕19号文件规定，</w:t>
      </w:r>
      <w:bookmarkStart w:id="163" w:name="_Hlk126942959"/>
      <w:r>
        <w:rPr>
          <w:rFonts w:hint="eastAsia" w:asciiTheme="minorEastAsia" w:hAnsiTheme="minorEastAsia" w:eastAsiaTheme="minorEastAsia" w:cstheme="minorEastAsia"/>
          <w:sz w:val="24"/>
          <w:szCs w:val="24"/>
        </w:rPr>
        <w:t>乙方</w:t>
      </w:r>
      <w:bookmarkEnd w:id="163"/>
      <w:r>
        <w:rPr>
          <w:rFonts w:hint="eastAsia" w:asciiTheme="minorEastAsia" w:hAnsiTheme="minorEastAsia" w:eastAsiaTheme="minorEastAsia" w:cstheme="minorEastAsia"/>
          <w:sz w:val="24"/>
          <w:szCs w:val="24"/>
        </w:rPr>
        <w:t>具有AA评级及以上（或80分及以上）信用等级的且信用报告通过信用管理部门备案并通过“信用盐城网”可查实或信用报告概述页等内容通过“信用盐城网”可查实（需向阜宁县公共资源交易中心提供第三方信用报告原件和加盖乙方公章的第三方信用报告的复印件），履约保证金将减按3%缴纳。</w:t>
      </w:r>
    </w:p>
    <w:p w14:paraId="52026F0D">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6.1.3履约保证金作为乙方承担违约责任的担保，如果乙方没有及时承担违约责任，履约保证金可作为甲方损失的弥补，不予退还，不足部分，另行赔偿。如果乙方承担了相关责任，则甲方应在合同责任解除后退还全部的履约保证金。</w:t>
      </w:r>
    </w:p>
    <w:p w14:paraId="7897E9A6">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 履约保证金退还:</w:t>
      </w:r>
    </w:p>
    <w:p w14:paraId="53698C06">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6.2.1 乙方在本合同全部履行完毕并经验收合格后，凭履约保证金退还申请表并经甲方同意后，即可到阜宁县公共资源交易中心原渠道三个工作日内无息退还。因乙方自身原因造成延期退还的，甲方不承担责任。</w:t>
      </w:r>
    </w:p>
    <w:p w14:paraId="235756E9">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6.2.2 如为保函，在到期时自行失效。</w:t>
      </w:r>
    </w:p>
    <w:p w14:paraId="750CF5DA">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6.3履约保证金不予退还情形：</w:t>
      </w:r>
    </w:p>
    <w:p w14:paraId="33552ED8">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除不可抗力情况外，投标人出现下列情形之一的，其履约保证金，招标人将视情节决定不予退还或部分不予退还。</w:t>
      </w:r>
    </w:p>
    <w:p w14:paraId="23F16C42">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（1）中标人无正当理由拒绝签订合同的，或者在签订合同时向采购人提出附加条件或者更改合同实质性内容要求的；</w:t>
      </w:r>
    </w:p>
    <w:p w14:paraId="30DCC148">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（2）中标人不履行与采购人订立的合同的；</w:t>
      </w:r>
    </w:p>
    <w:p w14:paraId="2556724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（3）中标人所供货物或服务不符合招标文件规定要求的；</w:t>
      </w:r>
    </w:p>
    <w:p w14:paraId="287F06AF">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（4）中标人采取欺骗、弄虚作假方式投标的或与其它投标人串通投标的；</w:t>
      </w:r>
    </w:p>
    <w:p w14:paraId="1BEEBCC9">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（5）中标人将合同内容转包、违法分包的；</w:t>
      </w:r>
    </w:p>
    <w:p w14:paraId="37F720C6">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（6）中标人故意捏造事实或伪造证明材料，进行虚假恶意投诉或反映的。</w:t>
      </w:r>
    </w:p>
    <w:p w14:paraId="098F8FCA">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6.4逾期退还的违约责任：</w:t>
      </w:r>
    </w:p>
    <w:p w14:paraId="7EAE83A6">
      <w:pPr>
        <w:spacing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采购人逾期无故未退还履约保证金的，按中国人民银行同期贷款基准利率上浮20%后的利率支付超期资金占用费，但因供应商自身原因导致无法及时退还的除外。</w:t>
      </w:r>
    </w:p>
    <w:p w14:paraId="58B488EF">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七、合同转包或分包</w:t>
      </w:r>
    </w:p>
    <w:p w14:paraId="07C8A7A1">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7.1乙方不得将合同标的转包给他人履行。</w:t>
      </w:r>
    </w:p>
    <w:p w14:paraId="1C8974E7">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7.2乙方不得将合同标的分包给他人履行。</w:t>
      </w:r>
    </w:p>
    <w:p w14:paraId="492026AB">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7.3乙方如有转包或未经甲方同意的分包行为，甲方有权给予终止合同。</w:t>
      </w:r>
    </w:p>
    <w:p w14:paraId="7FB4593C">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八、合同款项支付</w:t>
      </w:r>
    </w:p>
    <w:p w14:paraId="17A9EAD8">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8.1合同款项的支付方式及进度安排</w:t>
      </w:r>
    </w:p>
    <w:p w14:paraId="220E4ED7">
      <w:pPr>
        <w:pStyle w:val="30"/>
        <w:spacing w:before="120" w:beforeAutospacing="0" w:after="120" w:afterAutospacing="0" w:line="360" w:lineRule="auto"/>
        <w:ind w:left="480" w:hanging="480"/>
        <w:jc w:val="both"/>
        <w:rPr>
          <w:rFonts w:hint="eastAsia" w:eastAsia="宋体" w:asciiTheme="minorEastAsia" w:hAnsi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8</w:t>
      </w:r>
      <w:r>
        <w:rPr>
          <w:rFonts w:hint="eastAsia" w:eastAsia="宋体" w:asciiTheme="minorEastAsia" w:hAnsi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1.1 预付款支付时间：合同签订后30日内，付合同价的30%；</w:t>
      </w:r>
      <w:r>
        <w:rPr>
          <w:rFonts w:hint="eastAsia" w:eastAsia="宋体" w:asciiTheme="minorEastAsia" w:hAnsiTheme="minorEastAsia" w:cstheme="minorEastAsia"/>
          <w:color w:val="000000"/>
          <w:sz w:val="24"/>
          <w:szCs w:val="24"/>
          <w:lang w:eastAsia="zh-CN"/>
        </w:rPr>
        <w:t>注：在签订合同时，供应商明确表示无需预付款或者主动要求降低预付款比例的，采购人可不适用前述规定。中标人放弃预付款的，中标人应向采购人出具放弃预付款的声明函。</w:t>
      </w:r>
    </w:p>
    <w:p w14:paraId="3430FC15">
      <w:pPr>
        <w:pStyle w:val="198"/>
        <w:spacing w:before="120" w:after="120"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8.1.2 尾款支付时间：</w:t>
      </w:r>
      <w:r>
        <w:rPr>
          <w:rFonts w:hint="eastAsia" w:asciiTheme="minorEastAsia" w:hAnsiTheme="minorEastAsia" w:eastAsiaTheme="minorEastAsia" w:cstheme="minorEastAsia"/>
          <w:b w:val="0"/>
          <w:color w:val="000000"/>
          <w:position w:val="0"/>
          <w:sz w:val="24"/>
          <w:szCs w:val="24"/>
          <w:lang w:val="en-US" w:eastAsia="zh-CN" w:bidi="ar-SA"/>
        </w:rPr>
        <w:t>材料全部进场，经验收符合标准，支付合同总价款的50%；项目工程竣工,经初验合格后，拨付至合同总价款85%；工程竣工经有权第三方初审后，付至审定价款的90%；余款待终审结束后一次性结清（以上付款均无息，上级资产到位后拨款）。</w:t>
      </w:r>
    </w:p>
    <w:p w14:paraId="40D4E706">
      <w:pPr>
        <w:pStyle w:val="30"/>
        <w:spacing w:before="120" w:beforeAutospacing="0" w:after="120" w:afterAutospacing="0" w:line="360" w:lineRule="auto"/>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8.2当采购数量与实际使用数量不一致时，乙方应根据实际使用量供货，合同的最终结算金额按实际使用量乘以成交单价进行计算。</w:t>
      </w:r>
    </w:p>
    <w:p w14:paraId="29D1BD5A">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九、税费</w:t>
      </w:r>
    </w:p>
    <w:p w14:paraId="7A107DAA">
      <w:pPr>
        <w:pStyle w:val="30"/>
        <w:spacing w:before="145" w:beforeAutospacing="0" w:after="145"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9.1本合同执行中相关的一切税费均由乙方负担。</w:t>
      </w:r>
    </w:p>
    <w:p w14:paraId="3DE566F3">
      <w:pPr>
        <w:pStyle w:val="30"/>
        <w:spacing w:before="120" w:beforeAutospacing="0" w:after="120" w:afterAutospacing="0" w:line="360" w:lineRule="auto"/>
        <w:ind w:left="412" w:hanging="41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十、质量保修范围和保修期及售后服务</w:t>
      </w:r>
    </w:p>
    <w:p w14:paraId="5A26181A">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10.1 乙方应按招标文件规定的货物性能、技术要求、质量标准向甲方提供未经使用的全新产品。</w:t>
      </w:r>
    </w:p>
    <w:p w14:paraId="2FE17DB4">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10.2 乙方提供的货物在质量期内因货物本身的质量问题发生故障，乙方应负责免费更换。对达不到技术要求者，根据实际情况，经双方协商，可按以下办法处理：</w:t>
      </w:r>
    </w:p>
    <w:p w14:paraId="3D309B16">
      <w:pPr>
        <w:pStyle w:val="30"/>
        <w:spacing w:before="120" w:beforeAutospacing="0" w:after="120" w:afterAutospacing="0"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⑴更换：由乙方承担所发生的全部费用。</w:t>
      </w:r>
    </w:p>
    <w:p w14:paraId="61463461">
      <w:pPr>
        <w:pStyle w:val="30"/>
        <w:spacing w:before="120" w:beforeAutospacing="0" w:after="120" w:afterAutospacing="0"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⑵贬值处理：由甲乙双方合议定价。</w:t>
      </w:r>
    </w:p>
    <w:p w14:paraId="47055A19">
      <w:pPr>
        <w:pStyle w:val="30"/>
        <w:spacing w:before="120" w:beforeAutospacing="0" w:after="120" w:afterAutospacing="0"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⑶退货处理：乙方应退还甲方支付的合同款，同时应承担该货物的直接费用（运输、保险、检验、货款利息及银行手续费等）。</w:t>
      </w:r>
    </w:p>
    <w:p w14:paraId="3821E937">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10.3 如在使用过程中发生质量问题，乙方在接到甲方通知后在_________小时内到达甲方现场。</w:t>
      </w:r>
    </w:p>
    <w:p w14:paraId="6F8BFC79">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10.4 在质保期内，乙方应对货物出现的质量及安全问题负责处理解决并承担一切费用。</w:t>
      </w:r>
    </w:p>
    <w:p w14:paraId="56E6594C">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10.5上述的货物免费保修期为</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年（自交货验收合格之日起计），因人为因素出现的故障不在免费保修范围内。超过保修期的机器设备，终生维修，维修时只收部件成本费。</w:t>
      </w:r>
    </w:p>
    <w:p w14:paraId="733C8876">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十一、项目验收</w:t>
      </w:r>
    </w:p>
    <w:p w14:paraId="411C63FA">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11.1 甲方依法组织履约验收工作。</w:t>
      </w:r>
    </w:p>
    <w:p w14:paraId="78CD175A">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09755CA2">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11.3 对于实际使用人和甲方分离的项目，甲方邀请实际使用人参与验收。</w:t>
      </w:r>
    </w:p>
    <w:p w14:paraId="5EA6EDEB">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11.4 如有必要，甲方邀请参加本项目的其他供应商或第三方专业机构及专家参与验收，相关意见将作为验收书的参考资料。</w:t>
      </w:r>
    </w:p>
    <w:p w14:paraId="766B353E">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11.5 甲方成立验收小组，按照采购合同的约定对乙方的履约情况进行验收。验收时间、验收标准见招标文件验收内容。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214D20DC">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11.6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5A53FD5A">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十二、货物的包装、发运及运输</w:t>
      </w:r>
    </w:p>
    <w:p w14:paraId="5491024D">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000000"/>
          <w:sz w:val="24"/>
          <w:szCs w:val="24"/>
        </w:rPr>
        <w:t>12.1 乙方应在货物发运前对其进行满足运输距离、防潮、防震、防锈和防破损装卸等要求包装，以保证货物安全运达甲方指定地点。</w:t>
      </w:r>
      <w:r>
        <w:rPr>
          <w:rFonts w:hint="eastAsia" w:asciiTheme="minorEastAsia" w:hAnsiTheme="minorEastAsia" w:eastAsiaTheme="minorEastAsia" w:cstheme="minorEastAsia"/>
          <w:color w:val="auto"/>
          <w:sz w:val="24"/>
          <w:szCs w:val="24"/>
        </w:rPr>
        <w:t>乙方对货物的包装应符合《商品包装政府采购需求标准（试行）》、《快递包装政府采购需求标准（试行）》的规定。</w:t>
      </w:r>
    </w:p>
    <w:p w14:paraId="44E0BCB5">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12.2 使用说明书、质量检验证明书、随配附件和工具以及清单一并附于货物内。</w:t>
      </w:r>
    </w:p>
    <w:p w14:paraId="726F5C96">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12.3 乙方在货物发运手续办理完毕后24小时内或货到甲方48小时前通知甲方，以准备接货。</w:t>
      </w:r>
    </w:p>
    <w:p w14:paraId="1DBCDCAE">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12.4 货物在交付甲方前发生的风险均由乙方负责。</w:t>
      </w:r>
    </w:p>
    <w:p w14:paraId="2D2FD421">
      <w:pPr>
        <w:pStyle w:val="30"/>
        <w:spacing w:before="156" w:beforeAutospacing="0" w:after="156" w:afterAutospacing="0" w:line="360" w:lineRule="auto"/>
        <w:ind w:left="480" w:right="26"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12.5 货物在规定的交付期限内由乙方送达甲方指定的地点视为交付，乙方同时需通知甲方货物已送达。</w:t>
      </w:r>
    </w:p>
    <w:p w14:paraId="6BE2D76A">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十三、违约责任</w:t>
      </w:r>
    </w:p>
    <w:p w14:paraId="3B237FEE">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13.1 甲方无正当理由拒收货物的，甲方向乙方偿付拒收货款总值</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的违约金。</w:t>
      </w:r>
    </w:p>
    <w:p w14:paraId="7B4425EF">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13.2 甲方无故逾期验收和办理货款支付手续的,甲方应按逾期付款总额每日</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向乙方支付违约金。</w:t>
      </w:r>
    </w:p>
    <w:p w14:paraId="71215DDE">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13.3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 xml:space="preserve">的违约金，如造成甲方损失超过违约金的，超出部分由乙方继续承担赔偿责任。 </w:t>
      </w:r>
    </w:p>
    <w:p w14:paraId="1C118064">
      <w:pPr>
        <w:pStyle w:val="30"/>
        <w:spacing w:before="120" w:beforeAutospacing="0" w:after="120" w:afterAutospacing="0" w:line="360" w:lineRule="auto"/>
        <w:ind w:left="410" w:hanging="4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13.4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0E5731A3">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十四、不可抗力事件处理</w:t>
      </w:r>
    </w:p>
    <w:p w14:paraId="4636CC5A">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14.1 在合同有效期内，任何一方因不可抗力事件导致不能履行合同，则合同履行期可延长，其延长期与不可抗力影响期相同。</w:t>
      </w:r>
    </w:p>
    <w:p w14:paraId="40136338">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14.2 不可抗力事件发生后，应立即通知对方，并寄送有关权威机构出具的证明。</w:t>
      </w:r>
    </w:p>
    <w:p w14:paraId="4B81B5E0">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14.3 不可抗力事件延续120天以上，双方应通过友好协商，确定是否继续履行合同。</w:t>
      </w:r>
    </w:p>
    <w:p w14:paraId="77E0C1E6">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十五、解决争议的方法</w:t>
      </w:r>
    </w:p>
    <w:p w14:paraId="2EAE72CD">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15.1甲乙双方因合同签订、履行而发生的一切争议，应通过友好协商解决。如协商不成由甲方住所地人民法院管辖。</w:t>
      </w:r>
    </w:p>
    <w:p w14:paraId="511F12E0">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十六、合同生效及其它</w:t>
      </w:r>
    </w:p>
    <w:p w14:paraId="61300FE8">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16.1 合同经双方法定代表人或授权委托代表人签字并加盖单位公章后生效。</w:t>
      </w:r>
    </w:p>
    <w:p w14:paraId="2D002257">
      <w:pPr>
        <w:pStyle w:val="30"/>
        <w:spacing w:before="120" w:beforeAutospacing="0" w:after="12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16.2本合同未尽事宜，遵照《民法典》、《政府采购法》有关条文执行。</w:t>
      </w:r>
    </w:p>
    <w:p w14:paraId="0C0A08B3">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ascii="宋体" w:hAnsi="宋体"/>
          <w:b w:val="0"/>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sz w:val="24"/>
          <w:szCs w:val="24"/>
        </w:rPr>
        <w:t xml:space="preserve">16.3 </w:t>
      </w:r>
      <w:bookmarkStart w:id="164" w:name="_Toc479757211"/>
      <w:bookmarkStart w:id="165" w:name="_Toc16938590"/>
      <w:bookmarkStart w:id="166" w:name="_Toc462564139"/>
      <w:bookmarkStart w:id="167" w:name="_Toc120614244"/>
      <w:bookmarkStart w:id="168" w:name="_Hlt16619350"/>
      <w:bookmarkStart w:id="169" w:name="_Toc20823346"/>
      <w:bookmarkStart w:id="170" w:name="_Hlt16619369"/>
      <w:r>
        <w:rPr>
          <w:rFonts w:hint="eastAsia" w:ascii="宋体" w:hAnsi="宋体"/>
          <w:b w:val="0"/>
          <w:bCs/>
          <w:color w:val="000000" w:themeColor="text1"/>
          <w:sz w:val="24"/>
          <w:szCs w:val="24"/>
          <w14:textFill>
            <w14:solidFill>
              <w14:schemeClr w14:val="tx1"/>
            </w14:solidFill>
          </w14:textFill>
        </w:rPr>
        <w:t>本合同一式</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份，甲方执</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份，乙方执</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份，均具有同等法律效力。</w:t>
      </w:r>
    </w:p>
    <w:p w14:paraId="2D6D8C26">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ascii="宋体" w:hAnsi="宋体"/>
          <w:b w:val="0"/>
          <w:bCs/>
          <w:color w:val="000000" w:themeColor="text1"/>
          <w:sz w:val="24"/>
          <w:szCs w:val="24"/>
          <w14:textFill>
            <w14:solidFill>
              <w14:schemeClr w14:val="tx1"/>
            </w14:solidFill>
          </w14:textFill>
        </w:rPr>
      </w:pPr>
      <w:r>
        <w:rPr>
          <w:rFonts w:hint="eastAsia" w:ascii="宋体" w:hAnsi="宋体"/>
          <w:b w:val="0"/>
          <w:bCs/>
          <w:color w:val="000000" w:themeColor="text1"/>
          <w:sz w:val="24"/>
          <w:szCs w:val="24"/>
          <w14:textFill>
            <w14:solidFill>
              <w14:schemeClr w14:val="tx1"/>
            </w14:solidFill>
          </w14:textFill>
        </w:rPr>
        <w:t>合同订立时间：</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年</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月</w:t>
      </w:r>
      <w:r>
        <w:rPr>
          <w:rFonts w:hint="eastAsia" w:ascii="宋体" w:hAnsi="宋体"/>
          <w:b w:val="0"/>
          <w:bCs/>
          <w:color w:val="000000" w:themeColor="text1"/>
          <w:sz w:val="24"/>
          <w:szCs w:val="24"/>
          <w:u w:val="single"/>
          <w14:textFill>
            <w14:solidFill>
              <w14:schemeClr w14:val="tx1"/>
            </w14:solidFill>
          </w14:textFill>
        </w:rPr>
        <w:t xml:space="preserve">      </w:t>
      </w:r>
      <w:r>
        <w:rPr>
          <w:rFonts w:hint="eastAsia" w:ascii="宋体" w:hAnsi="宋体"/>
          <w:b w:val="0"/>
          <w:bCs/>
          <w:color w:val="000000" w:themeColor="text1"/>
          <w:sz w:val="24"/>
          <w:szCs w:val="24"/>
          <w14:textFill>
            <w14:solidFill>
              <w14:schemeClr w14:val="tx1"/>
            </w14:solidFill>
          </w14:textFill>
        </w:rPr>
        <w:t>日</w:t>
      </w:r>
    </w:p>
    <w:p w14:paraId="2B830FA6">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ascii="宋体" w:hAnsi="宋体"/>
          <w:b w:val="0"/>
          <w:bCs/>
          <w:color w:val="000000" w:themeColor="text1"/>
          <w:sz w:val="24"/>
          <w:szCs w:val="24"/>
          <w14:textFill>
            <w14:solidFill>
              <w14:schemeClr w14:val="tx1"/>
            </w14:solidFill>
          </w14:textFill>
        </w:rPr>
      </w:pPr>
      <w:r>
        <w:rPr>
          <w:rFonts w:hint="eastAsia" w:ascii="宋体" w:hAnsi="宋体"/>
          <w:b w:val="0"/>
          <w:bCs/>
          <w:color w:val="000000" w:themeColor="text1"/>
          <w:sz w:val="24"/>
          <w:szCs w:val="24"/>
          <w14:textFill>
            <w14:solidFill>
              <w14:schemeClr w14:val="tx1"/>
            </w14:solidFill>
          </w14:textFill>
        </w:rPr>
        <w:t>合同订立地点：</w:t>
      </w:r>
      <w:r>
        <w:rPr>
          <w:rFonts w:hint="eastAsia" w:ascii="宋体" w:hAnsi="宋体"/>
          <w:b w:val="0"/>
          <w:bCs/>
          <w:color w:val="000000" w:themeColor="text1"/>
          <w:sz w:val="24"/>
          <w:szCs w:val="24"/>
          <w:u w:val="single"/>
          <w14:textFill>
            <w14:solidFill>
              <w14:schemeClr w14:val="tx1"/>
            </w14:solidFill>
          </w14:textFill>
        </w:rPr>
        <w:t xml:space="preserve">                           </w:t>
      </w:r>
    </w:p>
    <w:p w14:paraId="10524628">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hint="eastAsia" w:ascii="宋体" w:hAnsi="宋体"/>
          <w:b w:val="0"/>
          <w:bCs/>
          <w:color w:val="000000" w:themeColor="text1"/>
          <w:sz w:val="24"/>
          <w:szCs w:val="24"/>
          <w14:textFill>
            <w14:solidFill>
              <w14:schemeClr w14:val="tx1"/>
            </w14:solidFill>
          </w14:textFill>
        </w:rPr>
      </w:pPr>
      <w:r>
        <w:rPr>
          <w:rFonts w:hint="eastAsia" w:ascii="宋体" w:hAnsi="宋体"/>
          <w:b w:val="0"/>
          <w:bCs/>
          <w:color w:val="000000" w:themeColor="text1"/>
          <w:sz w:val="24"/>
          <w:szCs w:val="24"/>
          <w14:textFill>
            <w14:solidFill>
              <w14:schemeClr w14:val="tx1"/>
            </w14:solidFill>
          </w14:textFill>
        </w:rPr>
        <w:t>附件：具体标的及其技术要求和商务要求、联合协议、分包意向协议等。</w:t>
      </w:r>
    </w:p>
    <w:p w14:paraId="7940BABB">
      <w:pPr>
        <w:pStyle w:val="30"/>
        <w:spacing w:before="120" w:beforeAutospacing="0" w:after="120" w:afterAutospacing="0" w:line="360" w:lineRule="auto"/>
        <w:ind w:left="480" w:hanging="480"/>
        <w:jc w:val="both"/>
        <w:rPr>
          <w:rFonts w:hint="eastAsia" w:asciiTheme="minorEastAsia" w:hAnsiTheme="minorEastAsia" w:eastAsiaTheme="minorEastAsia" w:cstheme="minorEastAsia"/>
          <w:color w:val="000000"/>
          <w:sz w:val="24"/>
          <w:szCs w:val="24"/>
        </w:rPr>
      </w:pPr>
    </w:p>
    <w:tbl>
      <w:tblPr>
        <w:tblStyle w:val="32"/>
        <w:tblW w:w="4921"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945"/>
        <w:gridCol w:w="2426"/>
        <w:gridCol w:w="1948"/>
        <w:gridCol w:w="2062"/>
      </w:tblGrid>
      <w:tr w14:paraId="739C36B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264" w:type="dxa"/>
            <w:gridSpan w:val="2"/>
            <w:tcBorders>
              <w:bottom w:val="single" w:color="000000" w:sz="2" w:space="0"/>
              <w:right w:val="single" w:color="000000" w:sz="2" w:space="0"/>
            </w:tcBorders>
            <w:vAlign w:val="center"/>
          </w:tcPr>
          <w:p w14:paraId="1AFF2E0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甲方</w:t>
            </w:r>
            <w:r>
              <w:rPr>
                <w:rFonts w:hint="eastAsia"/>
                <w:b w:val="0"/>
                <w:bCs/>
                <w:color w:val="000000" w:themeColor="text1"/>
                <w:sz w:val="24"/>
                <w14:textFill>
                  <w14:solidFill>
                    <w14:schemeClr w14:val="tx1"/>
                  </w14:solidFill>
                </w14:textFill>
              </w:rPr>
              <w:t>（采购人</w:t>
            </w:r>
            <w:r>
              <w:rPr>
                <w:rFonts w:hint="eastAsia" w:ascii="宋体" w:hAnsi="宋体"/>
                <w:b w:val="0"/>
                <w:bCs/>
                <w:color w:val="000000" w:themeColor="text1"/>
                <w:sz w:val="24"/>
                <w14:textFill>
                  <w14:solidFill>
                    <w14:schemeClr w14:val="tx1"/>
                  </w14:solidFill>
                </w14:textFill>
              </w:rPr>
              <w:t>、受采购人委托签订合同的单位或</w:t>
            </w:r>
            <w:r>
              <w:rPr>
                <w:rFonts w:hint="eastAsia"/>
                <w:b w:val="0"/>
                <w:bCs/>
                <w:color w:val="000000" w:themeColor="text1"/>
                <w:sz w:val="24"/>
                <w14:textFill>
                  <w14:solidFill>
                    <w14:schemeClr w14:val="tx1"/>
                  </w14:solidFill>
                </w14:textFill>
              </w:rPr>
              <w:t>采购文件约定的合同甲方）</w:t>
            </w:r>
          </w:p>
        </w:tc>
        <w:tc>
          <w:tcPr>
            <w:tcW w:w="3911" w:type="dxa"/>
            <w:gridSpan w:val="2"/>
            <w:tcBorders>
              <w:left w:val="single" w:color="000000" w:sz="2" w:space="0"/>
              <w:bottom w:val="single" w:color="000000" w:sz="2" w:space="0"/>
            </w:tcBorders>
            <w:vAlign w:val="center"/>
          </w:tcPr>
          <w:p w14:paraId="4FE619CB">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乙方</w:t>
            </w:r>
            <w:r>
              <w:rPr>
                <w:rFonts w:hint="eastAsia"/>
                <w:b w:val="0"/>
                <w:bCs/>
                <w:color w:val="000000" w:themeColor="text1"/>
                <w:sz w:val="24"/>
                <w14:textFill>
                  <w14:solidFill>
                    <w14:schemeClr w14:val="tx1"/>
                  </w14:solidFill>
                </w14:textFill>
              </w:rPr>
              <w:t>（供应商）</w:t>
            </w:r>
          </w:p>
        </w:tc>
      </w:tr>
      <w:tr w14:paraId="3C081C6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898" w:type="dxa"/>
            <w:tcBorders>
              <w:top w:val="single" w:color="000000" w:sz="2" w:space="0"/>
              <w:bottom w:val="single" w:color="000000" w:sz="2" w:space="0"/>
              <w:right w:val="single" w:color="000000" w:sz="2" w:space="0"/>
            </w:tcBorders>
            <w:vAlign w:val="center"/>
          </w:tcPr>
          <w:p w14:paraId="3FF33781">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单位名称</w:t>
            </w:r>
            <w:r>
              <w:rPr>
                <w:rFonts w:hint="eastAsia"/>
                <w:b w:val="0"/>
                <w:bCs/>
                <w:color w:val="000000" w:themeColor="text1"/>
                <w:sz w:val="24"/>
                <w14:textFill>
                  <w14:solidFill>
                    <w14:schemeClr w14:val="tx1"/>
                  </w14:solidFill>
                </w14:textFill>
              </w:rPr>
              <w:t>（公章或合同章）</w:t>
            </w:r>
          </w:p>
        </w:tc>
        <w:tc>
          <w:tcPr>
            <w:tcW w:w="2366" w:type="dxa"/>
            <w:tcBorders>
              <w:top w:val="single" w:color="000000" w:sz="2" w:space="0"/>
              <w:left w:val="single" w:color="000000" w:sz="2" w:space="0"/>
              <w:bottom w:val="single" w:color="000000" w:sz="2" w:space="0"/>
              <w:right w:val="single" w:color="000000" w:sz="2" w:space="0"/>
            </w:tcBorders>
            <w:vAlign w:val="center"/>
          </w:tcPr>
          <w:p w14:paraId="502111B8">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7B1B83E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单位名称</w:t>
            </w:r>
            <w:r>
              <w:rPr>
                <w:rFonts w:hint="eastAsia"/>
                <w:b w:val="0"/>
                <w:bCs/>
                <w:color w:val="000000" w:themeColor="text1"/>
                <w:sz w:val="24"/>
                <w14:textFill>
                  <w14:solidFill>
                    <w14:schemeClr w14:val="tx1"/>
                  </w14:solidFill>
                </w14:textFill>
              </w:rPr>
              <w:t>（公章或合同章）</w:t>
            </w:r>
          </w:p>
        </w:tc>
        <w:tc>
          <w:tcPr>
            <w:tcW w:w="2011" w:type="dxa"/>
            <w:tcBorders>
              <w:top w:val="single" w:color="000000" w:sz="2" w:space="0"/>
              <w:left w:val="single" w:color="000000" w:sz="2" w:space="0"/>
              <w:bottom w:val="single" w:color="000000" w:sz="2" w:space="0"/>
            </w:tcBorders>
            <w:vAlign w:val="center"/>
          </w:tcPr>
          <w:p w14:paraId="6214B514">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25161AB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trPr>
        <w:tc>
          <w:tcPr>
            <w:tcW w:w="1898" w:type="dxa"/>
            <w:vMerge w:val="restart"/>
            <w:tcBorders>
              <w:top w:val="single" w:color="000000" w:sz="2" w:space="0"/>
              <w:right w:val="single" w:color="000000" w:sz="2" w:space="0"/>
            </w:tcBorders>
            <w:vAlign w:val="center"/>
          </w:tcPr>
          <w:p w14:paraId="2AC4652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法定代表人</w:t>
            </w:r>
          </w:p>
          <w:p w14:paraId="6DA34215">
            <w:pPr>
              <w:keepNext w:val="0"/>
              <w:keepLines w:val="0"/>
              <w:pageBreakBefore w:val="0"/>
              <w:widowControl w:val="0"/>
              <w:kinsoku/>
              <w:wordWrap/>
              <w:overflowPunct/>
              <w:topLinePunct w:val="0"/>
              <w:bidi w:val="0"/>
              <w:spacing w:line="360" w:lineRule="auto"/>
              <w:ind w:firstLine="115"/>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或其</w:t>
            </w:r>
            <w:r>
              <w:rPr>
                <w:b w:val="0"/>
                <w:bCs/>
                <w:color w:val="000000" w:themeColor="text1"/>
                <w:sz w:val="24"/>
                <w14:textFill>
                  <w14:solidFill>
                    <w14:schemeClr w14:val="tx1"/>
                  </w14:solidFill>
                </w14:textFill>
              </w:rPr>
              <w:t>委托代理人</w:t>
            </w:r>
            <w:r>
              <w:rPr>
                <w:rFonts w:hint="eastAsia"/>
                <w:b w:val="0"/>
                <w:bCs/>
                <w:color w:val="000000" w:themeColor="text1"/>
                <w:sz w:val="24"/>
                <w14:textFill>
                  <w14:solidFill>
                    <w14:schemeClr w14:val="tx1"/>
                  </w14:solidFill>
                </w14:textFill>
              </w:rPr>
              <w:t>（签章）</w:t>
            </w:r>
          </w:p>
        </w:tc>
        <w:tc>
          <w:tcPr>
            <w:tcW w:w="2366" w:type="dxa"/>
            <w:vMerge w:val="restart"/>
            <w:tcBorders>
              <w:top w:val="single" w:color="000000" w:sz="2" w:space="0"/>
              <w:left w:val="single" w:color="000000" w:sz="2" w:space="0"/>
              <w:right w:val="single" w:color="000000" w:sz="2" w:space="0"/>
            </w:tcBorders>
            <w:vAlign w:val="center"/>
          </w:tcPr>
          <w:p w14:paraId="207308C6">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right w:val="single" w:color="000000" w:sz="2" w:space="0"/>
            </w:tcBorders>
            <w:vAlign w:val="center"/>
          </w:tcPr>
          <w:p w14:paraId="1B6BF0CD">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法定代表人</w:t>
            </w:r>
          </w:p>
          <w:p w14:paraId="4EB2821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或其</w:t>
            </w:r>
            <w:r>
              <w:rPr>
                <w:b w:val="0"/>
                <w:bCs/>
                <w:color w:val="000000" w:themeColor="text1"/>
                <w:sz w:val="24"/>
                <w14:textFill>
                  <w14:solidFill>
                    <w14:schemeClr w14:val="tx1"/>
                  </w14:solidFill>
                </w14:textFill>
              </w:rPr>
              <w:t>委托代理人</w:t>
            </w:r>
            <w:r>
              <w:rPr>
                <w:rFonts w:hint="eastAsia"/>
                <w:b w:val="0"/>
                <w:bCs/>
                <w:color w:val="000000" w:themeColor="text1"/>
                <w:sz w:val="24"/>
                <w14:textFill>
                  <w14:solidFill>
                    <w14:schemeClr w14:val="tx1"/>
                  </w14:solidFill>
                </w14:textFill>
              </w:rPr>
              <w:t>（签章）</w:t>
            </w:r>
          </w:p>
        </w:tc>
        <w:tc>
          <w:tcPr>
            <w:tcW w:w="2011" w:type="dxa"/>
            <w:tcBorders>
              <w:top w:val="single" w:color="000000" w:sz="2" w:space="0"/>
              <w:left w:val="single" w:color="000000" w:sz="2" w:space="0"/>
              <w:bottom w:val="single" w:color="000000" w:sz="2" w:space="0"/>
            </w:tcBorders>
            <w:vAlign w:val="center"/>
          </w:tcPr>
          <w:p w14:paraId="1BFC448B">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r>
      <w:tr w14:paraId="7870D47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trPr>
        <w:tc>
          <w:tcPr>
            <w:tcW w:w="1898" w:type="dxa"/>
            <w:vMerge w:val="continue"/>
            <w:tcBorders>
              <w:bottom w:val="single" w:color="000000" w:sz="2" w:space="0"/>
              <w:right w:val="single" w:color="000000" w:sz="2" w:space="0"/>
            </w:tcBorders>
            <w:vAlign w:val="center"/>
          </w:tcPr>
          <w:p w14:paraId="51A958E6">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2366" w:type="dxa"/>
            <w:vMerge w:val="continue"/>
            <w:tcBorders>
              <w:left w:val="single" w:color="000000" w:sz="2" w:space="0"/>
              <w:bottom w:val="single" w:color="000000" w:sz="2" w:space="0"/>
              <w:right w:val="single" w:color="000000" w:sz="2" w:space="0"/>
            </w:tcBorders>
            <w:vAlign w:val="center"/>
          </w:tcPr>
          <w:p w14:paraId="4AC510B4">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473DD81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拥有者性别</w:t>
            </w:r>
          </w:p>
        </w:tc>
        <w:tc>
          <w:tcPr>
            <w:tcW w:w="2011" w:type="dxa"/>
            <w:tcBorders>
              <w:top w:val="single" w:color="000000" w:sz="2" w:space="0"/>
              <w:left w:val="single" w:color="000000" w:sz="2" w:space="0"/>
              <w:bottom w:val="single" w:color="000000" w:sz="2" w:space="0"/>
            </w:tcBorders>
            <w:vAlign w:val="center"/>
          </w:tcPr>
          <w:p w14:paraId="23700312">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3BC0AC0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571E9DFD">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住所</w:t>
            </w:r>
          </w:p>
        </w:tc>
        <w:tc>
          <w:tcPr>
            <w:tcW w:w="2366" w:type="dxa"/>
            <w:tcBorders>
              <w:top w:val="single" w:color="000000" w:sz="2" w:space="0"/>
              <w:left w:val="single" w:color="000000" w:sz="2" w:space="0"/>
              <w:bottom w:val="single" w:color="000000" w:sz="2" w:space="0"/>
              <w:right w:val="single" w:color="000000" w:sz="2" w:space="0"/>
            </w:tcBorders>
            <w:vAlign w:val="center"/>
          </w:tcPr>
          <w:p w14:paraId="739148F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7E819B3B">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住所</w:t>
            </w:r>
          </w:p>
        </w:tc>
        <w:tc>
          <w:tcPr>
            <w:tcW w:w="2011" w:type="dxa"/>
            <w:tcBorders>
              <w:top w:val="single" w:color="000000" w:sz="2" w:space="0"/>
              <w:left w:val="single" w:color="000000" w:sz="2" w:space="0"/>
              <w:bottom w:val="single" w:color="000000" w:sz="2" w:space="0"/>
            </w:tcBorders>
            <w:vAlign w:val="center"/>
          </w:tcPr>
          <w:p w14:paraId="6EFEB21A">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0C75C66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71ECF70D">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联 系 人</w:t>
            </w:r>
          </w:p>
        </w:tc>
        <w:tc>
          <w:tcPr>
            <w:tcW w:w="2366" w:type="dxa"/>
            <w:tcBorders>
              <w:top w:val="single" w:color="000000" w:sz="2" w:space="0"/>
              <w:left w:val="single" w:color="000000" w:sz="2" w:space="0"/>
              <w:bottom w:val="single" w:color="000000" w:sz="2" w:space="0"/>
              <w:right w:val="single" w:color="000000" w:sz="2" w:space="0"/>
            </w:tcBorders>
            <w:vAlign w:val="center"/>
          </w:tcPr>
          <w:p w14:paraId="41281196">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3646E5A3">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联 系 人</w:t>
            </w:r>
          </w:p>
        </w:tc>
        <w:tc>
          <w:tcPr>
            <w:tcW w:w="2011" w:type="dxa"/>
            <w:tcBorders>
              <w:top w:val="single" w:color="000000" w:sz="2" w:space="0"/>
              <w:left w:val="single" w:color="000000" w:sz="2" w:space="0"/>
              <w:bottom w:val="single" w:color="000000" w:sz="2" w:space="0"/>
            </w:tcBorders>
            <w:vAlign w:val="center"/>
          </w:tcPr>
          <w:p w14:paraId="1113B102">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20B1647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7F03B7AA">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联系电话</w:t>
            </w:r>
          </w:p>
        </w:tc>
        <w:tc>
          <w:tcPr>
            <w:tcW w:w="2366" w:type="dxa"/>
            <w:tcBorders>
              <w:top w:val="single" w:color="000000" w:sz="2" w:space="0"/>
              <w:left w:val="single" w:color="000000" w:sz="2" w:space="0"/>
              <w:bottom w:val="single" w:color="000000" w:sz="2" w:space="0"/>
              <w:right w:val="single" w:color="000000" w:sz="2" w:space="0"/>
            </w:tcBorders>
            <w:vAlign w:val="center"/>
          </w:tcPr>
          <w:p w14:paraId="37C0CD6E">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7609AA7D">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联系电话</w:t>
            </w:r>
          </w:p>
        </w:tc>
        <w:tc>
          <w:tcPr>
            <w:tcW w:w="2011" w:type="dxa"/>
            <w:tcBorders>
              <w:top w:val="single" w:color="000000" w:sz="2" w:space="0"/>
              <w:left w:val="single" w:color="000000" w:sz="2" w:space="0"/>
              <w:bottom w:val="single" w:color="000000" w:sz="2" w:space="0"/>
            </w:tcBorders>
            <w:vAlign w:val="center"/>
          </w:tcPr>
          <w:p w14:paraId="37C5A6F4">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65A3AEB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76E8EC3F">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通信地址</w:t>
            </w:r>
          </w:p>
        </w:tc>
        <w:tc>
          <w:tcPr>
            <w:tcW w:w="2366" w:type="dxa"/>
            <w:tcBorders>
              <w:top w:val="single" w:color="000000" w:sz="2" w:space="0"/>
              <w:left w:val="single" w:color="000000" w:sz="2" w:space="0"/>
              <w:bottom w:val="single" w:color="000000" w:sz="2" w:space="0"/>
              <w:right w:val="single" w:color="000000" w:sz="2" w:space="0"/>
            </w:tcBorders>
            <w:vAlign w:val="center"/>
          </w:tcPr>
          <w:p w14:paraId="28BEF0E4">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2465B699">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通信地址</w:t>
            </w:r>
          </w:p>
        </w:tc>
        <w:tc>
          <w:tcPr>
            <w:tcW w:w="2011" w:type="dxa"/>
            <w:tcBorders>
              <w:top w:val="single" w:color="000000" w:sz="2" w:space="0"/>
              <w:left w:val="single" w:color="000000" w:sz="2" w:space="0"/>
              <w:bottom w:val="single" w:color="000000" w:sz="2" w:space="0"/>
            </w:tcBorders>
            <w:vAlign w:val="center"/>
          </w:tcPr>
          <w:p w14:paraId="13A0085B">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53963EB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052DA156">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邮政编码</w:t>
            </w:r>
          </w:p>
        </w:tc>
        <w:tc>
          <w:tcPr>
            <w:tcW w:w="2366" w:type="dxa"/>
            <w:tcBorders>
              <w:top w:val="single" w:color="000000" w:sz="2" w:space="0"/>
              <w:left w:val="single" w:color="000000" w:sz="2" w:space="0"/>
              <w:bottom w:val="single" w:color="000000" w:sz="2" w:space="0"/>
              <w:right w:val="single" w:color="000000" w:sz="2" w:space="0"/>
            </w:tcBorders>
            <w:vAlign w:val="center"/>
          </w:tcPr>
          <w:p w14:paraId="1E90DA8B">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0869C044">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邮政编码</w:t>
            </w:r>
          </w:p>
        </w:tc>
        <w:tc>
          <w:tcPr>
            <w:tcW w:w="2011" w:type="dxa"/>
            <w:tcBorders>
              <w:top w:val="single" w:color="000000" w:sz="2" w:space="0"/>
              <w:left w:val="single" w:color="000000" w:sz="2" w:space="0"/>
              <w:bottom w:val="single" w:color="000000" w:sz="2" w:space="0"/>
            </w:tcBorders>
            <w:vAlign w:val="center"/>
          </w:tcPr>
          <w:p w14:paraId="696EDD4D">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13833B0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39EC3F58">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电子邮箱</w:t>
            </w:r>
          </w:p>
        </w:tc>
        <w:tc>
          <w:tcPr>
            <w:tcW w:w="2366" w:type="dxa"/>
            <w:tcBorders>
              <w:top w:val="single" w:color="000000" w:sz="2" w:space="0"/>
              <w:left w:val="single" w:color="000000" w:sz="2" w:space="0"/>
              <w:bottom w:val="single" w:color="000000" w:sz="2" w:space="0"/>
              <w:right w:val="single" w:color="000000" w:sz="2" w:space="0"/>
            </w:tcBorders>
            <w:vAlign w:val="center"/>
          </w:tcPr>
          <w:p w14:paraId="0546D93B">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273B1C17">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电子邮箱</w:t>
            </w:r>
          </w:p>
        </w:tc>
        <w:tc>
          <w:tcPr>
            <w:tcW w:w="2011" w:type="dxa"/>
            <w:tcBorders>
              <w:top w:val="single" w:color="000000" w:sz="2" w:space="0"/>
              <w:left w:val="single" w:color="000000" w:sz="2" w:space="0"/>
              <w:bottom w:val="single" w:color="000000" w:sz="2" w:space="0"/>
            </w:tcBorders>
            <w:vAlign w:val="center"/>
          </w:tcPr>
          <w:p w14:paraId="4D2691ED">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29182E6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1384C81C">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统一社会信用代码</w:t>
            </w:r>
          </w:p>
        </w:tc>
        <w:tc>
          <w:tcPr>
            <w:tcW w:w="2366" w:type="dxa"/>
            <w:tcBorders>
              <w:top w:val="single" w:color="000000" w:sz="2" w:space="0"/>
              <w:left w:val="single" w:color="000000" w:sz="2" w:space="0"/>
              <w:bottom w:val="single" w:color="000000" w:sz="2" w:space="0"/>
              <w:right w:val="single" w:color="000000" w:sz="2" w:space="0"/>
            </w:tcBorders>
            <w:vAlign w:val="center"/>
          </w:tcPr>
          <w:p w14:paraId="4DE63339">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3465C6C9">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统一社会信用代码</w:t>
            </w:r>
          </w:p>
        </w:tc>
        <w:tc>
          <w:tcPr>
            <w:tcW w:w="2011" w:type="dxa"/>
            <w:tcBorders>
              <w:top w:val="single" w:color="000000" w:sz="2" w:space="0"/>
              <w:left w:val="single" w:color="000000" w:sz="2" w:space="0"/>
              <w:bottom w:val="single" w:color="000000" w:sz="2" w:space="0"/>
            </w:tcBorders>
            <w:vAlign w:val="center"/>
          </w:tcPr>
          <w:p w14:paraId="5BD2578C">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0CE93E5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2010828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2366" w:type="dxa"/>
            <w:tcBorders>
              <w:top w:val="single" w:color="000000" w:sz="2" w:space="0"/>
              <w:left w:val="single" w:color="000000" w:sz="2" w:space="0"/>
              <w:bottom w:val="single" w:color="000000" w:sz="2" w:space="0"/>
              <w:right w:val="single" w:color="000000" w:sz="2" w:space="0"/>
            </w:tcBorders>
            <w:vAlign w:val="center"/>
          </w:tcPr>
          <w:p w14:paraId="414C45B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62FF69CE">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开户名称</w:t>
            </w:r>
          </w:p>
        </w:tc>
        <w:tc>
          <w:tcPr>
            <w:tcW w:w="2011" w:type="dxa"/>
            <w:tcBorders>
              <w:top w:val="single" w:color="000000" w:sz="2" w:space="0"/>
              <w:left w:val="single" w:color="000000" w:sz="2" w:space="0"/>
              <w:bottom w:val="single" w:color="000000" w:sz="2" w:space="0"/>
            </w:tcBorders>
            <w:vAlign w:val="center"/>
          </w:tcPr>
          <w:p w14:paraId="663282AC">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33F7418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2E730B4D">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2366" w:type="dxa"/>
            <w:tcBorders>
              <w:top w:val="single" w:color="000000" w:sz="2" w:space="0"/>
              <w:left w:val="single" w:color="000000" w:sz="2" w:space="0"/>
              <w:bottom w:val="single" w:color="000000" w:sz="2" w:space="0"/>
              <w:right w:val="single" w:color="000000" w:sz="2" w:space="0"/>
            </w:tcBorders>
            <w:vAlign w:val="center"/>
          </w:tcPr>
          <w:p w14:paraId="36D27DCE">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4536EB29">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开户银行</w:t>
            </w:r>
          </w:p>
        </w:tc>
        <w:tc>
          <w:tcPr>
            <w:tcW w:w="2011" w:type="dxa"/>
            <w:tcBorders>
              <w:top w:val="single" w:color="000000" w:sz="2" w:space="0"/>
              <w:left w:val="single" w:color="000000" w:sz="2" w:space="0"/>
              <w:bottom w:val="single" w:color="000000" w:sz="2" w:space="0"/>
            </w:tcBorders>
            <w:vAlign w:val="center"/>
          </w:tcPr>
          <w:p w14:paraId="74564506">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3243D88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898" w:type="dxa"/>
            <w:tcBorders>
              <w:top w:val="single" w:color="000000" w:sz="2" w:space="0"/>
              <w:bottom w:val="single" w:color="000000" w:sz="2" w:space="0"/>
              <w:right w:val="single" w:color="000000" w:sz="2" w:space="0"/>
            </w:tcBorders>
            <w:vAlign w:val="center"/>
          </w:tcPr>
          <w:p w14:paraId="2469758A">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2366" w:type="dxa"/>
            <w:tcBorders>
              <w:top w:val="single" w:color="000000" w:sz="2" w:space="0"/>
              <w:left w:val="single" w:color="000000" w:sz="2" w:space="0"/>
              <w:bottom w:val="single" w:color="000000" w:sz="2" w:space="0"/>
              <w:right w:val="single" w:color="000000" w:sz="2" w:space="0"/>
            </w:tcBorders>
            <w:vAlign w:val="center"/>
          </w:tcPr>
          <w:p w14:paraId="217E74F7">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p>
        </w:tc>
        <w:tc>
          <w:tcPr>
            <w:tcW w:w="1900" w:type="dxa"/>
            <w:tcBorders>
              <w:top w:val="single" w:color="000000" w:sz="2" w:space="0"/>
              <w:left w:val="single" w:color="000000" w:sz="2" w:space="0"/>
              <w:bottom w:val="single" w:color="000000" w:sz="2" w:space="0"/>
              <w:right w:val="single" w:color="000000" w:sz="2" w:space="0"/>
            </w:tcBorders>
            <w:vAlign w:val="center"/>
          </w:tcPr>
          <w:p w14:paraId="02631932">
            <w:pPr>
              <w:keepNext w:val="0"/>
              <w:keepLines w:val="0"/>
              <w:pageBreakBefore w:val="0"/>
              <w:widowControl w:val="0"/>
              <w:kinsoku/>
              <w:wordWrap/>
              <w:overflowPunct/>
              <w:topLinePunct w:val="0"/>
              <w:bidi w:val="0"/>
              <w:spacing w:line="360" w:lineRule="auto"/>
              <w:jc w:val="center"/>
              <w:rPr>
                <w:b w:val="0"/>
                <w:bCs/>
                <w:color w:val="000000" w:themeColor="text1"/>
                <w:sz w:val="24"/>
                <w14:textFill>
                  <w14:solidFill>
                    <w14:schemeClr w14:val="tx1"/>
                  </w14:solidFill>
                </w14:textFill>
              </w:rPr>
            </w:pPr>
            <w:r>
              <w:rPr>
                <w:b w:val="0"/>
                <w:bCs/>
                <w:color w:val="000000" w:themeColor="text1"/>
                <w:sz w:val="24"/>
                <w14:textFill>
                  <w14:solidFill>
                    <w14:schemeClr w14:val="tx1"/>
                  </w14:solidFill>
                </w14:textFill>
              </w:rPr>
              <w:t>银行账号</w:t>
            </w:r>
          </w:p>
        </w:tc>
        <w:tc>
          <w:tcPr>
            <w:tcW w:w="2011" w:type="dxa"/>
            <w:tcBorders>
              <w:top w:val="single" w:color="000000" w:sz="2" w:space="0"/>
              <w:left w:val="single" w:color="000000" w:sz="2" w:space="0"/>
              <w:bottom w:val="single" w:color="000000" w:sz="2" w:space="0"/>
            </w:tcBorders>
            <w:vAlign w:val="center"/>
          </w:tcPr>
          <w:p w14:paraId="3917DB4A">
            <w:pPr>
              <w:keepNext w:val="0"/>
              <w:keepLines w:val="0"/>
              <w:pageBreakBefore w:val="0"/>
              <w:widowControl w:val="0"/>
              <w:kinsoku/>
              <w:wordWrap/>
              <w:overflowPunct/>
              <w:topLinePunct w:val="0"/>
              <w:bidi w:val="0"/>
              <w:spacing w:line="360" w:lineRule="auto"/>
              <w:jc w:val="center"/>
              <w:rPr>
                <w:b w:val="0"/>
                <w:bCs/>
                <w:color w:val="000000" w:themeColor="text1"/>
                <w:spacing w:val="20"/>
                <w:sz w:val="24"/>
                <w14:textFill>
                  <w14:solidFill>
                    <w14:schemeClr w14:val="tx1"/>
                  </w14:solidFill>
                </w14:textFill>
              </w:rPr>
            </w:pPr>
          </w:p>
        </w:tc>
      </w:tr>
      <w:tr w14:paraId="2B89C4E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175" w:type="dxa"/>
            <w:gridSpan w:val="4"/>
            <w:tcBorders>
              <w:top w:val="single" w:color="000000" w:sz="2" w:space="0"/>
            </w:tcBorders>
            <w:vAlign w:val="center"/>
          </w:tcPr>
          <w:p w14:paraId="6DD1FD37">
            <w:pPr>
              <w:keepNext w:val="0"/>
              <w:keepLines w:val="0"/>
              <w:pageBreakBefore w:val="0"/>
              <w:widowControl w:val="0"/>
              <w:kinsoku/>
              <w:wordWrap/>
              <w:overflowPunct/>
              <w:topLinePunct w:val="0"/>
              <w:bidi w:val="0"/>
              <w:spacing w:line="360" w:lineRule="auto"/>
              <w:jc w:val="left"/>
              <w:rPr>
                <w:b w:val="0"/>
                <w:bCs/>
                <w:color w:val="000000" w:themeColor="text1"/>
                <w:spacing w:val="20"/>
                <w:sz w:val="24"/>
                <w14:textFill>
                  <w14:solidFill>
                    <w14:schemeClr w14:val="tx1"/>
                  </w14:solidFill>
                </w14:textFill>
              </w:rPr>
            </w:pPr>
            <w:r>
              <w:rPr>
                <w:rFonts w:hint="eastAsia" w:ascii="宋体" w:hAnsi="宋体"/>
                <w:b w:val="0"/>
                <w:bCs/>
                <w:color w:val="000000" w:themeColor="text1"/>
                <w:sz w:val="24"/>
                <w14:textFill>
                  <w14:solidFill>
                    <w14:schemeClr w14:val="tx1"/>
                  </w14:solidFill>
                </w14:textFill>
              </w:rPr>
              <w:t>注：涉及联合体或其他合同主体的信息应按上表格式加列。</w:t>
            </w:r>
          </w:p>
        </w:tc>
      </w:tr>
    </w:tbl>
    <w:p w14:paraId="5F493626">
      <w:pPr>
        <w:pStyle w:val="30"/>
        <w:spacing w:before="120" w:beforeAutospacing="0" w:after="120" w:afterAutospacing="0" w:line="360" w:lineRule="auto"/>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color w:val="000000"/>
          <w:sz w:val="24"/>
          <w:szCs w:val="24"/>
        </w:rPr>
        <w:br w:type="page" w:clear="all"/>
      </w:r>
      <w:r>
        <w:rPr>
          <w:rFonts w:hint="eastAsia" w:asciiTheme="minorEastAsia" w:hAnsiTheme="minorEastAsia" w:eastAsiaTheme="minorEastAsia" w:cstheme="minorEastAsia"/>
          <w:color w:val="000000"/>
          <w:sz w:val="36"/>
          <w:szCs w:val="36"/>
        </w:rPr>
        <w:t> 第</w:t>
      </w:r>
      <w:bookmarkEnd w:id="164"/>
      <w:r>
        <w:rPr>
          <w:rFonts w:hint="eastAsia" w:asciiTheme="minorEastAsia" w:hAnsiTheme="minorEastAsia" w:eastAsiaTheme="minorEastAsia" w:cstheme="minorEastAsia"/>
          <w:color w:val="000000"/>
          <w:sz w:val="36"/>
          <w:szCs w:val="36"/>
        </w:rPr>
        <w:t>四章 采购需求</w:t>
      </w:r>
      <w:bookmarkEnd w:id="165"/>
      <w:bookmarkEnd w:id="166"/>
      <w:bookmarkEnd w:id="167"/>
      <w:bookmarkEnd w:id="168"/>
      <w:bookmarkEnd w:id="169"/>
    </w:p>
    <w:p w14:paraId="4A6F9096">
      <w:pPr>
        <w:pStyle w:val="30"/>
        <w:spacing w:beforeAutospacing="0" w:afterAutospacing="0" w:line="360" w:lineRule="auto"/>
        <w:jc w:val="both"/>
        <w:rPr>
          <w:rFonts w:hint="eastAsia" w:asciiTheme="minorEastAsia" w:hAnsiTheme="minorEastAsia" w:eastAsiaTheme="minorEastAsia" w:cstheme="minorEastAsia"/>
          <w:color w:val="000000"/>
          <w:sz w:val="24"/>
          <w:szCs w:val="24"/>
        </w:rPr>
      </w:pPr>
      <w:bookmarkStart w:id="171" w:name="_Toc49090575"/>
      <w:bookmarkStart w:id="172" w:name="_Toc26554093"/>
      <w:r>
        <w:rPr>
          <w:rFonts w:hint="eastAsia" w:asciiTheme="minorEastAsia" w:hAnsiTheme="minorEastAsia" w:eastAsiaTheme="minorEastAsia" w:cstheme="minorEastAsia"/>
          <w:color w:val="000000"/>
          <w:sz w:val="24"/>
          <w:szCs w:val="24"/>
        </w:rPr>
        <w:t>项目属性:货物类项目。</w:t>
      </w:r>
      <w:bookmarkEnd w:id="171"/>
      <w:bookmarkEnd w:id="172"/>
    </w:p>
    <w:p w14:paraId="1D0C35B7">
      <w:pPr>
        <w:spacing w:before="200" w:after="80" w:line="360" w:lineRule="auto"/>
        <w:ind w:firstLine="0"/>
      </w:pPr>
      <w:r>
        <w:rPr>
          <w:rFonts w:ascii="Times New Roman" w:hAnsi="Times New Roman" w:eastAsia="宋体"/>
          <w:b/>
          <w:color w:val="000000"/>
          <w:sz w:val="24"/>
        </w:rPr>
        <w:t>一、项目概况</w:t>
      </w:r>
    </w:p>
    <w:p w14:paraId="390472E4">
      <w:pPr>
        <w:spacing w:before="0" w:after="0" w:line="360" w:lineRule="auto"/>
        <w:ind w:firstLine="480"/>
        <w:jc w:val="both"/>
      </w:pPr>
      <w:r>
        <w:rPr>
          <w:rFonts w:ascii="Times New Roman" w:hAnsi="Times New Roman" w:eastAsia="宋体"/>
          <w:b w:val="0"/>
          <w:color w:val="000000"/>
          <w:sz w:val="24"/>
        </w:rPr>
        <w:t>1.建设地点：阜宁县芦蒲镇。</w:t>
      </w:r>
    </w:p>
    <w:p w14:paraId="05A1BFE5">
      <w:pPr>
        <w:spacing w:before="0" w:after="0" w:line="360" w:lineRule="auto"/>
        <w:ind w:firstLine="480"/>
        <w:jc w:val="both"/>
      </w:pPr>
      <w:r>
        <w:rPr>
          <w:rFonts w:ascii="Times New Roman" w:hAnsi="Times New Roman" w:eastAsia="宋体"/>
          <w:b w:val="0"/>
          <w:color w:val="000000"/>
          <w:sz w:val="24"/>
        </w:rPr>
        <w:t>2.建设规模：新建约155亩钢架大棚，包含6米插地棚、8米联动棚及配套附属工程；施工范围、工程量、细部做法、技术标准均以施工图纸、工程量清单为准。</w:t>
      </w:r>
    </w:p>
    <w:p w14:paraId="07B210A3">
      <w:pPr>
        <w:spacing w:before="0" w:after="0" w:line="360" w:lineRule="auto"/>
        <w:ind w:firstLine="480"/>
        <w:jc w:val="both"/>
      </w:pPr>
      <w:r>
        <w:rPr>
          <w:rFonts w:ascii="Times New Roman" w:hAnsi="Times New Roman" w:eastAsia="宋体"/>
          <w:b w:val="0"/>
          <w:color w:val="000000"/>
          <w:sz w:val="24"/>
        </w:rPr>
        <w:t>3.承包方式：包工、包料、包施工、包质量、包安全文明施工、包工期、包检测验收、包质保、包移交。</w:t>
      </w:r>
    </w:p>
    <w:p w14:paraId="0A6E555F">
      <w:pPr>
        <w:spacing w:before="0" w:after="0" w:line="360" w:lineRule="auto"/>
        <w:ind w:firstLine="480"/>
        <w:jc w:val="both"/>
      </w:pPr>
      <w:r>
        <w:rPr>
          <w:rFonts w:ascii="Times New Roman" w:hAnsi="Times New Roman" w:eastAsia="宋体"/>
          <w:b w:val="0"/>
          <w:color w:val="000000"/>
          <w:sz w:val="24"/>
        </w:rPr>
        <w:t>4.合同履行期限：</w:t>
      </w:r>
      <w:r>
        <w:rPr>
          <w:rFonts w:hint="eastAsia" w:ascii="Times New Roman" w:hAnsi="Times New Roman" w:eastAsia="宋体"/>
          <w:b w:val="0"/>
          <w:color w:val="000000"/>
          <w:sz w:val="24"/>
          <w:lang w:val="en-US" w:eastAsia="zh-CN"/>
        </w:rPr>
        <w:t>3</w:t>
      </w:r>
      <w:r>
        <w:rPr>
          <w:rFonts w:ascii="Times New Roman" w:hAnsi="Times New Roman" w:eastAsia="宋体"/>
          <w:b w:val="0"/>
          <w:color w:val="000000"/>
          <w:sz w:val="24"/>
        </w:rPr>
        <w:t>0日历天，开工日期以采购人书面开工令为准，包含材料进场、现场施工、调试、竣工验收全部工作。</w:t>
      </w:r>
    </w:p>
    <w:p w14:paraId="40FA8EB4">
      <w:pPr>
        <w:spacing w:before="0" w:after="0" w:line="360" w:lineRule="auto"/>
        <w:ind w:firstLine="480"/>
        <w:jc w:val="both"/>
      </w:pPr>
      <w:r>
        <w:rPr>
          <w:rFonts w:ascii="Times New Roman" w:hAnsi="Times New Roman" w:eastAsia="宋体"/>
          <w:b w:val="0"/>
          <w:color w:val="000000"/>
          <w:sz w:val="24"/>
        </w:rPr>
        <w:t>5.质量标准：合格，满足现行国家、江苏省、盐城市农业设施、钢结构工程相关规范标准，图纸及清单要求，一次性通过竣工验收。</w:t>
      </w:r>
    </w:p>
    <w:p w14:paraId="379429ED">
      <w:pPr>
        <w:spacing w:before="200" w:after="80" w:line="360" w:lineRule="auto"/>
        <w:ind w:firstLine="0"/>
      </w:pPr>
      <w:r>
        <w:rPr>
          <w:rFonts w:ascii="Times New Roman" w:hAnsi="Times New Roman" w:eastAsia="宋体"/>
          <w:b/>
          <w:color w:val="000000"/>
          <w:sz w:val="24"/>
        </w:rPr>
        <w:t>二、采购内容及技术要求</w:t>
      </w:r>
    </w:p>
    <w:p w14:paraId="58516989">
      <w:pPr>
        <w:spacing w:before="80" w:after="40" w:line="360" w:lineRule="auto"/>
        <w:ind w:firstLine="480"/>
      </w:pPr>
      <w:r>
        <w:rPr>
          <w:rFonts w:ascii="Times New Roman" w:hAnsi="Times New Roman" w:eastAsia="宋体"/>
          <w:b/>
          <w:color w:val="000000"/>
          <w:sz w:val="24"/>
        </w:rPr>
        <w:t>（一）主要建设内容</w:t>
      </w:r>
    </w:p>
    <w:p w14:paraId="1D050A11">
      <w:pPr>
        <w:spacing w:before="0" w:after="0" w:line="360" w:lineRule="auto"/>
        <w:ind w:firstLine="480"/>
        <w:jc w:val="both"/>
      </w:pPr>
      <w:r>
        <w:rPr>
          <w:rFonts w:ascii="Times New Roman" w:hAnsi="Times New Roman" w:eastAsia="宋体"/>
          <w:b w:val="0"/>
          <w:color w:val="000000"/>
          <w:sz w:val="24"/>
        </w:rPr>
        <w:t>新建约155亩大棚工程，分为6米单体插地棚、8米联动棚两大类，配套附属工程（场地整理、排水沟、棚门、固定件、覆膜、配套管线等），全部工作内容详见工程量清单、施工图纸。投标人须对图纸、工程量清单全部内容进行踏勘、核算，包含完成本项目全部工作所需的辅材、人工、机械、措施费，采购人不再另行增加费用。</w:t>
      </w:r>
    </w:p>
    <w:p w14:paraId="697995A1">
      <w:pPr>
        <w:spacing w:before="80" w:after="40" w:line="360" w:lineRule="auto"/>
        <w:ind w:firstLine="480"/>
      </w:pPr>
      <w:r>
        <w:rPr>
          <w:rFonts w:ascii="Times New Roman" w:hAnsi="Times New Roman" w:eastAsia="宋体"/>
          <w:b/>
          <w:color w:val="000000"/>
          <w:sz w:val="24"/>
        </w:rPr>
        <w:t>（二）大棚主体通用技术要求（苏北沿海地区抗风抗雪标准）</w:t>
      </w:r>
    </w:p>
    <w:p w14:paraId="0BFBC8C8">
      <w:pPr>
        <w:spacing w:before="0" w:after="0" w:line="360" w:lineRule="auto"/>
        <w:ind w:firstLine="480"/>
        <w:jc w:val="both"/>
        <w:rPr>
          <w:color w:val="0000FF"/>
        </w:rPr>
      </w:pPr>
      <w:r>
        <w:rPr>
          <w:rFonts w:ascii="Times New Roman" w:hAnsi="Times New Roman" w:eastAsia="宋体"/>
          <w:b w:val="0"/>
          <w:color w:val="0000FF"/>
          <w:sz w:val="24"/>
        </w:rPr>
        <w:t>1.钢材：主体钢架全部采用热浸镀锌钢管（Q235），禁止冷镀锌；镀锌层厚度满足国标，防腐防锈，适合露天农田环境。</w:t>
      </w:r>
    </w:p>
    <w:p w14:paraId="5CDF5E2D">
      <w:pPr>
        <w:spacing w:before="0" w:after="0" w:line="360" w:lineRule="auto"/>
        <w:ind w:firstLine="480"/>
        <w:jc w:val="both"/>
        <w:rPr>
          <w:color w:val="0000FF"/>
        </w:rPr>
      </w:pPr>
      <w:r>
        <w:rPr>
          <w:rFonts w:hint="eastAsia" w:ascii="Times New Roman" w:hAnsi="Times New Roman" w:eastAsia="宋体"/>
          <w:b w:val="0"/>
          <w:color w:val="0000FF"/>
          <w:sz w:val="24"/>
          <w:lang w:val="en-US" w:eastAsia="zh-CN"/>
        </w:rPr>
        <w:t>6</w:t>
      </w:r>
      <w:r>
        <w:rPr>
          <w:rFonts w:ascii="Times New Roman" w:hAnsi="Times New Roman" w:eastAsia="宋体"/>
          <w:b w:val="0"/>
          <w:color w:val="0000FF"/>
          <w:sz w:val="24"/>
        </w:rPr>
        <w:t>米插地棚（单体拱棚）：跨度6m，拱杆插地式安装，按图纸设置拱距、纵拉杆、斜撑、地锚；配置棚门、压膜槽、压膜线，棚膜选用耐候防老化农用膜，满足苏北地区抗风、雨雪荷载要求。</w:t>
      </w:r>
    </w:p>
    <w:p w14:paraId="747EDE46">
      <w:pPr>
        <w:spacing w:before="0" w:after="0" w:line="360" w:lineRule="auto"/>
        <w:ind w:firstLine="480"/>
        <w:jc w:val="both"/>
        <w:rPr>
          <w:color w:val="0000FF"/>
        </w:rPr>
      </w:pPr>
      <w:r>
        <w:rPr>
          <w:rFonts w:ascii="Times New Roman" w:hAnsi="Times New Roman" w:eastAsia="宋体"/>
          <w:b w:val="0"/>
          <w:color w:val="0000FF"/>
          <w:sz w:val="24"/>
        </w:rPr>
        <w:t>8米联动棚（连栋棚）：跨度8m，立柱、横梁、拱杆、天沟全部热浸镀锌结构；设置天沟排水系统，配套开窗/卷膜通风系统；结构满足风载、雪载设计，符合江苏沿海设施农业钢结构规范。</w:t>
      </w:r>
    </w:p>
    <w:p w14:paraId="49C337FE">
      <w:pPr>
        <w:spacing w:before="0" w:after="0" w:line="360" w:lineRule="auto"/>
        <w:ind w:firstLine="480"/>
        <w:jc w:val="both"/>
      </w:pPr>
      <w:r>
        <w:rPr>
          <w:rFonts w:ascii="Times New Roman" w:hAnsi="Times New Roman" w:eastAsia="宋体"/>
          <w:b w:val="0"/>
          <w:color w:val="0000FF"/>
          <w:sz w:val="24"/>
        </w:rPr>
        <w:t>4.附属工程：含场地平整、排水沟、简易过路构造、场地清理等，按图纸清单施工，保证排水通畅，防止雨水倒灌、棚区积水。</w:t>
      </w:r>
    </w:p>
    <w:p w14:paraId="136C53B7">
      <w:pPr>
        <w:spacing w:before="80" w:after="40" w:line="360" w:lineRule="auto"/>
        <w:ind w:firstLine="480"/>
      </w:pPr>
      <w:r>
        <w:rPr>
          <w:rFonts w:ascii="Times New Roman" w:hAnsi="Times New Roman" w:eastAsia="宋体"/>
          <w:b/>
          <w:color w:val="000000"/>
          <w:sz w:val="24"/>
        </w:rPr>
        <w:t>（三）规范依据</w:t>
      </w:r>
    </w:p>
    <w:p w14:paraId="39AF5051">
      <w:pPr>
        <w:spacing w:before="0" w:after="0" w:line="360" w:lineRule="auto"/>
        <w:ind w:firstLine="480"/>
        <w:jc w:val="both"/>
      </w:pPr>
      <w:r>
        <w:rPr>
          <w:rFonts w:ascii="Times New Roman" w:hAnsi="Times New Roman" w:eastAsia="宋体"/>
          <w:b w:val="0"/>
          <w:color w:val="000000"/>
          <w:sz w:val="24"/>
        </w:rPr>
        <w:t>施工必须符合但不限于：《钢结构工程施工质量验收标准》GB50205、《温室工程技术规范》、江苏省农业设施建设相关规范、图纸设计说明。</w:t>
      </w:r>
    </w:p>
    <w:p w14:paraId="1BC9F3E5">
      <w:pPr>
        <w:spacing w:before="200" w:after="80" w:line="360" w:lineRule="auto"/>
        <w:ind w:firstLine="0"/>
      </w:pPr>
      <w:r>
        <w:rPr>
          <w:rFonts w:ascii="Times New Roman" w:hAnsi="Times New Roman" w:eastAsia="宋体"/>
          <w:b/>
          <w:color w:val="000000"/>
          <w:sz w:val="24"/>
        </w:rPr>
        <w:t>三、施工要求</w:t>
      </w:r>
    </w:p>
    <w:p w14:paraId="0D8DA62F">
      <w:pPr>
        <w:spacing w:before="0" w:after="0" w:line="360" w:lineRule="auto"/>
        <w:ind w:firstLine="480"/>
        <w:jc w:val="both"/>
      </w:pPr>
      <w:r>
        <w:rPr>
          <w:rFonts w:ascii="Times New Roman" w:hAnsi="Times New Roman" w:eastAsia="宋体"/>
          <w:b w:val="0"/>
          <w:color w:val="000000"/>
          <w:sz w:val="24"/>
        </w:rPr>
        <w:t>1.现场踏勘：投标人自行踏勘项目现场，了解场地地形、土壤、水电、交通、周边环境，踏勘产生费用自行承担，中标后不得以场地条件为由增加造价、延长工期。</w:t>
      </w:r>
    </w:p>
    <w:p w14:paraId="26424F9C">
      <w:pPr>
        <w:spacing w:before="0" w:after="0" w:line="360" w:lineRule="auto"/>
        <w:ind w:firstLine="480"/>
        <w:jc w:val="both"/>
      </w:pPr>
      <w:r>
        <w:rPr>
          <w:rFonts w:ascii="Times New Roman" w:hAnsi="Times New Roman" w:eastAsia="宋体"/>
          <w:b w:val="0"/>
          <w:color w:val="000000"/>
          <w:sz w:val="24"/>
        </w:rPr>
        <w:t>2.施工组织：中标人进场前提交施工组织设计、安全专项方案，报采购人及监理（如有）审核；配备项目负责人、现场管理人员，项目经理在岗履职。</w:t>
      </w:r>
    </w:p>
    <w:p w14:paraId="553A8E75">
      <w:pPr>
        <w:spacing w:before="0" w:after="0" w:line="360" w:lineRule="auto"/>
        <w:ind w:firstLine="480"/>
        <w:jc w:val="both"/>
      </w:pPr>
      <w:r>
        <w:rPr>
          <w:rFonts w:ascii="Times New Roman" w:hAnsi="Times New Roman" w:eastAsia="宋体"/>
          <w:b w:val="0"/>
          <w:color w:val="000000"/>
          <w:sz w:val="24"/>
        </w:rPr>
        <w:t>3.安全文明施工：落实安全生产责任，做好围挡、警示标识；施工期间做好青苗保护、水土保护，施工垃圾及时清运；施工期间发生一切安全事故、财产损失，全部由中标人承担责任与费用。</w:t>
      </w:r>
    </w:p>
    <w:p w14:paraId="25DA1496">
      <w:pPr>
        <w:spacing w:before="0" w:after="0" w:line="360" w:lineRule="auto"/>
        <w:ind w:firstLine="480"/>
        <w:jc w:val="both"/>
      </w:pPr>
      <w:r>
        <w:rPr>
          <w:rFonts w:ascii="Times New Roman" w:hAnsi="Times New Roman" w:eastAsia="宋体"/>
          <w:b w:val="0"/>
          <w:color w:val="000000"/>
          <w:sz w:val="24"/>
        </w:rPr>
        <w:t>4.材料管理：所有主材进场须提供合格证、质检报告；采购人有权随机抽样送检，检测不合格材料必须无条件退场、更换，工期不予顺延。</w:t>
      </w:r>
    </w:p>
    <w:p w14:paraId="4B2A49D4">
      <w:pPr>
        <w:spacing w:before="200" w:after="80" w:line="360" w:lineRule="auto"/>
        <w:ind w:firstLine="0"/>
      </w:pPr>
      <w:r>
        <w:rPr>
          <w:rFonts w:ascii="Times New Roman" w:hAnsi="Times New Roman" w:eastAsia="宋体"/>
          <w:b/>
          <w:color w:val="000000"/>
          <w:sz w:val="24"/>
        </w:rPr>
        <w:t>四、工期要求</w:t>
      </w:r>
    </w:p>
    <w:p w14:paraId="2C135AFE">
      <w:pPr>
        <w:spacing w:before="0" w:after="0" w:line="360" w:lineRule="auto"/>
        <w:ind w:firstLine="480"/>
        <w:jc w:val="both"/>
      </w:pPr>
      <w:r>
        <w:rPr>
          <w:rFonts w:ascii="Times New Roman" w:hAnsi="Times New Roman" w:eastAsia="宋体"/>
          <w:b w:val="0"/>
          <w:color w:val="000000"/>
          <w:sz w:val="24"/>
        </w:rPr>
        <w:t>总工期</w:t>
      </w:r>
      <w:r>
        <w:rPr>
          <w:rFonts w:hint="eastAsia" w:ascii="Times New Roman" w:hAnsi="Times New Roman" w:eastAsia="宋体"/>
          <w:b w:val="0"/>
          <w:color w:val="000000"/>
          <w:sz w:val="24"/>
          <w:lang w:val="en-US" w:eastAsia="zh-CN"/>
        </w:rPr>
        <w:t>3</w:t>
      </w:r>
      <w:r>
        <w:rPr>
          <w:rFonts w:ascii="Times New Roman" w:hAnsi="Times New Roman" w:eastAsia="宋体"/>
          <w:b w:val="0"/>
          <w:color w:val="000000"/>
          <w:sz w:val="24"/>
        </w:rPr>
        <w:t>0日历天，自采购人签发开工令之日起算，直至全部工程完工、竣工验收合格并移交。因中标人原因造成工期延误，按合同约定计取违约金；因采购人原因、不可抗力，工期经书面确认后方可顺延。</w:t>
      </w:r>
    </w:p>
    <w:p w14:paraId="1E3C3D3F">
      <w:pPr>
        <w:spacing w:before="200" w:after="80" w:line="360" w:lineRule="auto"/>
        <w:ind w:firstLine="0"/>
      </w:pPr>
      <w:r>
        <w:rPr>
          <w:rFonts w:ascii="Times New Roman" w:hAnsi="Times New Roman" w:eastAsia="宋体"/>
          <w:b/>
          <w:color w:val="000000"/>
          <w:sz w:val="24"/>
        </w:rPr>
        <w:t>五、验收标准及要求</w:t>
      </w:r>
    </w:p>
    <w:p w14:paraId="317FCE21">
      <w:pPr>
        <w:spacing w:before="0" w:after="0" w:line="360" w:lineRule="auto"/>
        <w:ind w:firstLine="480"/>
        <w:jc w:val="both"/>
      </w:pPr>
      <w:r>
        <w:rPr>
          <w:rFonts w:ascii="Times New Roman" w:hAnsi="Times New Roman" w:eastAsia="宋体"/>
          <w:b w:val="0"/>
          <w:color w:val="000000"/>
          <w:sz w:val="24"/>
        </w:rPr>
        <w:t>1.分项验收：隐蔽工程（基础、地锚、地下管线等）覆盖前，中标人提前通知采购人验收，验收合格方可进行下一道工序。</w:t>
      </w:r>
    </w:p>
    <w:p w14:paraId="5DEE26FA">
      <w:pPr>
        <w:spacing w:before="0" w:after="0" w:line="360" w:lineRule="auto"/>
        <w:ind w:firstLine="480"/>
        <w:jc w:val="both"/>
      </w:pPr>
      <w:r>
        <w:rPr>
          <w:rFonts w:ascii="Times New Roman" w:hAnsi="Times New Roman" w:eastAsia="宋体"/>
          <w:b w:val="0"/>
          <w:color w:val="000000"/>
          <w:sz w:val="24"/>
        </w:rPr>
        <w:t>2.竣工验收：全部工程完工后，中标人提交竣工资料、竣工图纸、材料合格证、检测报告，申请竣工验收；采购人组织验收，验收合格签署竣工验收报告。</w:t>
      </w:r>
    </w:p>
    <w:p w14:paraId="6A99CBD6">
      <w:pPr>
        <w:spacing w:before="0" w:after="0" w:line="360" w:lineRule="auto"/>
        <w:ind w:firstLine="480"/>
        <w:jc w:val="both"/>
      </w:pPr>
      <w:r>
        <w:rPr>
          <w:rFonts w:ascii="Times New Roman" w:hAnsi="Times New Roman" w:eastAsia="宋体"/>
          <w:b w:val="0"/>
          <w:color w:val="000000"/>
          <w:sz w:val="24"/>
        </w:rPr>
        <w:t>3.验收依据：招标文件、投标文件、施工合同、施工图纸、工程量清单、国家及行业现行规范。</w:t>
      </w:r>
    </w:p>
    <w:p w14:paraId="4D09263C">
      <w:pPr>
        <w:spacing w:before="0" w:after="0" w:line="360" w:lineRule="auto"/>
        <w:ind w:firstLine="480"/>
        <w:jc w:val="both"/>
      </w:pPr>
      <w:r>
        <w:rPr>
          <w:rFonts w:ascii="Times New Roman" w:hAnsi="Times New Roman" w:eastAsia="宋体"/>
          <w:b w:val="0"/>
          <w:color w:val="000000"/>
          <w:sz w:val="24"/>
        </w:rPr>
        <w:t>4.移交：验收合格后，中标人完成场地清理，完整移交工程、全套竣工资料。</w:t>
      </w:r>
    </w:p>
    <w:p w14:paraId="36F154F3">
      <w:pPr>
        <w:spacing w:before="200" w:after="80" w:line="360" w:lineRule="auto"/>
        <w:ind w:firstLine="0"/>
      </w:pPr>
      <w:r>
        <w:rPr>
          <w:rFonts w:ascii="Times New Roman" w:hAnsi="Times New Roman" w:eastAsia="宋体"/>
          <w:b/>
          <w:color w:val="000000"/>
          <w:sz w:val="24"/>
        </w:rPr>
        <w:t>六、质保期要求</w:t>
      </w:r>
    </w:p>
    <w:p w14:paraId="3AECECEC">
      <w:pPr>
        <w:spacing w:before="0" w:after="0" w:line="360" w:lineRule="auto"/>
        <w:ind w:firstLine="480"/>
        <w:jc w:val="both"/>
      </w:pPr>
      <w:r>
        <w:rPr>
          <w:rFonts w:ascii="Times New Roman" w:hAnsi="Times New Roman" w:eastAsia="宋体"/>
          <w:b w:val="0"/>
          <w:color w:val="000000"/>
          <w:sz w:val="24"/>
        </w:rPr>
        <w:t>1.质保期：竣工验收合格之日起不少于2年；钢架主体结构质保期不少于5年。</w:t>
      </w:r>
    </w:p>
    <w:p w14:paraId="35B44343">
      <w:pPr>
        <w:spacing w:before="0" w:after="0" w:line="360" w:lineRule="auto"/>
        <w:ind w:firstLine="480"/>
        <w:jc w:val="both"/>
      </w:pPr>
      <w:r>
        <w:rPr>
          <w:rFonts w:ascii="Times New Roman" w:hAnsi="Times New Roman" w:eastAsia="宋体"/>
          <w:b w:val="0"/>
          <w:color w:val="000000"/>
          <w:sz w:val="24"/>
        </w:rPr>
        <w:t>2.质保责任：质保期内，钢架锈蚀、结构变形、膜破损、排水系统故障等工程质量问题，中标人在接到通知后24小时内到场维修，7日内修复完毕，免费更换材料、人工；逾期不修，采购人可委托第三方维修，费用从中标人质保金扣除。</w:t>
      </w:r>
    </w:p>
    <w:p w14:paraId="781F9CCC">
      <w:pPr>
        <w:spacing w:before="0" w:after="0" w:line="360" w:lineRule="auto"/>
        <w:ind w:firstLine="480"/>
        <w:jc w:val="both"/>
      </w:pPr>
      <w:r>
        <w:rPr>
          <w:rFonts w:ascii="Times New Roman" w:hAnsi="Times New Roman" w:eastAsia="宋体"/>
          <w:b w:val="0"/>
          <w:color w:val="000000"/>
          <w:sz w:val="24"/>
        </w:rPr>
        <w:t>3.质保期内定期回访，做好维护记录。</w:t>
      </w:r>
    </w:p>
    <w:p w14:paraId="59761D67">
      <w:pPr>
        <w:spacing w:before="200" w:after="80" w:line="360" w:lineRule="auto"/>
        <w:ind w:firstLine="0"/>
      </w:pPr>
      <w:r>
        <w:rPr>
          <w:rFonts w:ascii="Times New Roman" w:hAnsi="Times New Roman" w:eastAsia="宋体"/>
          <w:b/>
          <w:color w:val="000000"/>
          <w:sz w:val="24"/>
        </w:rPr>
        <w:t>七、商务及其他要求</w:t>
      </w:r>
    </w:p>
    <w:p w14:paraId="38C81C24">
      <w:pPr>
        <w:spacing w:before="0" w:after="0" w:line="360" w:lineRule="auto"/>
        <w:ind w:firstLine="480"/>
        <w:jc w:val="both"/>
      </w:pPr>
      <w:r>
        <w:rPr>
          <w:rFonts w:ascii="Times New Roman" w:hAnsi="Times New Roman" w:eastAsia="宋体"/>
          <w:b w:val="0"/>
          <w:color w:val="000000"/>
          <w:sz w:val="24"/>
        </w:rPr>
        <w:t>1.报价要求：投标报价为完成本项目全部工作内容的总价，包含人工费、材料费、机械费、运输费、安装费、措施费、检测费、管理费、利润、税金、质保、清运、风险等所有费用。采购人不再支付清单以外任何费用。</w:t>
      </w:r>
    </w:p>
    <w:p w14:paraId="59400DFE">
      <w:pPr>
        <w:spacing w:before="0" w:after="0" w:line="360" w:lineRule="auto"/>
        <w:ind w:firstLine="480"/>
        <w:jc w:val="both"/>
      </w:pPr>
      <w:r>
        <w:rPr>
          <w:rFonts w:ascii="Times New Roman" w:hAnsi="Times New Roman" w:eastAsia="宋体"/>
          <w:b w:val="0"/>
          <w:color w:val="000000"/>
          <w:sz w:val="24"/>
        </w:rPr>
        <w:t>2.付款方式：</w:t>
      </w:r>
      <w:r>
        <w:rPr>
          <w:rFonts w:hint="eastAsia" w:ascii="Times New Roman" w:hAnsi="Times New Roman" w:eastAsia="宋体"/>
          <w:b w:val="0"/>
          <w:color w:val="000000"/>
          <w:sz w:val="24"/>
        </w:rPr>
        <w:t>材料全部进场，经验收符合标准，支付合同总价款的50%；项目工程竣工,经初验合格后，拨付至合同总价款85%；工程竣工经有权第三方初审后，付至审定价款的90%；余款待终审结束后一次性结清（以上付款均无息，上级资产到位后拨款）。</w:t>
      </w:r>
    </w:p>
    <w:p w14:paraId="726FE931">
      <w:pPr>
        <w:spacing w:before="0" w:after="0" w:line="360" w:lineRule="auto"/>
        <w:ind w:firstLine="480"/>
        <w:jc w:val="both"/>
      </w:pPr>
      <w:r>
        <w:rPr>
          <w:rFonts w:hint="eastAsia" w:ascii="Times New Roman" w:hAnsi="Times New Roman" w:eastAsia="宋体"/>
          <w:b w:val="0"/>
          <w:color w:val="000000"/>
          <w:sz w:val="24"/>
          <w:lang w:val="en-US" w:eastAsia="zh-CN"/>
        </w:rPr>
        <w:t>3</w:t>
      </w:r>
      <w:r>
        <w:rPr>
          <w:rFonts w:ascii="Times New Roman" w:hAnsi="Times New Roman" w:eastAsia="宋体"/>
          <w:b w:val="0"/>
          <w:color w:val="000000"/>
          <w:sz w:val="24"/>
        </w:rPr>
        <w:t>.知识产权：中标人不得侵犯第三方知识产权，如发生侵权纠纷，全部责任由中标人承担。</w:t>
      </w:r>
    </w:p>
    <w:p w14:paraId="60BA0E8A">
      <w:pPr>
        <w:spacing w:before="0" w:after="0" w:line="360" w:lineRule="auto"/>
        <w:ind w:firstLine="480"/>
        <w:jc w:val="both"/>
      </w:pPr>
      <w:r>
        <w:rPr>
          <w:rFonts w:hint="eastAsia" w:ascii="Times New Roman" w:hAnsi="Times New Roman" w:eastAsia="宋体"/>
          <w:b w:val="0"/>
          <w:color w:val="000000"/>
          <w:sz w:val="24"/>
          <w:lang w:val="en-US" w:eastAsia="zh-CN"/>
        </w:rPr>
        <w:t>4</w:t>
      </w:r>
      <w:r>
        <w:rPr>
          <w:rFonts w:ascii="Times New Roman" w:hAnsi="Times New Roman" w:eastAsia="宋体"/>
          <w:b w:val="0"/>
          <w:color w:val="000000"/>
          <w:sz w:val="24"/>
        </w:rPr>
        <w:t>.培训：工程移交时，对采购人管护人员进行大棚使用、日常维护、简单故障排查操作培训。</w:t>
      </w:r>
    </w:p>
    <w:p w14:paraId="05D58AFC">
      <w:pPr>
        <w:spacing w:before="0" w:after="0" w:line="360" w:lineRule="auto"/>
        <w:ind w:firstLine="480"/>
        <w:jc w:val="both"/>
      </w:pPr>
      <w:r>
        <w:rPr>
          <w:rFonts w:hint="eastAsia" w:ascii="Times New Roman" w:hAnsi="Times New Roman" w:eastAsia="宋体"/>
          <w:b w:val="0"/>
          <w:color w:val="000000"/>
          <w:sz w:val="24"/>
          <w:lang w:val="en-US" w:eastAsia="zh-CN"/>
        </w:rPr>
        <w:t>5</w:t>
      </w:r>
      <w:r>
        <w:rPr>
          <w:rFonts w:ascii="Times New Roman" w:hAnsi="Times New Roman" w:eastAsia="宋体"/>
          <w:b w:val="0"/>
          <w:color w:val="000000"/>
          <w:sz w:val="24"/>
        </w:rPr>
        <w:t>.其他：本项目不接受联合体投标；禁止转包、违法分包，一经发现采购人有权解除合同并追究违约责任。</w:t>
      </w:r>
    </w:p>
    <w:p w14:paraId="548DE756">
      <w:pPr>
        <w:spacing w:before="200" w:after="80" w:line="360" w:lineRule="auto"/>
        <w:ind w:firstLine="0"/>
      </w:pPr>
      <w:r>
        <w:rPr>
          <w:rFonts w:ascii="Times New Roman" w:hAnsi="Times New Roman" w:eastAsia="宋体"/>
          <w:b/>
          <w:color w:val="000000"/>
          <w:sz w:val="24"/>
        </w:rPr>
        <w:t>八、违约责任简要</w:t>
      </w:r>
    </w:p>
    <w:p w14:paraId="6E41B4B4">
      <w:pPr>
        <w:spacing w:before="0" w:after="0" w:line="360" w:lineRule="auto"/>
        <w:ind w:firstLine="480"/>
        <w:jc w:val="both"/>
      </w:pPr>
      <w:r>
        <w:rPr>
          <w:rFonts w:ascii="Times New Roman" w:hAnsi="Times New Roman" w:eastAsia="宋体"/>
          <w:b w:val="0"/>
          <w:color w:val="000000"/>
          <w:sz w:val="24"/>
        </w:rPr>
        <w:t>1.质量不合格：中标人无条件返工，直至验收合格，承担返工全部费用，工期延误按违约处理。</w:t>
      </w:r>
    </w:p>
    <w:p w14:paraId="061DABBC">
      <w:pPr>
        <w:spacing w:before="0" w:after="0" w:line="360" w:lineRule="auto"/>
        <w:ind w:firstLine="480"/>
        <w:jc w:val="both"/>
      </w:pPr>
      <w:r>
        <w:rPr>
          <w:rFonts w:ascii="Times New Roman" w:hAnsi="Times New Roman" w:eastAsia="宋体"/>
          <w:b w:val="0"/>
          <w:color w:val="000000"/>
          <w:sz w:val="24"/>
        </w:rPr>
        <w:t>2.工期逾期：每逾期1日历天，按合同总价的万分之三支付违约金，违约金上限不超过合同总价10%。</w:t>
      </w:r>
    </w:p>
    <w:p w14:paraId="5594E5C0">
      <w:pPr>
        <w:spacing w:before="0" w:after="0" w:line="360" w:lineRule="auto"/>
        <w:ind w:firstLine="480"/>
        <w:jc w:val="both"/>
        <w:rPr>
          <w:rFonts w:hint="eastAsia" w:asciiTheme="minorEastAsia" w:hAnsiTheme="minorEastAsia" w:eastAsiaTheme="minorEastAsia" w:cstheme="minorEastAsia"/>
          <w:color w:val="000000"/>
          <w:sz w:val="24"/>
          <w:szCs w:val="24"/>
        </w:rPr>
      </w:pPr>
      <w:r>
        <w:rPr>
          <w:rFonts w:ascii="Times New Roman" w:hAnsi="Times New Roman" w:eastAsia="宋体"/>
          <w:b w:val="0"/>
          <w:color w:val="000000"/>
          <w:sz w:val="24"/>
        </w:rPr>
        <w:t>3.转包/违法分包：采购人有权单方解除合同，没收履约保证金，中标人承担全部损失。</w:t>
      </w:r>
    </w:p>
    <w:p w14:paraId="6F565B38">
      <w:pPr>
        <w:pStyle w:val="30"/>
        <w:spacing w:beforeAutospacing="0" w:afterAutospacing="0" w:line="360" w:lineRule="auto"/>
        <w:ind w:firstLine="241" w:firstLineChars="100"/>
        <w:jc w:val="both"/>
        <w:rPr>
          <w:rFonts w:hint="eastAsia" w:ascii="Times New Roman" w:hAnsi="Times New Roman" w:eastAsia="宋体" w:cstheme="minorBidi"/>
          <w:b/>
          <w:color w:val="000000"/>
          <w:sz w:val="24"/>
          <w:szCs w:val="24"/>
          <w:lang w:val="en-US" w:eastAsia="zh-CN" w:bidi="ar-SA"/>
        </w:rPr>
      </w:pPr>
      <w:r>
        <w:rPr>
          <w:rFonts w:hint="eastAsia" w:ascii="Times New Roman" w:hAnsi="Times New Roman" w:eastAsia="宋体" w:cstheme="minorBidi"/>
          <w:b/>
          <w:color w:val="000000"/>
          <w:sz w:val="24"/>
          <w:szCs w:val="24"/>
          <w:lang w:val="en-US" w:eastAsia="zh-CN" w:bidi="ar-SA"/>
        </w:rPr>
        <w:t>九、采购标的对应的中小企业划分标准所属行业一览表</w:t>
      </w:r>
    </w:p>
    <w:tbl>
      <w:tblPr>
        <w:tblStyle w:val="32"/>
        <w:tblW w:w="0" w:type="auto"/>
        <w:jc w:val="center"/>
        <w:tblCellSpacing w:w="0" w:type="dxa"/>
        <w:tblLayout w:type="fixed"/>
        <w:tblCellMar>
          <w:top w:w="0" w:type="dxa"/>
          <w:left w:w="108" w:type="dxa"/>
          <w:bottom w:w="0" w:type="dxa"/>
          <w:right w:w="108" w:type="dxa"/>
        </w:tblCellMar>
      </w:tblPr>
      <w:tblGrid>
        <w:gridCol w:w="620"/>
        <w:gridCol w:w="2839"/>
        <w:gridCol w:w="4719"/>
      </w:tblGrid>
      <w:tr w14:paraId="1D4B8F83">
        <w:trPr>
          <w:trHeight w:val="897" w:hRule="atLeast"/>
          <w:tblCellSpacing w:w="0" w:type="dxa"/>
          <w:jc w:val="center"/>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28F4AA61">
            <w:pPr>
              <w:pStyle w:val="199"/>
              <w:spacing w:beforeAutospacing="0" w:afterAutospacing="0" w:line="0" w:lineRule="atLeast"/>
              <w:jc w:val="center"/>
              <w:rPr>
                <w:rFonts w:hint="eastAsia" w:ascii="宋体" w:hAnsi="宋体" w:cs="宋体"/>
              </w:rPr>
            </w:pPr>
            <w:r>
              <w:rPr>
                <w:rFonts w:hint="eastAsia" w:ascii="宋体" w:hAnsi="宋体" w:cs="宋体"/>
              </w:rPr>
              <w:t>序号</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14:paraId="10897FE0">
            <w:pPr>
              <w:pStyle w:val="199"/>
              <w:spacing w:beforeAutospacing="0" w:afterAutospacing="0" w:line="0" w:lineRule="atLeast"/>
              <w:jc w:val="center"/>
              <w:rPr>
                <w:rFonts w:hint="eastAsia" w:ascii="宋体" w:hAnsi="宋体" w:cs="宋体"/>
              </w:rPr>
            </w:pPr>
            <w:r>
              <w:rPr>
                <w:rFonts w:hint="eastAsia" w:ascii="宋体" w:hAnsi="宋体" w:cs="宋体"/>
              </w:rPr>
              <w:t>采购标的</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6587A833">
            <w:pPr>
              <w:pStyle w:val="199"/>
              <w:spacing w:beforeAutospacing="0" w:afterAutospacing="0" w:line="0" w:lineRule="atLeast"/>
              <w:jc w:val="center"/>
              <w:rPr>
                <w:rFonts w:hint="eastAsia" w:ascii="宋体" w:hAnsi="宋体" w:cs="宋体"/>
              </w:rPr>
            </w:pPr>
            <w:r>
              <w:rPr>
                <w:rFonts w:hint="eastAsia" w:ascii="宋体" w:hAnsi="宋体" w:cs="宋体"/>
              </w:rPr>
              <w:t>对应中小企业划分标准所属行业</w:t>
            </w:r>
          </w:p>
        </w:tc>
      </w:tr>
      <w:tr w14:paraId="0D9AB48C">
        <w:tblPrEx>
          <w:tblCellMar>
            <w:top w:w="0" w:type="dxa"/>
            <w:left w:w="108" w:type="dxa"/>
            <w:bottom w:w="0" w:type="dxa"/>
            <w:right w:w="108" w:type="dxa"/>
          </w:tblCellMar>
        </w:tblPrEx>
        <w:trPr>
          <w:trHeight w:val="897" w:hRule="atLeast"/>
          <w:tblCellSpacing w:w="0" w:type="dxa"/>
          <w:jc w:val="center"/>
        </w:trPr>
        <w:tc>
          <w:tcPr>
            <w:tcW w:w="620" w:type="dxa"/>
            <w:tcBorders>
              <w:top w:val="single" w:color="000000" w:sz="4" w:space="0"/>
              <w:left w:val="single" w:color="000000" w:sz="4" w:space="0"/>
              <w:bottom w:val="single" w:color="000000" w:sz="4" w:space="0"/>
              <w:right w:val="single" w:color="000000" w:sz="4" w:space="0"/>
            </w:tcBorders>
            <w:noWrap w:val="0"/>
            <w:vAlign w:val="center"/>
          </w:tcPr>
          <w:p w14:paraId="1369F8F0">
            <w:pPr>
              <w:pStyle w:val="199"/>
              <w:spacing w:beforeAutospacing="0" w:afterAutospacing="0" w:line="0" w:lineRule="atLeast"/>
              <w:jc w:val="center"/>
              <w:rPr>
                <w:rFonts w:hint="eastAsia" w:ascii="宋体" w:hAnsi="宋体" w:cs="宋体"/>
              </w:rPr>
            </w:pPr>
            <w:r>
              <w:rPr>
                <w:rFonts w:hint="eastAsia" w:ascii="宋体" w:hAnsi="宋体" w:cs="宋体"/>
              </w:rPr>
              <w:t>1</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14:paraId="4220F86D">
            <w:pPr>
              <w:pStyle w:val="199"/>
              <w:spacing w:beforeAutospacing="0" w:afterAutospacing="0" w:line="0" w:lineRule="atLeast"/>
              <w:jc w:val="center"/>
              <w:rPr>
                <w:rFonts w:hint="eastAsia" w:ascii="宋体" w:hAnsi="宋体" w:cs="宋体"/>
              </w:rPr>
            </w:pPr>
            <w:r>
              <w:rPr>
                <w:rStyle w:val="35"/>
                <w:rFonts w:hint="eastAsia" w:ascii="宋体" w:hAnsi="宋体" w:eastAsia="宋体" w:cs="宋体"/>
                <w:sz w:val="24"/>
                <w:szCs w:val="24"/>
                <w:lang w:eastAsia="zh-CN"/>
              </w:rPr>
              <w:t>阜宁县芦蒲镇新建钢架大棚项目</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0C43F877">
            <w:pPr>
              <w:pStyle w:val="199"/>
              <w:spacing w:beforeAutospacing="0" w:afterAutospacing="0" w:line="0" w:lineRule="atLeast"/>
              <w:jc w:val="center"/>
              <w:rPr>
                <w:rFonts w:hint="eastAsia" w:ascii="宋体" w:hAnsi="宋体" w:cs="宋体"/>
              </w:rPr>
            </w:pPr>
            <w:r>
              <w:rPr>
                <w:rFonts w:ascii="宋体" w:hAnsi="宋体" w:eastAsia="宋体" w:cs="宋体"/>
                <w:sz w:val="24"/>
                <w:szCs w:val="24"/>
              </w:rPr>
              <w:t>工业</w:t>
            </w:r>
          </w:p>
        </w:tc>
      </w:tr>
    </w:tbl>
    <w:p w14:paraId="0AC2AAF5">
      <w:pPr>
        <w:pStyle w:val="30"/>
        <w:spacing w:beforeAutospacing="0" w:afterAutospacing="0" w:line="360" w:lineRule="auto"/>
        <w:jc w:val="both"/>
        <w:rPr>
          <w:rFonts w:hint="eastAsia" w:asciiTheme="minorEastAsia" w:hAnsiTheme="minorEastAsia" w:eastAsiaTheme="minorEastAsia" w:cstheme="minorEastAsia"/>
          <w:color w:val="000000"/>
          <w:sz w:val="24"/>
          <w:szCs w:val="24"/>
        </w:rPr>
      </w:pPr>
    </w:p>
    <w:p w14:paraId="6C6639A6">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bookmarkStart w:id="173" w:name="_Toc120614281"/>
    </w:p>
    <w:p w14:paraId="209E5510">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3D52C231">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56A4A5C5">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6DA8A168">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4033FE9C">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2E23AE00">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2978C8C0">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4D2D9777">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3A1DF9C8">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04752506">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5FCA6A34">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36EE4587">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63D40207">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7C2056C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color w:val="000000"/>
          <w:sz w:val="36"/>
          <w:szCs w:val="36"/>
        </w:rPr>
        <w:t>第五章  评标方法与评标标准</w:t>
      </w:r>
    </w:p>
    <w:p w14:paraId="2325BA2C">
      <w:pPr>
        <w:pStyle w:val="30"/>
        <w:spacing w:before="120" w:beforeAutospacing="0" w:after="120" w:afterAutospacing="0" w:line="360" w:lineRule="auto"/>
        <w:ind w:firstLine="439"/>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采用</w:t>
      </w:r>
      <w:r>
        <w:rPr>
          <w:rFonts w:hint="eastAsia" w:asciiTheme="minorEastAsia" w:hAnsiTheme="minorEastAsia" w:cstheme="minorEastAsia"/>
          <w:color w:val="000000"/>
          <w:sz w:val="24"/>
          <w:szCs w:val="24"/>
          <w:lang w:eastAsia="zh-CN"/>
        </w:rPr>
        <w:t>最低评标价法</w:t>
      </w:r>
      <w:r>
        <w:rPr>
          <w:rFonts w:hint="eastAsia" w:asciiTheme="minorEastAsia" w:hAnsiTheme="minorEastAsia" w:eastAsiaTheme="minorEastAsia" w:cstheme="minorEastAsia"/>
          <w:color w:val="000000"/>
          <w:sz w:val="24"/>
          <w:szCs w:val="24"/>
        </w:rPr>
        <w:t>，由招标人依法组建的评标委员会对通过初步评审、技术标评审、商务性评审的投标人的有效投标报价（不低于成本）按照由低至高推荐有排序的 1名中标候选人。招标人根据评标委员会提供的书面评标报告，依法确定中标人。</w:t>
      </w:r>
    </w:p>
    <w:p w14:paraId="5F2D7CDF">
      <w:pPr>
        <w:spacing w:line="400" w:lineRule="exact"/>
        <w:ind w:firstLine="482"/>
        <w:rPr>
          <w:rFonts w:hint="eastAsia" w:asciiTheme="minorEastAsia" w:hAnsiTheme="minorEastAsia" w:eastAsiaTheme="minorEastAsia" w:cstheme="minorEastAsia"/>
          <w:b/>
          <w:bCs/>
          <w:color w:val="000000"/>
          <w:sz w:val="24"/>
          <w:szCs w:val="24"/>
          <w:lang w:val="en-US" w:eastAsia="zh-CN" w:bidi="ar-SA"/>
        </w:rPr>
      </w:pPr>
      <w:r>
        <w:rPr>
          <w:rFonts w:hint="eastAsia" w:asciiTheme="minorEastAsia" w:hAnsiTheme="minorEastAsia" w:eastAsiaTheme="minorEastAsia" w:cstheme="minorEastAsia"/>
          <w:b/>
          <w:bCs/>
          <w:color w:val="000000"/>
          <w:sz w:val="24"/>
          <w:szCs w:val="24"/>
          <w:lang w:val="en-US" w:eastAsia="zh-CN" w:bidi="ar-SA"/>
        </w:rPr>
        <w:t>一、评标委员会</w:t>
      </w:r>
    </w:p>
    <w:p w14:paraId="64392C7E">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1.1由采购人依法组织技术专家和有关人员组成评标委员会。</w:t>
      </w:r>
    </w:p>
    <w:p w14:paraId="130AA881">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1.2评标委员会独立开展工作，负责审议所有参加投标的投标文件，并推荐中标候选人。</w:t>
      </w:r>
    </w:p>
    <w:p w14:paraId="09190D77">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1.3评标委员会判断投标文件的响应性仅基于投标文件本身，而不寻找外部证据。</w:t>
      </w:r>
    </w:p>
    <w:p w14:paraId="074E5A6C">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1.4评标过程接受纪检、检察、招标投标管理、公证等有关部门的监察和监督。</w:t>
      </w:r>
    </w:p>
    <w:p w14:paraId="5A243201">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1.5评标过程保密</w:t>
      </w:r>
    </w:p>
    <w:p w14:paraId="00ED91B8">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（1）开标后，直至向中标人授予合同时止，凡是与审查、澄清、评价和比较投标的有关资料以及授标建议等，均不得向投标人及与评标无关的其他人员透露。</w:t>
      </w:r>
    </w:p>
    <w:p w14:paraId="379EB284">
      <w:pPr>
        <w:keepNext w:val="0"/>
        <w:keepLines w:val="0"/>
        <w:pageBreakBefore w:val="0"/>
        <w:widowControl w:val="0"/>
        <w:spacing w:line="360" w:lineRule="exact"/>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eastAsiaTheme="minorEastAsia" w:cstheme="minorEastAsia"/>
          <w:color w:val="000000"/>
          <w:sz w:val="24"/>
          <w:szCs w:val="24"/>
          <w:lang w:val="en-US" w:eastAsia="zh-CN" w:bidi="ar-SA"/>
        </w:rPr>
        <w:t>（2）在评标过程中，如果投标人试图向采购人或评标委员会组成人员施加任何影响，都将会导致其投标被拒绝或废标。</w:t>
      </w:r>
    </w:p>
    <w:p w14:paraId="14291A55">
      <w:pPr>
        <w:spacing w:line="440" w:lineRule="exact"/>
        <w:ind w:firstLine="480"/>
        <w:rPr>
          <w:rFonts w:hint="eastAsia" w:asciiTheme="minorEastAsia" w:hAnsiTheme="minorEastAsia" w:eastAsiaTheme="minorEastAsia" w:cstheme="minorEastAsia"/>
          <w:b/>
          <w:bCs/>
          <w:color w:val="000000"/>
          <w:sz w:val="24"/>
          <w:szCs w:val="24"/>
          <w:lang w:val="en-US" w:eastAsia="zh-CN" w:bidi="ar-SA"/>
        </w:rPr>
      </w:pPr>
      <w:r>
        <w:rPr>
          <w:rFonts w:hint="eastAsia" w:asciiTheme="minorEastAsia" w:hAnsiTheme="minorEastAsia" w:eastAsiaTheme="minorEastAsia" w:cstheme="minorEastAsia"/>
          <w:b/>
          <w:bCs/>
          <w:color w:val="000000"/>
          <w:sz w:val="24"/>
          <w:szCs w:val="24"/>
          <w:lang w:val="en-US" w:eastAsia="zh-CN" w:bidi="ar-SA"/>
        </w:rPr>
        <w:t>二、投标文件初步评审（资格性审查和符合性审查）</w:t>
      </w:r>
    </w:p>
    <w:p w14:paraId="4B8F9A4C">
      <w:pPr>
        <w:keepNext w:val="0"/>
        <w:keepLines w:val="0"/>
        <w:pageBreakBefore w:val="0"/>
        <w:spacing w:line="360" w:lineRule="auto"/>
        <w:ind w:firstLine="480"/>
        <w:rPr>
          <w:rFonts w:hint="eastAsia" w:asciiTheme="minorEastAsia" w:hAnsiTheme="minorEastAsia" w:eastAsiaTheme="minorEastAsia" w:cstheme="minorEastAsia"/>
          <w:color w:val="000000"/>
          <w:sz w:val="24"/>
          <w:szCs w:val="24"/>
          <w:lang w:val="en-US" w:eastAsia="zh-CN" w:bidi="ar-SA"/>
        </w:rPr>
      </w:pPr>
      <w:r>
        <w:rPr>
          <w:rFonts w:hint="eastAsia" w:asciiTheme="minorEastAsia" w:hAnsiTheme="minorEastAsia" w:cstheme="minorEastAsia"/>
          <w:color w:val="000000"/>
          <w:sz w:val="24"/>
          <w:szCs w:val="24"/>
          <w:lang w:val="en-US" w:eastAsia="zh-CN" w:bidi="ar-SA"/>
        </w:rPr>
        <w:t>1.</w:t>
      </w:r>
      <w:r>
        <w:rPr>
          <w:rFonts w:hint="eastAsia" w:asciiTheme="minorEastAsia" w:hAnsiTheme="minorEastAsia" w:eastAsiaTheme="minorEastAsia" w:cstheme="minorEastAsia"/>
          <w:color w:val="000000"/>
          <w:sz w:val="24"/>
          <w:szCs w:val="24"/>
          <w:lang w:val="en-US" w:eastAsia="zh-CN" w:bidi="ar-SA"/>
        </w:rPr>
        <w:t>资格性审查。依据法律法规和招标文件的规定，对投标文件中的资格证件证明材料的扫描件进行审查，以确定投标人是否具备投标资格。</w:t>
      </w:r>
    </w:p>
    <w:p w14:paraId="580C6F70">
      <w:pPr>
        <w:pStyle w:val="30"/>
        <w:spacing w:before="120" w:beforeAutospacing="0" w:after="120" w:afterAutospacing="0" w:line="360" w:lineRule="auto"/>
        <w:ind w:firstLine="482"/>
        <w:rPr>
          <w:rFonts w:hint="eastAsia" w:asciiTheme="minorEastAsia" w:hAnsiTheme="minorEastAsia" w:eastAsiaTheme="minorEastAsia" w:cstheme="minorEastAsia"/>
          <w:b/>
          <w:bCs w:val="0"/>
          <w:color w:val="000000"/>
          <w:sz w:val="24"/>
          <w:szCs w:val="24"/>
          <w:lang w:eastAsia="zh-CN"/>
        </w:rPr>
      </w:pPr>
      <w:r>
        <w:rPr>
          <w:rFonts w:hint="eastAsia" w:asciiTheme="minorEastAsia" w:hAnsiTheme="minorEastAsia" w:cstheme="minorEastAsia"/>
          <w:b/>
          <w:bCs w:val="0"/>
          <w:color w:val="000000"/>
          <w:sz w:val="24"/>
          <w:szCs w:val="24"/>
          <w:lang w:eastAsia="zh-CN"/>
        </w:rPr>
        <w:t>资格证件证明审查内容主要包括：</w:t>
      </w:r>
    </w:p>
    <w:p w14:paraId="3BBE5272">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cstheme="minorEastAsia"/>
          <w:b w:val="0"/>
          <w:bCs/>
          <w:color w:val="000000"/>
          <w:sz w:val="24"/>
          <w:szCs w:val="24"/>
          <w:lang w:val="en-US" w:eastAsia="zh-CN"/>
        </w:rPr>
        <w:t>1.1</w:t>
      </w:r>
      <w:r>
        <w:rPr>
          <w:rFonts w:hint="eastAsia" w:asciiTheme="minorEastAsia" w:hAnsiTheme="minorEastAsia" w:eastAsiaTheme="minorEastAsia" w:cstheme="minorEastAsia"/>
          <w:b w:val="0"/>
          <w:bCs/>
          <w:color w:val="000000"/>
          <w:sz w:val="24"/>
          <w:szCs w:val="24"/>
        </w:rPr>
        <w:t>法人或者其他组织的营业执照等证明文件，自然人的身份证明；</w:t>
      </w:r>
    </w:p>
    <w:p w14:paraId="2B88EAB5">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w:t>
      </w:r>
      <w:r>
        <w:rPr>
          <w:rFonts w:hint="eastAsia" w:asciiTheme="minorEastAsia" w:hAnsiTheme="minorEastAsia" w:cstheme="minorEastAsia"/>
          <w:b w:val="0"/>
          <w:bCs/>
          <w:color w:val="000000"/>
          <w:sz w:val="24"/>
          <w:szCs w:val="24"/>
          <w:lang w:val="en-US" w:eastAsia="zh-CN"/>
        </w:rPr>
        <w:t>2</w:t>
      </w:r>
      <w:r>
        <w:rPr>
          <w:rFonts w:hint="eastAsia" w:asciiTheme="minorEastAsia" w:hAnsiTheme="minorEastAsia" w:eastAsiaTheme="minorEastAsia" w:cstheme="minorEastAsia"/>
          <w:b w:val="0"/>
          <w:bCs/>
          <w:color w:val="000000"/>
          <w:sz w:val="24"/>
          <w:szCs w:val="24"/>
        </w:rPr>
        <w:t>上一年度（</w:t>
      </w:r>
      <w:r>
        <w:rPr>
          <w:rFonts w:hint="eastAsia" w:eastAsia="宋体" w:asciiTheme="minorEastAsia" w:hAnsiTheme="minorEastAsia" w:cstheme="minorEastAsia"/>
          <w:b w:val="0"/>
          <w:bCs/>
          <w:color w:val="000000"/>
          <w:sz w:val="24"/>
          <w:szCs w:val="24"/>
          <w:lang w:eastAsia="zh-CN"/>
        </w:rPr>
        <w:t>2025年度</w:t>
      </w:r>
      <w:r>
        <w:rPr>
          <w:rFonts w:hint="eastAsia" w:asciiTheme="minorEastAsia" w:hAnsiTheme="minorEastAsia" w:eastAsiaTheme="minorEastAsia" w:cstheme="minorEastAsia"/>
          <w:b w:val="0"/>
          <w:bCs/>
          <w:color w:val="000000"/>
          <w:sz w:val="24"/>
          <w:szCs w:val="24"/>
        </w:rPr>
        <w:t>）的财务状况报表（财务报表至少应当包括资产负债表、利润表，成立不满一年无需提供）；</w:t>
      </w:r>
    </w:p>
    <w:p w14:paraId="41E0C435">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1.3具备履行合同所必需的设备和专业技术能力的书面声明；</w:t>
      </w:r>
    </w:p>
    <w:p w14:paraId="35162C0B">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1.4</w:t>
      </w:r>
      <w:r>
        <w:rPr>
          <w:rFonts w:hint="eastAsia" w:ascii="宋体" w:hAnsi="宋体" w:eastAsia="宋体" w:cs="宋体"/>
          <w:color w:val="000000"/>
          <w:sz w:val="24"/>
          <w:szCs w:val="24"/>
        </w:rPr>
        <w:t>依法缴纳税收和社会保障资金的相关材料（提供提交响应文件截止时间前一年内至少一个月依法缴纳税收及缴纳社会保障资金的证明材料。供应商依法享受缓缴、免缴税收、社会保障资金的提供证明材料</w:t>
      </w:r>
      <w:r>
        <w:rPr>
          <w:rFonts w:hint="eastAsia" w:asciiTheme="minorEastAsia" w:hAnsiTheme="minorEastAsia" w:eastAsiaTheme="minorEastAsia" w:cstheme="minorEastAsia"/>
          <w:b w:val="0"/>
          <w:bCs/>
          <w:color w:val="000000"/>
          <w:sz w:val="24"/>
          <w:szCs w:val="24"/>
        </w:rPr>
        <w:t>；</w:t>
      </w:r>
    </w:p>
    <w:p w14:paraId="6A137A06">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1.5参加政府采购活动前3年内在经营活动中没有重大违法记录的书面声明。</w:t>
      </w:r>
    </w:p>
    <w:p w14:paraId="245F45CE">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1.6法律、行政法规规定的其他条件。</w:t>
      </w:r>
    </w:p>
    <w:p w14:paraId="78DD94AD">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1.7在“信用中国”网站（www.creditchina.gov.cn）查询，无被列入失信被执行人、重大税收违法案件当事人名单、政府采购严重失信行为记录名单及其他不符合《中华人民共和国政府采购法》第二十二条规定条件的信用记录。（响应文件中无需提供证明材料）</w:t>
      </w:r>
    </w:p>
    <w:p w14:paraId="25F7B8F2">
      <w:pPr>
        <w:pStyle w:val="30"/>
        <w:spacing w:before="120" w:beforeAutospacing="0" w:after="120" w:afterAutospacing="0" w:line="360" w:lineRule="auto"/>
        <w:ind w:firstLine="482"/>
        <w:rPr>
          <w:rFonts w:hint="eastAsia" w:asciiTheme="minorEastAsia" w:hAnsiTheme="minorEastAsia" w:eastAsiaTheme="minorEastAsia" w:cstheme="minorEastAsia"/>
          <w:b w:val="0"/>
          <w:bCs/>
          <w:color w:val="000000"/>
          <w:sz w:val="24"/>
          <w:szCs w:val="24"/>
        </w:rPr>
      </w:pPr>
      <w:r>
        <w:rPr>
          <w:rFonts w:hint="eastAsia" w:asciiTheme="minorEastAsia" w:hAnsiTheme="minorEastAsia" w:eastAsiaTheme="minorEastAsia" w:cstheme="minorEastAsia"/>
          <w:b w:val="0"/>
          <w:bCs/>
          <w:color w:val="000000"/>
          <w:sz w:val="24"/>
          <w:szCs w:val="24"/>
        </w:rPr>
        <w:t>1.8单位负责人为同一人或者存在直接控股、管理关系的不同供应商，不得参加同一合同项下的政府采购活动。</w:t>
      </w:r>
    </w:p>
    <w:p w14:paraId="1282C4A0">
      <w:pPr>
        <w:pStyle w:val="194"/>
        <w:keepNext w:val="0"/>
        <w:keepLines w:val="0"/>
        <w:pageBreakBefore w:val="0"/>
        <w:spacing w:line="360" w:lineRule="auto"/>
        <w:ind w:firstLine="480"/>
        <w:rPr>
          <w:rFonts w:hint="eastAsia" w:ascii="宋体" w:eastAsia="宋体" w:cs="宋体"/>
          <w:color w:val="auto"/>
          <w:sz w:val="24"/>
          <w:szCs w:val="24"/>
          <w:lang w:val="zh-TW" w:eastAsia="zh-TW"/>
        </w:rPr>
      </w:pPr>
      <w:r>
        <w:rPr>
          <w:rFonts w:hint="eastAsia" w:ascii="宋体" w:eastAsia="宋体" w:cs="宋体"/>
          <w:color w:val="auto"/>
          <w:sz w:val="24"/>
          <w:szCs w:val="24"/>
          <w:lang w:val="en-US" w:eastAsia="zh-CN"/>
        </w:rPr>
        <w:t>2.</w:t>
      </w:r>
      <w:r>
        <w:rPr>
          <w:rFonts w:hint="eastAsia" w:ascii="宋体" w:eastAsia="宋体" w:cs="宋体"/>
          <w:color w:val="auto"/>
          <w:sz w:val="24"/>
          <w:szCs w:val="24"/>
          <w:lang w:val="zh-TW" w:eastAsia="zh-TW"/>
        </w:rPr>
        <w:t>符合性审查。依据招标文件的规定，从投标文件的有效性、完整性和对招标文件的响应程度进行审查，以确定投标文件是否对采购文件的实质性要求作出响应。</w:t>
      </w:r>
    </w:p>
    <w:p w14:paraId="36D87D0D">
      <w:pPr>
        <w:pStyle w:val="194"/>
        <w:keepNext w:val="0"/>
        <w:keepLines w:val="0"/>
        <w:pageBreakBefore w:val="0"/>
        <w:spacing w:line="360" w:lineRule="auto"/>
        <w:ind w:firstLine="480"/>
        <w:rPr>
          <w:rFonts w:hint="eastAsia" w:ascii="宋体" w:eastAsia="宋体" w:cs="宋体"/>
          <w:color w:val="auto"/>
          <w:sz w:val="24"/>
          <w:szCs w:val="24"/>
          <w:lang w:val="zh-TW" w:eastAsia="zh-TW"/>
        </w:rPr>
      </w:pPr>
      <w:r>
        <w:rPr>
          <w:rFonts w:hint="eastAsia" w:ascii="宋体" w:eastAsia="宋体" w:cs="宋体"/>
          <w:color w:val="auto"/>
          <w:sz w:val="24"/>
          <w:szCs w:val="24"/>
          <w:lang w:val="zh-TW" w:eastAsia="zh-TW"/>
        </w:rPr>
        <w:t>评委决定投标文件的响应性只根据投标文件本身的内容，而不寻求外部的证据。</w:t>
      </w:r>
    </w:p>
    <w:p w14:paraId="50067D9D">
      <w:pPr>
        <w:pStyle w:val="194"/>
        <w:keepNext w:val="0"/>
        <w:keepLines w:val="0"/>
        <w:pageBreakBefore w:val="0"/>
        <w:spacing w:line="360" w:lineRule="auto"/>
        <w:ind w:firstLine="480"/>
        <w:rPr>
          <w:rFonts w:ascii="宋体" w:eastAsia="宋体" w:cs="宋体"/>
          <w:color w:val="auto"/>
          <w:sz w:val="24"/>
          <w:szCs w:val="24"/>
          <w:lang w:val="zh-TW" w:eastAsia="zh-TW"/>
        </w:rPr>
      </w:pPr>
      <w:r>
        <w:rPr>
          <w:rFonts w:hint="eastAsia" w:ascii="宋体" w:eastAsia="宋体" w:cs="宋体"/>
          <w:color w:val="auto"/>
          <w:sz w:val="24"/>
          <w:szCs w:val="24"/>
          <w:lang w:val="en-US" w:eastAsia="zh-CN"/>
        </w:rPr>
        <w:t>3.</w:t>
      </w:r>
      <w:r>
        <w:rPr>
          <w:rFonts w:hint="eastAsia" w:ascii="宋体" w:eastAsia="宋体" w:cs="宋体"/>
          <w:color w:val="auto"/>
          <w:sz w:val="24"/>
          <w:szCs w:val="24"/>
          <w:lang w:val="zh-TW" w:eastAsia="zh-TW"/>
        </w:rPr>
        <w:t>澄清有关问题。对投标文件中含义不明确、同类问题表述不一致或者有明显文字和计算错误的内容，评标委员会可以书面形式（应当由评标委员会专家签字）要求投标人作出必要的澄清、说明或者纠正。投标人的重要澄清、说明或者补正应当采用书面形式，由其授权的代表签字，并不得超出投标文件的范围或者改变投标文件的实质性内容。不澄清者，以不利于投标人为原则处理。</w:t>
      </w:r>
      <w:r>
        <w:rPr>
          <w:rFonts w:hint="eastAsia" w:ascii="宋体" w:eastAsia="宋体" w:cs="宋体"/>
          <w:color w:val="auto"/>
          <w:sz w:val="24"/>
          <w:szCs w:val="24"/>
          <w:lang w:val="zh-TW"/>
        </w:rPr>
        <w:t>　　　　　　　</w:t>
      </w:r>
      <w:r>
        <w:rPr>
          <w:rFonts w:ascii="宋体" w:eastAsia="宋体" w:cs="宋体"/>
          <w:color w:val="auto"/>
          <w:sz w:val="24"/>
          <w:szCs w:val="24"/>
          <w:lang w:val="zh-TW" w:eastAsia="zh-TW"/>
        </w:rPr>
        <w:t>投标文件报价出现前后不一致的，按照下列规定修正：</w:t>
      </w:r>
    </w:p>
    <w:p w14:paraId="7FDA6757">
      <w:pPr>
        <w:pStyle w:val="194"/>
        <w:keepNext w:val="0"/>
        <w:keepLines w:val="0"/>
        <w:pageBreakBefore w:val="0"/>
        <w:spacing w:line="360" w:lineRule="auto"/>
        <w:ind w:firstLine="480"/>
        <w:rPr>
          <w:rFonts w:ascii="宋体" w:eastAsia="宋体" w:cs="宋体"/>
          <w:color w:val="auto"/>
          <w:sz w:val="24"/>
          <w:szCs w:val="24"/>
          <w:lang w:val="zh-TW" w:eastAsia="zh-TW"/>
        </w:rPr>
      </w:pPr>
      <w:r>
        <w:rPr>
          <w:rFonts w:ascii="宋体" w:eastAsia="宋体" w:cs="宋体"/>
          <w:color w:val="auto"/>
          <w:sz w:val="24"/>
          <w:szCs w:val="24"/>
          <w:lang w:val="zh-TW" w:eastAsia="zh-TW"/>
        </w:rPr>
        <w:t>（</w:t>
      </w:r>
      <w:r>
        <w:rPr>
          <w:rFonts w:hint="eastAsia" w:ascii="宋体" w:eastAsia="宋体" w:cs="宋体"/>
          <w:color w:val="auto"/>
          <w:sz w:val="24"/>
          <w:szCs w:val="24"/>
          <w:lang w:val="zh-TW"/>
        </w:rPr>
        <w:t>1</w:t>
      </w:r>
      <w:r>
        <w:rPr>
          <w:rFonts w:ascii="宋体" w:eastAsia="宋体" w:cs="宋体"/>
          <w:color w:val="auto"/>
          <w:sz w:val="24"/>
          <w:szCs w:val="24"/>
          <w:lang w:val="zh-TW" w:eastAsia="zh-TW"/>
        </w:rPr>
        <w:t>）投标文件中开标一览表（报价表）内容与投标文件中相应内容不一致的，以开标一览表（报价表）为准；</w:t>
      </w:r>
    </w:p>
    <w:p w14:paraId="2C592921">
      <w:pPr>
        <w:pStyle w:val="194"/>
        <w:keepNext w:val="0"/>
        <w:keepLines w:val="0"/>
        <w:pageBreakBefore w:val="0"/>
        <w:spacing w:line="360" w:lineRule="auto"/>
        <w:ind w:firstLine="480"/>
        <w:rPr>
          <w:rFonts w:ascii="宋体" w:eastAsia="宋体" w:cs="宋体"/>
          <w:color w:val="auto"/>
          <w:sz w:val="24"/>
          <w:szCs w:val="24"/>
          <w:lang w:val="zh-TW" w:eastAsia="zh-TW"/>
        </w:rPr>
      </w:pPr>
      <w:r>
        <w:rPr>
          <w:rFonts w:ascii="宋体" w:eastAsia="宋体" w:cs="宋体"/>
          <w:color w:val="auto"/>
          <w:sz w:val="24"/>
          <w:szCs w:val="24"/>
          <w:lang w:val="zh-TW" w:eastAsia="zh-TW"/>
        </w:rPr>
        <w:t>（</w:t>
      </w:r>
      <w:r>
        <w:rPr>
          <w:rFonts w:hint="eastAsia" w:ascii="宋体" w:eastAsia="宋体" w:cs="宋体"/>
          <w:color w:val="auto"/>
          <w:sz w:val="24"/>
          <w:szCs w:val="24"/>
          <w:lang w:val="zh-TW"/>
        </w:rPr>
        <w:t>2</w:t>
      </w:r>
      <w:r>
        <w:rPr>
          <w:rFonts w:ascii="宋体" w:eastAsia="宋体" w:cs="宋体"/>
          <w:color w:val="auto"/>
          <w:sz w:val="24"/>
          <w:szCs w:val="24"/>
          <w:lang w:val="zh-TW" w:eastAsia="zh-TW"/>
        </w:rPr>
        <w:t>）大写金额和小写金额不一致的，以大写金额为准；</w:t>
      </w:r>
    </w:p>
    <w:p w14:paraId="73C748C0">
      <w:pPr>
        <w:pStyle w:val="194"/>
        <w:keepNext w:val="0"/>
        <w:keepLines w:val="0"/>
        <w:pageBreakBefore w:val="0"/>
        <w:spacing w:line="360" w:lineRule="auto"/>
        <w:ind w:firstLine="480"/>
        <w:rPr>
          <w:rFonts w:ascii="宋体" w:eastAsia="宋体" w:cs="宋体"/>
          <w:color w:val="auto"/>
          <w:sz w:val="24"/>
          <w:szCs w:val="24"/>
          <w:lang w:val="zh-TW" w:eastAsia="zh-TW"/>
        </w:rPr>
      </w:pPr>
      <w:r>
        <w:rPr>
          <w:rFonts w:ascii="宋体" w:eastAsia="宋体" w:cs="宋体"/>
          <w:color w:val="auto"/>
          <w:sz w:val="24"/>
          <w:szCs w:val="24"/>
          <w:lang w:val="zh-TW" w:eastAsia="zh-TW"/>
        </w:rPr>
        <w:t>（</w:t>
      </w:r>
      <w:r>
        <w:rPr>
          <w:rFonts w:hint="eastAsia" w:ascii="宋体" w:eastAsia="宋体" w:cs="宋体"/>
          <w:color w:val="auto"/>
          <w:sz w:val="24"/>
          <w:szCs w:val="24"/>
          <w:lang w:val="zh-TW"/>
        </w:rPr>
        <w:t>3</w:t>
      </w:r>
      <w:r>
        <w:rPr>
          <w:rFonts w:ascii="宋体" w:eastAsia="宋体" w:cs="宋体"/>
          <w:color w:val="auto"/>
          <w:sz w:val="24"/>
          <w:szCs w:val="24"/>
          <w:lang w:val="zh-TW" w:eastAsia="zh-TW"/>
        </w:rPr>
        <w:t>）单价金额小数点或者百分比有明显错位的，以开标一览表的总价为准，并修改单价；</w:t>
      </w:r>
    </w:p>
    <w:p w14:paraId="629CB650">
      <w:pPr>
        <w:pStyle w:val="194"/>
        <w:keepNext w:val="0"/>
        <w:keepLines w:val="0"/>
        <w:pageBreakBefore w:val="0"/>
        <w:spacing w:line="360" w:lineRule="auto"/>
        <w:ind w:firstLine="480"/>
        <w:rPr>
          <w:rFonts w:ascii="宋体" w:eastAsia="宋体" w:cs="宋体"/>
          <w:color w:val="auto"/>
          <w:sz w:val="24"/>
          <w:szCs w:val="24"/>
          <w:lang w:val="zh-TW" w:eastAsia="zh-TW"/>
        </w:rPr>
      </w:pPr>
      <w:r>
        <w:rPr>
          <w:rFonts w:ascii="宋体" w:eastAsia="宋体" w:cs="宋体"/>
          <w:color w:val="auto"/>
          <w:sz w:val="24"/>
          <w:szCs w:val="24"/>
          <w:lang w:val="zh-TW" w:eastAsia="zh-TW"/>
        </w:rPr>
        <w:t>（</w:t>
      </w:r>
      <w:r>
        <w:rPr>
          <w:rFonts w:hint="eastAsia" w:ascii="宋体" w:eastAsia="宋体" w:cs="宋体"/>
          <w:color w:val="auto"/>
          <w:sz w:val="24"/>
          <w:szCs w:val="24"/>
          <w:lang w:val="zh-TW"/>
        </w:rPr>
        <w:t>4</w:t>
      </w:r>
      <w:r>
        <w:rPr>
          <w:rFonts w:ascii="宋体" w:eastAsia="宋体" w:cs="宋体"/>
          <w:color w:val="auto"/>
          <w:sz w:val="24"/>
          <w:szCs w:val="24"/>
          <w:lang w:val="zh-TW" w:eastAsia="zh-TW"/>
        </w:rPr>
        <w:t>）总价金额与按单价汇总金额不一致的，以单价金额计算结果为准。</w:t>
      </w:r>
    </w:p>
    <w:p w14:paraId="5BDCBFB1">
      <w:pPr>
        <w:pStyle w:val="194"/>
        <w:keepNext w:val="0"/>
        <w:keepLines w:val="0"/>
        <w:pageBreakBefore w:val="0"/>
        <w:spacing w:line="360" w:lineRule="auto"/>
        <w:ind w:firstLine="480"/>
        <w:rPr>
          <w:rFonts w:hint="eastAsia" w:ascii="宋体" w:eastAsia="宋体" w:cs="宋体"/>
          <w:color w:val="auto"/>
          <w:sz w:val="24"/>
          <w:szCs w:val="24"/>
          <w:lang w:val="zh-TW"/>
        </w:rPr>
      </w:pPr>
      <w:r>
        <w:rPr>
          <w:rFonts w:ascii="宋体" w:eastAsia="宋体" w:cs="宋体"/>
          <w:color w:val="auto"/>
          <w:sz w:val="24"/>
          <w:szCs w:val="24"/>
          <w:lang w:val="zh-TW" w:eastAsia="zh-TW"/>
        </w:rPr>
        <w:t>同时出现两种以上不一致的，按照</w:t>
      </w:r>
      <w:r>
        <w:rPr>
          <w:rFonts w:hint="eastAsia" w:ascii="宋体" w:eastAsia="宋体" w:cs="宋体"/>
          <w:color w:val="auto"/>
          <w:sz w:val="24"/>
          <w:szCs w:val="24"/>
          <w:lang w:val="zh-TW"/>
        </w:rPr>
        <w:t>上述</w:t>
      </w:r>
      <w:r>
        <w:rPr>
          <w:rFonts w:ascii="宋体" w:eastAsia="宋体" w:cs="宋体"/>
          <w:color w:val="auto"/>
          <w:sz w:val="24"/>
          <w:szCs w:val="24"/>
          <w:lang w:val="zh-TW" w:eastAsia="zh-TW"/>
        </w:rPr>
        <w:t>规定的顺序修正。</w:t>
      </w:r>
      <w:r>
        <w:rPr>
          <w:rFonts w:hint="eastAsia" w:ascii="宋体" w:eastAsia="宋体" w:cs="宋体"/>
          <w:color w:val="auto"/>
          <w:sz w:val="24"/>
          <w:szCs w:val="24"/>
          <w:lang w:val="zh-TW" w:eastAsia="zh-TW"/>
        </w:rPr>
        <w:t>评标委员会将按上述修正错误的方法调整投标文件中的投标报价，调整后的价格对投标人具有约束力。如果投标人不接受修正后的价格，则其投标将被拒绝。</w:t>
      </w:r>
    </w:p>
    <w:p w14:paraId="77EB2403">
      <w:pPr>
        <w:pStyle w:val="194"/>
        <w:keepNext w:val="0"/>
        <w:keepLines w:val="0"/>
        <w:pageBreakBefore w:val="0"/>
        <w:spacing w:line="360" w:lineRule="auto"/>
        <w:ind w:firstLine="480"/>
        <w:rPr>
          <w:rFonts w:hint="eastAsia" w:ascii="宋体" w:eastAsia="宋体" w:cs="宋体"/>
          <w:color w:val="auto"/>
          <w:sz w:val="24"/>
          <w:szCs w:val="24"/>
          <w:lang w:val="zh-TW"/>
        </w:rPr>
      </w:pPr>
      <w:r>
        <w:rPr>
          <w:rFonts w:hint="eastAsia" w:ascii="宋体" w:eastAsia="宋体" w:cs="宋体"/>
          <w:color w:val="auto"/>
          <w:sz w:val="24"/>
          <w:szCs w:val="24"/>
          <w:lang w:val="en-US" w:eastAsia="zh-CN"/>
        </w:rPr>
        <w:t>4.</w:t>
      </w:r>
      <w:r>
        <w:rPr>
          <w:rFonts w:ascii="宋体" w:eastAsia="宋体" w:cs="宋体"/>
          <w:color w:val="auto"/>
          <w:sz w:val="24"/>
          <w:szCs w:val="24"/>
          <w:lang w:val="zh-TW"/>
        </w:rPr>
        <w:t>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14:paraId="522FCC2F">
      <w:pPr>
        <w:pStyle w:val="194"/>
        <w:keepNext w:val="0"/>
        <w:keepLines w:val="0"/>
        <w:pageBreakBefore w:val="0"/>
        <w:spacing w:line="360" w:lineRule="auto"/>
        <w:ind w:firstLine="480"/>
        <w:rPr>
          <w:rFonts w:hint="eastAsia" w:ascii="宋体" w:eastAsia="宋体" w:cs="宋体"/>
          <w:color w:val="auto"/>
          <w:sz w:val="24"/>
          <w:szCs w:val="24"/>
          <w:lang w:val="zh-TW" w:eastAsia="zh-TW"/>
        </w:rPr>
      </w:pPr>
      <w:r>
        <w:rPr>
          <w:rFonts w:hint="eastAsia" w:ascii="宋体" w:eastAsia="宋体" w:cs="宋体"/>
          <w:color w:val="auto"/>
          <w:sz w:val="24"/>
          <w:szCs w:val="24"/>
          <w:lang w:val="en-US" w:eastAsia="zh-CN"/>
        </w:rPr>
        <w:t>5.</w:t>
      </w:r>
      <w:r>
        <w:rPr>
          <w:rFonts w:hint="eastAsia" w:ascii="宋体" w:eastAsia="宋体" w:cs="宋体"/>
          <w:color w:val="auto"/>
          <w:sz w:val="24"/>
          <w:szCs w:val="24"/>
          <w:lang w:val="zh-TW" w:eastAsia="zh-TW"/>
        </w:rPr>
        <w:t>如果投标文件实质上没有响应招标文件的要求，评标委员会将予以拒绝，投标人不得通过修改或撤销不符合要求的偏离或保留而使其投标成为实质性响应的投标。</w:t>
      </w:r>
    </w:p>
    <w:p w14:paraId="440E40BE">
      <w:pPr>
        <w:pStyle w:val="194"/>
        <w:keepNext w:val="0"/>
        <w:keepLines w:val="0"/>
        <w:pageBreakBefore w:val="0"/>
        <w:spacing w:line="360" w:lineRule="auto"/>
        <w:ind w:firstLine="480"/>
        <w:rPr>
          <w:rFonts w:ascii="宋体" w:eastAsia="PMingLiU" w:cs="宋体"/>
          <w:color w:val="auto"/>
          <w:sz w:val="24"/>
          <w:szCs w:val="24"/>
          <w:lang w:val="zh-TW" w:eastAsia="zh-TW"/>
        </w:rPr>
      </w:pPr>
      <w:r>
        <w:rPr>
          <w:rFonts w:hint="eastAsia" w:ascii="宋体" w:eastAsia="宋体" w:cs="宋体"/>
          <w:color w:val="auto"/>
          <w:sz w:val="24"/>
          <w:szCs w:val="24"/>
          <w:lang w:val="zh-TW" w:eastAsia="zh-TW"/>
        </w:rPr>
        <w:t>评标委员会将允许修正投标文件中不构成重大偏离的、微小的、非正规的、不一致的或不规则的地方，但这些修改不能影响任何投标人相应的名次排列。</w:t>
      </w:r>
    </w:p>
    <w:p w14:paraId="0301D27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360" w:lineRule="auto"/>
        <w:ind w:firstLine="482"/>
        <w:rPr>
          <w:rFonts w:hint="eastAsia" w:ascii="宋体" w:hAnsi="宋体"/>
          <w:b/>
          <w:sz w:val="24"/>
        </w:rPr>
      </w:pPr>
      <w:r>
        <w:rPr>
          <w:rFonts w:hint="eastAsia" w:ascii="宋体" w:hAnsi="宋体"/>
          <w:b/>
          <w:sz w:val="24"/>
        </w:rPr>
        <w:t>三、详细评审</w:t>
      </w:r>
    </w:p>
    <w:p w14:paraId="296621D4">
      <w:pPr>
        <w:keepNext w:val="0"/>
        <w:keepLines w:val="0"/>
        <w:pageBreakBefore w:val="0"/>
        <w:spacing w:line="360" w:lineRule="auto"/>
        <w:ind w:firstLine="480"/>
        <w:rPr>
          <w:rFonts w:hint="eastAsia" w:ascii="宋体" w:hAnsi="宋体"/>
          <w:sz w:val="24"/>
        </w:rPr>
      </w:pPr>
      <w:r>
        <w:rPr>
          <w:rFonts w:hint="eastAsia" w:ascii="宋体" w:hAnsi="宋体"/>
          <w:sz w:val="24"/>
        </w:rPr>
        <w:t>3.1本次评标采用</w:t>
      </w:r>
      <w:r>
        <w:rPr>
          <w:rFonts w:hint="eastAsia"/>
          <w:b/>
          <w:bCs/>
          <w:color w:val="auto"/>
          <w:sz w:val="24"/>
          <w:u w:val="single"/>
        </w:rPr>
        <w:t>最低</w:t>
      </w:r>
      <w:r>
        <w:rPr>
          <w:rFonts w:hint="eastAsia"/>
          <w:b/>
          <w:bCs/>
          <w:color w:val="auto"/>
          <w:sz w:val="24"/>
          <w:u w:val="single"/>
          <w:lang w:eastAsia="zh-CN"/>
        </w:rPr>
        <w:t>投</w:t>
      </w:r>
      <w:r>
        <w:rPr>
          <w:rFonts w:hint="eastAsia"/>
          <w:b/>
          <w:bCs/>
          <w:color w:val="auto"/>
          <w:sz w:val="24"/>
          <w:u w:val="single"/>
        </w:rPr>
        <w:t>标价法</w:t>
      </w:r>
      <w:r>
        <w:rPr>
          <w:rFonts w:hint="eastAsia" w:ascii="宋体" w:hAnsi="宋体"/>
          <w:sz w:val="24"/>
        </w:rPr>
        <w:t>。</w:t>
      </w:r>
    </w:p>
    <w:p w14:paraId="62FE843A">
      <w:pPr>
        <w:keepNext w:val="0"/>
        <w:keepLines w:val="0"/>
        <w:pageBreakBefore w:val="0"/>
        <w:spacing w:line="360" w:lineRule="auto"/>
        <w:ind w:firstLine="482"/>
        <w:rPr>
          <w:rFonts w:hint="eastAsia" w:ascii="宋体" w:hAnsi="宋体" w:cs="宋体"/>
          <w:b/>
          <w:bCs/>
          <w:sz w:val="24"/>
        </w:rPr>
      </w:pPr>
      <w:r>
        <w:rPr>
          <w:rFonts w:hint="eastAsia"/>
          <w:b/>
          <w:color w:val="auto"/>
          <w:sz w:val="24"/>
        </w:rPr>
        <w:t>最低</w:t>
      </w:r>
      <w:r>
        <w:rPr>
          <w:rFonts w:hint="eastAsia"/>
          <w:b/>
          <w:color w:val="auto"/>
          <w:sz w:val="24"/>
          <w:lang w:eastAsia="zh-CN"/>
        </w:rPr>
        <w:t>投</w:t>
      </w:r>
      <w:r>
        <w:rPr>
          <w:rFonts w:hint="eastAsia"/>
          <w:b/>
          <w:color w:val="auto"/>
          <w:sz w:val="24"/>
        </w:rPr>
        <w:t>标价法，是指以价格为主要因素确定中标候选人的评标方法，即在全部满足招标文件实质性要求前提下，依据统一的价格要素评定最低报价，以提出最低报价的投标人作为中标候选人或者中标人的评标方法</w:t>
      </w:r>
      <w:r>
        <w:rPr>
          <w:rFonts w:hint="eastAsia" w:ascii="宋体" w:hAnsi="宋体"/>
          <w:b/>
          <w:color w:val="auto"/>
          <w:sz w:val="24"/>
        </w:rPr>
        <w:t>。</w:t>
      </w:r>
    </w:p>
    <w:p w14:paraId="108287FC">
      <w:pPr>
        <w:keepNext w:val="0"/>
        <w:keepLines w:val="0"/>
        <w:pageBreakBefore w:val="0"/>
        <w:spacing w:line="360" w:lineRule="auto"/>
        <w:ind w:firstLine="480"/>
        <w:rPr>
          <w:rFonts w:hint="eastAsia" w:ascii="宋体" w:hAnsi="宋体"/>
          <w:sz w:val="24"/>
        </w:rPr>
      </w:pPr>
      <w:r>
        <w:rPr>
          <w:rFonts w:hint="eastAsia" w:ascii="宋体" w:hAnsi="宋体"/>
          <w:sz w:val="24"/>
        </w:rPr>
        <w:t>3.2招标文件实质性要求指投标符合采购文件的所有条款、条件和规定且没有重大偏离或保留。重大偏离或保留系指影响到采购文件规定的范围、质量和性能，或限制了买方的权力，或投标人的义务的规定，而纠正这些偏离将影响到其他提交实质性响应投标的投标人的公平竞争地位。</w:t>
      </w:r>
    </w:p>
    <w:p w14:paraId="1F07F422">
      <w:pPr>
        <w:pStyle w:val="26"/>
        <w:keepNext w:val="0"/>
        <w:keepLines w:val="0"/>
        <w:pageBreakBefore w:val="0"/>
        <w:spacing w:after="0" w:line="360" w:lineRule="auto"/>
        <w:ind w:left="0" w:firstLine="480"/>
        <w:rPr>
          <w:rFonts w:hint="eastAsia" w:ascii="宋体" w:hAnsi="宋体"/>
          <w:bCs/>
          <w:sz w:val="24"/>
          <w:szCs w:val="24"/>
        </w:rPr>
      </w:pPr>
      <w:r>
        <w:rPr>
          <w:rFonts w:hint="eastAsia" w:ascii="宋体" w:hAnsi="宋体"/>
          <w:bCs/>
          <w:sz w:val="24"/>
          <w:szCs w:val="24"/>
        </w:rPr>
        <w:t>招标文件实质性要求包括但不仅限于以下因素：</w:t>
      </w:r>
    </w:p>
    <w:p w14:paraId="100D9215">
      <w:pPr>
        <w:pStyle w:val="26"/>
        <w:keepNext w:val="0"/>
        <w:keepLines w:val="0"/>
        <w:pageBreakBefore w:val="0"/>
        <w:spacing w:after="0" w:line="360" w:lineRule="auto"/>
        <w:ind w:left="0" w:firstLine="480"/>
        <w:rPr>
          <w:rFonts w:hint="eastAsia" w:ascii="宋体" w:hAnsi="宋体" w:eastAsia="宋体"/>
          <w:bCs/>
          <w:sz w:val="24"/>
          <w:szCs w:val="24"/>
          <w:lang w:eastAsia="zh-CN"/>
        </w:rPr>
      </w:pPr>
      <w:r>
        <w:rPr>
          <w:rFonts w:hint="eastAsia" w:ascii="宋体" w:hAnsi="宋体"/>
          <w:bCs/>
          <w:sz w:val="24"/>
          <w:szCs w:val="24"/>
        </w:rPr>
        <w:t>①</w:t>
      </w:r>
      <w:r>
        <w:rPr>
          <w:rFonts w:hint="eastAsia" w:ascii="宋体" w:hAnsi="宋体"/>
          <w:bCs/>
          <w:sz w:val="24"/>
          <w:szCs w:val="24"/>
          <w:lang w:eastAsia="zh-CN"/>
        </w:rPr>
        <w:t>服务</w:t>
      </w:r>
      <w:r>
        <w:rPr>
          <w:rFonts w:hint="eastAsia" w:ascii="宋体" w:hAnsi="宋体"/>
          <w:bCs/>
          <w:sz w:val="24"/>
          <w:szCs w:val="24"/>
        </w:rPr>
        <w:t>的</w:t>
      </w:r>
      <w:r>
        <w:rPr>
          <w:rFonts w:hint="eastAsia" w:ascii="宋体" w:hAnsi="宋体"/>
          <w:bCs/>
          <w:sz w:val="24"/>
          <w:szCs w:val="24"/>
          <w:lang w:val="en-US" w:eastAsia="zh-CN"/>
        </w:rPr>
        <w:t>范围、要求、时间、</w:t>
      </w:r>
      <w:r>
        <w:rPr>
          <w:rFonts w:hint="eastAsia" w:ascii="宋体" w:hAnsi="宋体"/>
          <w:bCs/>
          <w:sz w:val="24"/>
          <w:szCs w:val="24"/>
        </w:rPr>
        <w:t>质量标准要求符合招标文件规定的标准和要求</w:t>
      </w:r>
      <w:r>
        <w:rPr>
          <w:rFonts w:hint="eastAsia" w:ascii="宋体" w:hAnsi="宋体"/>
          <w:bCs/>
          <w:sz w:val="24"/>
          <w:szCs w:val="24"/>
          <w:lang w:eastAsia="zh-CN"/>
        </w:rPr>
        <w:t>；</w:t>
      </w:r>
    </w:p>
    <w:p w14:paraId="12FA14B0">
      <w:pPr>
        <w:pStyle w:val="26"/>
        <w:keepNext w:val="0"/>
        <w:keepLines w:val="0"/>
        <w:pageBreakBefore w:val="0"/>
        <w:spacing w:after="0" w:line="360" w:lineRule="auto"/>
        <w:ind w:left="0" w:firstLine="480"/>
        <w:rPr>
          <w:rFonts w:hint="eastAsia" w:ascii="宋体" w:hAnsi="宋体"/>
          <w:bCs/>
          <w:sz w:val="24"/>
          <w:szCs w:val="24"/>
        </w:rPr>
      </w:pPr>
      <w:r>
        <w:rPr>
          <w:rFonts w:hint="eastAsia" w:ascii="宋体" w:hAnsi="宋体"/>
          <w:bCs/>
          <w:sz w:val="24"/>
          <w:szCs w:val="24"/>
        </w:rPr>
        <w:t>②</w:t>
      </w:r>
      <w:r>
        <w:rPr>
          <w:rFonts w:hint="eastAsia" w:ascii="宋体" w:hAnsi="宋体"/>
          <w:bCs/>
          <w:sz w:val="24"/>
          <w:szCs w:val="24"/>
          <w:lang w:eastAsia="zh-CN"/>
        </w:rPr>
        <w:t>服务</w:t>
      </w:r>
      <w:r>
        <w:rPr>
          <w:rFonts w:hint="eastAsia" w:ascii="宋体" w:hAnsi="宋体"/>
          <w:bCs/>
          <w:sz w:val="24"/>
          <w:szCs w:val="24"/>
        </w:rPr>
        <w:t>的投标价、付款方式等商务条件；</w:t>
      </w:r>
    </w:p>
    <w:p w14:paraId="54B39178">
      <w:pPr>
        <w:pStyle w:val="26"/>
        <w:keepNext w:val="0"/>
        <w:keepLines w:val="0"/>
        <w:pageBreakBefore w:val="0"/>
        <w:spacing w:after="0" w:line="360" w:lineRule="auto"/>
        <w:ind w:left="0" w:firstLine="480"/>
        <w:rPr>
          <w:rFonts w:hint="eastAsia" w:ascii="宋体" w:hAnsi="宋体"/>
          <w:bCs/>
          <w:sz w:val="24"/>
          <w:szCs w:val="24"/>
        </w:rPr>
      </w:pPr>
      <w:r>
        <w:rPr>
          <w:rFonts w:ascii="宋体" w:hAnsi="宋体"/>
          <w:bCs/>
          <w:sz w:val="24"/>
          <w:szCs w:val="24"/>
        </w:rPr>
        <w:t>③</w:t>
      </w:r>
      <w:r>
        <w:rPr>
          <w:rFonts w:hint="eastAsia" w:ascii="宋体" w:hAnsi="宋体"/>
          <w:bCs/>
          <w:sz w:val="24"/>
          <w:szCs w:val="24"/>
        </w:rPr>
        <w:t>投标人资格（资质）等履行合同的能力；</w:t>
      </w:r>
    </w:p>
    <w:p w14:paraId="3036EFAB">
      <w:pPr>
        <w:pStyle w:val="26"/>
        <w:keepNext w:val="0"/>
        <w:keepLines w:val="0"/>
        <w:pageBreakBefore w:val="0"/>
        <w:spacing w:after="0" w:line="360" w:lineRule="auto"/>
        <w:ind w:left="0" w:firstLine="480"/>
        <w:rPr>
          <w:rFonts w:hint="eastAsia" w:asciiTheme="minorEastAsia" w:hAnsiTheme="minorEastAsia" w:eastAsiaTheme="minorEastAsia" w:cstheme="minorEastAsia"/>
          <w:color w:val="000000"/>
          <w:sz w:val="24"/>
          <w:szCs w:val="24"/>
          <w:lang w:val="en-US" w:eastAsia="zh-CN" w:bidi="ar-SA"/>
        </w:rPr>
      </w:pPr>
      <w:r>
        <w:rPr>
          <w:rFonts w:hint="eastAsia" w:ascii="宋体" w:hAnsi="宋体"/>
          <w:bCs/>
          <w:sz w:val="24"/>
          <w:szCs w:val="24"/>
        </w:rPr>
        <w:t>④评标委员会认为其他有必要考虑的因素。</w:t>
      </w:r>
    </w:p>
    <w:p w14:paraId="439A8FF7">
      <w:pPr>
        <w:pStyle w:val="30"/>
        <w:spacing w:before="120" w:beforeAutospacing="0" w:after="120" w:afterAutospacing="0" w:line="360" w:lineRule="auto"/>
        <w:ind w:firstLine="44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政府采购政策功能落实</w:t>
      </w:r>
    </w:p>
    <w:p w14:paraId="5868CF66">
      <w:pPr>
        <w:pStyle w:val="30"/>
        <w:spacing w:before="120" w:beforeAutospacing="0" w:after="12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1、小微型企业价格扣除</w:t>
      </w:r>
    </w:p>
    <w:p w14:paraId="7C59447A">
      <w:pPr>
        <w:pStyle w:val="30"/>
        <w:spacing w:before="120" w:beforeAutospacing="0" w:after="120" w:afterAutospacing="0" w:line="360" w:lineRule="auto"/>
        <w:ind w:firstLine="3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（1）本项目对小型和微型企业产品给予</w:t>
      </w:r>
      <w:r>
        <w:rPr>
          <w:rFonts w:hint="eastAsia" w:asciiTheme="minorEastAsia" w:hAnsiTheme="minorEastAsia" w:eastAsiaTheme="minorEastAsia" w:cstheme="minorEastAsia"/>
          <w:color w:val="000000"/>
          <w:sz w:val="24"/>
          <w:szCs w:val="24"/>
          <w:u w:val="single"/>
        </w:rPr>
        <w:t>20%</w:t>
      </w:r>
      <w:r>
        <w:rPr>
          <w:rFonts w:hint="eastAsia" w:asciiTheme="minorEastAsia" w:hAnsiTheme="minorEastAsia" w:eastAsiaTheme="minorEastAsia" w:cstheme="minorEastAsia"/>
          <w:color w:val="000000"/>
          <w:sz w:val="24"/>
          <w:szCs w:val="24"/>
        </w:rPr>
        <w:t>的扣除价格，用扣除后的价格参与评审。</w:t>
      </w:r>
    </w:p>
    <w:p w14:paraId="4F076E18">
      <w:pPr>
        <w:pStyle w:val="30"/>
        <w:spacing w:before="120" w:beforeAutospacing="0" w:after="120" w:afterAutospacing="0" w:line="360" w:lineRule="auto"/>
        <w:ind w:firstLine="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（2）供应商需按照采购文件的要求提供相应的《小微企业声明函》。</w:t>
      </w:r>
    </w:p>
    <w:p w14:paraId="1289CCA6">
      <w:pPr>
        <w:pStyle w:val="30"/>
        <w:spacing w:before="120" w:beforeAutospacing="0" w:after="120" w:afterAutospacing="0" w:line="360" w:lineRule="auto"/>
        <w:ind w:firstLine="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（3）企业标准请参照《关于印发中小企业划型标准规定的通知》（工信部联企业[2011]300号）文件规定自行填写。</w:t>
      </w:r>
    </w:p>
    <w:p w14:paraId="7B925558">
      <w:pPr>
        <w:pStyle w:val="30"/>
        <w:spacing w:before="120" w:beforeAutospacing="0" w:after="12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2、残疾人福利单位价格扣除</w:t>
      </w:r>
    </w:p>
    <w:p w14:paraId="246C7E6A">
      <w:pPr>
        <w:pStyle w:val="30"/>
        <w:spacing w:before="120" w:beforeAutospacing="0" w:after="120" w:afterAutospacing="0" w:line="360" w:lineRule="auto"/>
        <w:ind w:left="120" w:firstLine="360"/>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（1）本项目对残疾人福利性单位视同小型、微型企业，给予</w:t>
      </w:r>
      <w:r>
        <w:rPr>
          <w:rFonts w:hint="eastAsia" w:asciiTheme="minorEastAsia" w:hAnsiTheme="minorEastAsia" w:eastAsiaTheme="minorEastAsia" w:cstheme="minorEastAsia"/>
          <w:color w:val="000000"/>
          <w:sz w:val="24"/>
          <w:szCs w:val="24"/>
          <w:u w:val="single"/>
        </w:rPr>
        <w:t>20%</w:t>
      </w:r>
    </w:p>
    <w:p w14:paraId="342A3433">
      <w:pPr>
        <w:pStyle w:val="30"/>
        <w:spacing w:before="120" w:beforeAutospacing="0" w:after="120" w:afterAutospacing="0" w:line="360" w:lineRule="auto"/>
        <w:ind w:left="120" w:firstLine="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（2）残疾人福利单位需按照采购文件的要求提供《残疾人福利性单位声明函》。</w:t>
      </w:r>
    </w:p>
    <w:p w14:paraId="6DD7EF69">
      <w:pPr>
        <w:pStyle w:val="30"/>
        <w:spacing w:before="120" w:beforeAutospacing="0" w:after="120" w:afterAutospacing="0" w:line="360" w:lineRule="auto"/>
        <w:ind w:left="120" w:firstLine="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（3）残疾人福利单位标准请参照《关于促进残疾人就业政府采购政策的通知》（财库〔2017〕141号）。</w:t>
      </w:r>
    </w:p>
    <w:p w14:paraId="19093DA0">
      <w:pPr>
        <w:pStyle w:val="30"/>
        <w:spacing w:before="120" w:beforeAutospacing="0" w:after="12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3、监狱和戒毒企业价格扣除</w:t>
      </w:r>
    </w:p>
    <w:p w14:paraId="2C6BC18D">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（1）本项目对监狱和戒毒企业（简称监狱企业）视同小型、微型企业，给予</w:t>
      </w:r>
      <w:r>
        <w:rPr>
          <w:rFonts w:hint="eastAsia" w:asciiTheme="minorEastAsia" w:hAnsiTheme="minorEastAsia" w:eastAsiaTheme="minorEastAsia" w:cstheme="minorEastAsia"/>
          <w:color w:val="000000"/>
          <w:sz w:val="24"/>
          <w:szCs w:val="24"/>
          <w:u w:val="single"/>
        </w:rPr>
        <w:t>20%</w:t>
      </w:r>
    </w:p>
    <w:p w14:paraId="55639792">
      <w:pPr>
        <w:pStyle w:val="30"/>
        <w:spacing w:before="120" w:beforeAutospacing="0" w:after="12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3F6F74E5">
      <w:pPr>
        <w:pStyle w:val="30"/>
        <w:spacing w:before="120" w:beforeAutospacing="0" w:after="12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（3）监狱企业标准请参照《关于政府采购支持监狱企业发展有关问题的通知》（财库[2014]68号）。</w:t>
      </w:r>
    </w:p>
    <w:p w14:paraId="066AF6B0">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4、残疾人福利单位、监狱企业属于小型、微型企业的，不重复享受政策。</w:t>
      </w:r>
    </w:p>
    <w:p w14:paraId="60B2ACFF">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rPr>
      </w:pPr>
    </w:p>
    <w:p w14:paraId="79D63599">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rPr>
      </w:pPr>
    </w:p>
    <w:p w14:paraId="5B1EA554">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rPr>
      </w:pPr>
    </w:p>
    <w:p w14:paraId="28D420B2">
      <w:pPr>
        <w:pStyle w:val="30"/>
        <w:spacing w:before="120" w:beforeAutospacing="0" w:after="120" w:afterAutospacing="0" w:line="360" w:lineRule="auto"/>
        <w:ind w:firstLine="480"/>
        <w:rPr>
          <w:rFonts w:hint="eastAsia" w:asciiTheme="minorEastAsia" w:hAnsiTheme="minorEastAsia" w:eastAsiaTheme="minorEastAsia" w:cstheme="minorEastAsia"/>
          <w:color w:val="000000"/>
          <w:sz w:val="24"/>
          <w:szCs w:val="24"/>
          <w:lang w:eastAsia="zh-CN"/>
        </w:rPr>
      </w:pPr>
    </w:p>
    <w:p w14:paraId="349A4427">
      <w:pPr>
        <w:pStyle w:val="30"/>
        <w:keepNext/>
        <w:spacing w:beforeAutospacing="0" w:afterAutospacing="0" w:line="360" w:lineRule="auto"/>
        <w:jc w:val="center"/>
        <w:rPr>
          <w:rFonts w:hint="eastAsia" w:asciiTheme="minorEastAsia" w:hAnsiTheme="minorEastAsia" w:eastAsiaTheme="minorEastAsia" w:cstheme="minorEastAsia"/>
          <w:b/>
          <w:bCs/>
          <w:color w:val="000000"/>
          <w:sz w:val="44"/>
          <w:szCs w:val="44"/>
        </w:rPr>
      </w:pPr>
    </w:p>
    <w:p w14:paraId="19A5FF1B">
      <w:pPr>
        <w:pStyle w:val="30"/>
        <w:keepNext/>
        <w:spacing w:beforeAutospacing="0" w:afterAutospacing="0" w:line="360" w:lineRule="auto"/>
        <w:jc w:val="center"/>
        <w:rPr>
          <w:rFonts w:hint="eastAsia" w:asciiTheme="minorEastAsia" w:hAnsiTheme="minorEastAsia" w:eastAsiaTheme="minorEastAsia" w:cstheme="minorEastAsia"/>
          <w:b/>
          <w:bCs/>
          <w:color w:val="000000"/>
          <w:sz w:val="44"/>
          <w:szCs w:val="44"/>
        </w:rPr>
      </w:pPr>
    </w:p>
    <w:p w14:paraId="523B010F">
      <w:pPr>
        <w:pStyle w:val="30"/>
        <w:keepNext/>
        <w:spacing w:beforeAutospacing="0" w:afterAutospacing="0" w:line="360" w:lineRule="auto"/>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color w:val="000000"/>
          <w:sz w:val="44"/>
          <w:szCs w:val="44"/>
        </w:rPr>
        <w:t xml:space="preserve">第六章  投标文件格式 </w:t>
      </w:r>
    </w:p>
    <w:p w14:paraId="0BA2FB29">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bookmarkStart w:id="174" w:name="_Toc49090576"/>
      <w:bookmarkEnd w:id="174"/>
      <w:bookmarkStart w:id="175" w:name="_Toc120614282"/>
      <w:bookmarkEnd w:id="175"/>
      <w:bookmarkStart w:id="176" w:name="_Hlt26671244"/>
      <w:bookmarkStart w:id="177" w:name="_Toc26554094"/>
      <w:bookmarkStart w:id="178" w:name="_Hlt26955039"/>
    </w:p>
    <w:p w14:paraId="57C0C0BF">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0AC30F3A">
      <w:pPr>
        <w:pStyle w:val="30"/>
        <w:spacing w:beforeAutospacing="0" w:afterAutospacing="0" w:line="360" w:lineRule="auto"/>
        <w:jc w:val="center"/>
        <w:rPr>
          <w:rFonts w:hint="eastAsia" w:asciiTheme="minorEastAsia" w:hAnsiTheme="minorEastAsia" w:eastAsiaTheme="minorEastAsia" w:cstheme="minorEastAsia"/>
          <w:b/>
          <w:bCs/>
          <w:color w:val="000000"/>
          <w:sz w:val="36"/>
          <w:szCs w:val="36"/>
        </w:rPr>
      </w:pPr>
    </w:p>
    <w:p w14:paraId="5707443B">
      <w:pPr>
        <w:pStyle w:val="30"/>
        <w:spacing w:beforeAutospacing="0" w:afterAutospacing="0" w:line="360" w:lineRule="auto"/>
        <w:jc w:val="center"/>
        <w:rPr>
          <w:rFonts w:hint="eastAsia" w:asciiTheme="minorEastAsia" w:hAnsiTheme="minorEastAsia" w:eastAsiaTheme="minorEastAsia" w:cstheme="minorEastAsia"/>
          <w:b/>
          <w:bCs/>
          <w:sz w:val="72"/>
          <w:szCs w:val="72"/>
        </w:rPr>
      </w:pPr>
      <w:r>
        <w:rPr>
          <w:rFonts w:hint="eastAsia" w:asciiTheme="minorEastAsia" w:hAnsiTheme="minorEastAsia" w:eastAsiaTheme="minorEastAsia" w:cstheme="minorEastAsia"/>
          <w:b/>
          <w:bCs/>
          <w:color w:val="000000"/>
          <w:sz w:val="72"/>
          <w:szCs w:val="72"/>
        </w:rPr>
        <w:t>投  标  文  件</w:t>
      </w:r>
    </w:p>
    <w:p w14:paraId="192A14A3">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791119D0">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00ADA041">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4728B678">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48C51001">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11F20E1A">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113BF62A">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306B7806">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0C05367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AF58F4A">
      <w:pPr>
        <w:pStyle w:val="30"/>
        <w:spacing w:beforeAutospacing="0" w:afterAutospacing="0" w:line="360" w:lineRule="auto"/>
        <w:ind w:firstLine="108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color w:val="000000"/>
          <w:sz w:val="36"/>
          <w:szCs w:val="36"/>
        </w:rPr>
        <w:t>项 目 名 称：</w:t>
      </w:r>
      <w:r>
        <w:rPr>
          <w:rFonts w:hint="eastAsia" w:asciiTheme="minorEastAsia" w:hAnsiTheme="minorEastAsia" w:eastAsiaTheme="minorEastAsia" w:cstheme="minorEastAsia"/>
          <w:b/>
          <w:color w:val="000000"/>
          <w:sz w:val="36"/>
          <w:szCs w:val="36"/>
          <w:u w:val="single"/>
        </w:rPr>
        <w:t>             </w:t>
      </w:r>
    </w:p>
    <w:p w14:paraId="41698304">
      <w:pPr>
        <w:pStyle w:val="30"/>
        <w:spacing w:beforeAutospacing="0" w:afterAutospacing="0" w:line="360" w:lineRule="auto"/>
        <w:ind w:firstLine="108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color w:val="000000"/>
          <w:sz w:val="36"/>
          <w:szCs w:val="36"/>
        </w:rPr>
        <w:t>项 目 编 号：</w:t>
      </w:r>
      <w:r>
        <w:rPr>
          <w:rFonts w:hint="eastAsia" w:asciiTheme="minorEastAsia" w:hAnsiTheme="minorEastAsia" w:eastAsiaTheme="minorEastAsia" w:cstheme="minorEastAsia"/>
          <w:b/>
          <w:color w:val="000000"/>
          <w:sz w:val="36"/>
          <w:szCs w:val="36"/>
          <w:u w:val="single"/>
        </w:rPr>
        <w:t>             </w:t>
      </w:r>
    </w:p>
    <w:p w14:paraId="2B11773A">
      <w:pPr>
        <w:pStyle w:val="30"/>
        <w:spacing w:beforeAutospacing="0" w:afterAutospacing="0" w:line="360" w:lineRule="auto"/>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color w:val="000000"/>
          <w:sz w:val="36"/>
          <w:szCs w:val="36"/>
        </w:rPr>
        <w:t>   </w:t>
      </w:r>
      <w:r>
        <w:rPr>
          <w:rFonts w:hint="eastAsia" w:eastAsia="宋体" w:asciiTheme="minorEastAsia" w:hAnsiTheme="minorEastAsia" w:cstheme="minorEastAsia"/>
          <w:b/>
          <w:color w:val="000000"/>
          <w:sz w:val="36"/>
          <w:szCs w:val="36"/>
          <w:lang w:val="en-US" w:eastAsia="zh-CN"/>
        </w:rPr>
        <w:t xml:space="preserve">    </w:t>
      </w:r>
      <w:r>
        <w:rPr>
          <w:rFonts w:hint="eastAsia" w:asciiTheme="minorEastAsia" w:hAnsiTheme="minorEastAsia" w:eastAsiaTheme="minorEastAsia" w:cstheme="minorEastAsia"/>
          <w:b/>
          <w:color w:val="000000"/>
          <w:sz w:val="36"/>
          <w:szCs w:val="36"/>
        </w:rPr>
        <w:t>投标人名称 ：</w:t>
      </w:r>
      <w:r>
        <w:rPr>
          <w:rFonts w:hint="eastAsia" w:asciiTheme="minorEastAsia" w:hAnsiTheme="minorEastAsia" w:eastAsiaTheme="minorEastAsia" w:cstheme="minorEastAsia"/>
          <w:b/>
          <w:color w:val="000000"/>
          <w:sz w:val="36"/>
          <w:szCs w:val="36"/>
          <w:u w:val="single"/>
        </w:rPr>
        <w:t>（加盖CA电子公章）</w:t>
      </w:r>
    </w:p>
    <w:p w14:paraId="1C58B684">
      <w:pPr>
        <w:pStyle w:val="30"/>
        <w:spacing w:beforeAutospacing="0" w:afterAutospacing="0" w:line="360" w:lineRule="auto"/>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color w:val="000000"/>
          <w:sz w:val="36"/>
          <w:szCs w:val="36"/>
        </w:rPr>
        <w:t>   </w:t>
      </w:r>
      <w:r>
        <w:rPr>
          <w:rFonts w:hint="eastAsia" w:eastAsia="宋体" w:asciiTheme="minorEastAsia" w:hAnsiTheme="minorEastAsia" w:cstheme="minorEastAsia"/>
          <w:b/>
          <w:color w:val="000000"/>
          <w:sz w:val="36"/>
          <w:szCs w:val="36"/>
          <w:lang w:val="en-US" w:eastAsia="zh-CN"/>
        </w:rPr>
        <w:t xml:space="preserve">     </w:t>
      </w:r>
      <w:r>
        <w:rPr>
          <w:rFonts w:hint="eastAsia" w:asciiTheme="minorEastAsia" w:hAnsiTheme="minorEastAsia" w:eastAsiaTheme="minorEastAsia" w:cstheme="minorEastAsia"/>
          <w:b/>
          <w:color w:val="000000"/>
          <w:sz w:val="36"/>
          <w:szCs w:val="36"/>
        </w:rPr>
        <w:t>日   期 ：</w:t>
      </w:r>
      <w:r>
        <w:rPr>
          <w:rFonts w:hint="eastAsia" w:asciiTheme="minorEastAsia" w:hAnsiTheme="minorEastAsia" w:eastAsiaTheme="minorEastAsia" w:cstheme="minorEastAsia"/>
          <w:b/>
          <w:color w:val="000000"/>
          <w:sz w:val="36"/>
          <w:szCs w:val="36"/>
          <w:u w:val="single"/>
        </w:rPr>
        <w:t>             </w:t>
      </w:r>
    </w:p>
    <w:p w14:paraId="0C1CFD0E">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03EC60B8">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650C7AC8">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0C8FEBB4">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200022DD">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606A99B3">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769F387F">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7AA4F69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32"/>
          <w:szCs w:val="32"/>
        </w:rPr>
        <w:t>投标文件目录</w:t>
      </w:r>
    </w:p>
    <w:p w14:paraId="5113A32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1CF3965">
      <w:pPr>
        <w:pStyle w:val="30"/>
        <w:spacing w:beforeAutospacing="0" w:afterAutospacing="0" w:line="360" w:lineRule="auto"/>
        <w:ind w:left="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一、法人或者其他组织的营业执照等证明文件，自然人的身份证明</w:t>
      </w:r>
    </w:p>
    <w:p w14:paraId="66341E59">
      <w:pPr>
        <w:tabs>
          <w:tab w:val="left" w:pos="1331"/>
        </w:tabs>
        <w:spacing w:line="360" w:lineRule="auto"/>
        <w:ind w:firstLine="480"/>
        <w:jc w:val="left"/>
        <w:rPr>
          <w:rFonts w:hint="eastAsia" w:asciiTheme="minorEastAsia" w:hAnsiTheme="minorEastAsia" w:eastAsiaTheme="minorEastAsia" w:cstheme="minorEastAsia"/>
          <w:i w:val="0"/>
          <w:iCs/>
          <w:color w:val="000000"/>
          <w:sz w:val="24"/>
          <w:szCs w:val="24"/>
          <w:u w:val="single"/>
        </w:rPr>
      </w:pPr>
      <w:r>
        <w:rPr>
          <w:rFonts w:hint="eastAsia" w:asciiTheme="minorEastAsia" w:hAnsiTheme="minorEastAsia" w:eastAsiaTheme="minorEastAsia" w:cstheme="minorEastAsia"/>
          <w:i w:val="0"/>
          <w:iCs/>
          <w:color w:val="000000"/>
          <w:sz w:val="24"/>
          <w:szCs w:val="24"/>
          <w:u w:val="single"/>
        </w:rPr>
        <w:t>二、上一年度</w:t>
      </w:r>
      <w:r>
        <w:rPr>
          <w:rFonts w:hint="eastAsia" w:asciiTheme="minorEastAsia" w:hAnsiTheme="minorEastAsia" w:cstheme="minorEastAsia"/>
          <w:i w:val="0"/>
          <w:iCs/>
          <w:color w:val="000000"/>
          <w:sz w:val="24"/>
          <w:szCs w:val="24"/>
          <w:u w:val="single"/>
          <w:lang w:eastAsia="zh-CN"/>
        </w:rPr>
        <w:t>（</w:t>
      </w:r>
      <w:r>
        <w:rPr>
          <w:rFonts w:hint="eastAsia" w:asciiTheme="minorEastAsia" w:hAnsiTheme="minorEastAsia" w:cstheme="minorEastAsia"/>
          <w:i w:val="0"/>
          <w:iCs/>
          <w:color w:val="000000"/>
          <w:sz w:val="24"/>
          <w:szCs w:val="24"/>
          <w:u w:val="single"/>
          <w:lang w:val="en-US" w:eastAsia="zh-CN"/>
        </w:rPr>
        <w:t>2025年度）</w:t>
      </w:r>
      <w:r>
        <w:rPr>
          <w:rFonts w:hint="eastAsia" w:asciiTheme="minorEastAsia" w:hAnsiTheme="minorEastAsia" w:eastAsiaTheme="minorEastAsia" w:cstheme="minorEastAsia"/>
          <w:i w:val="0"/>
          <w:iCs/>
          <w:color w:val="000000"/>
          <w:sz w:val="24"/>
          <w:szCs w:val="24"/>
          <w:u w:val="single"/>
        </w:rPr>
        <w:t>的财务状况报表（至少提供资产负债表、利润表，</w:t>
      </w:r>
    </w:p>
    <w:p w14:paraId="75A7AE47">
      <w:pPr>
        <w:pStyle w:val="30"/>
        <w:spacing w:beforeAutospacing="0" w:afterAutospacing="0" w:line="360" w:lineRule="auto"/>
        <w:ind w:left="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投标人成立不满一年无需提供）</w:t>
      </w:r>
    </w:p>
    <w:p w14:paraId="2BEE20E0">
      <w:pPr>
        <w:pStyle w:val="30"/>
        <w:spacing w:beforeAutospacing="0" w:afterAutospacing="0" w:line="360" w:lineRule="auto"/>
        <w:ind w:left="480"/>
        <w:jc w:val="both"/>
        <w:rPr>
          <w:rFonts w:hint="eastAsia" w:asciiTheme="minorEastAsia" w:hAnsiTheme="minorEastAsia" w:eastAsiaTheme="minorEastAsia" w:cstheme="minorEastAsia"/>
          <w:i w:val="0"/>
          <w:iCs/>
          <w:color w:val="000000"/>
          <w:sz w:val="24"/>
          <w:szCs w:val="24"/>
          <w:u w:val="single"/>
        </w:rPr>
      </w:pPr>
      <w:r>
        <w:rPr>
          <w:rFonts w:hint="eastAsia" w:asciiTheme="minorEastAsia" w:hAnsiTheme="minorEastAsia" w:eastAsiaTheme="minorEastAsia" w:cstheme="minorEastAsia"/>
          <w:i w:val="0"/>
          <w:iCs/>
          <w:color w:val="000000"/>
          <w:sz w:val="24"/>
          <w:szCs w:val="24"/>
          <w:u w:val="single"/>
        </w:rPr>
        <w:t>三、具备履行合同所必需的设备和专业技术能力的书面声明</w:t>
      </w:r>
    </w:p>
    <w:p w14:paraId="56058B35">
      <w:pPr>
        <w:pStyle w:val="30"/>
        <w:spacing w:beforeAutospacing="0" w:afterAutospacing="0" w:line="360" w:lineRule="auto"/>
        <w:ind w:left="480"/>
        <w:jc w:val="both"/>
        <w:rPr>
          <w:rFonts w:hint="eastAsia" w:asciiTheme="minorEastAsia" w:hAnsiTheme="minorEastAsia" w:eastAsiaTheme="minorEastAsia" w:cstheme="minorEastAsia"/>
          <w:i w:val="0"/>
          <w:iCs/>
          <w:color w:val="000000"/>
          <w:sz w:val="24"/>
          <w:szCs w:val="24"/>
          <w:u w:val="single"/>
        </w:rPr>
      </w:pPr>
      <w:r>
        <w:rPr>
          <w:rFonts w:hint="eastAsia" w:asciiTheme="minorEastAsia" w:hAnsiTheme="minorEastAsia" w:eastAsiaTheme="minorEastAsia" w:cstheme="minorEastAsia"/>
          <w:i w:val="0"/>
          <w:iCs/>
          <w:color w:val="000000"/>
          <w:sz w:val="24"/>
          <w:szCs w:val="24"/>
          <w:u w:val="single"/>
        </w:rPr>
        <w:t>四、依法缴纳税收和社会保障资金的相关材料（提供提交响应文件截止时间前一年内至少一个月依法缴纳税收及缴纳社会保障资金的证明材料。供应商依法享受缓缴、免缴税收、社会保障资金的提供证明材料</w:t>
      </w:r>
    </w:p>
    <w:p w14:paraId="6107CD97">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五、参加政府采购活动前 3 年内在经营活动中没有重大违法记录的书面声明</w:t>
      </w:r>
    </w:p>
    <w:p w14:paraId="7C8EAAEA">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六、特定资格要求的证明文件（如果本项目设置特定资格要求，则需要提供）</w:t>
      </w:r>
    </w:p>
    <w:p w14:paraId="00BBAD8F">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七、法人授权书</w:t>
      </w:r>
    </w:p>
    <w:p w14:paraId="5E1553CA">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八、投标函</w:t>
      </w:r>
    </w:p>
    <w:p w14:paraId="5E2A2367">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rPr>
        <w:t>九、小微企业声明函</w:t>
      </w:r>
    </w:p>
    <w:p w14:paraId="4166D318">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rPr>
        <w:t>十、残疾人福利性单位声明函</w:t>
      </w:r>
    </w:p>
    <w:p w14:paraId="05211D08">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rPr>
        <w:t>十</w:t>
      </w:r>
      <w:r>
        <w:rPr>
          <w:rFonts w:hint="eastAsia" w:eastAsia="宋体" w:asciiTheme="minorEastAsia" w:hAnsiTheme="minorEastAsia" w:cstheme="minorEastAsia"/>
          <w:i w:val="0"/>
          <w:iCs/>
          <w:color w:val="000000"/>
          <w:sz w:val="24"/>
          <w:szCs w:val="24"/>
          <w:lang w:val="en-US" w:eastAsia="zh-CN"/>
        </w:rPr>
        <w:t>一</w:t>
      </w:r>
      <w:r>
        <w:rPr>
          <w:rFonts w:hint="eastAsia" w:asciiTheme="minorEastAsia" w:hAnsiTheme="minorEastAsia" w:eastAsiaTheme="minorEastAsia" w:cstheme="minorEastAsia"/>
          <w:i w:val="0"/>
          <w:iCs/>
          <w:color w:val="000000"/>
          <w:sz w:val="24"/>
          <w:szCs w:val="24"/>
        </w:rPr>
        <w:t>、投标分项报价表</w:t>
      </w:r>
    </w:p>
    <w:p w14:paraId="3ECD2CD0">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rPr>
        <w:t>十</w:t>
      </w:r>
      <w:r>
        <w:rPr>
          <w:rFonts w:hint="eastAsia" w:eastAsia="宋体" w:asciiTheme="minorEastAsia" w:hAnsiTheme="minorEastAsia" w:cstheme="minorEastAsia"/>
          <w:i w:val="0"/>
          <w:iCs/>
          <w:color w:val="000000"/>
          <w:sz w:val="24"/>
          <w:szCs w:val="24"/>
          <w:lang w:val="en-US" w:eastAsia="zh-CN"/>
        </w:rPr>
        <w:t>二</w:t>
      </w:r>
      <w:r>
        <w:rPr>
          <w:rFonts w:hint="eastAsia" w:asciiTheme="minorEastAsia" w:hAnsiTheme="minorEastAsia" w:eastAsiaTheme="minorEastAsia" w:cstheme="minorEastAsia"/>
          <w:i w:val="0"/>
          <w:iCs/>
          <w:color w:val="000000"/>
          <w:sz w:val="24"/>
          <w:szCs w:val="24"/>
        </w:rPr>
        <w:t>、技术要求响应及偏离表</w:t>
      </w:r>
    </w:p>
    <w:p w14:paraId="7E6F9D68">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rPr>
        <w:t>十</w:t>
      </w:r>
      <w:r>
        <w:rPr>
          <w:rFonts w:hint="eastAsia" w:eastAsia="宋体" w:asciiTheme="minorEastAsia" w:hAnsiTheme="minorEastAsia" w:cstheme="minorEastAsia"/>
          <w:i w:val="0"/>
          <w:iCs/>
          <w:color w:val="000000"/>
          <w:sz w:val="24"/>
          <w:szCs w:val="24"/>
          <w:lang w:val="en-US" w:eastAsia="zh-CN"/>
        </w:rPr>
        <w:t>三</w:t>
      </w:r>
      <w:r>
        <w:rPr>
          <w:rFonts w:hint="eastAsia" w:asciiTheme="minorEastAsia" w:hAnsiTheme="minorEastAsia" w:eastAsiaTheme="minorEastAsia" w:cstheme="minorEastAsia"/>
          <w:i w:val="0"/>
          <w:iCs/>
          <w:color w:val="000000"/>
          <w:sz w:val="24"/>
          <w:szCs w:val="24"/>
        </w:rPr>
        <w:t>、商务要求响应及偏离表</w:t>
      </w:r>
    </w:p>
    <w:p w14:paraId="629DDADB">
      <w:pPr>
        <w:pStyle w:val="30"/>
        <w:spacing w:beforeAutospacing="0" w:afterAutospacing="0" w:line="360" w:lineRule="auto"/>
        <w:ind w:firstLine="480"/>
        <w:jc w:val="both"/>
        <w:rPr>
          <w:rFonts w:hint="eastAsia" w:asciiTheme="minorEastAsia" w:hAnsiTheme="minorEastAsia" w:eastAsiaTheme="minorEastAsia" w:cstheme="minorEastAsia"/>
          <w:i w:val="0"/>
          <w:iCs/>
          <w:color w:val="000000"/>
          <w:sz w:val="24"/>
          <w:szCs w:val="24"/>
          <w:u w:val="single"/>
        </w:rPr>
      </w:pPr>
      <w:r>
        <w:rPr>
          <w:rFonts w:hint="eastAsia" w:asciiTheme="minorEastAsia" w:hAnsiTheme="minorEastAsia" w:eastAsiaTheme="minorEastAsia" w:cstheme="minorEastAsia"/>
          <w:i w:val="0"/>
          <w:iCs/>
          <w:color w:val="000000"/>
          <w:sz w:val="24"/>
          <w:szCs w:val="24"/>
          <w:u w:val="single"/>
        </w:rPr>
        <w:t>十</w:t>
      </w:r>
      <w:r>
        <w:rPr>
          <w:rFonts w:hint="eastAsia" w:eastAsia="宋体" w:asciiTheme="minorEastAsia" w:hAnsiTheme="minorEastAsia" w:cstheme="minorEastAsia"/>
          <w:i w:val="0"/>
          <w:iCs/>
          <w:color w:val="000000"/>
          <w:sz w:val="24"/>
          <w:szCs w:val="24"/>
          <w:u w:val="single"/>
          <w:lang w:val="en-US" w:eastAsia="zh-CN"/>
        </w:rPr>
        <w:t>四</w:t>
      </w:r>
      <w:r>
        <w:rPr>
          <w:rFonts w:hint="eastAsia" w:asciiTheme="minorEastAsia" w:hAnsiTheme="minorEastAsia" w:eastAsiaTheme="minorEastAsia" w:cstheme="minorEastAsia"/>
          <w:i w:val="0"/>
          <w:iCs/>
          <w:color w:val="000000"/>
          <w:sz w:val="24"/>
          <w:szCs w:val="24"/>
          <w:u w:val="single"/>
        </w:rPr>
        <w:t>、开标一览表</w:t>
      </w:r>
    </w:p>
    <w:p w14:paraId="6F0E8D7E">
      <w:pPr>
        <w:widowControl/>
        <w:spacing w:before="50" w:after="50" w:line="360" w:lineRule="auto"/>
        <w:ind w:firstLine="480"/>
        <w:rPr>
          <w:rFonts w:hint="default" w:eastAsia="宋体" w:asciiTheme="minorEastAsia" w:hAnsiTheme="minorEastAsia" w:cstheme="minorEastAsia"/>
          <w:i w:val="0"/>
          <w:iCs/>
          <w:color w:val="000000"/>
          <w:sz w:val="24"/>
          <w:szCs w:val="24"/>
          <w:lang w:val="en-US" w:eastAsia="zh-CN"/>
        </w:rPr>
      </w:pPr>
      <w:r>
        <w:rPr>
          <w:rFonts w:hint="eastAsia" w:asciiTheme="minorEastAsia" w:hAnsiTheme="minorEastAsia" w:eastAsiaTheme="minorEastAsia" w:cstheme="minorEastAsia"/>
          <w:i w:val="0"/>
          <w:iCs/>
          <w:color w:val="000000"/>
          <w:sz w:val="24"/>
          <w:szCs w:val="24"/>
          <w:highlight w:val="cyan"/>
        </w:rPr>
        <w:t>十</w:t>
      </w:r>
      <w:r>
        <w:rPr>
          <w:rFonts w:hint="eastAsia" w:eastAsia="宋体" w:asciiTheme="minorEastAsia" w:hAnsiTheme="minorEastAsia" w:cstheme="minorEastAsia"/>
          <w:i w:val="0"/>
          <w:iCs/>
          <w:color w:val="000000"/>
          <w:sz w:val="24"/>
          <w:szCs w:val="24"/>
          <w:highlight w:val="cyan"/>
          <w:lang w:val="en-US" w:eastAsia="zh-CN"/>
        </w:rPr>
        <w:t>五</w:t>
      </w:r>
      <w:r>
        <w:rPr>
          <w:rFonts w:hint="eastAsia" w:asciiTheme="minorEastAsia" w:hAnsiTheme="minorEastAsia" w:eastAsiaTheme="minorEastAsia" w:cstheme="minorEastAsia"/>
          <w:i w:val="0"/>
          <w:iCs/>
          <w:color w:val="000000"/>
          <w:sz w:val="24"/>
          <w:szCs w:val="24"/>
          <w:highlight w:val="cyan"/>
        </w:rPr>
        <w:t>、施工方案</w:t>
      </w:r>
      <w:r>
        <w:rPr>
          <w:rFonts w:hint="eastAsia" w:eastAsia="宋体" w:asciiTheme="minorEastAsia" w:hAnsiTheme="minorEastAsia" w:cstheme="minorEastAsia"/>
          <w:i w:val="0"/>
          <w:iCs/>
          <w:color w:val="000000"/>
          <w:sz w:val="24"/>
          <w:szCs w:val="24"/>
          <w:highlight w:val="cyan"/>
          <w:lang w:eastAsia="zh-CN"/>
        </w:rPr>
        <w:t>（</w:t>
      </w:r>
      <w:r>
        <w:rPr>
          <w:rFonts w:hint="eastAsia" w:eastAsia="宋体" w:asciiTheme="minorEastAsia" w:hAnsiTheme="minorEastAsia" w:cstheme="minorEastAsia"/>
          <w:i w:val="0"/>
          <w:iCs/>
          <w:color w:val="000000"/>
          <w:sz w:val="24"/>
          <w:szCs w:val="24"/>
          <w:highlight w:val="cyan"/>
          <w:lang w:val="en-US" w:eastAsia="zh-CN"/>
        </w:rPr>
        <w:t>如有）</w:t>
      </w:r>
    </w:p>
    <w:p w14:paraId="701C017D">
      <w:pPr>
        <w:pStyle w:val="30"/>
        <w:spacing w:beforeAutospacing="0" w:afterAutospacing="0" w:line="360" w:lineRule="auto"/>
        <w:ind w:firstLine="480"/>
        <w:jc w:val="both"/>
        <w:rPr>
          <w:rFonts w:hint="eastAsia" w:asciiTheme="minorEastAsia" w:hAnsiTheme="minorEastAsia" w:eastAsiaTheme="minorEastAsia" w:cstheme="minorEastAsia"/>
          <w:i w:val="0"/>
          <w:iCs/>
          <w:color w:val="000000"/>
          <w:sz w:val="24"/>
          <w:szCs w:val="24"/>
        </w:rPr>
      </w:pPr>
      <w:r>
        <w:rPr>
          <w:rFonts w:hint="eastAsia" w:asciiTheme="minorEastAsia" w:hAnsiTheme="minorEastAsia" w:eastAsiaTheme="minorEastAsia" w:cstheme="minorEastAsia"/>
          <w:i w:val="0"/>
          <w:iCs/>
          <w:color w:val="000000"/>
          <w:sz w:val="24"/>
          <w:szCs w:val="24"/>
          <w:highlight w:val="cyan"/>
        </w:rPr>
        <w:t>十</w:t>
      </w:r>
      <w:r>
        <w:rPr>
          <w:rFonts w:hint="eastAsia" w:eastAsia="宋体" w:asciiTheme="minorEastAsia" w:hAnsiTheme="minorEastAsia" w:cstheme="minorEastAsia"/>
          <w:i w:val="0"/>
          <w:iCs/>
          <w:color w:val="000000"/>
          <w:sz w:val="24"/>
          <w:szCs w:val="24"/>
          <w:highlight w:val="cyan"/>
          <w:lang w:val="en-US" w:eastAsia="zh-CN"/>
        </w:rPr>
        <w:t>六</w:t>
      </w:r>
      <w:r>
        <w:rPr>
          <w:rFonts w:hint="eastAsia" w:asciiTheme="minorEastAsia" w:hAnsiTheme="minorEastAsia" w:eastAsiaTheme="minorEastAsia" w:cstheme="minorEastAsia"/>
          <w:i w:val="0"/>
          <w:iCs/>
          <w:color w:val="000000"/>
          <w:sz w:val="24"/>
          <w:szCs w:val="24"/>
          <w:highlight w:val="cyan"/>
        </w:rPr>
        <w:t>、盐城市政府采购事前信用承诺书</w:t>
      </w:r>
    </w:p>
    <w:p w14:paraId="2C02A3C2">
      <w:pPr>
        <w:pStyle w:val="30"/>
        <w:spacing w:beforeAutospacing="0" w:afterAutospacing="0" w:line="360" w:lineRule="auto"/>
        <w:ind w:firstLine="480"/>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sz w:val="24"/>
          <w:szCs w:val="24"/>
        </w:rPr>
        <w:t> </w:t>
      </w:r>
    </w:p>
    <w:p w14:paraId="5DE4161C">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984576A">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E780A4F">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p>
    <w:p w14:paraId="6B72B68A">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DCE2820">
      <w:pPr>
        <w:pStyle w:val="30"/>
        <w:numPr>
          <w:ilvl w:val="0"/>
          <w:numId w:val="1"/>
        </w:numPr>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color w:val="000000"/>
          <w:sz w:val="24"/>
          <w:szCs w:val="24"/>
          <w:u w:val="single"/>
        </w:rPr>
        <w:t>法人或者其他组织的营业执照等证明文件，自然人的身份证明</w:t>
      </w:r>
      <w:r>
        <w:rPr>
          <w:rFonts w:hint="eastAsia" w:asciiTheme="minorEastAsia" w:hAnsiTheme="minorEastAsia" w:eastAsiaTheme="minorEastAsia" w:cstheme="minorEastAsia"/>
          <w:sz w:val="24"/>
          <w:szCs w:val="24"/>
        </w:rPr>
        <w:t> </w:t>
      </w:r>
    </w:p>
    <w:p w14:paraId="6C38A20F">
      <w:pPr>
        <w:pStyle w:val="30"/>
        <w:numPr>
          <w:ilvl w:val="0"/>
          <w:numId w:val="0"/>
        </w:numPr>
        <w:spacing w:beforeAutospacing="0" w:afterAutospacing="0" w:line="360" w:lineRule="auto"/>
        <w:jc w:val="both"/>
        <w:rPr>
          <w:rFonts w:hint="eastAsia" w:asciiTheme="minorEastAsia" w:hAnsiTheme="minorEastAsia" w:eastAsiaTheme="minorEastAsia" w:cstheme="minorEastAsia"/>
          <w:sz w:val="24"/>
          <w:szCs w:val="24"/>
          <w:lang w:val="en-US" w:eastAsia="zh-CN"/>
        </w:rPr>
      </w:pPr>
    </w:p>
    <w:p w14:paraId="6F5FF722">
      <w:pPr>
        <w:pStyle w:val="30"/>
        <w:spacing w:beforeAutospacing="0" w:afterAutospacing="0" w:line="360" w:lineRule="auto"/>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二、上一年度</w:t>
      </w:r>
      <w:r>
        <w:rPr>
          <w:rFonts w:hint="eastAsia" w:asciiTheme="minorEastAsia" w:hAnsiTheme="minorEastAsia" w:cstheme="minorEastAsia"/>
          <w:i w:val="0"/>
          <w:iCs/>
          <w:color w:val="000000"/>
          <w:sz w:val="24"/>
          <w:szCs w:val="24"/>
          <w:u w:val="single"/>
          <w:lang w:eastAsia="zh-CN"/>
        </w:rPr>
        <w:t>（</w:t>
      </w:r>
      <w:r>
        <w:rPr>
          <w:rFonts w:hint="eastAsia" w:asciiTheme="minorEastAsia" w:hAnsiTheme="minorEastAsia" w:cstheme="minorEastAsia"/>
          <w:i w:val="0"/>
          <w:iCs/>
          <w:color w:val="000000"/>
          <w:sz w:val="24"/>
          <w:szCs w:val="24"/>
          <w:u w:val="single"/>
          <w:lang w:val="en-US" w:eastAsia="zh-CN"/>
        </w:rPr>
        <w:t>2025年度）</w:t>
      </w:r>
      <w:r>
        <w:rPr>
          <w:rFonts w:hint="eastAsia" w:asciiTheme="minorEastAsia" w:hAnsiTheme="minorEastAsia" w:eastAsiaTheme="minorEastAsia" w:cstheme="minorEastAsia"/>
          <w:i w:val="0"/>
          <w:iCs/>
          <w:color w:val="000000"/>
          <w:sz w:val="24"/>
          <w:szCs w:val="24"/>
          <w:u w:val="single"/>
        </w:rPr>
        <w:t>的财务状况报表</w:t>
      </w:r>
    </w:p>
    <w:p w14:paraId="1AF7E2A6">
      <w:pPr>
        <w:pStyle w:val="30"/>
        <w:spacing w:beforeAutospacing="0" w:afterAutospacing="0" w:line="360" w:lineRule="auto"/>
        <w:ind w:firstLine="480"/>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财务报表至少应包括资产负债表、利润表。投标人成立不满一年无需提供</w:t>
      </w:r>
    </w:p>
    <w:p w14:paraId="6185D601">
      <w:pPr>
        <w:pStyle w:val="30"/>
        <w:spacing w:beforeAutospacing="0" w:afterAutospacing="0" w:line="360" w:lineRule="auto"/>
        <w:ind w:firstLine="480"/>
        <w:jc w:val="both"/>
        <w:rPr>
          <w:rFonts w:hint="eastAsia" w:asciiTheme="minorEastAsia" w:hAnsiTheme="minorEastAsia" w:eastAsiaTheme="minorEastAsia" w:cstheme="minorEastAsia"/>
          <w:color w:val="000000"/>
          <w:sz w:val="24"/>
          <w:szCs w:val="24"/>
        </w:rPr>
      </w:pPr>
    </w:p>
    <w:p w14:paraId="14F32766">
      <w:pPr>
        <w:pStyle w:val="30"/>
        <w:spacing w:beforeAutospacing="0" w:afterAutospacing="0" w:line="360" w:lineRule="auto"/>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三、具备履行合同所必需的设备和专业技术能力的书面声明</w:t>
      </w:r>
    </w:p>
    <w:p w14:paraId="16EDDDAF">
      <w:pPr>
        <w:pStyle w:val="30"/>
        <w:spacing w:beforeAutospacing="0" w:afterAutospacing="0" w:line="360" w:lineRule="auto"/>
        <w:ind w:firstLine="49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我单位郑重声明：我单位具备履行本项采购合同所必需的设备和专业技术能力，为履行本项采购合同我公司具备如下主要设备和主要专业技术能力：</w:t>
      </w:r>
    </w:p>
    <w:p w14:paraId="6E7372FF">
      <w:pPr>
        <w:pStyle w:val="30"/>
        <w:spacing w:beforeAutospacing="0" w:afterAutospacing="0" w:line="360" w:lineRule="auto"/>
        <w:ind w:firstLine="49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主要设备有：</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3903A78E">
      <w:pPr>
        <w:pStyle w:val="30"/>
        <w:spacing w:beforeAutospacing="0" w:afterAutospacing="0" w:line="360" w:lineRule="auto"/>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主要专业技术能力有：</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w:t>
      </w:r>
    </w:p>
    <w:p w14:paraId="1BC7A169">
      <w:pPr>
        <w:pStyle w:val="30"/>
        <w:spacing w:beforeAutospacing="0" w:afterAutospacing="0" w:line="360" w:lineRule="auto"/>
        <w:ind w:right="180" w:firstLine="36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企业名称（加盖CA电子公章）：</w:t>
      </w:r>
    </w:p>
    <w:p w14:paraId="5DAF1A3D">
      <w:pPr>
        <w:pStyle w:val="30"/>
        <w:spacing w:beforeAutospacing="0" w:afterAutospacing="0" w:line="360" w:lineRule="auto"/>
        <w:ind w:right="480" w:firstLine="5400"/>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日  期：</w:t>
      </w:r>
    </w:p>
    <w:p w14:paraId="12DD3588">
      <w:pPr>
        <w:pStyle w:val="30"/>
        <w:spacing w:beforeAutospacing="0" w:afterAutospacing="0" w:line="360" w:lineRule="auto"/>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四、依法缴纳税收和社会保障资金的相关材料</w:t>
      </w:r>
    </w:p>
    <w:p w14:paraId="63B8AB7E">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宋体" w:hAnsi="宋体" w:eastAsia="宋体" w:cs="宋体"/>
          <w:color w:val="000000"/>
          <w:sz w:val="24"/>
          <w:szCs w:val="24"/>
        </w:rPr>
        <w:t>依法缴纳税收和社会保障资金的相关材料（提供提交响应文件截止时间前一年内至少一个月依法缴纳税收及缴纳社会保障资金的证明材料。供应商依法享受缓缴、免缴税收、社会保障资金的提供证明材料</w:t>
      </w:r>
      <w:r>
        <w:rPr>
          <w:rFonts w:hint="eastAsia" w:asciiTheme="minorEastAsia" w:hAnsiTheme="minorEastAsia" w:eastAsiaTheme="minorEastAsia" w:cstheme="minorEastAsia"/>
          <w:color w:val="000000"/>
          <w:sz w:val="24"/>
          <w:szCs w:val="24"/>
        </w:rPr>
        <w:t>。</w:t>
      </w:r>
    </w:p>
    <w:p w14:paraId="58E7C6AE">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36B2268">
      <w:pPr>
        <w:pStyle w:val="30"/>
        <w:spacing w:beforeAutospacing="0" w:afterAutospacing="0" w:line="360" w:lineRule="auto"/>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五、参加政府采购活动前 3 年内在经营活动中没有重大违法记录的书面声明</w:t>
      </w:r>
    </w:p>
    <w:p w14:paraId="70E25AAD">
      <w:pPr>
        <w:pStyle w:val="30"/>
        <w:spacing w:beforeAutospacing="0" w:afterAutospacing="0" w:line="360" w:lineRule="auto"/>
        <w:jc w:val="both"/>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                </w:t>
      </w:r>
    </w:p>
    <w:p w14:paraId="3C1B5317">
      <w:pPr>
        <w:pStyle w:val="30"/>
        <w:spacing w:beforeAutospacing="0" w:afterAutospacing="0"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color w:val="000000"/>
          <w:sz w:val="32"/>
          <w:szCs w:val="32"/>
        </w:rPr>
        <w:t>声  明</w:t>
      </w:r>
    </w:p>
    <w:p w14:paraId="6D12C757">
      <w:pPr>
        <w:pStyle w:val="30"/>
        <w:spacing w:beforeAutospacing="0" w:afterAutospacing="0" w:line="360" w:lineRule="auto"/>
        <w:ind w:firstLine="855"/>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我单位郑重声明：参加本次政府采购活动前 3 年内，我单位在经营活动中没有因违法经营受到刑事处罚或者责令停产停业、吊销许可证或者执照、较大数额罚款等行政处罚。</w:t>
      </w:r>
    </w:p>
    <w:p w14:paraId="0997BF61">
      <w:pPr>
        <w:pStyle w:val="30"/>
        <w:spacing w:beforeAutospacing="0" w:afterAutospacing="0" w:line="360" w:lineRule="auto"/>
        <w:ind w:firstLine="855"/>
        <w:jc w:val="both"/>
        <w:rPr>
          <w:rFonts w:hint="eastAsia" w:asciiTheme="minorEastAsia" w:hAnsiTheme="minorEastAsia" w:eastAsiaTheme="minorEastAsia" w:cstheme="minorEastAsia"/>
          <w:sz w:val="24"/>
          <w:szCs w:val="24"/>
        </w:rPr>
      </w:pPr>
    </w:p>
    <w:p w14:paraId="065CF0DC">
      <w:pPr>
        <w:pStyle w:val="30"/>
        <w:spacing w:beforeAutospacing="0" w:afterAutospacing="0" w:line="360" w:lineRule="auto"/>
        <w:ind w:right="180" w:firstLine="36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color w:val="000000"/>
          <w:sz w:val="24"/>
          <w:szCs w:val="24"/>
        </w:rPr>
        <w:t>企业名称（加盖CA电子公章）：</w:t>
      </w:r>
    </w:p>
    <w:p w14:paraId="1CD8CD39">
      <w:pPr>
        <w:pStyle w:val="30"/>
        <w:spacing w:beforeAutospacing="0" w:afterAutospacing="0" w:line="360" w:lineRule="auto"/>
        <w:ind w:right="480" w:firstLine="54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日  期：</w:t>
      </w:r>
    </w:p>
    <w:p w14:paraId="67E8FF58">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7D3C3C8D">
      <w:pPr>
        <w:pStyle w:val="30"/>
        <w:spacing w:beforeAutospacing="0" w:afterAutospacing="0" w:line="360" w:lineRule="auto"/>
        <w:jc w:val="both"/>
        <w:rPr>
          <w:rFonts w:hint="eastAsia" w:asciiTheme="minorEastAsia" w:hAnsiTheme="minorEastAsia" w:eastAsiaTheme="minorEastAsia" w:cstheme="minorEastAsia"/>
          <w:i w:val="0"/>
          <w:iCs/>
          <w:sz w:val="24"/>
          <w:szCs w:val="24"/>
        </w:rPr>
      </w:pPr>
      <w:r>
        <w:rPr>
          <w:rFonts w:hint="eastAsia" w:asciiTheme="minorEastAsia" w:hAnsiTheme="minorEastAsia" w:eastAsiaTheme="minorEastAsia" w:cstheme="minorEastAsia"/>
          <w:i w:val="0"/>
          <w:iCs/>
          <w:color w:val="000000"/>
          <w:sz w:val="24"/>
          <w:szCs w:val="24"/>
          <w:u w:val="single"/>
        </w:rPr>
        <w:t>六、特定资格要求的证明文件</w:t>
      </w:r>
    </w:p>
    <w:p w14:paraId="3C49487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如果本项目申请人的特定资格要求中要求提供的，必须提供。</w:t>
      </w:r>
    </w:p>
    <w:p w14:paraId="5E052417">
      <w:pPr>
        <w:pStyle w:val="30"/>
        <w:spacing w:beforeAutospacing="0" w:afterAutospacing="0" w:line="360" w:lineRule="auto"/>
        <w:rPr>
          <w:rFonts w:hint="eastAsia" w:asciiTheme="minorEastAsia" w:hAnsiTheme="minorEastAsia" w:eastAsiaTheme="minorEastAsia" w:cstheme="minorEastAsia"/>
          <w:i/>
          <w:color w:val="000000"/>
          <w:sz w:val="24"/>
          <w:szCs w:val="24"/>
          <w:u w:val="single"/>
        </w:rPr>
      </w:pPr>
      <w:bookmarkStart w:id="179" w:name="_Toc120614284"/>
    </w:p>
    <w:p w14:paraId="306F21EA">
      <w:pPr>
        <w:pStyle w:val="30"/>
        <w:spacing w:beforeAutospacing="0" w:afterAutospacing="0" w:line="360" w:lineRule="auto"/>
        <w:jc w:val="center"/>
        <w:rPr>
          <w:rFonts w:hint="eastAsia" w:asciiTheme="minorEastAsia" w:hAnsiTheme="minorEastAsia" w:eastAsiaTheme="minorEastAsia" w:cstheme="minorEastAsia"/>
          <w:i w:val="0"/>
          <w:iCs/>
          <w:sz w:val="36"/>
          <w:szCs w:val="36"/>
        </w:rPr>
      </w:pPr>
      <w:r>
        <w:rPr>
          <w:rFonts w:hint="eastAsia" w:asciiTheme="minorEastAsia" w:hAnsiTheme="minorEastAsia" w:eastAsiaTheme="minorEastAsia" w:cstheme="minorEastAsia"/>
          <w:i w:val="0"/>
          <w:iCs/>
          <w:color w:val="000000"/>
          <w:sz w:val="36"/>
          <w:szCs w:val="36"/>
          <w:u w:val="single"/>
        </w:rPr>
        <w:t>七、法人授权书</w:t>
      </w:r>
    </w:p>
    <w:p w14:paraId="54A2FFED">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本授权书声明：____________（投标人名称）授权________________（被授权人的姓名）为我方就JSZC-</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号项目采购活动的合法代理人，以本单位名义全权处理一切与该项目采购有关的事务。</w:t>
      </w:r>
    </w:p>
    <w:p w14:paraId="1BC7C9FA">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本授权书于______年____月____日起生效，特此声明。</w:t>
      </w:r>
    </w:p>
    <w:p w14:paraId="1C5F40F5">
      <w:pPr>
        <w:pStyle w:val="30"/>
        <w:tabs>
          <w:tab w:val="left" w:pos="360"/>
        </w:tabs>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  </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被授权人身份证号码：</w:t>
      </w:r>
      <w:r>
        <w:rPr>
          <w:rFonts w:hint="eastAsia" w:asciiTheme="minorEastAsia" w:hAnsiTheme="minorEastAsia" w:eastAsiaTheme="minorEastAsia" w:cstheme="minorEastAsia"/>
          <w:color w:val="000000"/>
          <w:sz w:val="24"/>
          <w:szCs w:val="24"/>
          <w:u w:val="single"/>
        </w:rPr>
        <w:t xml:space="preserve">                        </w:t>
      </w:r>
    </w:p>
    <w:p w14:paraId="4207FAFD">
      <w:pPr>
        <w:pStyle w:val="30"/>
        <w:tabs>
          <w:tab w:val="left" w:pos="360"/>
        </w:tabs>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被授权人联系电话：（手机）</w:t>
      </w:r>
      <w:r>
        <w:rPr>
          <w:rFonts w:hint="eastAsia" w:asciiTheme="minorEastAsia" w:hAnsiTheme="minorEastAsia" w:eastAsiaTheme="minorEastAsia" w:cstheme="minorEastAsia"/>
          <w:color w:val="000000"/>
          <w:sz w:val="24"/>
          <w:szCs w:val="24"/>
          <w:u w:val="single"/>
        </w:rPr>
        <w:t xml:space="preserve">                    </w:t>
      </w:r>
    </w:p>
    <w:p w14:paraId="5A30030E">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授权单位名称：</w:t>
      </w:r>
      <w:r>
        <w:rPr>
          <w:rFonts w:hint="eastAsia" w:asciiTheme="minorEastAsia" w:hAnsiTheme="minorEastAsia" w:eastAsiaTheme="minorEastAsia" w:cstheme="minorEastAsia"/>
          <w:color w:val="000000"/>
          <w:sz w:val="24"/>
          <w:szCs w:val="24"/>
          <w:u w:val="single"/>
        </w:rPr>
        <w:t>（加盖CA电子公章）</w:t>
      </w:r>
    </w:p>
    <w:p w14:paraId="11368049">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单位地址：</w:t>
      </w:r>
      <w:r>
        <w:rPr>
          <w:rFonts w:hint="eastAsia" w:asciiTheme="minorEastAsia" w:hAnsiTheme="minorEastAsia" w:eastAsiaTheme="minorEastAsia" w:cstheme="minorEastAsia"/>
          <w:color w:val="000000"/>
          <w:sz w:val="24"/>
          <w:szCs w:val="24"/>
          <w:u w:val="single"/>
        </w:rPr>
        <w:t xml:space="preserve">                             </w:t>
      </w:r>
    </w:p>
    <w:p w14:paraId="1663BD7F">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日期：</w:t>
      </w:r>
      <w:bookmarkStart w:id="180" w:name="_Hlt26955070"/>
      <w:bookmarkStart w:id="181" w:name="_格式3__银行出具的资信证明"/>
      <w:bookmarkStart w:id="182" w:name="_Hlt26671380"/>
      <w:r>
        <w:rPr>
          <w:rFonts w:hint="eastAsia" w:asciiTheme="minorEastAsia" w:hAnsiTheme="minorEastAsia" w:eastAsiaTheme="minorEastAsia" w:cstheme="minorEastAsia"/>
          <w:color w:val="000000"/>
          <w:sz w:val="24"/>
          <w:szCs w:val="24"/>
          <w:u w:val="single"/>
        </w:rPr>
        <w:t>                            </w:t>
      </w:r>
    </w:p>
    <w:p w14:paraId="7F6E2FD3">
      <w:pPr>
        <w:pStyle w:val="200"/>
        <w:keepNext w:val="0"/>
        <w:keepLines w:val="0"/>
        <w:pageBreakBefore w:val="0"/>
        <w:widowControl w:val="0"/>
        <w:tabs>
          <w:tab w:val="left" w:pos="360"/>
        </w:tabs>
        <w:kinsoku/>
        <w:wordWrap/>
        <w:overflowPunct/>
        <w:topLinePunct w:val="0"/>
        <w:bidi w:val="0"/>
        <w:spacing w:before="0" w:beforeAutospacing="0" w:after="0" w:afterAutospacing="0" w:line="360" w:lineRule="auto"/>
        <w:ind w:firstLine="482" w:firstLineChars="200"/>
        <w:rPr>
          <w:rFonts w:hint="eastAsia" w:ascii="宋体" w:hAnsi="宋体" w:eastAsia="宋体" w:cs="宋体"/>
          <w:b/>
          <w:bCs w:val="0"/>
          <w:sz w:val="24"/>
          <w:szCs w:val="24"/>
          <w:lang w:val="zh-CN"/>
        </w:rPr>
      </w:pPr>
      <w:r>
        <w:rPr>
          <w:rFonts w:hint="eastAsia" w:ascii="宋体" w:hAnsi="宋体" w:eastAsia="宋体" w:cs="宋体"/>
          <w:b/>
          <w:bCs w:val="0"/>
          <w:color w:val="000000" w:themeColor="text1"/>
          <w:sz w:val="24"/>
          <w:szCs w:val="24"/>
          <w14:textFill>
            <w14:solidFill>
              <w14:schemeClr w14:val="tx1"/>
            </w14:solidFill>
          </w14:textFill>
        </w:rPr>
        <w:t> </w:t>
      </w:r>
      <w:r>
        <w:rPr>
          <w:rFonts w:hint="eastAsia" w:ascii="宋体" w:hAnsi="宋体" w:eastAsia="宋体" w:cs="宋体"/>
          <w:b/>
          <w:bCs w:val="0"/>
          <w:sz w:val="24"/>
          <w:szCs w:val="24"/>
          <w:lang w:val="zh-CN"/>
        </w:rPr>
        <w:t>附：被授权人身份证扫描件。</w:t>
      </w:r>
    </w:p>
    <w:tbl>
      <w:tblPr>
        <w:tblStyle w:val="32"/>
        <w:tblW w:w="0" w:type="auto"/>
        <w:tblInd w:w="4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13"/>
        <w:gridCol w:w="3977"/>
      </w:tblGrid>
      <w:tr w14:paraId="2146C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4" w:hRule="atLeast"/>
        </w:trPr>
        <w:tc>
          <w:tcPr>
            <w:tcW w:w="4252" w:type="dxa"/>
          </w:tcPr>
          <w:p w14:paraId="0CBCF20F">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p>
          <w:p w14:paraId="3CE5F876">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p>
          <w:p w14:paraId="0C81CE92">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r>
              <w:rPr>
                <w:rFonts w:hint="eastAsia" w:ascii="宋体" w:hAnsi="宋体" w:eastAsia="宋体" w:cs="宋体"/>
                <w:b/>
                <w:bCs w:val="0"/>
                <w:iCs/>
                <w:sz w:val="24"/>
                <w:szCs w:val="24"/>
              </w:rPr>
              <w:t>正面</w:t>
            </w:r>
          </w:p>
        </w:tc>
        <w:tc>
          <w:tcPr>
            <w:tcW w:w="4111" w:type="dxa"/>
          </w:tcPr>
          <w:p w14:paraId="621074DF">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p>
          <w:p w14:paraId="45202390">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p>
          <w:p w14:paraId="06C7A619">
            <w:pPr>
              <w:pStyle w:val="200"/>
              <w:keepNext w:val="0"/>
              <w:keepLines w:val="0"/>
              <w:pageBreakBefore w:val="0"/>
              <w:widowControl w:val="0"/>
              <w:kinsoku/>
              <w:wordWrap/>
              <w:overflowPunct/>
              <w:topLinePunct w:val="0"/>
              <w:bidi w:val="0"/>
              <w:spacing w:before="0" w:beforeAutospacing="0" w:after="0" w:afterAutospacing="0" w:line="360" w:lineRule="auto"/>
              <w:ind w:firstLine="482" w:firstLineChars="200"/>
              <w:jc w:val="center"/>
              <w:rPr>
                <w:rFonts w:hint="eastAsia" w:ascii="宋体" w:hAnsi="宋体" w:eastAsia="宋体" w:cs="宋体"/>
                <w:b/>
                <w:bCs w:val="0"/>
                <w:iCs/>
                <w:sz w:val="24"/>
                <w:szCs w:val="24"/>
              </w:rPr>
            </w:pPr>
            <w:r>
              <w:rPr>
                <w:rFonts w:hint="eastAsia" w:ascii="宋体" w:hAnsi="宋体" w:eastAsia="宋体" w:cs="宋体"/>
                <w:b/>
                <w:bCs w:val="0"/>
                <w:iCs/>
                <w:sz w:val="24"/>
                <w:szCs w:val="24"/>
              </w:rPr>
              <w:t>反面</w:t>
            </w:r>
          </w:p>
        </w:tc>
      </w:tr>
    </w:tbl>
    <w:p w14:paraId="0D4D933F">
      <w:pPr>
        <w:pStyle w:val="30"/>
        <w:tabs>
          <w:tab w:val="left" w:pos="360"/>
        </w:tabs>
        <w:spacing w:beforeAutospacing="0" w:afterAutospacing="0" w:line="360" w:lineRule="auto"/>
        <w:ind w:firstLine="480"/>
        <w:jc w:val="both"/>
        <w:rPr>
          <w:rFonts w:hint="eastAsia" w:asciiTheme="minorEastAsia" w:hAnsiTheme="minorEastAsia" w:eastAsiaTheme="minorEastAsia" w:cstheme="minorEastAsia"/>
          <w:color w:val="000000"/>
          <w:sz w:val="24"/>
          <w:szCs w:val="24"/>
          <w:u w:val="single"/>
        </w:rPr>
      </w:pPr>
    </w:p>
    <w:p w14:paraId="76F158A8">
      <w:pPr>
        <w:pStyle w:val="30"/>
        <w:spacing w:beforeAutospacing="0" w:afterAutospacing="0"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5052C31">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08B3852">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B064DCB">
      <w:pPr>
        <w:pStyle w:val="30"/>
        <w:keepNext/>
        <w:keepLines/>
        <w:spacing w:before="260" w:beforeAutospacing="0" w:after="260" w:afterAutospacing="0" w:line="360" w:lineRule="auto"/>
        <w:ind w:firstLine="3390"/>
        <w:jc w:val="both"/>
        <w:rPr>
          <w:rFonts w:hint="eastAsia" w:asciiTheme="minorEastAsia" w:hAnsiTheme="minorEastAsia" w:eastAsiaTheme="minorEastAsia" w:cstheme="minorEastAsia"/>
          <w:i w:val="0"/>
          <w:iCs/>
          <w:sz w:val="36"/>
          <w:szCs w:val="36"/>
        </w:rPr>
      </w:pPr>
      <w:r>
        <w:rPr>
          <w:rFonts w:hint="eastAsia" w:asciiTheme="minorEastAsia" w:hAnsiTheme="minorEastAsia" w:eastAsiaTheme="minorEastAsia" w:cstheme="minorEastAsia"/>
          <w:b/>
          <w:color w:val="000000"/>
          <w:sz w:val="24"/>
          <w:szCs w:val="24"/>
        </w:rPr>
        <w:br w:type="page" w:clear="all"/>
      </w:r>
      <w:r>
        <w:rPr>
          <w:rFonts w:hint="eastAsia" w:asciiTheme="minorEastAsia" w:hAnsiTheme="minorEastAsia" w:eastAsiaTheme="minorEastAsia" w:cstheme="minorEastAsia"/>
          <w:b/>
          <w:color w:val="000000"/>
          <w:sz w:val="24"/>
          <w:szCs w:val="24"/>
        </w:rPr>
        <w:t> </w:t>
      </w:r>
      <w:r>
        <w:rPr>
          <w:rFonts w:hint="eastAsia" w:asciiTheme="minorEastAsia" w:hAnsiTheme="minorEastAsia" w:eastAsiaTheme="minorEastAsia" w:cstheme="minorEastAsia"/>
          <w:b/>
          <w:i w:val="0"/>
          <w:iCs/>
          <w:color w:val="000000"/>
          <w:sz w:val="36"/>
          <w:szCs w:val="36"/>
          <w:u w:val="single"/>
        </w:rPr>
        <w:t>八、投标函</w:t>
      </w:r>
    </w:p>
    <w:p w14:paraId="52F0029E">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致：采购人</w:t>
      </w:r>
    </w:p>
    <w:p w14:paraId="7F3AA50E">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根据贵方的JSZC-***</w:t>
      </w:r>
      <w:r>
        <w:rPr>
          <w:rFonts w:hint="eastAsia" w:asciiTheme="minorEastAsia" w:hAnsiTheme="minorEastAsia" w:eastAsiaTheme="minorEastAsia" w:cstheme="minorEastAsia"/>
          <w:b/>
          <w:color w:val="000000"/>
          <w:sz w:val="24"/>
          <w:szCs w:val="24"/>
          <w:u w:val="single"/>
        </w:rPr>
        <w:t xml:space="preserve">            </w:t>
      </w:r>
      <w:r>
        <w:rPr>
          <w:rFonts w:hint="eastAsia" w:asciiTheme="minorEastAsia" w:hAnsiTheme="minorEastAsia" w:eastAsiaTheme="minorEastAsia" w:cstheme="minorEastAsia"/>
          <w:color w:val="000000"/>
          <w:sz w:val="24"/>
          <w:szCs w:val="24"/>
        </w:rPr>
        <w:t>号招标文件，正式授权下述签字人_________________(姓名)代表我方______________（投标人的名称），全权处理本次项目投标的有关事宜。</w:t>
      </w:r>
    </w:p>
    <w:p w14:paraId="2AD6207E">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据此函，签字人兹宣布同意如下：</w:t>
      </w:r>
    </w:p>
    <w:p w14:paraId="24D798BA">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1.按招标文件规定的各项要求，向买方提供所需货物（包含与货物相关的服务）。</w:t>
      </w:r>
    </w:p>
    <w:p w14:paraId="57E6536F">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2.我们完全理解贵方不一定将合同授予最低报价的投标人。</w:t>
      </w:r>
    </w:p>
    <w:p w14:paraId="7DA9C876">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3.我们已详细审核全部招标文件及其有效补充文件，我们知道必须放弃提出含糊不清或误解问题的权利。</w:t>
      </w:r>
    </w:p>
    <w:p w14:paraId="260EFFDC">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4.我们同意从规定的开标日期起遵循本投标文件，并在规定的投标有效期期满之前均具有约束力。</w:t>
      </w:r>
    </w:p>
    <w:p w14:paraId="47E63BA9">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5.同意向贵方提供贵方可能另外要求的与投标有关的任何证据或资料，并保证我方已提供和将要提供的文件是真实的、准确的。</w:t>
      </w:r>
    </w:p>
    <w:p w14:paraId="251A420F">
      <w:pPr>
        <w:pStyle w:val="30"/>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6.一旦我方中标,我方将根据招标文件的规定，严格履行合同的责任和义务,并保证在招标文件规定的时间完成项目，交付买方验收、使用。</w:t>
      </w:r>
    </w:p>
    <w:p w14:paraId="5F970FFD">
      <w:pPr>
        <w:pStyle w:val="30"/>
        <w:spacing w:beforeAutospacing="0" w:afterAutospacing="0" w:line="360" w:lineRule="auto"/>
        <w:ind w:left="4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7.与本投标有关的正式通讯地址为：</w:t>
      </w:r>
    </w:p>
    <w:p w14:paraId="13B2174B">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地          址：</w:t>
      </w:r>
    </w:p>
    <w:p w14:paraId="28ACCBFE">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邮          编：</w:t>
      </w:r>
    </w:p>
    <w:p w14:paraId="34C5F71C">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电          话：</w:t>
      </w:r>
    </w:p>
    <w:p w14:paraId="6923989A">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传          真：</w:t>
      </w:r>
    </w:p>
    <w:p w14:paraId="337802B4">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投标人开户行：</w:t>
      </w:r>
    </w:p>
    <w:p w14:paraId="60286672">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账          号： </w:t>
      </w:r>
    </w:p>
    <w:p w14:paraId="6256C95C">
      <w:pPr>
        <w:pStyle w:val="30"/>
        <w:spacing w:beforeAutospacing="0" w:afterAutospacing="0" w:line="360" w:lineRule="auto"/>
        <w:ind w:left="420"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日          期：________年____月____日</w:t>
      </w:r>
    </w:p>
    <w:p w14:paraId="659EDEAF">
      <w:pPr>
        <w:pStyle w:val="30"/>
        <w:spacing w:beforeAutospacing="0" w:afterAutospacing="0" w:line="360" w:lineRule="auto"/>
        <w:ind w:firstLine="2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8731873">
      <w:pPr>
        <w:pStyle w:val="30"/>
        <w:spacing w:beforeAutospacing="0" w:afterAutospacing="0" w:line="360" w:lineRule="auto"/>
        <w:ind w:firstLine="2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ABB8132">
      <w:pPr>
        <w:pStyle w:val="30"/>
        <w:spacing w:beforeAutospacing="0" w:afterAutospacing="0" w:line="360" w:lineRule="auto"/>
        <w:ind w:firstLine="240"/>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24"/>
          <w:szCs w:val="24"/>
        </w:rPr>
        <w:t> </w:t>
      </w:r>
    </w:p>
    <w:p w14:paraId="4266F735">
      <w:pPr>
        <w:pStyle w:val="30"/>
        <w:spacing w:beforeAutospacing="0" w:afterAutospacing="0" w:line="360" w:lineRule="auto"/>
        <w:ind w:firstLine="321"/>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color w:val="000000"/>
          <w:sz w:val="28"/>
          <w:szCs w:val="28"/>
        </w:rPr>
        <w:t>九、小微企业声明函（货物）（分包号：**）</w:t>
      </w:r>
    </w:p>
    <w:p w14:paraId="3E757405">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本公司（联合体）郑重声明，根据《政府采购促进中小企业发展管理办法》(财库[2020]46号)的规定，本公司（联合体）参加</w:t>
      </w:r>
      <w:r>
        <w:rPr>
          <w:rFonts w:hint="eastAsia" w:asciiTheme="minorEastAsia" w:hAnsiTheme="minorEastAsia" w:eastAsiaTheme="minorEastAsia" w:cstheme="minorEastAsia"/>
          <w:color w:val="000000"/>
          <w:sz w:val="24"/>
          <w:szCs w:val="24"/>
          <w:u w:val="single"/>
        </w:rPr>
        <w:t>（单位名称）</w:t>
      </w:r>
      <w:r>
        <w:rPr>
          <w:rFonts w:hint="eastAsia" w:asciiTheme="minorEastAsia" w:hAnsiTheme="minorEastAsia" w:eastAsiaTheme="minorEastAsia" w:cstheme="minorEastAsia"/>
          <w:color w:val="000000"/>
          <w:sz w:val="24"/>
          <w:szCs w:val="24"/>
        </w:rPr>
        <w:t>采购编号为</w:t>
      </w:r>
      <w:r>
        <w:rPr>
          <w:rFonts w:hint="eastAsia" w:asciiTheme="minorEastAsia" w:hAnsiTheme="minorEastAsia" w:eastAsiaTheme="minorEastAsia" w:cstheme="minorEastAsia"/>
          <w:color w:val="000000"/>
          <w:sz w:val="24"/>
          <w:szCs w:val="24"/>
          <w:u w:val="single"/>
        </w:rPr>
        <w:t>***</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u w:val="single"/>
        </w:rPr>
        <w:t>（项目名称）（分包号：**）</w:t>
      </w:r>
      <w:r>
        <w:rPr>
          <w:rFonts w:hint="eastAsia" w:asciiTheme="minorEastAsia" w:hAnsiTheme="minorEastAsia" w:eastAsiaTheme="minorEastAsia" w:cstheme="minorEastAsia"/>
          <w:color w:val="000000"/>
          <w:sz w:val="24"/>
          <w:szCs w:val="24"/>
        </w:rPr>
        <w:t>的采购活动，提供的货物全部由符合政策要求的小微企业制造。根据《工业和信息化部、国家统计局、国家发展和改革委员会、财政部关于印发中小企业划型标准规定的通知》(工信部联企业[2011]300号)的规定，相关企业（含联合体中的小微企业、签订分包意向协议的小微企业）的具体情况如下：</w:t>
      </w:r>
    </w:p>
    <w:p w14:paraId="44FF2CDC">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w:t>
      </w:r>
      <w:r>
        <w:rPr>
          <w:rFonts w:hint="eastAsia" w:asciiTheme="minorEastAsia" w:hAnsiTheme="minorEastAsia" w:eastAsiaTheme="minorEastAsia" w:cstheme="minorEastAsia"/>
          <w:color w:val="000000"/>
          <w:sz w:val="24"/>
          <w:szCs w:val="24"/>
          <w:u w:val="single"/>
        </w:rPr>
        <w:t>（标的名称）</w:t>
      </w:r>
      <w:r>
        <w:rPr>
          <w:rFonts w:hint="eastAsia" w:asciiTheme="minorEastAsia" w:hAnsiTheme="minorEastAsia" w:eastAsiaTheme="minorEastAsia" w:cstheme="minorEastAsia"/>
          <w:i/>
          <w:color w:val="000000"/>
          <w:sz w:val="24"/>
          <w:szCs w:val="24"/>
        </w:rPr>
        <w:t>，</w:t>
      </w:r>
      <w:r>
        <w:rPr>
          <w:rFonts w:hint="eastAsia" w:asciiTheme="minorEastAsia" w:hAnsiTheme="minorEastAsia" w:eastAsiaTheme="minorEastAsia" w:cstheme="minorEastAsia"/>
          <w:color w:val="000000"/>
          <w:sz w:val="24"/>
          <w:szCs w:val="24"/>
        </w:rPr>
        <w:t>属于</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行业；制造商为</w:t>
      </w:r>
      <w:r>
        <w:rPr>
          <w:rFonts w:hint="eastAsia" w:asciiTheme="minorEastAsia" w:hAnsiTheme="minorEastAsia" w:eastAsiaTheme="minorEastAsia" w:cstheme="minorEastAsia"/>
          <w:color w:val="000000"/>
          <w:sz w:val="24"/>
          <w:szCs w:val="24"/>
          <w:u w:val="single"/>
        </w:rPr>
        <w:t>（企业名称）</w:t>
      </w:r>
      <w:r>
        <w:rPr>
          <w:rFonts w:hint="eastAsia" w:asciiTheme="minorEastAsia" w:hAnsiTheme="minorEastAsia" w:eastAsiaTheme="minorEastAsia" w:cstheme="minorEastAsia"/>
          <w:color w:val="000000"/>
          <w:sz w:val="24"/>
          <w:szCs w:val="24"/>
        </w:rPr>
        <w:t>，从业人员</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人，营业收入为</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万元，资产总额为</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万元，属于</w:t>
      </w:r>
      <w:r>
        <w:rPr>
          <w:rFonts w:hint="eastAsia" w:asciiTheme="minorEastAsia" w:hAnsiTheme="minorEastAsia" w:eastAsiaTheme="minorEastAsia" w:cstheme="minorEastAsia"/>
          <w:color w:val="000000"/>
          <w:sz w:val="24"/>
          <w:szCs w:val="24"/>
          <w:u w:val="single"/>
        </w:rPr>
        <w:t>（小型企业、微型企业）；</w:t>
      </w:r>
    </w:p>
    <w:p w14:paraId="45C58D0C">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w:t>
      </w:r>
      <w:r>
        <w:rPr>
          <w:rFonts w:hint="eastAsia" w:asciiTheme="minorEastAsia" w:hAnsiTheme="minorEastAsia" w:eastAsiaTheme="minorEastAsia" w:cstheme="minorEastAsia"/>
          <w:color w:val="000000"/>
          <w:sz w:val="24"/>
          <w:szCs w:val="24"/>
          <w:u w:val="single"/>
        </w:rPr>
        <w:t>（标的名称）</w:t>
      </w:r>
      <w:r>
        <w:rPr>
          <w:rFonts w:hint="eastAsia" w:asciiTheme="minorEastAsia" w:hAnsiTheme="minorEastAsia" w:eastAsiaTheme="minorEastAsia" w:cstheme="minorEastAsia"/>
          <w:i/>
          <w:color w:val="000000"/>
          <w:sz w:val="24"/>
          <w:szCs w:val="24"/>
        </w:rPr>
        <w:t>，</w:t>
      </w:r>
      <w:r>
        <w:rPr>
          <w:rFonts w:hint="eastAsia" w:asciiTheme="minorEastAsia" w:hAnsiTheme="minorEastAsia" w:eastAsiaTheme="minorEastAsia" w:cstheme="minorEastAsia"/>
          <w:color w:val="000000"/>
          <w:sz w:val="24"/>
          <w:szCs w:val="24"/>
        </w:rPr>
        <w:t>属于</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行业；制造商为</w:t>
      </w:r>
      <w:r>
        <w:rPr>
          <w:rFonts w:hint="eastAsia" w:asciiTheme="minorEastAsia" w:hAnsiTheme="minorEastAsia" w:eastAsiaTheme="minorEastAsia" w:cstheme="minorEastAsia"/>
          <w:color w:val="000000"/>
          <w:sz w:val="24"/>
          <w:szCs w:val="24"/>
          <w:u w:val="single"/>
        </w:rPr>
        <w:t>（企业名称）</w:t>
      </w:r>
      <w:r>
        <w:rPr>
          <w:rFonts w:hint="eastAsia" w:asciiTheme="minorEastAsia" w:hAnsiTheme="minorEastAsia" w:eastAsiaTheme="minorEastAsia" w:cstheme="minorEastAsia"/>
          <w:color w:val="000000"/>
          <w:sz w:val="24"/>
          <w:szCs w:val="24"/>
        </w:rPr>
        <w:t>，从业人员</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人，营业收入为</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万元，资产总额为</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万元，属于</w:t>
      </w:r>
      <w:r>
        <w:rPr>
          <w:rFonts w:hint="eastAsia" w:asciiTheme="minorEastAsia" w:hAnsiTheme="minorEastAsia" w:eastAsiaTheme="minorEastAsia" w:cstheme="minorEastAsia"/>
          <w:color w:val="000000"/>
          <w:sz w:val="24"/>
          <w:szCs w:val="24"/>
          <w:u w:val="single"/>
        </w:rPr>
        <w:t>（小型企业、微型企业）；</w:t>
      </w:r>
    </w:p>
    <w:p w14:paraId="0DDCFE1B">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w:t>
      </w:r>
    </w:p>
    <w:p w14:paraId="44E74DD6">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以上企业，不属于大企业的分支机构，不存在控股股东为大企业的情形，也不存在与大企业的负责人为同一人的情形。</w:t>
      </w:r>
    </w:p>
    <w:p w14:paraId="1FB0F5C4">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本企业对上述声明内容的真实性负责。如有虚假，将依法承担相应责任</w:t>
      </w:r>
    </w:p>
    <w:p w14:paraId="61CC4E83">
      <w:pPr>
        <w:pStyle w:val="30"/>
        <w:spacing w:beforeAutospacing="0" w:afterAutospacing="0" w:line="360" w:lineRule="auto"/>
        <w:ind w:right="7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AD5C004">
      <w:pPr>
        <w:pStyle w:val="30"/>
        <w:spacing w:beforeAutospacing="0" w:afterAutospacing="0" w:line="360" w:lineRule="auto"/>
        <w:ind w:right="180" w:firstLine="360"/>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企业名称（加盖CA电子公章）：</w:t>
      </w:r>
    </w:p>
    <w:p w14:paraId="768BE17E">
      <w:pPr>
        <w:pStyle w:val="30"/>
        <w:spacing w:beforeAutospacing="0" w:afterAutospacing="0" w:line="360" w:lineRule="auto"/>
        <w:ind w:right="480" w:firstLine="54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日  期：</w:t>
      </w:r>
    </w:p>
    <w:p w14:paraId="334B3AF3">
      <w:pPr>
        <w:pStyle w:val="30"/>
        <w:spacing w:beforeAutospacing="0" w:afterAutospacing="0" w:line="360" w:lineRule="auto"/>
        <w:ind w:firstLine="3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A27B86B">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备注1：从业人员、营业收入、资产总额填报上一年度数据，无上一年度数据的新成立企业可不填报。</w:t>
      </w:r>
    </w:p>
    <w:p w14:paraId="59679B8D">
      <w:pPr>
        <w:pStyle w:val="30"/>
        <w:spacing w:beforeAutospacing="0" w:afterAutospacing="0"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color w:val="000000"/>
          <w:sz w:val="24"/>
          <w:szCs w:val="24"/>
        </w:rPr>
        <w:br w:type="page" w:clear="all"/>
      </w:r>
      <w:r>
        <w:rPr>
          <w:rFonts w:hint="eastAsia" w:asciiTheme="minorEastAsia" w:hAnsiTheme="minorEastAsia" w:eastAsiaTheme="minorEastAsia" w:cstheme="minorEastAsia"/>
          <w:b/>
          <w:color w:val="000000"/>
          <w:sz w:val="24"/>
          <w:szCs w:val="24"/>
        </w:rPr>
        <w:t> </w:t>
      </w:r>
      <w:r>
        <w:rPr>
          <w:rFonts w:hint="eastAsia" w:asciiTheme="minorEastAsia" w:hAnsiTheme="minorEastAsia" w:eastAsiaTheme="minorEastAsia" w:cstheme="minorEastAsia"/>
          <w:b/>
          <w:color w:val="000000"/>
          <w:sz w:val="28"/>
          <w:szCs w:val="28"/>
        </w:rPr>
        <w:t>十、残疾人福利性单位声明函（分包号：**）</w:t>
      </w:r>
    </w:p>
    <w:p w14:paraId="0293FF1E">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项目（分包号：**）采购活动提供本单位制造的货物，或者提供其他残疾人福利性单位制造的货物（不包括使用非残疾人福利性单位注册商标的货物）。</w:t>
      </w:r>
    </w:p>
    <w:p w14:paraId="60ED4790">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本单位对上述声明的真实性负责。如有虚假，将依法承担相应责任。</w:t>
      </w:r>
    </w:p>
    <w:p w14:paraId="59BC6A4B">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8BC454D">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（备注：1、供应商如不提供此声明函，价格将不做相应扣除。2、中标供应商为残疾人福利单位的，此声明函将随中标结果同时公告，接受社会监督）</w:t>
      </w:r>
    </w:p>
    <w:p w14:paraId="75E2C523">
      <w:pPr>
        <w:pStyle w:val="30"/>
        <w:spacing w:beforeAutospacing="0" w:afterAutospacing="0" w:line="360" w:lineRule="auto"/>
        <w:ind w:firstLine="6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865962C">
      <w:pPr>
        <w:pStyle w:val="30"/>
        <w:tabs>
          <w:tab w:val="left" w:pos="4864"/>
        </w:tabs>
        <w:spacing w:beforeAutospacing="0" w:afterAutospacing="0" w:line="360" w:lineRule="auto"/>
        <w:ind w:right="1560" w:firstLine="62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供应商全称（加盖CA电子公章）：</w:t>
      </w:r>
    </w:p>
    <w:p w14:paraId="03E67531">
      <w:pPr>
        <w:pStyle w:val="30"/>
        <w:tabs>
          <w:tab w:val="left" w:pos="4864"/>
        </w:tabs>
        <w:spacing w:beforeAutospacing="0" w:afterAutospacing="0" w:line="360" w:lineRule="auto"/>
        <w:ind w:right="1560" w:firstLine="48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日  期：</w:t>
      </w:r>
    </w:p>
    <w:p w14:paraId="228C2C8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1A5770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867678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164432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0C6D39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FA5DDE9">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99E09C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1D1A8B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F3F39A9">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483F81E6">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46F562FE">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0659F203">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407770D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196BA6D">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31D4FA50">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3662589">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55775875">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4846C527">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4C2E1B8">
      <w:pPr>
        <w:pStyle w:val="30"/>
        <w:numPr>
          <w:ilvl w:val="0"/>
          <w:numId w:val="0"/>
        </w:numPr>
        <w:tabs>
          <w:tab w:val="left" w:pos="242"/>
          <w:tab w:val="center" w:pos="4209"/>
        </w:tabs>
        <w:spacing w:beforeAutospacing="0" w:afterAutospacing="0"/>
        <w:ind w:left="0" w:right="0"/>
        <w:jc w:val="left"/>
        <w:rPr>
          <w:rFonts w:hint="eastAsia" w:ascii="黑体" w:hAnsi="宋体" w:eastAsia="黑体" w:cs="黑体"/>
          <w:b/>
          <w:color w:val="000000"/>
          <w:sz w:val="32"/>
          <w:szCs w:val="32"/>
          <w:highlight w:val="none"/>
        </w:rPr>
      </w:pPr>
      <w:r>
        <w:rPr>
          <w:rFonts w:hint="eastAsia" w:ascii="黑体" w:hAnsi="宋体" w:eastAsia="黑体" w:cs="黑体"/>
          <w:b/>
          <w:color w:val="000000"/>
          <w:sz w:val="32"/>
          <w:szCs w:val="32"/>
          <w:lang w:val="en-US" w:eastAsia="zh-CN" w:bidi="ar"/>
        </w:rPr>
        <w:tab/>
        <w:t/>
      </w:r>
      <w:r>
        <w:rPr>
          <w:rFonts w:hint="eastAsia" w:ascii="黑体" w:hAnsi="宋体" w:eastAsia="黑体" w:cs="黑体"/>
          <w:b/>
          <w:color w:val="000000"/>
          <w:sz w:val="32"/>
          <w:szCs w:val="32"/>
          <w:lang w:val="en-US" w:eastAsia="zh-CN" w:bidi="ar"/>
        </w:rPr>
        <w:tab/>
        <w:t>十一、</w:t>
      </w:r>
      <w:r>
        <w:rPr>
          <w:rFonts w:hint="eastAsia" w:ascii="黑体" w:hAnsi="宋体" w:eastAsia="黑体" w:cs="黑体"/>
          <w:b/>
          <w:color w:val="000000"/>
          <w:sz w:val="32"/>
          <w:szCs w:val="32"/>
          <w:highlight w:val="none"/>
        </w:rPr>
        <w:t>投标分项报价表</w:t>
      </w:r>
    </w:p>
    <w:tbl>
      <w:tblPr>
        <w:tblStyle w:val="32"/>
        <w:tblpPr w:leftFromText="180" w:rightFromText="180" w:vertAnchor="text" w:horzAnchor="page" w:tblpX="1909" w:tblpY="418"/>
        <w:tblOverlap w:val="never"/>
        <w:tblW w:w="90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5"/>
        <w:gridCol w:w="1665"/>
        <w:gridCol w:w="2700"/>
        <w:gridCol w:w="660"/>
        <w:gridCol w:w="1161"/>
        <w:gridCol w:w="1080"/>
        <w:gridCol w:w="1164"/>
      </w:tblGrid>
      <w:tr w14:paraId="0AEF96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015" w:type="dxa"/>
            <w:gridSpan w:val="7"/>
            <w:tcBorders>
              <w:bottom w:val="single" w:color="000000" w:sz="4" w:space="0"/>
            </w:tcBorders>
            <w:shd w:val="clear" w:color="auto" w:fill="auto"/>
            <w:noWrap/>
            <w:vAlign w:val="center"/>
          </w:tcPr>
          <w:p w14:paraId="424C3CE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6米插地棚</w:t>
            </w:r>
          </w:p>
        </w:tc>
      </w:tr>
      <w:tr w14:paraId="595618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FFFFFF"/>
            <w:vAlign w:val="center"/>
          </w:tcPr>
          <w:p w14:paraId="6BF3D9C8">
            <w:pPr>
              <w:keepNext w:val="0"/>
              <w:keepLines w:val="0"/>
              <w:widowControl/>
              <w:suppressLineNumbers w:val="0"/>
              <w:jc w:val="center"/>
              <w:textAlignment w:val="center"/>
              <w:rPr>
                <w:rFonts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序号</w:t>
            </w:r>
          </w:p>
        </w:tc>
        <w:tc>
          <w:tcPr>
            <w:tcW w:w="1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3A86C">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项目名称</w:t>
            </w:r>
          </w:p>
        </w:tc>
        <w:tc>
          <w:tcPr>
            <w:tcW w:w="2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99413">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项目特征描述</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016C8">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计量单位</w:t>
            </w:r>
          </w:p>
        </w:tc>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64EA">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工程量</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B2705">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综合单价</w:t>
            </w:r>
          </w:p>
        </w:tc>
        <w:tc>
          <w:tcPr>
            <w:tcW w:w="1215" w:type="dxa"/>
            <w:tcBorders>
              <w:top w:val="single" w:color="000000" w:sz="4" w:space="0"/>
              <w:left w:val="single" w:color="000000" w:sz="4" w:space="0"/>
              <w:bottom w:val="single" w:color="000000" w:sz="4" w:space="0"/>
            </w:tcBorders>
            <w:shd w:val="clear" w:color="auto" w:fill="FFFFFF"/>
            <w:vAlign w:val="center"/>
          </w:tcPr>
          <w:p w14:paraId="6A7B391F">
            <w:pPr>
              <w:keepNext w:val="0"/>
              <w:keepLines w:val="0"/>
              <w:widowControl/>
              <w:suppressLineNumbers w:val="0"/>
              <w:jc w:val="center"/>
              <w:textAlignment w:val="center"/>
              <w:rPr>
                <w:rFonts w:hint="eastAsia" w:ascii="黑体" w:hAnsi="宋体" w:eastAsia="黑体" w:cs="黑体"/>
                <w:b/>
                <w:bCs/>
                <w:i w:val="0"/>
                <w:iCs w:val="0"/>
                <w:color w:val="000000"/>
                <w:sz w:val="21"/>
                <w:szCs w:val="21"/>
                <w:u w:val="none"/>
              </w:rPr>
            </w:pPr>
            <w:r>
              <w:rPr>
                <w:rFonts w:hint="eastAsia" w:ascii="黑体" w:hAnsi="宋体" w:eastAsia="黑体" w:cs="黑体"/>
                <w:b/>
                <w:bCs/>
                <w:i w:val="0"/>
                <w:iCs w:val="0"/>
                <w:color w:val="000000"/>
                <w:kern w:val="0"/>
                <w:sz w:val="21"/>
                <w:szCs w:val="21"/>
                <w:u w:val="none"/>
                <w:lang w:val="en-US" w:eastAsia="zh-CN" w:bidi="ar"/>
              </w:rPr>
              <w:t>合价</w:t>
            </w:r>
          </w:p>
        </w:tc>
      </w:tr>
      <w:tr w14:paraId="2A4203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bottom w:val="single" w:color="000000" w:sz="4" w:space="0"/>
              <w:right w:val="single" w:color="000000" w:sz="4" w:space="0"/>
            </w:tcBorders>
            <w:shd w:val="clear" w:color="auto" w:fill="auto"/>
            <w:noWrap/>
            <w:vAlign w:val="center"/>
          </w:tcPr>
          <w:p w14:paraId="40A8AF36">
            <w:pPr>
              <w:jc w:val="center"/>
              <w:rPr>
                <w:rFonts w:hint="eastAsia" w:ascii="宋体" w:hAnsi="宋体" w:eastAsia="宋体" w:cs="宋体"/>
                <w:i w:val="0"/>
                <w:iCs w:val="0"/>
                <w:color w:val="000000"/>
                <w:sz w:val="21"/>
                <w:szCs w:val="21"/>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0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平整场地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9054">
            <w:pP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D66B">
            <w:pP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3815B">
            <w:pP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tcBorders>
            <w:shd w:val="clear" w:color="auto" w:fill="auto"/>
            <w:noWrap/>
            <w:vAlign w:val="center"/>
          </w:tcPr>
          <w:p w14:paraId="235D1F98">
            <w:pPr>
              <w:rPr>
                <w:rFonts w:hint="eastAsia" w:ascii="宋体" w:hAnsi="宋体" w:eastAsia="宋体" w:cs="宋体"/>
                <w:i w:val="0"/>
                <w:iCs w:val="0"/>
                <w:color w:val="000000"/>
                <w:sz w:val="21"/>
                <w:szCs w:val="21"/>
                <w:u w:val="none"/>
              </w:rPr>
            </w:pPr>
          </w:p>
        </w:tc>
      </w:tr>
      <w:tr w14:paraId="036A0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BDF11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F4E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平整场地（包含土地旋耕）</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54B9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1、平整场地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2、土地旋耕，满足种植要求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12D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A0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100341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40857">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1D2E82D6">
            <w:pPr>
              <w:jc w:val="right"/>
              <w:rPr>
                <w:rFonts w:hint="eastAsia" w:ascii="宋体" w:hAnsi="宋体" w:eastAsia="宋体" w:cs="宋体"/>
                <w:i w:val="0"/>
                <w:iCs w:val="0"/>
                <w:color w:val="000000"/>
                <w:sz w:val="21"/>
                <w:szCs w:val="21"/>
                <w:u w:val="none"/>
              </w:rPr>
            </w:pPr>
          </w:p>
        </w:tc>
      </w:tr>
      <w:tr w14:paraId="34CB8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87DF29D">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6D19B">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5542D">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96908">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D5097">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99A89">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0FBFE7E">
            <w:pPr>
              <w:jc w:val="right"/>
              <w:rPr>
                <w:rFonts w:hint="eastAsia" w:ascii="宋体" w:hAnsi="宋体" w:eastAsia="宋体" w:cs="宋体"/>
                <w:i w:val="0"/>
                <w:iCs w:val="0"/>
                <w:color w:val="000000"/>
                <w:sz w:val="21"/>
                <w:szCs w:val="21"/>
                <w:u w:val="none"/>
              </w:rPr>
            </w:pPr>
          </w:p>
        </w:tc>
      </w:tr>
      <w:tr w14:paraId="5DF10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CBA5642">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3494F">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0816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703E9">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84C97">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DDFB">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EC64B3C">
            <w:pPr>
              <w:jc w:val="right"/>
              <w:rPr>
                <w:rFonts w:hint="eastAsia" w:ascii="宋体" w:hAnsi="宋体" w:eastAsia="宋体" w:cs="宋体"/>
                <w:i w:val="0"/>
                <w:iCs w:val="0"/>
                <w:color w:val="000000"/>
                <w:sz w:val="21"/>
                <w:szCs w:val="21"/>
                <w:u w:val="none"/>
              </w:rPr>
            </w:pPr>
          </w:p>
        </w:tc>
      </w:tr>
      <w:tr w14:paraId="7A7E51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4F3FE9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4F0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钢管柱</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94D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大棚拱杆(余同)镀锌管Φ32x1.0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拱顶纵向拉杆(共五道)镀锌管Φ25x1.0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棚头立柱镀锌管Φ32x1.0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镀锌管Φ25x1.0卷膜杆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插入土地中的镀锌钢管刷两遍红丹防锈漆</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086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0EF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203.346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0F77D">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276253CF">
            <w:pPr>
              <w:jc w:val="right"/>
              <w:rPr>
                <w:rFonts w:hint="eastAsia" w:ascii="宋体" w:hAnsi="宋体" w:eastAsia="宋体" w:cs="宋体"/>
                <w:i w:val="0"/>
                <w:iCs w:val="0"/>
                <w:color w:val="000000"/>
                <w:sz w:val="21"/>
                <w:szCs w:val="21"/>
                <w:u w:val="none"/>
              </w:rPr>
            </w:pPr>
          </w:p>
        </w:tc>
      </w:tr>
      <w:tr w14:paraId="7935E4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93A46D8">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3AA9">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9859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7E33">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91D3E">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03366">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57C3E50E">
            <w:pPr>
              <w:jc w:val="right"/>
              <w:rPr>
                <w:rFonts w:hint="eastAsia" w:ascii="宋体" w:hAnsi="宋体" w:eastAsia="宋体" w:cs="宋体"/>
                <w:i w:val="0"/>
                <w:iCs w:val="0"/>
                <w:color w:val="000000"/>
                <w:sz w:val="21"/>
                <w:szCs w:val="21"/>
                <w:u w:val="none"/>
              </w:rPr>
            </w:pPr>
          </w:p>
        </w:tc>
      </w:tr>
      <w:tr w14:paraId="14FB6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40BE187">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1462B">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4946E">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E43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63E5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13F0">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8090F76">
            <w:pPr>
              <w:jc w:val="right"/>
              <w:rPr>
                <w:rFonts w:hint="eastAsia" w:ascii="宋体" w:hAnsi="宋体" w:eastAsia="宋体" w:cs="宋体"/>
                <w:i w:val="0"/>
                <w:iCs w:val="0"/>
                <w:color w:val="000000"/>
                <w:sz w:val="21"/>
                <w:szCs w:val="21"/>
                <w:u w:val="none"/>
              </w:rPr>
            </w:pPr>
          </w:p>
        </w:tc>
      </w:tr>
      <w:tr w14:paraId="378D6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3FBC9DD">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40A05">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8BDCC">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A54E6">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9864B">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AF9D1">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59BC72DB">
            <w:pPr>
              <w:jc w:val="right"/>
              <w:rPr>
                <w:rFonts w:hint="eastAsia" w:ascii="宋体" w:hAnsi="宋体" w:eastAsia="宋体" w:cs="宋体"/>
                <w:i w:val="0"/>
                <w:iCs w:val="0"/>
                <w:color w:val="000000"/>
                <w:sz w:val="21"/>
                <w:szCs w:val="21"/>
                <w:u w:val="none"/>
              </w:rPr>
            </w:pPr>
          </w:p>
        </w:tc>
      </w:tr>
      <w:tr w14:paraId="0F934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41940EA">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2AD2">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9746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075C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DBFE7">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DCEFF">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0DEA618">
            <w:pPr>
              <w:jc w:val="right"/>
              <w:rPr>
                <w:rFonts w:hint="eastAsia" w:ascii="宋体" w:hAnsi="宋体" w:eastAsia="宋体" w:cs="宋体"/>
                <w:i w:val="0"/>
                <w:iCs w:val="0"/>
                <w:color w:val="000000"/>
                <w:sz w:val="21"/>
                <w:szCs w:val="21"/>
                <w:u w:val="none"/>
              </w:rPr>
            </w:pPr>
          </w:p>
        </w:tc>
      </w:tr>
      <w:tr w14:paraId="397852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5FD54D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7709F">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8342F">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B07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EA05D">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5D683">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B3DAF16">
            <w:pPr>
              <w:jc w:val="right"/>
              <w:rPr>
                <w:rFonts w:hint="eastAsia" w:ascii="宋体" w:hAnsi="宋体" w:eastAsia="宋体" w:cs="宋体"/>
                <w:i w:val="0"/>
                <w:iCs w:val="0"/>
                <w:color w:val="000000"/>
                <w:sz w:val="21"/>
                <w:szCs w:val="21"/>
                <w:u w:val="none"/>
              </w:rPr>
            </w:pPr>
          </w:p>
        </w:tc>
      </w:tr>
      <w:tr w14:paraId="15AC8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61B0095">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16A90">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AC41D">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8F5F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DD27D">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2AD0E">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38BAA954">
            <w:pPr>
              <w:jc w:val="right"/>
              <w:rPr>
                <w:rFonts w:hint="eastAsia" w:ascii="宋体" w:hAnsi="宋体" w:eastAsia="宋体" w:cs="宋体"/>
                <w:i w:val="0"/>
                <w:iCs w:val="0"/>
                <w:color w:val="000000"/>
                <w:sz w:val="21"/>
                <w:szCs w:val="21"/>
                <w:u w:val="none"/>
              </w:rPr>
            </w:pPr>
          </w:p>
        </w:tc>
      </w:tr>
      <w:tr w14:paraId="3349EF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8C9962B">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28D9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5EF5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57B51">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0455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C113">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BAFB88F">
            <w:pPr>
              <w:jc w:val="right"/>
              <w:rPr>
                <w:rFonts w:hint="eastAsia" w:ascii="宋体" w:hAnsi="宋体" w:eastAsia="宋体" w:cs="宋体"/>
                <w:i w:val="0"/>
                <w:iCs w:val="0"/>
                <w:color w:val="000000"/>
                <w:sz w:val="21"/>
                <w:szCs w:val="21"/>
                <w:u w:val="none"/>
              </w:rPr>
            </w:pPr>
          </w:p>
        </w:tc>
      </w:tr>
      <w:tr w14:paraId="056435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5BFD6E9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F50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F0E1">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E460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B8BB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63C4A">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6336A3F">
            <w:pPr>
              <w:jc w:val="right"/>
              <w:rPr>
                <w:rFonts w:hint="eastAsia" w:ascii="宋体" w:hAnsi="宋体" w:eastAsia="宋体" w:cs="宋体"/>
                <w:i w:val="0"/>
                <w:iCs w:val="0"/>
                <w:color w:val="000000"/>
                <w:sz w:val="21"/>
                <w:szCs w:val="21"/>
                <w:u w:val="none"/>
              </w:rPr>
            </w:pPr>
          </w:p>
        </w:tc>
      </w:tr>
      <w:tr w14:paraId="4A9106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2FD01B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33A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混凝土垫层</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369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1、混凝土种类:商品砼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2、混凝土强度等级:C15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工作内容：1、混凝土制作、运输、浇筑、振捣、养护</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C68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D23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6213D">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3483B261">
            <w:pPr>
              <w:jc w:val="right"/>
              <w:rPr>
                <w:rFonts w:hint="eastAsia" w:ascii="宋体" w:hAnsi="宋体" w:eastAsia="宋体" w:cs="宋体"/>
                <w:i w:val="0"/>
                <w:iCs w:val="0"/>
                <w:color w:val="000000"/>
                <w:sz w:val="21"/>
                <w:szCs w:val="21"/>
                <w:u w:val="none"/>
              </w:rPr>
            </w:pPr>
          </w:p>
        </w:tc>
      </w:tr>
      <w:tr w14:paraId="632D33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9FB77E8">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EE61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FB42D">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3C4C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49625">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AC38A">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3FBEDC83">
            <w:pPr>
              <w:jc w:val="right"/>
              <w:rPr>
                <w:rFonts w:hint="eastAsia" w:ascii="宋体" w:hAnsi="宋体" w:eastAsia="宋体" w:cs="宋体"/>
                <w:i w:val="0"/>
                <w:iCs w:val="0"/>
                <w:color w:val="000000"/>
                <w:sz w:val="21"/>
                <w:szCs w:val="21"/>
                <w:u w:val="none"/>
              </w:rPr>
            </w:pPr>
          </w:p>
        </w:tc>
      </w:tr>
      <w:tr w14:paraId="7CBCCD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A4C9ABF">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812B">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31BE">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25FD7">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4B2F5">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0648">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0505D9A">
            <w:pPr>
              <w:jc w:val="right"/>
              <w:rPr>
                <w:rFonts w:hint="eastAsia" w:ascii="宋体" w:hAnsi="宋体" w:eastAsia="宋体" w:cs="宋体"/>
                <w:i w:val="0"/>
                <w:iCs w:val="0"/>
                <w:color w:val="000000"/>
                <w:sz w:val="21"/>
                <w:szCs w:val="21"/>
                <w:u w:val="none"/>
              </w:rPr>
            </w:pPr>
          </w:p>
        </w:tc>
      </w:tr>
      <w:tr w14:paraId="22B75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75324A8">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AE701">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C5D04">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C752F">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13FD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6D6C1">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F4B45E0">
            <w:pPr>
              <w:jc w:val="right"/>
              <w:rPr>
                <w:rFonts w:hint="eastAsia" w:ascii="宋体" w:hAnsi="宋体" w:eastAsia="宋体" w:cs="宋体"/>
                <w:i w:val="0"/>
                <w:iCs w:val="0"/>
                <w:color w:val="000000"/>
                <w:sz w:val="21"/>
                <w:szCs w:val="21"/>
                <w:u w:val="none"/>
              </w:rPr>
            </w:pPr>
          </w:p>
        </w:tc>
      </w:tr>
      <w:tr w14:paraId="35AE27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DB1AA43">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250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C06E">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41F7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369ED">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B3D40">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C2F3F1E">
            <w:pPr>
              <w:jc w:val="right"/>
              <w:rPr>
                <w:rFonts w:hint="eastAsia" w:ascii="宋体" w:hAnsi="宋体" w:eastAsia="宋体" w:cs="宋体"/>
                <w:i w:val="0"/>
                <w:iCs w:val="0"/>
                <w:color w:val="000000"/>
                <w:sz w:val="21"/>
                <w:szCs w:val="21"/>
                <w:u w:val="none"/>
              </w:rPr>
            </w:pPr>
          </w:p>
        </w:tc>
      </w:tr>
      <w:tr w14:paraId="767A40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tcBorders>
              <w:top w:val="single" w:color="000000" w:sz="4" w:space="0"/>
              <w:bottom w:val="single" w:color="000000" w:sz="4" w:space="0"/>
              <w:right w:val="single" w:color="000000" w:sz="4" w:space="0"/>
            </w:tcBorders>
            <w:shd w:val="clear" w:color="auto" w:fill="auto"/>
            <w:vAlign w:val="center"/>
          </w:tcPr>
          <w:p w14:paraId="6940C6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1A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垫层模板</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CDB4">
            <w:pPr>
              <w:rPr>
                <w:rFonts w:hint="eastAsia" w:ascii="宋体" w:hAnsi="宋体" w:eastAsia="宋体" w:cs="宋体"/>
                <w:i w:val="0"/>
                <w:iCs w:val="0"/>
                <w:color w:val="000000"/>
                <w:sz w:val="21"/>
                <w:szCs w:val="21"/>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9B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72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701B">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46C1B1C0">
            <w:pPr>
              <w:jc w:val="right"/>
              <w:rPr>
                <w:rFonts w:hint="eastAsia" w:ascii="宋体" w:hAnsi="宋体" w:eastAsia="宋体" w:cs="宋体"/>
                <w:i w:val="0"/>
                <w:iCs w:val="0"/>
                <w:color w:val="000000"/>
                <w:sz w:val="21"/>
                <w:szCs w:val="21"/>
                <w:u w:val="none"/>
              </w:rPr>
            </w:pPr>
          </w:p>
        </w:tc>
      </w:tr>
      <w:tr w14:paraId="148EBD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5B697D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6BA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混凝土基础</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BB4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1、混凝土种类:商品砼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2、混凝土强度等级:C25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工作内容：1、混凝土制作、运输、浇筑、振捣、养护、模板制作安拆</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47B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CD2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50.4</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FA86F">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00FE8804">
            <w:pPr>
              <w:jc w:val="right"/>
              <w:rPr>
                <w:rFonts w:hint="eastAsia" w:ascii="宋体" w:hAnsi="宋体" w:eastAsia="宋体" w:cs="宋体"/>
                <w:i w:val="0"/>
                <w:iCs w:val="0"/>
                <w:color w:val="000000"/>
                <w:sz w:val="21"/>
                <w:szCs w:val="21"/>
                <w:u w:val="none"/>
              </w:rPr>
            </w:pPr>
          </w:p>
        </w:tc>
      </w:tr>
      <w:tr w14:paraId="014B5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0A3E4B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0260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977C">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7C95">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A8AC1">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76ED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21C0967">
            <w:pPr>
              <w:jc w:val="right"/>
              <w:rPr>
                <w:rFonts w:hint="eastAsia" w:ascii="宋体" w:hAnsi="宋体" w:eastAsia="宋体" w:cs="宋体"/>
                <w:i w:val="0"/>
                <w:iCs w:val="0"/>
                <w:color w:val="000000"/>
                <w:sz w:val="21"/>
                <w:szCs w:val="21"/>
                <w:u w:val="none"/>
              </w:rPr>
            </w:pPr>
          </w:p>
        </w:tc>
      </w:tr>
      <w:tr w14:paraId="3467D5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89B9F71">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06BC1">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0ABC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40BC3">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ADA5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7EAB2">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952E0D6">
            <w:pPr>
              <w:jc w:val="right"/>
              <w:rPr>
                <w:rFonts w:hint="eastAsia" w:ascii="宋体" w:hAnsi="宋体" w:eastAsia="宋体" w:cs="宋体"/>
                <w:i w:val="0"/>
                <w:iCs w:val="0"/>
                <w:color w:val="000000"/>
                <w:sz w:val="21"/>
                <w:szCs w:val="21"/>
                <w:u w:val="none"/>
              </w:rPr>
            </w:pPr>
          </w:p>
        </w:tc>
      </w:tr>
      <w:tr w14:paraId="5EDBA4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F6364FA">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2D96D">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D992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62CA6">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18AA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8A5DC">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4B831A8">
            <w:pPr>
              <w:jc w:val="right"/>
              <w:rPr>
                <w:rFonts w:hint="eastAsia" w:ascii="宋体" w:hAnsi="宋体" w:eastAsia="宋体" w:cs="宋体"/>
                <w:i w:val="0"/>
                <w:iCs w:val="0"/>
                <w:color w:val="000000"/>
                <w:sz w:val="21"/>
                <w:szCs w:val="21"/>
                <w:u w:val="none"/>
              </w:rPr>
            </w:pPr>
          </w:p>
        </w:tc>
      </w:tr>
      <w:tr w14:paraId="191A2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91BA092">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B476">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D397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16727">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2B59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36A51">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BC641DC">
            <w:pPr>
              <w:jc w:val="right"/>
              <w:rPr>
                <w:rFonts w:hint="eastAsia" w:ascii="宋体" w:hAnsi="宋体" w:eastAsia="宋体" w:cs="宋体"/>
                <w:i w:val="0"/>
                <w:iCs w:val="0"/>
                <w:color w:val="000000"/>
                <w:sz w:val="21"/>
                <w:szCs w:val="21"/>
                <w:u w:val="none"/>
              </w:rPr>
            </w:pPr>
          </w:p>
        </w:tc>
      </w:tr>
      <w:tr w14:paraId="76952A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85" w:type="dxa"/>
            <w:tcBorders>
              <w:top w:val="single" w:color="000000" w:sz="4" w:space="0"/>
              <w:bottom w:val="single" w:color="000000" w:sz="4" w:space="0"/>
              <w:right w:val="single" w:color="000000" w:sz="4" w:space="0"/>
            </w:tcBorders>
            <w:shd w:val="clear" w:color="auto" w:fill="auto"/>
            <w:vAlign w:val="center"/>
          </w:tcPr>
          <w:p w14:paraId="24C808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90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防虫网40目(1.5×54.5米)</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4A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具体做法参照图纸</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B1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7F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26010.6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3E48">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2209825B">
            <w:pPr>
              <w:jc w:val="right"/>
              <w:rPr>
                <w:rFonts w:hint="eastAsia" w:ascii="宋体" w:hAnsi="宋体" w:eastAsia="宋体" w:cs="宋体"/>
                <w:i w:val="0"/>
                <w:iCs w:val="0"/>
                <w:color w:val="000000"/>
                <w:sz w:val="21"/>
                <w:szCs w:val="21"/>
                <w:u w:val="none"/>
              </w:rPr>
            </w:pPr>
          </w:p>
        </w:tc>
      </w:tr>
      <w:tr w14:paraId="7DE483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416D9B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077E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大棚顶部</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4BD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12丝PO高透膜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具体做法要求参照图纸满足使用要求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2BD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722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158124.12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1FBB3">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57D8E9AC">
            <w:pPr>
              <w:jc w:val="right"/>
              <w:rPr>
                <w:rFonts w:hint="eastAsia" w:ascii="宋体" w:hAnsi="宋体" w:eastAsia="宋体" w:cs="宋体"/>
                <w:i w:val="0"/>
                <w:iCs w:val="0"/>
                <w:color w:val="000000"/>
                <w:sz w:val="21"/>
                <w:szCs w:val="21"/>
                <w:u w:val="none"/>
              </w:rPr>
            </w:pPr>
          </w:p>
        </w:tc>
      </w:tr>
      <w:tr w14:paraId="33E4A8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5C4E77F">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25AE9">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DBBD8">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888B3">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26068">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FE40">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785BB2F">
            <w:pPr>
              <w:jc w:val="right"/>
              <w:rPr>
                <w:rFonts w:hint="eastAsia" w:ascii="宋体" w:hAnsi="宋体" w:eastAsia="宋体" w:cs="宋体"/>
                <w:i w:val="0"/>
                <w:iCs w:val="0"/>
                <w:color w:val="000000"/>
                <w:sz w:val="21"/>
                <w:szCs w:val="21"/>
                <w:u w:val="none"/>
              </w:rPr>
            </w:pPr>
          </w:p>
        </w:tc>
      </w:tr>
      <w:tr w14:paraId="5FE9C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7F2C9F8">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BFF6D">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12265">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5F80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2115">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497A5">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EB5861C">
            <w:pPr>
              <w:jc w:val="right"/>
              <w:rPr>
                <w:rFonts w:hint="eastAsia" w:ascii="宋体" w:hAnsi="宋体" w:eastAsia="宋体" w:cs="宋体"/>
                <w:i w:val="0"/>
                <w:iCs w:val="0"/>
                <w:color w:val="000000"/>
                <w:sz w:val="21"/>
                <w:szCs w:val="21"/>
                <w:u w:val="none"/>
              </w:rPr>
            </w:pPr>
          </w:p>
        </w:tc>
      </w:tr>
      <w:tr w14:paraId="4A83D0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85" w:type="dxa"/>
            <w:tcBorders>
              <w:top w:val="single" w:color="000000" w:sz="4" w:space="0"/>
              <w:bottom w:val="single" w:color="000000" w:sz="4" w:space="0"/>
              <w:right w:val="single" w:color="000000" w:sz="4" w:space="0"/>
            </w:tcBorders>
            <w:shd w:val="clear" w:color="auto" w:fill="auto"/>
            <w:vAlign w:val="center"/>
          </w:tcPr>
          <w:p w14:paraId="5932F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99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压膜线外拱压模绳间距700mm设置一道</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A66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每处压模绳处加地锚砖、地锚卡</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7A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F3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229285.3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9532">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03D2E70B">
            <w:pPr>
              <w:jc w:val="right"/>
              <w:rPr>
                <w:rFonts w:hint="eastAsia" w:ascii="宋体" w:hAnsi="宋体" w:eastAsia="宋体" w:cs="宋体"/>
                <w:i w:val="0"/>
                <w:iCs w:val="0"/>
                <w:color w:val="000000"/>
                <w:sz w:val="21"/>
                <w:szCs w:val="21"/>
                <w:u w:val="none"/>
              </w:rPr>
            </w:pPr>
          </w:p>
        </w:tc>
      </w:tr>
      <w:tr w14:paraId="7839ED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85" w:type="dxa"/>
            <w:tcBorders>
              <w:top w:val="single" w:color="000000" w:sz="4" w:space="0"/>
              <w:bottom w:val="single" w:color="000000" w:sz="4" w:space="0"/>
              <w:right w:val="single" w:color="000000" w:sz="4" w:space="0"/>
            </w:tcBorders>
            <w:shd w:val="clear" w:color="auto" w:fill="auto"/>
            <w:vAlign w:val="center"/>
          </w:tcPr>
          <w:p w14:paraId="42DB4F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4C8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大棚端门M1518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DFE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满足使用及甲方要求</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83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0E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33DB">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3EE2D956">
            <w:pPr>
              <w:jc w:val="right"/>
              <w:rPr>
                <w:rFonts w:hint="eastAsia" w:ascii="宋体" w:hAnsi="宋体" w:eastAsia="宋体" w:cs="宋体"/>
                <w:i w:val="0"/>
                <w:iCs w:val="0"/>
                <w:color w:val="000000"/>
                <w:sz w:val="21"/>
                <w:szCs w:val="21"/>
                <w:u w:val="none"/>
              </w:rPr>
            </w:pPr>
          </w:p>
        </w:tc>
      </w:tr>
      <w:tr w14:paraId="494F43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2E31E5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05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道路：碎石</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174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10cm碎石路基</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FF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91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6846.32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8CD7">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604D7557">
            <w:pPr>
              <w:jc w:val="right"/>
              <w:rPr>
                <w:rFonts w:hint="eastAsia" w:ascii="宋体" w:hAnsi="宋体" w:eastAsia="宋体" w:cs="宋体"/>
                <w:i w:val="0"/>
                <w:iCs w:val="0"/>
                <w:color w:val="000000"/>
                <w:sz w:val="21"/>
                <w:szCs w:val="21"/>
                <w:u w:val="none"/>
              </w:rPr>
            </w:pPr>
          </w:p>
        </w:tc>
      </w:tr>
      <w:tr w14:paraId="321F1A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2FA4AE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76CB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排水沟</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E9C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设置排水土沟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满足使用要求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FB8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23C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14551.5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1A73E">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32AF04A8">
            <w:pPr>
              <w:jc w:val="right"/>
              <w:rPr>
                <w:rFonts w:hint="eastAsia" w:ascii="宋体" w:hAnsi="宋体" w:eastAsia="宋体" w:cs="宋体"/>
                <w:i w:val="0"/>
                <w:iCs w:val="0"/>
                <w:color w:val="000000"/>
                <w:sz w:val="21"/>
                <w:szCs w:val="21"/>
                <w:u w:val="none"/>
              </w:rPr>
            </w:pPr>
          </w:p>
        </w:tc>
      </w:tr>
      <w:tr w14:paraId="003BC6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71C32E6">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0A629">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56E57">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80FF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9E213">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07C9B">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DD2CAEF">
            <w:pPr>
              <w:jc w:val="right"/>
              <w:rPr>
                <w:rFonts w:hint="eastAsia" w:ascii="宋体" w:hAnsi="宋体" w:eastAsia="宋体" w:cs="宋体"/>
                <w:i w:val="0"/>
                <w:iCs w:val="0"/>
                <w:color w:val="000000"/>
                <w:sz w:val="21"/>
                <w:szCs w:val="21"/>
                <w:u w:val="none"/>
              </w:rPr>
            </w:pPr>
          </w:p>
        </w:tc>
      </w:tr>
      <w:tr w14:paraId="5DBD9B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654441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DF297">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D9A57">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8E866">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65DAE">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FFF7F">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ACEEAB4">
            <w:pPr>
              <w:jc w:val="right"/>
              <w:rPr>
                <w:rFonts w:hint="eastAsia" w:ascii="宋体" w:hAnsi="宋体" w:eastAsia="宋体" w:cs="宋体"/>
                <w:i w:val="0"/>
                <w:iCs w:val="0"/>
                <w:color w:val="000000"/>
                <w:sz w:val="21"/>
                <w:szCs w:val="21"/>
                <w:u w:val="none"/>
              </w:rPr>
            </w:pPr>
          </w:p>
        </w:tc>
      </w:tr>
      <w:tr w14:paraId="6D3554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15" w:type="dxa"/>
            <w:gridSpan w:val="7"/>
            <w:tcBorders>
              <w:top w:val="single" w:color="000000" w:sz="4" w:space="0"/>
              <w:bottom w:val="single" w:color="000000" w:sz="4" w:space="0"/>
            </w:tcBorders>
            <w:shd w:val="clear" w:color="auto" w:fill="auto"/>
            <w:vAlign w:val="center"/>
          </w:tcPr>
          <w:p w14:paraId="46386ED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8米连栋棚</w:t>
            </w:r>
          </w:p>
        </w:tc>
      </w:tr>
      <w:tr w14:paraId="0F3FEA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bottom w:val="single" w:color="000000" w:sz="4" w:space="0"/>
              <w:right w:val="single" w:color="000000" w:sz="4" w:space="0"/>
            </w:tcBorders>
            <w:shd w:val="clear" w:color="auto" w:fill="auto"/>
            <w:vAlign w:val="center"/>
          </w:tcPr>
          <w:p w14:paraId="001791E6">
            <w:pPr>
              <w:jc w:val="center"/>
              <w:rPr>
                <w:rFonts w:hint="eastAsia" w:ascii="宋体" w:hAnsi="宋体" w:eastAsia="宋体" w:cs="宋体"/>
                <w:i w:val="0"/>
                <w:iCs w:val="0"/>
                <w:color w:val="000000"/>
                <w:sz w:val="21"/>
                <w:szCs w:val="21"/>
                <w:u w:val="none"/>
              </w:rPr>
            </w:pPr>
          </w:p>
        </w:tc>
        <w:tc>
          <w:tcPr>
            <w:tcW w:w="43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E0F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平整场地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CA28">
            <w:pPr>
              <w:jc w:val="center"/>
              <w:rPr>
                <w:rFonts w:hint="eastAsia" w:ascii="宋体" w:hAnsi="宋体" w:eastAsia="宋体" w:cs="宋体"/>
                <w:i w:val="0"/>
                <w:iCs w:val="0"/>
                <w:color w:val="000000"/>
                <w:sz w:val="21"/>
                <w:szCs w:val="21"/>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EFA2">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79C1">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1B6AD8F6">
            <w:pPr>
              <w:jc w:val="right"/>
              <w:rPr>
                <w:rFonts w:hint="eastAsia" w:ascii="宋体" w:hAnsi="宋体" w:eastAsia="宋体" w:cs="宋体"/>
                <w:i w:val="0"/>
                <w:iCs w:val="0"/>
                <w:color w:val="000000"/>
                <w:sz w:val="21"/>
                <w:szCs w:val="21"/>
                <w:u w:val="none"/>
              </w:rPr>
            </w:pPr>
          </w:p>
        </w:tc>
      </w:tr>
      <w:tr w14:paraId="3FB7C8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E9A86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B9C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平整场地（包含土地旋耕）</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C17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1、平整场地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2、土地旋耕，满足种植要求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9E4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851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3488</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66C03">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18B4200B">
            <w:pPr>
              <w:jc w:val="right"/>
              <w:rPr>
                <w:rFonts w:hint="eastAsia" w:ascii="宋体" w:hAnsi="宋体" w:eastAsia="宋体" w:cs="宋体"/>
                <w:i w:val="0"/>
                <w:iCs w:val="0"/>
                <w:color w:val="000000"/>
                <w:sz w:val="21"/>
                <w:szCs w:val="21"/>
                <w:u w:val="none"/>
              </w:rPr>
            </w:pPr>
          </w:p>
        </w:tc>
      </w:tr>
      <w:tr w14:paraId="7D320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B7DC9A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947A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C1B53">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E467F">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78632">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B141">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3849B08">
            <w:pPr>
              <w:jc w:val="right"/>
              <w:rPr>
                <w:rFonts w:hint="eastAsia" w:ascii="宋体" w:hAnsi="宋体" w:eastAsia="宋体" w:cs="宋体"/>
                <w:i w:val="0"/>
                <w:iCs w:val="0"/>
                <w:color w:val="000000"/>
                <w:sz w:val="21"/>
                <w:szCs w:val="21"/>
                <w:u w:val="none"/>
              </w:rPr>
            </w:pPr>
          </w:p>
        </w:tc>
      </w:tr>
      <w:tr w14:paraId="45B79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E0BAEF1">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1D72">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1B78F">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0B873">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1F54B">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1E18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532EA87">
            <w:pPr>
              <w:jc w:val="right"/>
              <w:rPr>
                <w:rFonts w:hint="eastAsia" w:ascii="宋体" w:hAnsi="宋体" w:eastAsia="宋体" w:cs="宋体"/>
                <w:i w:val="0"/>
                <w:iCs w:val="0"/>
                <w:color w:val="000000"/>
                <w:sz w:val="21"/>
                <w:szCs w:val="21"/>
                <w:u w:val="none"/>
              </w:rPr>
            </w:pPr>
          </w:p>
        </w:tc>
      </w:tr>
      <w:tr w14:paraId="3BF963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22E84B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8D9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挖基坑土方</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15DB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1、挖掘深度:满足现场要求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2、运距:自行考虑并满足建设单位要求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736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B9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419.14</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F5DE1">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4D7947E0">
            <w:pPr>
              <w:jc w:val="right"/>
              <w:rPr>
                <w:rFonts w:hint="eastAsia" w:ascii="宋体" w:hAnsi="宋体" w:eastAsia="宋体" w:cs="宋体"/>
                <w:i w:val="0"/>
                <w:iCs w:val="0"/>
                <w:color w:val="000000"/>
                <w:sz w:val="21"/>
                <w:szCs w:val="21"/>
                <w:u w:val="none"/>
              </w:rPr>
            </w:pPr>
          </w:p>
        </w:tc>
      </w:tr>
      <w:tr w14:paraId="32858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872FEB5">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1FD6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B48B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EE9E">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80E3E">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86CE2">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7E79BE6">
            <w:pPr>
              <w:jc w:val="right"/>
              <w:rPr>
                <w:rFonts w:hint="eastAsia" w:ascii="宋体" w:hAnsi="宋体" w:eastAsia="宋体" w:cs="宋体"/>
                <w:i w:val="0"/>
                <w:iCs w:val="0"/>
                <w:color w:val="000000"/>
                <w:sz w:val="21"/>
                <w:szCs w:val="21"/>
                <w:u w:val="none"/>
              </w:rPr>
            </w:pPr>
          </w:p>
        </w:tc>
      </w:tr>
      <w:tr w14:paraId="2474D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EB67DC3">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4568">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49BF4">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7B3D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7E87A">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7D2B7">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01D4C38">
            <w:pPr>
              <w:jc w:val="right"/>
              <w:rPr>
                <w:rFonts w:hint="eastAsia" w:ascii="宋体" w:hAnsi="宋体" w:eastAsia="宋体" w:cs="宋体"/>
                <w:i w:val="0"/>
                <w:iCs w:val="0"/>
                <w:color w:val="000000"/>
                <w:sz w:val="21"/>
                <w:szCs w:val="21"/>
                <w:u w:val="none"/>
              </w:rPr>
            </w:pPr>
          </w:p>
        </w:tc>
      </w:tr>
      <w:tr w14:paraId="4CD333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E7E53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C3A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回填方</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BA9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1、密实度要求:达到设计要求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2、填方材料品种:一、二类土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3、填方来源、运距:投标人自行考虑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工作内容：1、运输2、回填3、压实</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A54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1B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342.09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34EE0">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19C1FA96">
            <w:pPr>
              <w:jc w:val="right"/>
              <w:rPr>
                <w:rFonts w:hint="eastAsia" w:ascii="宋体" w:hAnsi="宋体" w:eastAsia="宋体" w:cs="宋体"/>
                <w:i w:val="0"/>
                <w:iCs w:val="0"/>
                <w:color w:val="000000"/>
                <w:sz w:val="21"/>
                <w:szCs w:val="21"/>
                <w:u w:val="none"/>
              </w:rPr>
            </w:pPr>
          </w:p>
        </w:tc>
      </w:tr>
      <w:tr w14:paraId="078345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F1D3824">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5AF17">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6ACE4">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DB68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58ABF">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C3BA5">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CC260FB">
            <w:pPr>
              <w:jc w:val="right"/>
              <w:rPr>
                <w:rFonts w:hint="eastAsia" w:ascii="宋体" w:hAnsi="宋体" w:eastAsia="宋体" w:cs="宋体"/>
                <w:i w:val="0"/>
                <w:iCs w:val="0"/>
                <w:color w:val="000000"/>
                <w:sz w:val="21"/>
                <w:szCs w:val="21"/>
                <w:u w:val="none"/>
              </w:rPr>
            </w:pPr>
          </w:p>
        </w:tc>
      </w:tr>
      <w:tr w14:paraId="3F9BE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AFC86AE">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2F8A">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BC06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0024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C582">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C155F">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2B32874">
            <w:pPr>
              <w:jc w:val="right"/>
              <w:rPr>
                <w:rFonts w:hint="eastAsia" w:ascii="宋体" w:hAnsi="宋体" w:eastAsia="宋体" w:cs="宋体"/>
                <w:i w:val="0"/>
                <w:iCs w:val="0"/>
                <w:color w:val="000000"/>
                <w:sz w:val="21"/>
                <w:szCs w:val="21"/>
                <w:u w:val="none"/>
              </w:rPr>
            </w:pPr>
          </w:p>
        </w:tc>
      </w:tr>
      <w:tr w14:paraId="7547A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E477243">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8F320">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BCF5">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4D5B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0513">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01FC9">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3321EFAE">
            <w:pPr>
              <w:jc w:val="right"/>
              <w:rPr>
                <w:rFonts w:hint="eastAsia" w:ascii="宋体" w:hAnsi="宋体" w:eastAsia="宋体" w:cs="宋体"/>
                <w:i w:val="0"/>
                <w:iCs w:val="0"/>
                <w:color w:val="000000"/>
                <w:sz w:val="21"/>
                <w:szCs w:val="21"/>
                <w:u w:val="none"/>
              </w:rPr>
            </w:pPr>
          </w:p>
        </w:tc>
      </w:tr>
      <w:tr w14:paraId="382662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5A54AE54">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3E5E">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40BBD">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7FFE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D69C8">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8C25D">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01263E6">
            <w:pPr>
              <w:jc w:val="right"/>
              <w:rPr>
                <w:rFonts w:hint="eastAsia" w:ascii="宋体" w:hAnsi="宋体" w:eastAsia="宋体" w:cs="宋体"/>
                <w:i w:val="0"/>
                <w:iCs w:val="0"/>
                <w:color w:val="000000"/>
                <w:sz w:val="21"/>
                <w:szCs w:val="21"/>
                <w:u w:val="none"/>
              </w:rPr>
            </w:pPr>
          </w:p>
        </w:tc>
      </w:tr>
      <w:tr w14:paraId="2DC852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3FA2DDA">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4387B">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62C8F">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1F35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74568">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38D6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80F18ED">
            <w:pPr>
              <w:jc w:val="right"/>
              <w:rPr>
                <w:rFonts w:hint="eastAsia" w:ascii="宋体" w:hAnsi="宋体" w:eastAsia="宋体" w:cs="宋体"/>
                <w:i w:val="0"/>
                <w:iCs w:val="0"/>
                <w:color w:val="000000"/>
                <w:sz w:val="21"/>
                <w:szCs w:val="21"/>
                <w:u w:val="none"/>
              </w:rPr>
            </w:pPr>
          </w:p>
        </w:tc>
      </w:tr>
      <w:tr w14:paraId="6F7C7B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C3D910A">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BDFFA">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6782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42D18">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53712">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2D0F9">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92A8B24">
            <w:pPr>
              <w:jc w:val="right"/>
              <w:rPr>
                <w:rFonts w:hint="eastAsia" w:ascii="宋体" w:hAnsi="宋体" w:eastAsia="宋体" w:cs="宋体"/>
                <w:i w:val="0"/>
                <w:iCs w:val="0"/>
                <w:color w:val="000000"/>
                <w:sz w:val="21"/>
                <w:szCs w:val="21"/>
                <w:u w:val="none"/>
              </w:rPr>
            </w:pPr>
          </w:p>
        </w:tc>
      </w:tr>
      <w:tr w14:paraId="1CB8C5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85" w:type="dxa"/>
            <w:tcBorders>
              <w:top w:val="single" w:color="000000" w:sz="4" w:space="0"/>
              <w:bottom w:val="single" w:color="000000" w:sz="4" w:space="0"/>
              <w:right w:val="single" w:color="000000" w:sz="4" w:space="0"/>
            </w:tcBorders>
            <w:shd w:val="clear" w:color="auto" w:fill="auto"/>
            <w:vAlign w:val="center"/>
          </w:tcPr>
          <w:p w14:paraId="45E01F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08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墙裙</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E9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砌筑300mm高、240mm厚(20mm砂浆),湿帘下墙裙高度为700mm。</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0F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D0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7347">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7463E426">
            <w:pPr>
              <w:jc w:val="right"/>
              <w:rPr>
                <w:rFonts w:hint="eastAsia" w:ascii="宋体" w:hAnsi="宋体" w:eastAsia="宋体" w:cs="宋体"/>
                <w:i w:val="0"/>
                <w:iCs w:val="0"/>
                <w:color w:val="000000"/>
                <w:sz w:val="21"/>
                <w:szCs w:val="21"/>
                <w:u w:val="none"/>
              </w:rPr>
            </w:pPr>
          </w:p>
        </w:tc>
      </w:tr>
      <w:tr w14:paraId="6FAA17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21C2B5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A0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墙、柱面一般抹灰</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D7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墙裙抹灰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FC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FF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265E">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2D55503D">
            <w:pPr>
              <w:jc w:val="right"/>
              <w:rPr>
                <w:rFonts w:hint="eastAsia" w:ascii="宋体" w:hAnsi="宋体" w:eastAsia="宋体" w:cs="宋体"/>
                <w:i w:val="0"/>
                <w:iCs w:val="0"/>
                <w:color w:val="000000"/>
                <w:sz w:val="21"/>
                <w:szCs w:val="21"/>
                <w:u w:val="none"/>
              </w:rPr>
            </w:pPr>
          </w:p>
        </w:tc>
      </w:tr>
      <w:tr w14:paraId="11CD1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589816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599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混凝土垫层</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09E3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1、混凝土种类:商品砼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2、混凝土强度等级:C15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工作内容：1、混凝土制作、运输、浇筑、振捣、养护</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656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224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21.66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89ECE">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5952A254">
            <w:pPr>
              <w:jc w:val="right"/>
              <w:rPr>
                <w:rFonts w:hint="eastAsia" w:ascii="宋体" w:hAnsi="宋体" w:eastAsia="宋体" w:cs="宋体"/>
                <w:i w:val="0"/>
                <w:iCs w:val="0"/>
                <w:color w:val="000000"/>
                <w:sz w:val="21"/>
                <w:szCs w:val="21"/>
                <w:u w:val="none"/>
              </w:rPr>
            </w:pPr>
          </w:p>
        </w:tc>
      </w:tr>
      <w:tr w14:paraId="21DB5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CFE109F">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A9B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C4F4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1B42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9A31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C895C">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5BF9311">
            <w:pPr>
              <w:jc w:val="right"/>
              <w:rPr>
                <w:rFonts w:hint="eastAsia" w:ascii="宋体" w:hAnsi="宋体" w:eastAsia="宋体" w:cs="宋体"/>
                <w:i w:val="0"/>
                <w:iCs w:val="0"/>
                <w:color w:val="000000"/>
                <w:sz w:val="21"/>
                <w:szCs w:val="21"/>
                <w:u w:val="none"/>
              </w:rPr>
            </w:pPr>
          </w:p>
        </w:tc>
      </w:tr>
      <w:tr w14:paraId="1C33F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BDAFC5A">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E015A">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C849A">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1BEA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1D43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6EEF6">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5C5DCBA4">
            <w:pPr>
              <w:jc w:val="right"/>
              <w:rPr>
                <w:rFonts w:hint="eastAsia" w:ascii="宋体" w:hAnsi="宋体" w:eastAsia="宋体" w:cs="宋体"/>
                <w:i w:val="0"/>
                <w:iCs w:val="0"/>
                <w:color w:val="000000"/>
                <w:sz w:val="21"/>
                <w:szCs w:val="21"/>
                <w:u w:val="none"/>
              </w:rPr>
            </w:pPr>
          </w:p>
        </w:tc>
      </w:tr>
      <w:tr w14:paraId="32ED3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62BCAE0E">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D2A9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E07FF">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8BE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BFE7D">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F81FF">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4B7BE32">
            <w:pPr>
              <w:jc w:val="right"/>
              <w:rPr>
                <w:rFonts w:hint="eastAsia" w:ascii="宋体" w:hAnsi="宋体" w:eastAsia="宋体" w:cs="宋体"/>
                <w:i w:val="0"/>
                <w:iCs w:val="0"/>
                <w:color w:val="000000"/>
                <w:sz w:val="21"/>
                <w:szCs w:val="21"/>
                <w:u w:val="none"/>
              </w:rPr>
            </w:pPr>
          </w:p>
        </w:tc>
      </w:tr>
      <w:tr w14:paraId="63CC57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86F77BF">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59F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228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9A3E">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CD61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D66F">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02B66C5">
            <w:pPr>
              <w:jc w:val="right"/>
              <w:rPr>
                <w:rFonts w:hint="eastAsia" w:ascii="宋体" w:hAnsi="宋体" w:eastAsia="宋体" w:cs="宋体"/>
                <w:i w:val="0"/>
                <w:iCs w:val="0"/>
                <w:color w:val="000000"/>
                <w:sz w:val="21"/>
                <w:szCs w:val="21"/>
                <w:u w:val="none"/>
              </w:rPr>
            </w:pPr>
          </w:p>
        </w:tc>
      </w:tr>
      <w:tr w14:paraId="2CC77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bottom w:val="single" w:color="000000" w:sz="4" w:space="0"/>
              <w:right w:val="single" w:color="000000" w:sz="4" w:space="0"/>
            </w:tcBorders>
            <w:shd w:val="clear" w:color="auto" w:fill="auto"/>
            <w:vAlign w:val="center"/>
          </w:tcPr>
          <w:p w14:paraId="733016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2D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垫层模板</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4668">
            <w:pPr>
              <w:rPr>
                <w:rFonts w:hint="eastAsia" w:ascii="宋体" w:hAnsi="宋体" w:eastAsia="宋体" w:cs="宋体"/>
                <w:i w:val="0"/>
                <w:iCs w:val="0"/>
                <w:color w:val="000000"/>
                <w:sz w:val="21"/>
                <w:szCs w:val="21"/>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D0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78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16CC">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391147C6">
            <w:pPr>
              <w:jc w:val="right"/>
              <w:rPr>
                <w:rFonts w:hint="eastAsia" w:ascii="宋体" w:hAnsi="宋体" w:eastAsia="宋体" w:cs="宋体"/>
                <w:i w:val="0"/>
                <w:iCs w:val="0"/>
                <w:color w:val="000000"/>
                <w:sz w:val="21"/>
                <w:szCs w:val="21"/>
                <w:u w:val="none"/>
              </w:rPr>
            </w:pPr>
          </w:p>
        </w:tc>
      </w:tr>
      <w:tr w14:paraId="669A61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5AFCFE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398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混凝土基础</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BE6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1、混凝土种类:商品砼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2、混凝土强度等级:C25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工作内容：1、混凝土制作、运输、浇筑、振捣、养护、模板制作安拆</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A38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B4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55.39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55597">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48F17137">
            <w:pPr>
              <w:jc w:val="right"/>
              <w:rPr>
                <w:rFonts w:hint="eastAsia" w:ascii="宋体" w:hAnsi="宋体" w:eastAsia="宋体" w:cs="宋体"/>
                <w:i w:val="0"/>
                <w:iCs w:val="0"/>
                <w:color w:val="000000"/>
                <w:sz w:val="21"/>
                <w:szCs w:val="21"/>
                <w:u w:val="none"/>
              </w:rPr>
            </w:pPr>
          </w:p>
        </w:tc>
      </w:tr>
      <w:tr w14:paraId="1436B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887CA4D">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8B0F3">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16F07">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6140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6D46E">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C2B5">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5B87461F">
            <w:pPr>
              <w:jc w:val="right"/>
              <w:rPr>
                <w:rFonts w:hint="eastAsia" w:ascii="宋体" w:hAnsi="宋体" w:eastAsia="宋体" w:cs="宋体"/>
                <w:i w:val="0"/>
                <w:iCs w:val="0"/>
                <w:color w:val="000000"/>
                <w:sz w:val="21"/>
                <w:szCs w:val="21"/>
                <w:u w:val="none"/>
              </w:rPr>
            </w:pPr>
          </w:p>
        </w:tc>
      </w:tr>
      <w:tr w14:paraId="728E7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6E5FFD3">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AD6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DE80D">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B18E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391A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D3598">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3D8E09C0">
            <w:pPr>
              <w:jc w:val="right"/>
              <w:rPr>
                <w:rFonts w:hint="eastAsia" w:ascii="宋体" w:hAnsi="宋体" w:eastAsia="宋体" w:cs="宋体"/>
                <w:i w:val="0"/>
                <w:iCs w:val="0"/>
                <w:color w:val="000000"/>
                <w:sz w:val="21"/>
                <w:szCs w:val="21"/>
                <w:u w:val="none"/>
              </w:rPr>
            </w:pPr>
          </w:p>
        </w:tc>
      </w:tr>
      <w:tr w14:paraId="3F486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44EDDA6">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F6724">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0CEC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18D6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5CC3">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F560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8FE8EC3">
            <w:pPr>
              <w:jc w:val="right"/>
              <w:rPr>
                <w:rFonts w:hint="eastAsia" w:ascii="宋体" w:hAnsi="宋体" w:eastAsia="宋体" w:cs="宋体"/>
                <w:i w:val="0"/>
                <w:iCs w:val="0"/>
                <w:color w:val="000000"/>
                <w:sz w:val="21"/>
                <w:szCs w:val="21"/>
                <w:u w:val="none"/>
              </w:rPr>
            </w:pPr>
          </w:p>
        </w:tc>
      </w:tr>
      <w:tr w14:paraId="6908A2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86CE77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C5B8">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2B88A">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3BD01">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D5F95">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82C3">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D6D88A6">
            <w:pPr>
              <w:jc w:val="right"/>
              <w:rPr>
                <w:rFonts w:hint="eastAsia" w:ascii="宋体" w:hAnsi="宋体" w:eastAsia="宋体" w:cs="宋体"/>
                <w:i w:val="0"/>
                <w:iCs w:val="0"/>
                <w:color w:val="000000"/>
                <w:sz w:val="21"/>
                <w:szCs w:val="21"/>
                <w:u w:val="none"/>
              </w:rPr>
            </w:pPr>
          </w:p>
        </w:tc>
      </w:tr>
      <w:tr w14:paraId="199F6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585" w:type="dxa"/>
            <w:tcBorders>
              <w:top w:val="single" w:color="000000" w:sz="4" w:space="0"/>
              <w:bottom w:val="single" w:color="000000" w:sz="4" w:space="0"/>
              <w:right w:val="single" w:color="000000" w:sz="4" w:space="0"/>
            </w:tcBorders>
            <w:shd w:val="clear" w:color="auto" w:fill="auto"/>
            <w:vAlign w:val="center"/>
          </w:tcPr>
          <w:p w14:paraId="1BC95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D40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基础模板</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5B55">
            <w:pPr>
              <w:rPr>
                <w:rFonts w:hint="eastAsia" w:ascii="宋体" w:hAnsi="宋体" w:eastAsia="宋体" w:cs="宋体"/>
                <w:i w:val="0"/>
                <w:iCs w:val="0"/>
                <w:color w:val="000000"/>
                <w:sz w:val="21"/>
                <w:szCs w:val="21"/>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1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0A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385.92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8862">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769C5D1A">
            <w:pPr>
              <w:jc w:val="right"/>
              <w:rPr>
                <w:rFonts w:hint="eastAsia" w:ascii="宋体" w:hAnsi="宋体" w:eastAsia="宋体" w:cs="宋体"/>
                <w:i w:val="0"/>
                <w:iCs w:val="0"/>
                <w:color w:val="000000"/>
                <w:sz w:val="21"/>
                <w:szCs w:val="21"/>
                <w:u w:val="none"/>
              </w:rPr>
            </w:pPr>
          </w:p>
        </w:tc>
      </w:tr>
      <w:tr w14:paraId="52CE6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6FE91B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355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预埋件安装</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80E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1、预埋件材质:M12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CE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6B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DF07">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3DBC9F50">
            <w:pPr>
              <w:jc w:val="right"/>
              <w:rPr>
                <w:rFonts w:hint="eastAsia" w:ascii="宋体" w:hAnsi="宋体" w:eastAsia="宋体" w:cs="宋体"/>
                <w:i w:val="0"/>
                <w:iCs w:val="0"/>
                <w:color w:val="000000"/>
                <w:sz w:val="21"/>
                <w:szCs w:val="21"/>
                <w:u w:val="none"/>
              </w:rPr>
            </w:pPr>
          </w:p>
        </w:tc>
      </w:tr>
      <w:tr w14:paraId="3623EB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739A6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8FB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钢管柱</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B43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主立柱70*50*3.0热镀锌方管、边副立柱50*40*2.0热镀锌方管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下弦横杆□50×30×2.0热镀锌管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M架φ25×2.0热镀锌管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拱杆椭圆管24×36×2.0热镀锌管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拉杆φ25×2.0热镀锌管</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C2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96A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19.217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051E7">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700EC7B2">
            <w:pPr>
              <w:jc w:val="right"/>
              <w:rPr>
                <w:rFonts w:hint="eastAsia" w:ascii="宋体" w:hAnsi="宋体" w:eastAsia="宋体" w:cs="宋体"/>
                <w:i w:val="0"/>
                <w:iCs w:val="0"/>
                <w:color w:val="000000"/>
                <w:sz w:val="21"/>
                <w:szCs w:val="21"/>
                <w:u w:val="none"/>
              </w:rPr>
            </w:pPr>
          </w:p>
        </w:tc>
      </w:tr>
      <w:tr w14:paraId="566B2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980201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F8716">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6F22">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3ABC1">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0AAC8">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D9C9E">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5454BA3">
            <w:pPr>
              <w:jc w:val="right"/>
              <w:rPr>
                <w:rFonts w:hint="eastAsia" w:ascii="宋体" w:hAnsi="宋体" w:eastAsia="宋体" w:cs="宋体"/>
                <w:i w:val="0"/>
                <w:iCs w:val="0"/>
                <w:color w:val="000000"/>
                <w:sz w:val="21"/>
                <w:szCs w:val="21"/>
                <w:u w:val="none"/>
              </w:rPr>
            </w:pPr>
          </w:p>
        </w:tc>
      </w:tr>
      <w:tr w14:paraId="1AFC93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0C963757">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25E5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254F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CD1A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242D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0736">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64E32370">
            <w:pPr>
              <w:jc w:val="right"/>
              <w:rPr>
                <w:rFonts w:hint="eastAsia" w:ascii="宋体" w:hAnsi="宋体" w:eastAsia="宋体" w:cs="宋体"/>
                <w:i w:val="0"/>
                <w:iCs w:val="0"/>
                <w:color w:val="000000"/>
                <w:sz w:val="21"/>
                <w:szCs w:val="21"/>
                <w:u w:val="none"/>
              </w:rPr>
            </w:pPr>
          </w:p>
        </w:tc>
      </w:tr>
      <w:tr w14:paraId="1D9DD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5A424F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BF2B">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D678">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5F35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33D2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3AF67">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7C9463B">
            <w:pPr>
              <w:jc w:val="right"/>
              <w:rPr>
                <w:rFonts w:hint="eastAsia" w:ascii="宋体" w:hAnsi="宋体" w:eastAsia="宋体" w:cs="宋体"/>
                <w:i w:val="0"/>
                <w:iCs w:val="0"/>
                <w:color w:val="000000"/>
                <w:sz w:val="21"/>
                <w:szCs w:val="21"/>
                <w:u w:val="none"/>
              </w:rPr>
            </w:pPr>
          </w:p>
        </w:tc>
      </w:tr>
      <w:tr w14:paraId="07BC74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5AC02637">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0430E">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0F64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D780F">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412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0448D">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19A20D9">
            <w:pPr>
              <w:jc w:val="right"/>
              <w:rPr>
                <w:rFonts w:hint="eastAsia" w:ascii="宋体" w:hAnsi="宋体" w:eastAsia="宋体" w:cs="宋体"/>
                <w:i w:val="0"/>
                <w:iCs w:val="0"/>
                <w:color w:val="000000"/>
                <w:sz w:val="21"/>
                <w:szCs w:val="21"/>
                <w:u w:val="none"/>
              </w:rPr>
            </w:pPr>
          </w:p>
        </w:tc>
      </w:tr>
      <w:tr w14:paraId="54FC49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909939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EEFC5">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6DB12">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00B2">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4BD1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06AE7">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CC16D0E">
            <w:pPr>
              <w:jc w:val="right"/>
              <w:rPr>
                <w:rFonts w:hint="eastAsia" w:ascii="宋体" w:hAnsi="宋体" w:eastAsia="宋体" w:cs="宋体"/>
                <w:i w:val="0"/>
                <w:iCs w:val="0"/>
                <w:color w:val="000000"/>
                <w:sz w:val="21"/>
                <w:szCs w:val="21"/>
                <w:u w:val="none"/>
              </w:rPr>
            </w:pPr>
          </w:p>
        </w:tc>
      </w:tr>
      <w:tr w14:paraId="54637B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908D23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1B93">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BFDC">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87D39">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2B04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73CA">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A720E0B">
            <w:pPr>
              <w:jc w:val="right"/>
              <w:rPr>
                <w:rFonts w:hint="eastAsia" w:ascii="宋体" w:hAnsi="宋体" w:eastAsia="宋体" w:cs="宋体"/>
                <w:i w:val="0"/>
                <w:iCs w:val="0"/>
                <w:color w:val="000000"/>
                <w:sz w:val="21"/>
                <w:szCs w:val="21"/>
                <w:u w:val="none"/>
              </w:rPr>
            </w:pPr>
          </w:p>
        </w:tc>
      </w:tr>
      <w:tr w14:paraId="74CD3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46F37CC">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BAC29">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F1E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16AE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7D96A">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F17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73E86A44">
            <w:pPr>
              <w:jc w:val="right"/>
              <w:rPr>
                <w:rFonts w:hint="eastAsia" w:ascii="宋体" w:hAnsi="宋体" w:eastAsia="宋体" w:cs="宋体"/>
                <w:i w:val="0"/>
                <w:iCs w:val="0"/>
                <w:color w:val="000000"/>
                <w:sz w:val="21"/>
                <w:szCs w:val="21"/>
                <w:u w:val="none"/>
              </w:rPr>
            </w:pPr>
          </w:p>
        </w:tc>
      </w:tr>
      <w:tr w14:paraId="11696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B50B753">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7A7DD">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B4B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37C14">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023CB">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128D4">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372F8CB0">
            <w:pPr>
              <w:jc w:val="right"/>
              <w:rPr>
                <w:rFonts w:hint="eastAsia" w:ascii="宋体" w:hAnsi="宋体" w:eastAsia="宋体" w:cs="宋体"/>
                <w:i w:val="0"/>
                <w:iCs w:val="0"/>
                <w:color w:val="000000"/>
                <w:sz w:val="21"/>
                <w:szCs w:val="21"/>
                <w:u w:val="none"/>
              </w:rPr>
            </w:pPr>
          </w:p>
        </w:tc>
      </w:tr>
      <w:tr w14:paraId="604DF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62E8C9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9E2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钢板天沟：中间天沟</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824A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含外遮阳托板、水槽托板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具体做法参照图纸</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02B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C53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381.5</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7D507">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0336CB2F">
            <w:pPr>
              <w:jc w:val="right"/>
              <w:rPr>
                <w:rFonts w:hint="eastAsia" w:ascii="宋体" w:hAnsi="宋体" w:eastAsia="宋体" w:cs="宋体"/>
                <w:i w:val="0"/>
                <w:iCs w:val="0"/>
                <w:color w:val="000000"/>
                <w:sz w:val="21"/>
                <w:szCs w:val="21"/>
                <w:u w:val="none"/>
              </w:rPr>
            </w:pPr>
          </w:p>
        </w:tc>
      </w:tr>
      <w:tr w14:paraId="5F68A8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4D184B34">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3C5C9">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41234">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3270">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5892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F87CC">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B69EAC8">
            <w:pPr>
              <w:jc w:val="right"/>
              <w:rPr>
                <w:rFonts w:hint="eastAsia" w:ascii="宋体" w:hAnsi="宋体" w:eastAsia="宋体" w:cs="宋体"/>
                <w:i w:val="0"/>
                <w:iCs w:val="0"/>
                <w:color w:val="000000"/>
                <w:sz w:val="21"/>
                <w:szCs w:val="21"/>
                <w:u w:val="none"/>
              </w:rPr>
            </w:pPr>
          </w:p>
        </w:tc>
      </w:tr>
      <w:tr w14:paraId="70E770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1206A80B">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2A9DC">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EDEE8">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4485B">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F3439">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41F4C">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5508E696">
            <w:pPr>
              <w:jc w:val="right"/>
              <w:rPr>
                <w:rFonts w:hint="eastAsia" w:ascii="宋体" w:hAnsi="宋体" w:eastAsia="宋体" w:cs="宋体"/>
                <w:i w:val="0"/>
                <w:iCs w:val="0"/>
                <w:color w:val="000000"/>
                <w:sz w:val="21"/>
                <w:szCs w:val="21"/>
                <w:u w:val="none"/>
              </w:rPr>
            </w:pPr>
          </w:p>
        </w:tc>
      </w:tr>
      <w:tr w14:paraId="47A3E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54B09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A3E0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钢板天沟：边天沟</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8602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含外遮阳托板、水槽托板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具体做法参照图纸</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06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BB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0521C">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38A29469">
            <w:pPr>
              <w:jc w:val="right"/>
              <w:rPr>
                <w:rFonts w:hint="eastAsia" w:ascii="宋体" w:hAnsi="宋体" w:eastAsia="宋体" w:cs="宋体"/>
                <w:i w:val="0"/>
                <w:iCs w:val="0"/>
                <w:color w:val="000000"/>
                <w:sz w:val="21"/>
                <w:szCs w:val="21"/>
                <w:u w:val="none"/>
              </w:rPr>
            </w:pPr>
          </w:p>
        </w:tc>
      </w:tr>
      <w:tr w14:paraId="113CDA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777EEFED">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90F51">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FE2FB">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7C6F7">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A5801">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95EA3">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BD5B02C">
            <w:pPr>
              <w:jc w:val="right"/>
              <w:rPr>
                <w:rFonts w:hint="eastAsia" w:ascii="宋体" w:hAnsi="宋体" w:eastAsia="宋体" w:cs="宋体"/>
                <w:i w:val="0"/>
                <w:iCs w:val="0"/>
                <w:color w:val="000000"/>
                <w:sz w:val="21"/>
                <w:szCs w:val="21"/>
                <w:u w:val="none"/>
              </w:rPr>
            </w:pPr>
          </w:p>
        </w:tc>
      </w:tr>
      <w:tr w14:paraId="76E24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99F8BEB">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F641">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039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5D528">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61B4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6C155">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27E88FE5">
            <w:pPr>
              <w:jc w:val="right"/>
              <w:rPr>
                <w:rFonts w:hint="eastAsia" w:ascii="宋体" w:hAnsi="宋体" w:eastAsia="宋体" w:cs="宋体"/>
                <w:i w:val="0"/>
                <w:iCs w:val="0"/>
                <w:color w:val="000000"/>
                <w:sz w:val="21"/>
                <w:szCs w:val="21"/>
                <w:u w:val="none"/>
              </w:rPr>
            </w:pPr>
          </w:p>
        </w:tc>
      </w:tr>
      <w:tr w14:paraId="7CF0C2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85" w:type="dxa"/>
            <w:tcBorders>
              <w:top w:val="single" w:color="000000" w:sz="4" w:space="0"/>
              <w:bottom w:val="single" w:color="000000" w:sz="4" w:space="0"/>
              <w:right w:val="single" w:color="000000" w:sz="4" w:space="0"/>
            </w:tcBorders>
            <w:shd w:val="clear" w:color="auto" w:fill="auto"/>
            <w:vAlign w:val="center"/>
          </w:tcPr>
          <w:p w14:paraId="19148A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1E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防虫网40目(1.5×54.5米)</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A880">
            <w:pPr>
              <w:rPr>
                <w:rFonts w:hint="eastAsia" w:ascii="宋体" w:hAnsi="宋体" w:eastAsia="宋体" w:cs="宋体"/>
                <w:i w:val="0"/>
                <w:iCs w:val="0"/>
                <w:color w:val="000000"/>
                <w:sz w:val="21"/>
                <w:szCs w:val="21"/>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51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A7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6568">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7FEEA66F">
            <w:pPr>
              <w:jc w:val="right"/>
              <w:rPr>
                <w:rFonts w:hint="eastAsia" w:ascii="宋体" w:hAnsi="宋体" w:eastAsia="宋体" w:cs="宋体"/>
                <w:i w:val="0"/>
                <w:iCs w:val="0"/>
                <w:color w:val="000000"/>
                <w:sz w:val="21"/>
                <w:szCs w:val="21"/>
                <w:u w:val="none"/>
              </w:rPr>
            </w:pPr>
          </w:p>
        </w:tc>
      </w:tr>
      <w:tr w14:paraId="33FF3A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85" w:type="dxa"/>
            <w:tcBorders>
              <w:top w:val="single" w:color="000000" w:sz="4" w:space="0"/>
              <w:bottom w:val="single" w:color="000000" w:sz="4" w:space="0"/>
              <w:right w:val="single" w:color="000000" w:sz="4" w:space="0"/>
            </w:tcBorders>
            <w:shd w:val="clear" w:color="auto" w:fill="auto"/>
            <w:vAlign w:val="center"/>
          </w:tcPr>
          <w:p w14:paraId="78FF0C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51C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大棚端门M1518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A0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满足使用及甲方要求</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BD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9C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7415">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0642019F">
            <w:pPr>
              <w:jc w:val="right"/>
              <w:rPr>
                <w:rFonts w:hint="eastAsia" w:ascii="宋体" w:hAnsi="宋体" w:eastAsia="宋体" w:cs="宋体"/>
                <w:i w:val="0"/>
                <w:iCs w:val="0"/>
                <w:color w:val="000000"/>
                <w:sz w:val="21"/>
                <w:szCs w:val="21"/>
                <w:u w:val="none"/>
              </w:rPr>
            </w:pPr>
          </w:p>
        </w:tc>
      </w:tr>
      <w:tr w14:paraId="03514E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637E81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518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大棚顶部</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44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12丝PO高透膜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35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39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5476.16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E5FF">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71901557">
            <w:pPr>
              <w:jc w:val="right"/>
              <w:rPr>
                <w:rFonts w:hint="eastAsia" w:ascii="宋体" w:hAnsi="宋体" w:eastAsia="宋体" w:cs="宋体"/>
                <w:i w:val="0"/>
                <w:iCs w:val="0"/>
                <w:color w:val="000000"/>
                <w:sz w:val="21"/>
                <w:szCs w:val="21"/>
                <w:u w:val="none"/>
              </w:rPr>
            </w:pPr>
          </w:p>
        </w:tc>
      </w:tr>
      <w:tr w14:paraId="58E45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34A846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B9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电动卷膜器</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FEC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DC24V60W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22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48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E9EA">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47A84538">
            <w:pPr>
              <w:jc w:val="right"/>
              <w:rPr>
                <w:rFonts w:hint="eastAsia" w:ascii="宋体" w:hAnsi="宋体" w:eastAsia="宋体" w:cs="宋体"/>
                <w:i w:val="0"/>
                <w:iCs w:val="0"/>
                <w:color w:val="000000"/>
                <w:sz w:val="21"/>
                <w:szCs w:val="21"/>
                <w:u w:val="none"/>
              </w:rPr>
            </w:pPr>
          </w:p>
        </w:tc>
      </w:tr>
      <w:tr w14:paraId="3FB9A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85" w:type="dxa"/>
            <w:tcBorders>
              <w:top w:val="single" w:color="000000" w:sz="4" w:space="0"/>
              <w:bottom w:val="single" w:color="000000" w:sz="4" w:space="0"/>
              <w:right w:val="single" w:color="000000" w:sz="4" w:space="0"/>
            </w:tcBorders>
            <w:shd w:val="clear" w:color="auto" w:fill="auto"/>
            <w:vAlign w:val="center"/>
          </w:tcPr>
          <w:p w14:paraId="6FAA1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6F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压膜线(间距2米/根)</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020C">
            <w:pPr>
              <w:rPr>
                <w:rFonts w:hint="eastAsia" w:ascii="宋体" w:hAnsi="宋体" w:eastAsia="宋体" w:cs="宋体"/>
                <w:i w:val="0"/>
                <w:iCs w:val="0"/>
                <w:color w:val="000000"/>
                <w:sz w:val="21"/>
                <w:szCs w:val="21"/>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37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2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2813.44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4B19">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0F50BDB8">
            <w:pPr>
              <w:jc w:val="right"/>
              <w:rPr>
                <w:rFonts w:hint="eastAsia" w:ascii="宋体" w:hAnsi="宋体" w:eastAsia="宋体" w:cs="宋体"/>
                <w:i w:val="0"/>
                <w:iCs w:val="0"/>
                <w:color w:val="000000"/>
                <w:sz w:val="21"/>
                <w:szCs w:val="21"/>
                <w:u w:val="none"/>
              </w:rPr>
            </w:pPr>
          </w:p>
        </w:tc>
      </w:tr>
      <w:tr w14:paraId="64B814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54160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4A7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排水管</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610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1、材质：PVC110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2、具体做法参照图纸</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36A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EE0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8F71A">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1DB0BBDD">
            <w:pPr>
              <w:jc w:val="right"/>
              <w:rPr>
                <w:rFonts w:hint="eastAsia" w:ascii="宋体" w:hAnsi="宋体" w:eastAsia="宋体" w:cs="宋体"/>
                <w:i w:val="0"/>
                <w:iCs w:val="0"/>
                <w:color w:val="000000"/>
                <w:sz w:val="21"/>
                <w:szCs w:val="21"/>
                <w:u w:val="none"/>
              </w:rPr>
            </w:pPr>
          </w:p>
        </w:tc>
      </w:tr>
      <w:tr w14:paraId="70BF7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536EA7B9">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8F225">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4800">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CECE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FB1B">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49080">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1709EED2">
            <w:pPr>
              <w:jc w:val="right"/>
              <w:rPr>
                <w:rFonts w:hint="eastAsia" w:ascii="宋体" w:hAnsi="宋体" w:eastAsia="宋体" w:cs="宋体"/>
                <w:i w:val="0"/>
                <w:iCs w:val="0"/>
                <w:color w:val="000000"/>
                <w:sz w:val="21"/>
                <w:szCs w:val="21"/>
                <w:u w:val="none"/>
              </w:rPr>
            </w:pPr>
          </w:p>
        </w:tc>
      </w:tr>
      <w:tr w14:paraId="53794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B7A6F6B">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D44F">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79E7">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C1D8A">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0D224">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88127">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DBA4D18">
            <w:pPr>
              <w:jc w:val="right"/>
              <w:rPr>
                <w:rFonts w:hint="eastAsia" w:ascii="宋体" w:hAnsi="宋体" w:eastAsia="宋体" w:cs="宋体"/>
                <w:i w:val="0"/>
                <w:iCs w:val="0"/>
                <w:color w:val="000000"/>
                <w:sz w:val="21"/>
                <w:szCs w:val="21"/>
                <w:u w:val="none"/>
              </w:rPr>
            </w:pPr>
          </w:p>
        </w:tc>
      </w:tr>
      <w:tr w14:paraId="51169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restart"/>
            <w:tcBorders>
              <w:top w:val="single" w:color="000000" w:sz="4" w:space="0"/>
              <w:bottom w:val="single" w:color="000000" w:sz="4" w:space="0"/>
              <w:right w:val="single" w:color="000000" w:sz="4" w:space="0"/>
            </w:tcBorders>
            <w:shd w:val="clear" w:color="auto" w:fill="auto"/>
            <w:vAlign w:val="center"/>
          </w:tcPr>
          <w:p w14:paraId="042815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076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排水沟</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080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温室四周设置排水沟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满足使用要求</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60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0D5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74940">
            <w:pPr>
              <w:jc w:val="right"/>
              <w:rPr>
                <w:rFonts w:hint="eastAsia" w:ascii="宋体" w:hAnsi="宋体" w:eastAsia="宋体" w:cs="宋体"/>
                <w:i w:val="0"/>
                <w:iCs w:val="0"/>
                <w:color w:val="000000"/>
                <w:sz w:val="21"/>
                <w:szCs w:val="21"/>
                <w:u w:val="none"/>
              </w:rPr>
            </w:pPr>
          </w:p>
        </w:tc>
        <w:tc>
          <w:tcPr>
            <w:tcW w:w="1215" w:type="dxa"/>
            <w:vMerge w:val="restart"/>
            <w:tcBorders>
              <w:top w:val="single" w:color="000000" w:sz="4" w:space="0"/>
              <w:left w:val="single" w:color="000000" w:sz="4" w:space="0"/>
              <w:bottom w:val="single" w:color="000000" w:sz="4" w:space="0"/>
            </w:tcBorders>
            <w:shd w:val="clear" w:color="auto" w:fill="auto"/>
            <w:vAlign w:val="center"/>
          </w:tcPr>
          <w:p w14:paraId="58B556E2">
            <w:pPr>
              <w:jc w:val="right"/>
              <w:rPr>
                <w:rFonts w:hint="eastAsia" w:ascii="宋体" w:hAnsi="宋体" w:eastAsia="宋体" w:cs="宋体"/>
                <w:i w:val="0"/>
                <w:iCs w:val="0"/>
                <w:color w:val="000000"/>
                <w:sz w:val="21"/>
                <w:szCs w:val="21"/>
                <w:u w:val="none"/>
              </w:rPr>
            </w:pPr>
          </w:p>
        </w:tc>
      </w:tr>
      <w:tr w14:paraId="5D60E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304F466E">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0D5DE">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3BFF9">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74B2C">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5101B">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C5B8D">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4208C2ED">
            <w:pPr>
              <w:jc w:val="right"/>
              <w:rPr>
                <w:rFonts w:hint="eastAsia" w:ascii="宋体" w:hAnsi="宋体" w:eastAsia="宋体" w:cs="宋体"/>
                <w:i w:val="0"/>
                <w:iCs w:val="0"/>
                <w:color w:val="000000"/>
                <w:sz w:val="21"/>
                <w:szCs w:val="21"/>
                <w:u w:val="none"/>
              </w:rPr>
            </w:pPr>
          </w:p>
        </w:tc>
      </w:tr>
      <w:tr w14:paraId="3E1F0D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5" w:type="dxa"/>
            <w:vMerge w:val="continue"/>
            <w:tcBorders>
              <w:top w:val="single" w:color="000000" w:sz="4" w:space="0"/>
              <w:bottom w:val="single" w:color="000000" w:sz="4" w:space="0"/>
              <w:right w:val="single" w:color="000000" w:sz="4" w:space="0"/>
            </w:tcBorders>
            <w:shd w:val="clear" w:color="auto" w:fill="auto"/>
            <w:vAlign w:val="center"/>
          </w:tcPr>
          <w:p w14:paraId="2D647BD0">
            <w:pPr>
              <w:jc w:val="center"/>
              <w:rPr>
                <w:rFonts w:hint="eastAsia" w:ascii="宋体" w:hAnsi="宋体" w:eastAsia="宋体" w:cs="宋体"/>
                <w:i w:val="0"/>
                <w:iCs w:val="0"/>
                <w:color w:val="000000"/>
                <w:sz w:val="21"/>
                <w:szCs w:val="21"/>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51BE1">
            <w:pPr>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3181A">
            <w:pPr>
              <w:rPr>
                <w:rFonts w:hint="eastAsia" w:ascii="宋体" w:hAnsi="宋体" w:eastAsia="宋体" w:cs="宋体"/>
                <w:i w:val="0"/>
                <w:iCs w:val="0"/>
                <w:color w:val="000000"/>
                <w:sz w:val="21"/>
                <w:szCs w:val="21"/>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47E57">
            <w:pPr>
              <w:jc w:val="center"/>
              <w:rPr>
                <w:rFonts w:hint="eastAsia" w:ascii="宋体" w:hAnsi="宋体" w:eastAsia="宋体" w:cs="宋体"/>
                <w:i w:val="0"/>
                <w:iCs w:val="0"/>
                <w:color w:val="000000"/>
                <w:sz w:val="21"/>
                <w:szCs w:val="21"/>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C7E40">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6EBBD">
            <w:pPr>
              <w:jc w:val="right"/>
              <w:rPr>
                <w:rFonts w:hint="eastAsia" w:ascii="宋体" w:hAnsi="宋体" w:eastAsia="宋体" w:cs="宋体"/>
                <w:i w:val="0"/>
                <w:iCs w:val="0"/>
                <w:color w:val="000000"/>
                <w:sz w:val="21"/>
                <w:szCs w:val="21"/>
                <w:u w:val="none"/>
              </w:rPr>
            </w:pPr>
          </w:p>
        </w:tc>
        <w:tc>
          <w:tcPr>
            <w:tcW w:w="1215" w:type="dxa"/>
            <w:vMerge w:val="continue"/>
            <w:tcBorders>
              <w:top w:val="single" w:color="000000" w:sz="4" w:space="0"/>
              <w:left w:val="single" w:color="000000" w:sz="4" w:space="0"/>
              <w:bottom w:val="single" w:color="000000" w:sz="4" w:space="0"/>
            </w:tcBorders>
            <w:shd w:val="clear" w:color="auto" w:fill="auto"/>
            <w:vAlign w:val="center"/>
          </w:tcPr>
          <w:p w14:paraId="07EDE47B">
            <w:pPr>
              <w:jc w:val="right"/>
              <w:rPr>
                <w:rFonts w:hint="eastAsia" w:ascii="宋体" w:hAnsi="宋体" w:eastAsia="宋体" w:cs="宋体"/>
                <w:i w:val="0"/>
                <w:iCs w:val="0"/>
                <w:color w:val="000000"/>
                <w:sz w:val="21"/>
                <w:szCs w:val="21"/>
                <w:u w:val="none"/>
              </w:rPr>
            </w:pPr>
          </w:p>
        </w:tc>
      </w:tr>
      <w:tr w14:paraId="0FB5D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585" w:type="dxa"/>
            <w:tcBorders>
              <w:top w:val="single" w:color="000000" w:sz="4" w:space="0"/>
              <w:bottom w:val="single" w:color="000000" w:sz="4" w:space="0"/>
              <w:right w:val="single" w:color="000000" w:sz="4" w:space="0"/>
            </w:tcBorders>
            <w:shd w:val="clear" w:color="auto" w:fill="auto"/>
            <w:vAlign w:val="center"/>
          </w:tcPr>
          <w:p w14:paraId="661C2D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D2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散水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E42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600宽100厚的散水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59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44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8AF2">
            <w:pPr>
              <w:jc w:val="right"/>
              <w:rPr>
                <w:rFonts w:hint="eastAsia" w:ascii="宋体" w:hAnsi="宋体" w:eastAsia="宋体" w:cs="宋体"/>
                <w:i w:val="0"/>
                <w:iCs w:val="0"/>
                <w:color w:val="000000"/>
                <w:sz w:val="21"/>
                <w:szCs w:val="21"/>
                <w:u w:val="none"/>
              </w:rPr>
            </w:pPr>
          </w:p>
        </w:tc>
        <w:tc>
          <w:tcPr>
            <w:tcW w:w="1215" w:type="dxa"/>
            <w:tcBorders>
              <w:top w:val="single" w:color="000000" w:sz="4" w:space="0"/>
              <w:left w:val="single" w:color="000000" w:sz="4" w:space="0"/>
              <w:bottom w:val="single" w:color="000000" w:sz="4" w:space="0"/>
            </w:tcBorders>
            <w:shd w:val="clear" w:color="auto" w:fill="auto"/>
            <w:vAlign w:val="center"/>
          </w:tcPr>
          <w:p w14:paraId="0CE5B6AB">
            <w:pPr>
              <w:jc w:val="right"/>
              <w:rPr>
                <w:rFonts w:hint="eastAsia" w:ascii="宋体" w:hAnsi="宋体" w:eastAsia="宋体" w:cs="宋体"/>
                <w:i w:val="0"/>
                <w:iCs w:val="0"/>
                <w:color w:val="000000"/>
                <w:sz w:val="21"/>
                <w:szCs w:val="21"/>
                <w:u w:val="none"/>
              </w:rPr>
            </w:pPr>
          </w:p>
        </w:tc>
      </w:tr>
      <w:tr w14:paraId="1D0174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585" w:type="dxa"/>
            <w:tcBorders>
              <w:top w:val="single" w:color="000000" w:sz="4" w:space="0"/>
              <w:bottom w:val="single" w:color="000000" w:sz="4" w:space="0"/>
              <w:right w:val="single" w:color="000000" w:sz="4" w:space="0"/>
            </w:tcBorders>
            <w:shd w:val="clear" w:color="auto" w:fill="auto"/>
            <w:vAlign w:val="center"/>
          </w:tcPr>
          <w:p w14:paraId="2F58B88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1F84">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清单编制费</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BDAA">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不可变动费用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D1E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723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A8CE">
            <w:pPr>
              <w:jc w:val="right"/>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1215" w:type="dxa"/>
            <w:tcBorders>
              <w:top w:val="single" w:color="000000" w:sz="4" w:space="0"/>
              <w:left w:val="single" w:color="000000" w:sz="4" w:space="0"/>
              <w:bottom w:val="single" w:color="000000" w:sz="4" w:space="0"/>
            </w:tcBorders>
            <w:shd w:val="clear" w:color="auto" w:fill="auto"/>
            <w:vAlign w:val="center"/>
          </w:tcPr>
          <w:p w14:paraId="634E8D1E">
            <w:pPr>
              <w:jc w:val="right"/>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r>
      <w:tr w14:paraId="6AAA50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15" w:type="dxa"/>
            <w:gridSpan w:val="7"/>
            <w:tcBorders>
              <w:top w:val="single" w:color="000000" w:sz="4" w:space="0"/>
            </w:tcBorders>
            <w:shd w:val="clear" w:color="auto" w:fill="auto"/>
            <w:vAlign w:val="center"/>
          </w:tcPr>
          <w:p w14:paraId="236E9D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4"/>
                <w:szCs w:val="24"/>
                <w:u w:val="none"/>
                <w:lang w:val="en-US" w:eastAsia="zh-CN" w:bidi="ar"/>
              </w:rPr>
              <w:t>1-33合计（大写）：                  小写：</w:t>
            </w:r>
          </w:p>
        </w:tc>
      </w:tr>
    </w:tbl>
    <w:p w14:paraId="03A6AC9A">
      <w:pPr>
        <w:pStyle w:val="30"/>
        <w:keepNext w:val="0"/>
        <w:keepLines w:val="0"/>
        <w:pageBreakBefore w:val="0"/>
        <w:widowControl w:val="0"/>
        <w:spacing w:beforeAutospacing="0" w:afterAutospacing="0" w:line="520" w:lineRule="exact"/>
        <w:ind w:firstLine="482"/>
        <w:jc w:val="both"/>
        <w:rPr>
          <w:rFonts w:hint="eastAsia" w:ascii="宋体" w:hAnsi="宋体" w:eastAsia="宋体" w:cs="宋体"/>
          <w:color w:val="000000"/>
          <w:highlight w:val="none"/>
          <w:lang w:val="en-US" w:eastAsia="zh-CN"/>
        </w:rPr>
      </w:pPr>
      <w:r>
        <w:rPr>
          <w:rFonts w:hint="eastAsia" w:ascii="宋体" w:hAnsi="宋体" w:eastAsia="宋体" w:cs="宋体"/>
          <w:color w:val="000000"/>
          <w:highlight w:val="none"/>
        </w:rPr>
        <w:t>备注：1.投标报价采用</w:t>
      </w:r>
      <w:r>
        <w:rPr>
          <w:rFonts w:hint="eastAsia" w:ascii="宋体" w:hAnsi="宋体" w:eastAsia="宋体" w:cs="宋体"/>
          <w:color w:val="000000"/>
          <w:highlight w:val="none"/>
          <w:lang w:eastAsia="zh-CN"/>
        </w:rPr>
        <w:t>全费用报价</w:t>
      </w:r>
      <w:r>
        <w:rPr>
          <w:rFonts w:hint="eastAsia" w:ascii="宋体" w:hAnsi="宋体" w:eastAsia="宋体" w:cs="宋体"/>
          <w:color w:val="000000"/>
          <w:highlight w:val="none"/>
        </w:rPr>
        <w:t>方式，“投标总报价”应包括采购人需求的服务（包含与服务相关的货物）价格、质量保证费用、培训费用等，项目在指定地点、环境交付、安装、调试、验收所需费用和所有相关税金费用及为完成整个项目所产生</w:t>
      </w:r>
      <w:r>
        <w:rPr>
          <w:rFonts w:hint="eastAsia" w:ascii="宋体" w:hAnsi="宋体" w:eastAsia="宋体" w:cs="宋体"/>
          <w:color w:val="000000"/>
          <w:highlight w:val="none"/>
          <w:lang w:val="en-US" w:eastAsia="zh-CN"/>
        </w:rPr>
        <w:t>的其它所有费用，招标文件另有规定的除外。</w:t>
      </w:r>
    </w:p>
    <w:p w14:paraId="5F06E3FD">
      <w:pPr>
        <w:pStyle w:val="30"/>
        <w:keepNext w:val="0"/>
        <w:keepLines w:val="0"/>
        <w:pageBreakBefore w:val="0"/>
        <w:widowControl w:val="0"/>
        <w:spacing w:beforeAutospacing="0" w:afterAutospacing="0" w:line="520" w:lineRule="exact"/>
        <w:ind w:firstLine="482"/>
        <w:jc w:val="both"/>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2. “投标分项报价表”中“投标总报价”数额应当与“开标一览表”中“投标总报价”数额一致。</w:t>
      </w:r>
    </w:p>
    <w:p w14:paraId="3496F467">
      <w:pPr>
        <w:pStyle w:val="30"/>
        <w:tabs>
          <w:tab w:val="left" w:pos="4864"/>
        </w:tabs>
        <w:spacing w:beforeAutospacing="0" w:afterAutospacing="0" w:line="360" w:lineRule="auto"/>
        <w:ind w:right="1560" w:firstLine="624"/>
        <w:jc w:val="center"/>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 xml:space="preserve">                    </w:t>
      </w:r>
      <w:r>
        <w:rPr>
          <w:rFonts w:hint="eastAsia" w:ascii="宋体" w:hAnsi="宋体" w:eastAsia="宋体" w:cs="宋体"/>
          <w:color w:val="000000"/>
          <w:highlight w:val="none"/>
          <w:lang w:val="en-US" w:eastAsia="zh-CN"/>
        </w:rPr>
        <w:t> </w:t>
      </w:r>
    </w:p>
    <w:p w14:paraId="44627FDA">
      <w:pPr>
        <w:pStyle w:val="30"/>
        <w:tabs>
          <w:tab w:val="left" w:pos="4864"/>
        </w:tabs>
        <w:spacing w:beforeAutospacing="0" w:afterAutospacing="0" w:line="360" w:lineRule="auto"/>
        <w:ind w:right="1560" w:firstLine="624"/>
        <w:jc w:val="center"/>
        <w:rPr>
          <w:rFonts w:hint="eastAsia" w:ascii="宋体" w:hAnsi="宋体" w:eastAsia="宋体" w:cs="宋体"/>
          <w:color w:val="000000"/>
        </w:rPr>
      </w:pPr>
      <w:r>
        <w:rPr>
          <w:rFonts w:hint="eastAsia" w:ascii="宋体" w:hAnsi="宋体" w:eastAsia="宋体" w:cs="宋体"/>
          <w:color w:val="000000"/>
          <w:highlight w:val="none"/>
          <w:lang w:val="en-US" w:eastAsia="zh-CN"/>
        </w:rPr>
        <w:t xml:space="preserve">                 </w:t>
      </w:r>
      <w:r>
        <w:rPr>
          <w:rFonts w:hint="eastAsia" w:ascii="宋体" w:hAnsi="宋体" w:eastAsia="宋体" w:cs="宋体"/>
          <w:color w:val="000000"/>
        </w:rPr>
        <w:t>供应商全称（加盖CA电子公章）：</w:t>
      </w:r>
    </w:p>
    <w:p w14:paraId="2D94E75A">
      <w:pPr>
        <w:pStyle w:val="30"/>
        <w:tabs>
          <w:tab w:val="left" w:pos="4864"/>
        </w:tabs>
        <w:spacing w:beforeAutospacing="0" w:afterAutospacing="0" w:line="360" w:lineRule="auto"/>
        <w:ind w:right="1560" w:firstLine="480"/>
        <w:jc w:val="center"/>
        <w:rPr>
          <w:rFonts w:hint="eastAsia" w:ascii="宋体" w:hAnsi="宋体" w:eastAsia="宋体" w:cs="宋体"/>
        </w:rPr>
      </w:pPr>
      <w:r>
        <w:rPr>
          <w:rFonts w:hint="eastAsia" w:ascii="宋体" w:hAnsi="宋体" w:eastAsia="宋体" w:cs="宋体"/>
          <w:color w:val="000000"/>
        </w:rPr>
        <w:t>    </w:t>
      </w:r>
      <w:r>
        <w:rPr>
          <w:rFonts w:hint="eastAsia" w:ascii="宋体" w:hAnsi="宋体" w:cs="宋体"/>
          <w:color w:val="000000"/>
          <w:lang w:val="en-US" w:eastAsia="zh-CN"/>
        </w:rPr>
        <w:t xml:space="preserve">                                </w:t>
      </w:r>
      <w:r>
        <w:rPr>
          <w:rFonts w:hint="eastAsia" w:ascii="宋体" w:hAnsi="宋体" w:eastAsia="宋体" w:cs="宋体"/>
          <w:color w:val="000000"/>
        </w:rPr>
        <w:t> 日 期：</w:t>
      </w:r>
    </w:p>
    <w:p w14:paraId="2061F40F">
      <w:pPr>
        <w:pStyle w:val="30"/>
        <w:spacing w:beforeAutospacing="0" w:afterAutospacing="0" w:line="0" w:lineRule="atLeast"/>
        <w:ind w:firstLine="480"/>
        <w:jc w:val="both"/>
        <w:rPr>
          <w:rFonts w:hint="eastAsia" w:ascii="宋体" w:hAnsi="宋体" w:eastAsia="宋体" w:cs="宋体"/>
          <w:color w:val="000000"/>
          <w:highlight w:val="none"/>
          <w:lang w:val="en-US" w:eastAsia="zh-CN"/>
        </w:rPr>
      </w:pPr>
    </w:p>
    <w:p w14:paraId="645FC9B2">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4D1F4BBE">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23088BDC">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6E327DA5">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186B385E">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166CBB2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十</w:t>
      </w:r>
      <w:r>
        <w:rPr>
          <w:rFonts w:hint="eastAsia" w:asciiTheme="minorEastAsia" w:hAnsiTheme="minorEastAsia" w:cstheme="minorEastAsia"/>
          <w:b/>
          <w:color w:val="000000"/>
          <w:sz w:val="24"/>
          <w:szCs w:val="24"/>
          <w:lang w:eastAsia="zh-CN"/>
        </w:rPr>
        <w:t>二</w:t>
      </w:r>
      <w:r>
        <w:rPr>
          <w:rFonts w:hint="eastAsia" w:asciiTheme="minorEastAsia" w:hAnsiTheme="minorEastAsia" w:eastAsiaTheme="minorEastAsia" w:cstheme="minorEastAsia"/>
          <w:b/>
          <w:color w:val="000000"/>
          <w:sz w:val="24"/>
          <w:szCs w:val="24"/>
        </w:rPr>
        <w:t>、技术要求响应及偏离表（分包号：**）</w:t>
      </w:r>
    </w:p>
    <w:tbl>
      <w:tblPr>
        <w:tblStyle w:val="32"/>
        <w:tblW w:w="8520" w:type="dxa"/>
        <w:tblCellSpacing w:w="0" w:type="dxa"/>
        <w:tblInd w:w="10" w:type="dxa"/>
        <w:tblLayout w:type="fixed"/>
        <w:tblCellMar>
          <w:top w:w="0" w:type="dxa"/>
          <w:left w:w="108" w:type="dxa"/>
          <w:bottom w:w="0" w:type="dxa"/>
          <w:right w:w="108" w:type="dxa"/>
        </w:tblCellMar>
      </w:tblPr>
      <w:tblGrid>
        <w:gridCol w:w="538"/>
        <w:gridCol w:w="3026"/>
        <w:gridCol w:w="2608"/>
        <w:gridCol w:w="1247"/>
        <w:gridCol w:w="1101"/>
      </w:tblGrid>
      <w:tr w14:paraId="47431273">
        <w:tblPrEx>
          <w:tblCellMar>
            <w:top w:w="0" w:type="dxa"/>
            <w:left w:w="108" w:type="dxa"/>
            <w:bottom w:w="0" w:type="dxa"/>
            <w:right w:w="108" w:type="dxa"/>
          </w:tblCellMar>
        </w:tblPrEx>
        <w:trPr>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96BC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序号</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3BDB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招标文件要求</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3481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投标响应情况</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452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超出、符合或偏离</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C85E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证明</w:t>
            </w:r>
          </w:p>
          <w:p w14:paraId="0BFB227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材料</w:t>
            </w:r>
          </w:p>
        </w:tc>
      </w:tr>
      <w:tr w14:paraId="2C371D6D">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2539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5855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0251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8761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10FC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2FDC1611">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0440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C1DB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90B9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D2C0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4AA5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9DA7BD1">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ADC9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EC4A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C846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F193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05C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2BA83D1F">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5F6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5A44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153D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2AAA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10BE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D3C366B">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98C6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F83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6216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F1BB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F4DB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636A0C38">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A459C">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CAB3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E2C8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0E06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1A38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2321D9A5">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B595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CEA1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EC08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FF2C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D585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725618D">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15CC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41DCE">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A88E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1C79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9A38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bl>
    <w:p w14:paraId="0ADEDE17">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注： 行数不够，可自行添加。</w:t>
      </w:r>
    </w:p>
    <w:p w14:paraId="0B77CC29">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2B6ADB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892E10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4A974B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D34D0CB">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3563028">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D41010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9DC8FA8">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F3AC90D">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429E35B">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0666639D">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77947469">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70B91164">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4C621E44">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29918448">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1C9D664">
      <w:pPr>
        <w:pStyle w:val="30"/>
        <w:spacing w:beforeAutospacing="0" w:afterAutospacing="0" w:line="360" w:lineRule="auto"/>
        <w:jc w:val="both"/>
        <w:rPr>
          <w:rFonts w:hint="eastAsia" w:asciiTheme="minorEastAsia" w:hAnsiTheme="minorEastAsia" w:eastAsiaTheme="minorEastAsia" w:cstheme="minorEastAsia"/>
          <w:sz w:val="24"/>
          <w:szCs w:val="24"/>
        </w:rPr>
      </w:pPr>
    </w:p>
    <w:p w14:paraId="6EC7CC15">
      <w:pPr>
        <w:pStyle w:val="30"/>
        <w:spacing w:beforeAutospacing="0" w:afterAutospacing="0" w:line="360" w:lineRule="auto"/>
        <w:jc w:val="center"/>
        <w:rPr>
          <w:rFonts w:hint="eastAsia" w:asciiTheme="minorEastAsia" w:hAnsiTheme="minorEastAsia" w:eastAsiaTheme="minorEastAsia" w:cstheme="minorEastAsia"/>
          <w:sz w:val="24"/>
          <w:szCs w:val="24"/>
        </w:rPr>
      </w:pPr>
      <w:bookmarkStart w:id="183" w:name="_Hlt26955054"/>
      <w:r>
        <w:rPr>
          <w:rFonts w:hint="eastAsia" w:asciiTheme="minorEastAsia" w:hAnsiTheme="minorEastAsia" w:eastAsiaTheme="minorEastAsia" w:cstheme="minorEastAsia"/>
          <w:b/>
          <w:color w:val="000000"/>
          <w:sz w:val="24"/>
          <w:szCs w:val="24"/>
        </w:rPr>
        <w:t>十</w:t>
      </w:r>
      <w:r>
        <w:rPr>
          <w:rFonts w:hint="eastAsia" w:asciiTheme="minorEastAsia" w:hAnsiTheme="minorEastAsia" w:cstheme="minorEastAsia"/>
          <w:b/>
          <w:color w:val="000000"/>
          <w:sz w:val="24"/>
          <w:szCs w:val="24"/>
          <w:lang w:eastAsia="zh-CN"/>
        </w:rPr>
        <w:t>三</w:t>
      </w:r>
      <w:r>
        <w:rPr>
          <w:rFonts w:hint="eastAsia" w:asciiTheme="minorEastAsia" w:hAnsiTheme="minorEastAsia" w:eastAsiaTheme="minorEastAsia" w:cstheme="minorEastAsia"/>
          <w:b/>
          <w:color w:val="000000"/>
          <w:sz w:val="24"/>
          <w:szCs w:val="24"/>
        </w:rPr>
        <w:t>、商务要求响应及偏离表（分包号：**）</w:t>
      </w:r>
    </w:p>
    <w:tbl>
      <w:tblPr>
        <w:tblStyle w:val="32"/>
        <w:tblW w:w="8520" w:type="dxa"/>
        <w:tblCellSpacing w:w="0" w:type="dxa"/>
        <w:tblInd w:w="10" w:type="dxa"/>
        <w:tblLayout w:type="fixed"/>
        <w:tblCellMar>
          <w:top w:w="0" w:type="dxa"/>
          <w:left w:w="108" w:type="dxa"/>
          <w:bottom w:w="0" w:type="dxa"/>
          <w:right w:w="108" w:type="dxa"/>
        </w:tblCellMar>
      </w:tblPr>
      <w:tblGrid>
        <w:gridCol w:w="538"/>
        <w:gridCol w:w="3026"/>
        <w:gridCol w:w="2608"/>
        <w:gridCol w:w="1247"/>
        <w:gridCol w:w="1101"/>
      </w:tblGrid>
      <w:tr w14:paraId="1D287FBB">
        <w:tblPrEx>
          <w:tblCellMar>
            <w:top w:w="0" w:type="dxa"/>
            <w:left w:w="108" w:type="dxa"/>
            <w:bottom w:w="0" w:type="dxa"/>
            <w:right w:w="108" w:type="dxa"/>
          </w:tblCellMar>
        </w:tblPrEx>
        <w:trPr>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7AA69">
            <w:pPr>
              <w:pStyle w:val="30"/>
              <w:spacing w:beforeAutospacing="0" w:afterAutospacing="0" w:line="360" w:lineRule="auto"/>
              <w:jc w:val="center"/>
              <w:rPr>
                <w:rFonts w:hint="eastAsia" w:asciiTheme="minorEastAsia" w:hAnsiTheme="minorEastAsia" w:eastAsiaTheme="minorEastAsia" w:cstheme="minorEastAsia"/>
                <w:sz w:val="24"/>
                <w:szCs w:val="24"/>
              </w:rPr>
            </w:pPr>
            <w:bookmarkStart w:id="184" w:name="_Hlt26671372"/>
            <w:bookmarkStart w:id="185" w:name="_Hlt26671343"/>
            <w:bookmarkStart w:id="186" w:name="_Hlt26782999"/>
            <w:bookmarkStart w:id="187" w:name="_Hlt26955064"/>
            <w:bookmarkStart w:id="188" w:name="_Hlt26955056"/>
            <w:bookmarkStart w:id="189" w:name="_Hlt26580838"/>
            <w:bookmarkStart w:id="190" w:name="_Hlt26609391"/>
            <w:bookmarkStart w:id="191" w:name="_Hlt24879081"/>
            <w:r>
              <w:rPr>
                <w:rFonts w:hint="eastAsia" w:asciiTheme="minorEastAsia" w:hAnsiTheme="minorEastAsia" w:eastAsiaTheme="minorEastAsia" w:cstheme="minorEastAsia"/>
                <w:color w:val="000000"/>
                <w:sz w:val="24"/>
                <w:szCs w:val="24"/>
              </w:rPr>
              <w:t>序号</w:t>
            </w:r>
            <w:bookmarkEnd w:id="184"/>
            <w:bookmarkEnd w:id="185"/>
            <w:bookmarkEnd w:id="186"/>
            <w:bookmarkEnd w:id="187"/>
            <w:bookmarkEnd w:id="188"/>
            <w:bookmarkEnd w:id="189"/>
            <w:bookmarkEnd w:id="190"/>
            <w:bookmarkEnd w:id="191"/>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5B66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招标文件要求</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A0A1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投标响应情况</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FFB4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超出、符合或偏离</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F954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证明</w:t>
            </w:r>
          </w:p>
          <w:p w14:paraId="5CD3FC1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材料</w:t>
            </w:r>
          </w:p>
        </w:tc>
      </w:tr>
      <w:tr w14:paraId="36050C4C">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7B68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1E75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C7A9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ED6A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5214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29760C9">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49A2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343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48FA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832F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04BD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70D1C3C">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262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415A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D595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4E4E6">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9095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5799BDC">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B887C">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7E00E">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4DCC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CD05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F42C2">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03519C4B">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D87A8">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64F8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85D1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C890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CC2A">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9D75A63">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F634C">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A7E0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E77E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7CA1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3FD6E">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2BF5D00">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9963C">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287B">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0A127">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68C4C">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84993">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3A614BB">
        <w:tblPrEx>
          <w:tblCellMar>
            <w:top w:w="0" w:type="dxa"/>
            <w:left w:w="108" w:type="dxa"/>
            <w:bottom w:w="0" w:type="dxa"/>
            <w:right w:w="108" w:type="dxa"/>
          </w:tblCellMar>
        </w:tblPrEx>
        <w:trPr>
          <w:trHeight w:val="640" w:hRule="atLeast"/>
          <w:tblCellSpacing w:w="0" w:type="dxa"/>
        </w:trPr>
        <w:tc>
          <w:tcPr>
            <w:tcW w:w="5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EFB5E">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1A3A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C462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431C0">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509C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bl>
    <w:p w14:paraId="43AB4AA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注： 行数不够，可自行添加。</w:t>
      </w:r>
    </w:p>
    <w:p w14:paraId="291A3D52">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7FFC50E4">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D83D158">
      <w:pPr>
        <w:pStyle w:val="30"/>
        <w:spacing w:beforeAutospacing="0" w:afterAutospacing="0" w:line="360" w:lineRule="auto"/>
        <w:jc w:val="center"/>
        <w:rPr>
          <w:rFonts w:hint="eastAsia" w:asciiTheme="minorEastAsia" w:hAnsiTheme="minorEastAsia" w:eastAsiaTheme="minorEastAsia" w:cstheme="minorEastAsia"/>
          <w:sz w:val="24"/>
          <w:szCs w:val="24"/>
        </w:rPr>
      </w:pPr>
      <w:bookmarkStart w:id="192" w:name="_Hlt26671374"/>
      <w:bookmarkStart w:id="193" w:name="_Hlt26609389"/>
      <w:bookmarkStart w:id="194" w:name="_Toc462564146"/>
      <w:bookmarkStart w:id="195" w:name="_格式2__法定代表人授权书"/>
      <w:bookmarkStart w:id="196" w:name="_Hlt26955066"/>
      <w:r>
        <w:rPr>
          <w:rFonts w:hint="eastAsia" w:asciiTheme="minorEastAsia" w:hAnsiTheme="minorEastAsia" w:eastAsiaTheme="minorEastAsia" w:cstheme="minorEastAsia"/>
          <w:sz w:val="24"/>
          <w:szCs w:val="24"/>
        </w:rPr>
        <w:t> </w:t>
      </w:r>
    </w:p>
    <w:p w14:paraId="34C4DA11">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5E2A2ED5">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49A5034">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E8AD91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697ABBF">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6FE30D22">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1650A55E">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7C7F5BAB">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415BDC8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23A2EE5D">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07B98DA9">
      <w:pPr>
        <w:pStyle w:val="30"/>
        <w:spacing w:beforeAutospacing="0" w:afterAutospacing="0" w:line="360" w:lineRule="auto"/>
        <w:jc w:val="center"/>
        <w:rPr>
          <w:rFonts w:hint="eastAsia" w:asciiTheme="minorEastAsia" w:hAnsiTheme="minorEastAsia" w:eastAsiaTheme="minorEastAsia" w:cstheme="minorEastAsia"/>
          <w:b/>
          <w:i w:val="0"/>
          <w:iCs/>
          <w:color w:val="000000"/>
          <w:sz w:val="24"/>
          <w:szCs w:val="24"/>
          <w:u w:val="none"/>
        </w:rPr>
      </w:pPr>
    </w:p>
    <w:p w14:paraId="5B32C499">
      <w:pPr>
        <w:pStyle w:val="30"/>
        <w:spacing w:beforeAutospacing="0" w:afterAutospacing="0" w:line="360" w:lineRule="auto"/>
        <w:jc w:val="center"/>
        <w:rPr>
          <w:rFonts w:hint="eastAsia" w:asciiTheme="minorEastAsia" w:hAnsiTheme="minorEastAsia" w:eastAsiaTheme="minorEastAsia" w:cstheme="minorEastAsia"/>
          <w:b/>
          <w:i w:val="0"/>
          <w:iCs/>
          <w:color w:val="000000"/>
          <w:sz w:val="24"/>
          <w:szCs w:val="24"/>
          <w:u w:val="none"/>
        </w:rPr>
      </w:pPr>
    </w:p>
    <w:p w14:paraId="4ACDA630">
      <w:pPr>
        <w:pStyle w:val="30"/>
        <w:spacing w:beforeAutospacing="0" w:afterAutospacing="0" w:line="360" w:lineRule="auto"/>
        <w:jc w:val="center"/>
        <w:rPr>
          <w:rFonts w:hint="eastAsia" w:asciiTheme="minorEastAsia" w:hAnsiTheme="minorEastAsia" w:eastAsiaTheme="minorEastAsia" w:cstheme="minorEastAsia"/>
          <w:b/>
          <w:i w:val="0"/>
          <w:iCs/>
          <w:color w:val="000000"/>
          <w:sz w:val="24"/>
          <w:szCs w:val="24"/>
          <w:u w:val="none"/>
        </w:rPr>
      </w:pPr>
    </w:p>
    <w:p w14:paraId="369132BE">
      <w:pPr>
        <w:pStyle w:val="30"/>
        <w:spacing w:beforeAutospacing="0" w:afterAutospacing="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i w:val="0"/>
          <w:iCs/>
          <w:color w:val="000000"/>
          <w:sz w:val="24"/>
          <w:szCs w:val="24"/>
          <w:u w:val="none"/>
        </w:rPr>
        <w:t>十</w:t>
      </w:r>
      <w:r>
        <w:rPr>
          <w:rFonts w:hint="eastAsia" w:asciiTheme="minorEastAsia" w:hAnsiTheme="minorEastAsia" w:cstheme="minorEastAsia"/>
          <w:b/>
          <w:i w:val="0"/>
          <w:iCs/>
          <w:color w:val="000000"/>
          <w:sz w:val="24"/>
          <w:szCs w:val="24"/>
          <w:u w:val="none"/>
          <w:lang w:eastAsia="zh-CN"/>
        </w:rPr>
        <w:t>四</w:t>
      </w:r>
      <w:r>
        <w:rPr>
          <w:rFonts w:hint="eastAsia" w:asciiTheme="minorEastAsia" w:hAnsiTheme="minorEastAsia" w:eastAsiaTheme="minorEastAsia" w:cstheme="minorEastAsia"/>
          <w:b/>
          <w:i w:val="0"/>
          <w:iCs/>
          <w:color w:val="000000"/>
          <w:sz w:val="24"/>
          <w:szCs w:val="24"/>
          <w:u w:val="none"/>
        </w:rPr>
        <w:t>、开标一览表</w:t>
      </w:r>
    </w:p>
    <w:p w14:paraId="7CAA2C70">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项目名称：</w:t>
      </w:r>
    </w:p>
    <w:p w14:paraId="1CD16B05">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项目编号                 分包号：</w:t>
      </w:r>
    </w:p>
    <w:tbl>
      <w:tblPr>
        <w:tblStyle w:val="32"/>
        <w:tblW w:w="8413" w:type="dxa"/>
        <w:tblCellSpacing w:w="0" w:type="dxa"/>
        <w:tblInd w:w="118" w:type="dxa"/>
        <w:tblLayout w:type="fixed"/>
        <w:tblCellMar>
          <w:top w:w="0" w:type="dxa"/>
          <w:left w:w="108" w:type="dxa"/>
          <w:bottom w:w="0" w:type="dxa"/>
          <w:right w:w="108" w:type="dxa"/>
        </w:tblCellMar>
      </w:tblPr>
      <w:tblGrid>
        <w:gridCol w:w="8413"/>
      </w:tblGrid>
      <w:tr w14:paraId="4F8872B7">
        <w:tblPrEx>
          <w:tblCellMar>
            <w:top w:w="0" w:type="dxa"/>
            <w:left w:w="108" w:type="dxa"/>
            <w:bottom w:w="0" w:type="dxa"/>
            <w:right w:w="108" w:type="dxa"/>
          </w:tblCellMar>
        </w:tblPrEx>
        <w:trPr>
          <w:trHeight w:val="1285" w:hRule="atLeast"/>
          <w:tblCellSpacing w:w="0" w:type="dxa"/>
        </w:trPr>
        <w:tc>
          <w:tcPr>
            <w:tcW w:w="84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BB5A1">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投标总报价（大写）：</w:t>
            </w:r>
          </w:p>
        </w:tc>
      </w:tr>
      <w:tr w14:paraId="6A7C08CD">
        <w:tblPrEx>
          <w:tblCellMar>
            <w:top w:w="0" w:type="dxa"/>
            <w:left w:w="108" w:type="dxa"/>
            <w:bottom w:w="0" w:type="dxa"/>
            <w:right w:w="108" w:type="dxa"/>
          </w:tblCellMar>
        </w:tblPrEx>
        <w:trPr>
          <w:trHeight w:val="1172" w:hRule="atLeast"/>
          <w:tblCellSpacing w:w="0" w:type="dxa"/>
        </w:trPr>
        <w:tc>
          <w:tcPr>
            <w:tcW w:w="84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11A81">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小写：                     （人民币：元）</w:t>
            </w:r>
          </w:p>
        </w:tc>
      </w:tr>
    </w:tbl>
    <w:p w14:paraId="7D074CBF">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14:paraId="156811A4">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投标人全称（加盖CA电子签章）：</w:t>
      </w:r>
    </w:p>
    <w:p w14:paraId="2495F937">
      <w:pPr>
        <w:pStyle w:val="30"/>
        <w:spacing w:beforeAutospacing="0" w:afterAutospacing="0"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                                                     日期：  </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p>
    <w:p w14:paraId="3B1DF08A">
      <w:pPr>
        <w:pStyle w:val="30"/>
        <w:spacing w:beforeAutospacing="0" w:afterAutospacing="0" w:line="360" w:lineRule="auto"/>
        <w:ind w:firstLine="480"/>
        <w:jc w:val="both"/>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sz w:val="24"/>
          <w:szCs w:val="24"/>
        </w:rPr>
        <w:t> </w:t>
      </w:r>
    </w:p>
    <w:p w14:paraId="5C5B6F51">
      <w:pPr>
        <w:widowControl/>
        <w:spacing w:before="50" w:after="50" w:line="360" w:lineRule="auto"/>
        <w:jc w:val="center"/>
        <w:rPr>
          <w:rFonts w:hint="eastAsia" w:asciiTheme="minorEastAsia" w:hAnsiTheme="minorEastAsia" w:eastAsiaTheme="minorEastAsia" w:cstheme="minorEastAsia"/>
          <w:sz w:val="36"/>
          <w:szCs w:val="36"/>
        </w:rPr>
      </w:pPr>
    </w:p>
    <w:p w14:paraId="09BE03B2">
      <w:pPr>
        <w:widowControl/>
        <w:spacing w:before="50" w:after="50" w:line="360" w:lineRule="auto"/>
        <w:jc w:val="center"/>
        <w:rPr>
          <w:rFonts w:hint="eastAsia" w:asciiTheme="minorEastAsia" w:hAnsiTheme="minorEastAsia" w:eastAsiaTheme="minorEastAsia" w:cstheme="minorEastAsia"/>
          <w:sz w:val="36"/>
          <w:szCs w:val="36"/>
        </w:rPr>
      </w:pPr>
    </w:p>
    <w:p w14:paraId="7B86DAC0">
      <w:pPr>
        <w:widowControl/>
        <w:spacing w:before="50" w:after="50" w:line="360" w:lineRule="auto"/>
        <w:jc w:val="center"/>
        <w:rPr>
          <w:rFonts w:hint="eastAsia" w:asciiTheme="minorEastAsia" w:hAnsiTheme="minorEastAsia" w:eastAsiaTheme="minorEastAsia" w:cstheme="minorEastAsia"/>
          <w:sz w:val="36"/>
          <w:szCs w:val="36"/>
        </w:rPr>
      </w:pPr>
    </w:p>
    <w:p w14:paraId="35BBF12A">
      <w:pPr>
        <w:widowControl/>
        <w:spacing w:before="50" w:after="50" w:line="360" w:lineRule="auto"/>
        <w:jc w:val="center"/>
        <w:rPr>
          <w:rFonts w:hint="eastAsia" w:asciiTheme="minorEastAsia" w:hAnsiTheme="minorEastAsia" w:eastAsiaTheme="minorEastAsia" w:cstheme="minorEastAsia"/>
          <w:sz w:val="36"/>
          <w:szCs w:val="36"/>
        </w:rPr>
      </w:pPr>
    </w:p>
    <w:p w14:paraId="0D369611">
      <w:pPr>
        <w:widowControl/>
        <w:spacing w:before="50" w:after="50" w:line="360" w:lineRule="auto"/>
        <w:jc w:val="center"/>
        <w:rPr>
          <w:rFonts w:hint="eastAsia" w:asciiTheme="minorEastAsia" w:hAnsiTheme="minorEastAsia" w:eastAsiaTheme="minorEastAsia" w:cstheme="minorEastAsia"/>
          <w:sz w:val="36"/>
          <w:szCs w:val="36"/>
        </w:rPr>
      </w:pPr>
    </w:p>
    <w:p w14:paraId="6EFB77C4">
      <w:pPr>
        <w:widowControl/>
        <w:spacing w:before="50" w:after="50" w:line="360" w:lineRule="auto"/>
        <w:jc w:val="center"/>
        <w:rPr>
          <w:rFonts w:hint="eastAsia" w:asciiTheme="minorEastAsia" w:hAnsiTheme="minorEastAsia" w:eastAsiaTheme="minorEastAsia" w:cstheme="minorEastAsia"/>
          <w:sz w:val="36"/>
          <w:szCs w:val="36"/>
        </w:rPr>
      </w:pPr>
    </w:p>
    <w:p w14:paraId="6787F2BC">
      <w:pPr>
        <w:widowControl/>
        <w:spacing w:before="50" w:after="50" w:line="360" w:lineRule="auto"/>
        <w:jc w:val="center"/>
        <w:rPr>
          <w:rFonts w:hint="eastAsia" w:asciiTheme="minorEastAsia" w:hAnsiTheme="minorEastAsia" w:eastAsiaTheme="minorEastAsia" w:cstheme="minorEastAsia"/>
          <w:sz w:val="36"/>
          <w:szCs w:val="36"/>
        </w:rPr>
      </w:pPr>
    </w:p>
    <w:p w14:paraId="36A93280">
      <w:pPr>
        <w:widowControl/>
        <w:spacing w:before="50" w:after="50" w:line="360" w:lineRule="auto"/>
        <w:jc w:val="center"/>
        <w:rPr>
          <w:rFonts w:hint="eastAsia" w:asciiTheme="minorEastAsia" w:hAnsiTheme="minorEastAsia" w:eastAsiaTheme="minorEastAsia" w:cstheme="minorEastAsia"/>
          <w:sz w:val="36"/>
          <w:szCs w:val="36"/>
        </w:rPr>
      </w:pPr>
    </w:p>
    <w:p w14:paraId="5412C54C">
      <w:pPr>
        <w:widowControl/>
        <w:spacing w:before="50" w:after="50" w:line="360" w:lineRule="auto"/>
        <w:jc w:val="both"/>
        <w:rPr>
          <w:rFonts w:hint="eastAsia" w:asciiTheme="minorEastAsia" w:hAnsiTheme="minorEastAsia" w:eastAsiaTheme="minorEastAsia" w:cstheme="minorEastAsia"/>
          <w:sz w:val="36"/>
          <w:szCs w:val="36"/>
        </w:rPr>
        <w:sectPr>
          <w:footerReference r:id="rId3" w:type="default"/>
          <w:pgSz w:w="11906" w:h="16838"/>
          <w:pgMar w:top="1440" w:right="1803" w:bottom="1440" w:left="1803" w:header="851" w:footer="992" w:gutter="0"/>
          <w:pgNumType w:start="1"/>
          <w:cols w:space="0" w:num="1"/>
          <w:docGrid w:linePitch="360" w:charSpace="0"/>
        </w:sectPr>
      </w:pPr>
      <w:r>
        <w:rPr>
          <w:rFonts w:hint="eastAsia" w:asciiTheme="minorEastAsia" w:hAnsiTheme="minorEastAsia" w:eastAsiaTheme="minorEastAsia" w:cstheme="minorEastAsia"/>
          <w:sz w:val="36"/>
          <w:szCs w:val="36"/>
        </w:rPr>
        <w:tab/>
      </w:r>
    </w:p>
    <w:p w14:paraId="4DA82C9A">
      <w:pPr>
        <w:widowControl/>
        <w:spacing w:before="50" w:after="50"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sz w:val="32"/>
          <w:szCs w:val="32"/>
        </w:rPr>
        <w:t>十</w:t>
      </w:r>
      <w:r>
        <w:rPr>
          <w:rFonts w:hint="eastAsia" w:asciiTheme="minorEastAsia" w:hAnsiTheme="minorEastAsia" w:cstheme="minorEastAsia"/>
          <w:color w:val="000000"/>
          <w:sz w:val="32"/>
          <w:szCs w:val="32"/>
          <w:lang w:eastAsia="zh-CN"/>
        </w:rPr>
        <w:t>五</w:t>
      </w:r>
      <w:r>
        <w:rPr>
          <w:rFonts w:hint="eastAsia" w:asciiTheme="minorEastAsia" w:hAnsiTheme="minorEastAsia" w:eastAsiaTheme="minorEastAsia" w:cstheme="minorEastAsia"/>
          <w:color w:val="000000"/>
          <w:sz w:val="32"/>
          <w:szCs w:val="32"/>
        </w:rPr>
        <w:t>、施工方案</w:t>
      </w:r>
    </w:p>
    <w:p w14:paraId="440E9D14">
      <w:pPr>
        <w:widowControl/>
        <w:spacing w:line="360" w:lineRule="auto"/>
        <w:ind w:firstLine="3520" w:firstLineChars="1100"/>
        <w:jc w:val="both"/>
        <w:rPr>
          <w:rFonts w:hint="eastAsia" w:eastAsia="宋体" w:asciiTheme="minorEastAsia" w:hAnsiTheme="minorEastAsia" w:cstheme="minorEastAsia"/>
          <w:color w:val="000000"/>
          <w:sz w:val="32"/>
          <w:szCs w:val="32"/>
          <w:lang w:eastAsia="zh-CN"/>
        </w:rPr>
        <w:sectPr>
          <w:footerReference r:id="rId4" w:type="default"/>
          <w:pgSz w:w="11906" w:h="16838"/>
          <w:pgMar w:top="1440" w:right="1803" w:bottom="1440" w:left="1803" w:header="851" w:footer="992" w:gutter="0"/>
          <w:pgNumType w:start="41"/>
          <w:cols w:space="0" w:num="1"/>
          <w:docGrid w:linePitch="360" w:charSpace="0"/>
        </w:sectPr>
      </w:pPr>
      <w:r>
        <w:rPr>
          <w:rFonts w:hint="eastAsia" w:eastAsia="宋体" w:asciiTheme="minorEastAsia" w:hAnsiTheme="minorEastAsia" w:cstheme="minorEastAsia"/>
          <w:color w:val="000000"/>
          <w:sz w:val="32"/>
          <w:szCs w:val="32"/>
          <w:lang w:eastAsia="zh-CN"/>
        </w:rPr>
        <w:t>（如有）</w:t>
      </w:r>
    </w:p>
    <w:p w14:paraId="4721A28C">
      <w:pPr>
        <w:widowControl/>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sz w:val="32"/>
          <w:szCs w:val="32"/>
        </w:rPr>
        <w:t>十</w:t>
      </w:r>
      <w:r>
        <w:rPr>
          <w:rFonts w:hint="eastAsia" w:asciiTheme="minorEastAsia" w:hAnsiTheme="minorEastAsia" w:cstheme="minorEastAsia"/>
          <w:color w:val="000000"/>
          <w:sz w:val="32"/>
          <w:szCs w:val="32"/>
          <w:lang w:eastAsia="zh-CN"/>
        </w:rPr>
        <w:t>六</w:t>
      </w:r>
      <w:r>
        <w:rPr>
          <w:rFonts w:hint="eastAsia" w:asciiTheme="minorEastAsia" w:hAnsiTheme="minorEastAsia" w:eastAsiaTheme="minorEastAsia" w:cstheme="minorEastAsia"/>
          <w:color w:val="000000"/>
          <w:sz w:val="32"/>
          <w:szCs w:val="32"/>
        </w:rPr>
        <w:t>、盐城市政府采购事前信用承诺书</w:t>
      </w:r>
    </w:p>
    <w:p w14:paraId="0B53130A">
      <w:pPr>
        <w:widowControl/>
        <w:spacing w:line="360" w:lineRule="auto"/>
        <w:ind w:firstLine="64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w:t>
      </w:r>
    </w:p>
    <w:p w14:paraId="43B4E93E">
      <w:pPr>
        <w:widowControl/>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为营造我市公开、公平、公正、诚实守信的政府采购交易环境，树立诚信守法的投标人形象，本人代表本单位作出以下承诺：</w:t>
      </w:r>
    </w:p>
    <w:p w14:paraId="5049832F">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一）本单位对所提交的企（事）业单位基本信息、企（事）业负责人、项目负责人、技术负责人、从业资质和资格、业绩、财务状况、信誉等所有资料，均合法、真实、准确、有效，无任何伪造、修改、虚假成份，并对所提供资料的真实性负责；</w:t>
      </w:r>
    </w:p>
    <w:p w14:paraId="4A18EE81">
      <w:pPr>
        <w:widowControl/>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14:paraId="12C855A2">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   （三）严格依照国家和省、市关于政府采购的法律、法规、规章、规范性文件，参加政府采购投标活动；积极履行社会责任，促进廉政建设； </w:t>
      </w:r>
    </w:p>
    <w:p w14:paraId="20E9673C">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（四）严格遵守即时信息公示规定，及时维护和更新维护和更新盐城市政府采购网中与本单位相关的信息；</w:t>
      </w:r>
    </w:p>
    <w:p w14:paraId="2B40311A">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五）自我约束、自我管理，守合同、重信用，自觉维护政府采购交易的良好秩序，与参与本次政府采购活动的其他供应商不存在直接控股或管理关系，不参与围标串标、弄虚作假、骗取中标、干扰评标、违约毁约等行为；</w:t>
      </w:r>
    </w:p>
    <w:p w14:paraId="42B1DAC4">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（六）自觉接受政府、行业组织、社会公众、新闻舆论的监督；</w:t>
      </w:r>
    </w:p>
    <w:p w14:paraId="0DD927DA">
      <w:pPr>
        <w:widowControl/>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七）本单位自愿接受政府采购监督管理机构和有关行政监督部门的依法检查。如发生违法违规或不良失信行为，自愿接受政府采购监督管理机构和有关行政监督部门依法给予的行政处罚（处理），并依法承担相应责任；</w:t>
      </w:r>
    </w:p>
    <w:p w14:paraId="143D560C">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（八）本人已认真阅读了上述承诺，并向本单位员工作了宣传教育。</w:t>
      </w:r>
    </w:p>
    <w:p w14:paraId="7C26B6EA">
      <w:pPr>
        <w:widowControl/>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法定代表人签名：</w:t>
      </w:r>
    </w:p>
    <w:p w14:paraId="4039D84C">
      <w:pPr>
        <w:widowControl/>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单位名称（盖章）：</w:t>
      </w:r>
    </w:p>
    <w:p w14:paraId="28D1163D">
      <w:pPr>
        <w:widowControl/>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年    月    日</w:t>
      </w:r>
    </w:p>
    <w:bookmarkEnd w:id="6"/>
    <w:bookmarkEnd w:id="42"/>
    <w:bookmarkEnd w:id="43"/>
    <w:bookmarkEnd w:id="44"/>
    <w:bookmarkEnd w:id="45"/>
    <w:bookmarkEnd w:id="46"/>
    <w:bookmarkEnd w:id="47"/>
    <w:bookmarkEnd w:id="48"/>
    <w:bookmarkEnd w:id="49"/>
    <w:bookmarkEnd w:id="50"/>
    <w:bookmarkEnd w:id="51"/>
    <w:bookmarkEnd w:id="52"/>
    <w:bookmarkEnd w:id="53"/>
    <w:bookmarkEnd w:id="170"/>
    <w:bookmarkEnd w:id="173"/>
    <w:bookmarkEnd w:id="176"/>
    <w:bookmarkEnd w:id="177"/>
    <w:bookmarkEnd w:id="178"/>
    <w:bookmarkEnd w:id="179"/>
    <w:bookmarkEnd w:id="180"/>
    <w:bookmarkEnd w:id="181"/>
    <w:bookmarkEnd w:id="182"/>
    <w:bookmarkEnd w:id="183"/>
    <w:bookmarkEnd w:id="192"/>
    <w:bookmarkEnd w:id="193"/>
    <w:bookmarkEnd w:id="194"/>
    <w:bookmarkEnd w:id="195"/>
    <w:bookmarkEnd w:id="196"/>
    <w:p w14:paraId="08BB5BF1">
      <w:pPr>
        <w:pStyle w:val="30"/>
        <w:spacing w:beforeAutospacing="0" w:afterAutospacing="0" w:line="360" w:lineRule="auto"/>
        <w:jc w:val="center"/>
        <w:rPr>
          <w:rFonts w:hint="eastAsia" w:asciiTheme="minorEastAsia" w:hAnsiTheme="minorEastAsia" w:eastAsiaTheme="minorEastAsia" w:cstheme="minorEastAsia"/>
          <w:sz w:val="24"/>
          <w:szCs w:val="24"/>
        </w:rPr>
      </w:pPr>
    </w:p>
    <w:p w14:paraId="47D3E762">
      <w:pPr>
        <w:pStyle w:val="30"/>
        <w:spacing w:beforeAutospacing="0" w:afterAutospacing="0" w:line="360" w:lineRule="auto"/>
        <w:jc w:val="center"/>
        <w:rPr>
          <w:rFonts w:hint="eastAsia" w:asciiTheme="minorEastAsia" w:hAnsiTheme="minorEastAsia" w:eastAsiaTheme="minorEastAsia" w:cstheme="minorEastAsia"/>
          <w:b/>
          <w:color w:val="000000"/>
          <w:sz w:val="32"/>
          <w:szCs w:val="32"/>
        </w:rPr>
      </w:pPr>
    </w:p>
    <w:p w14:paraId="18C306A6">
      <w:pPr>
        <w:pStyle w:val="30"/>
        <w:spacing w:beforeAutospacing="0" w:afterAutospacing="0" w:line="360" w:lineRule="auto"/>
        <w:jc w:val="center"/>
        <w:rPr>
          <w:rFonts w:hint="eastAsia" w:asciiTheme="minorEastAsia" w:hAnsiTheme="minorEastAsia" w:eastAsiaTheme="minorEastAsia" w:cstheme="minorEastAsia"/>
          <w:b/>
          <w:color w:val="000000"/>
          <w:sz w:val="32"/>
          <w:szCs w:val="32"/>
        </w:rPr>
      </w:pPr>
    </w:p>
    <w:p w14:paraId="6DB4E659">
      <w:pPr>
        <w:pStyle w:val="30"/>
        <w:spacing w:beforeAutospacing="0" w:afterAutospacing="0" w:line="360" w:lineRule="auto"/>
        <w:jc w:val="center"/>
        <w:rPr>
          <w:rFonts w:hint="eastAsia" w:asciiTheme="minorEastAsia" w:hAnsiTheme="minorEastAsia" w:eastAsiaTheme="minorEastAsia" w:cstheme="minorEastAsia"/>
          <w:b/>
          <w:color w:val="000000"/>
          <w:sz w:val="32"/>
          <w:szCs w:val="32"/>
        </w:rPr>
      </w:pPr>
      <w:r>
        <w:rPr>
          <w:rFonts w:hint="eastAsia" w:asciiTheme="minorEastAsia" w:hAnsiTheme="minorEastAsia" w:eastAsiaTheme="minorEastAsia" w:cstheme="minorEastAsia"/>
          <w:b/>
          <w:color w:val="000000"/>
          <w:sz w:val="32"/>
          <w:szCs w:val="32"/>
        </w:rPr>
        <w:t>质疑函范本</w:t>
      </w:r>
    </w:p>
    <w:p w14:paraId="24465AE7">
      <w:pPr>
        <w:pStyle w:val="30"/>
        <w:spacing w:before="290"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一、质疑供应商基本信息</w:t>
      </w:r>
    </w:p>
    <w:p w14:paraId="5EA3460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质疑供应商：</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5CCC4A48">
      <w:pPr>
        <w:pStyle w:val="30"/>
        <w:spacing w:beforeAutospacing="0" w:afterAutospacing="0" w:line="360" w:lineRule="auto"/>
        <w:jc w:val="both"/>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地址：</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w:t>
      </w:r>
    </w:p>
    <w:p w14:paraId="6A8FBAA9">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邮编：</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7A09FBEA">
      <w:pPr>
        <w:pStyle w:val="30"/>
        <w:spacing w:beforeAutospacing="0" w:afterAutospacing="0" w:line="360" w:lineRule="auto"/>
        <w:jc w:val="both"/>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联系人：</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333E4BE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联系电话：</w:t>
      </w:r>
      <w:r>
        <w:rPr>
          <w:rFonts w:hint="eastAsia" w:asciiTheme="minorEastAsia" w:hAnsiTheme="minorEastAsia" w:eastAsiaTheme="minorEastAsia" w:cstheme="minorEastAsia"/>
          <w:color w:val="000000"/>
          <w:sz w:val="24"/>
          <w:szCs w:val="24"/>
          <w:u w:val="single"/>
        </w:rPr>
        <w:t xml:space="preserve">                                           </w:t>
      </w:r>
    </w:p>
    <w:p w14:paraId="405E331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授权代表：</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4E443E0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联系电话：</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7FE94A58">
      <w:pPr>
        <w:pStyle w:val="30"/>
        <w:spacing w:beforeAutospacing="0" w:afterAutospacing="0" w:line="360" w:lineRule="auto"/>
        <w:jc w:val="both"/>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地址： </w:t>
      </w:r>
      <w:r>
        <w:rPr>
          <w:rFonts w:hint="eastAsia" w:asciiTheme="minorEastAsia" w:hAnsiTheme="minorEastAsia" w:eastAsiaTheme="minorEastAsia" w:cstheme="minorEastAsia"/>
          <w:color w:val="000000"/>
          <w:sz w:val="24"/>
          <w:szCs w:val="24"/>
          <w:u w:val="single"/>
        </w:rPr>
        <w:t>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487913D0">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邮编：</w:t>
      </w:r>
      <w:r>
        <w:rPr>
          <w:rFonts w:hint="eastAsia" w:asciiTheme="minorEastAsia" w:hAnsiTheme="minorEastAsia" w:eastAsiaTheme="minorEastAsia" w:cstheme="minorEastAsia"/>
          <w:color w:val="000000"/>
          <w:sz w:val="24"/>
          <w:szCs w:val="24"/>
          <w:u w:val="single"/>
        </w:rPr>
        <w:t xml:space="preserve">                                </w:t>
      </w:r>
    </w:p>
    <w:p w14:paraId="21D12462">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二、质疑项目基本情况</w:t>
      </w:r>
    </w:p>
    <w:p w14:paraId="5AAF34BA">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质疑项目的名称：</w:t>
      </w:r>
      <w:r>
        <w:rPr>
          <w:rFonts w:hint="eastAsia" w:asciiTheme="minorEastAsia" w:hAnsiTheme="minorEastAsia" w:eastAsiaTheme="minorEastAsia" w:cstheme="minorEastAsia"/>
          <w:color w:val="000000"/>
          <w:sz w:val="24"/>
          <w:szCs w:val="24"/>
          <w:u w:val="single"/>
        </w:rPr>
        <w:t xml:space="preserve">                            </w:t>
      </w:r>
    </w:p>
    <w:p w14:paraId="4A109540">
      <w:pPr>
        <w:pStyle w:val="30"/>
        <w:spacing w:beforeAutospacing="0" w:afterAutospacing="0" w:line="360" w:lineRule="auto"/>
        <w:jc w:val="both"/>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质疑项目的编号：</w:t>
      </w:r>
      <w:r>
        <w:rPr>
          <w:rFonts w:hint="eastAsia" w:asciiTheme="minorEastAsia" w:hAnsiTheme="minorEastAsia" w:eastAsiaTheme="minorEastAsia" w:cstheme="minorEastAsia"/>
          <w:color w:val="000000"/>
          <w:sz w:val="24"/>
          <w:szCs w:val="24"/>
          <w:u w:val="single"/>
        </w:rPr>
        <w:t xml:space="preserve">                          </w:t>
      </w:r>
    </w:p>
    <w:p w14:paraId="2B73DFB1">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包号：</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ab/>
      </w:r>
      <w:r>
        <w:rPr>
          <w:rFonts w:hint="eastAsia" w:asciiTheme="minorEastAsia" w:hAnsiTheme="minorEastAsia" w:eastAsiaTheme="minorEastAsia" w:cstheme="minorEastAsia"/>
          <w:color w:val="000000"/>
          <w:sz w:val="24"/>
          <w:szCs w:val="24"/>
          <w:u w:val="single"/>
        </w:rPr>
        <w:t xml:space="preserve">    </w:t>
      </w:r>
    </w:p>
    <w:p w14:paraId="05AB10DE">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采购人名称：</w:t>
      </w:r>
      <w:r>
        <w:rPr>
          <w:rFonts w:hint="eastAsia" w:asciiTheme="minorEastAsia" w:hAnsiTheme="minorEastAsia" w:eastAsiaTheme="minorEastAsia" w:cstheme="minorEastAsia"/>
          <w:color w:val="000000"/>
          <w:sz w:val="24"/>
          <w:szCs w:val="24"/>
          <w:u w:val="single"/>
        </w:rPr>
        <w:t xml:space="preserve">                            </w:t>
      </w:r>
    </w:p>
    <w:p w14:paraId="57888680">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采购文件获取日期：</w:t>
      </w:r>
      <w:r>
        <w:rPr>
          <w:rFonts w:hint="eastAsia" w:asciiTheme="minorEastAsia" w:hAnsiTheme="minorEastAsia" w:eastAsiaTheme="minorEastAsia" w:cstheme="minorEastAsia"/>
          <w:color w:val="000000"/>
          <w:sz w:val="24"/>
          <w:szCs w:val="24"/>
          <w:u w:val="single"/>
        </w:rPr>
        <w:t xml:space="preserve">                             </w:t>
      </w:r>
    </w:p>
    <w:p w14:paraId="7DC411F6">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三、质疑事项具体内容</w:t>
      </w:r>
    </w:p>
    <w:p w14:paraId="00C1404E">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质疑事项1：</w:t>
      </w:r>
      <w:r>
        <w:rPr>
          <w:rFonts w:hint="eastAsia" w:asciiTheme="minorEastAsia" w:hAnsiTheme="minorEastAsia" w:eastAsiaTheme="minorEastAsia" w:cstheme="minorEastAsia"/>
          <w:color w:val="000000"/>
          <w:sz w:val="24"/>
          <w:szCs w:val="24"/>
          <w:u w:val="single"/>
        </w:rPr>
        <w:t xml:space="preserve">                             </w:t>
      </w:r>
    </w:p>
    <w:p w14:paraId="6428E1F8">
      <w:pPr>
        <w:pStyle w:val="30"/>
        <w:spacing w:beforeAutospacing="0" w:afterAutospacing="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事实依据：</w:t>
      </w:r>
      <w:r>
        <w:rPr>
          <w:rFonts w:hint="eastAsia" w:asciiTheme="minorEastAsia" w:hAnsiTheme="minorEastAsia" w:eastAsiaTheme="minorEastAsia" w:cstheme="minorEastAsia"/>
          <w:color w:val="000000"/>
          <w:sz w:val="24"/>
          <w:szCs w:val="24"/>
          <w:u w:val="single"/>
        </w:rPr>
        <w:t xml:space="preserve">                                                   </w:t>
      </w:r>
    </w:p>
    <w:p w14:paraId="7696CC84">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法律依据：</w:t>
      </w:r>
      <w:r>
        <w:rPr>
          <w:rFonts w:hint="eastAsia" w:asciiTheme="minorEastAsia" w:hAnsiTheme="minorEastAsia" w:eastAsiaTheme="minorEastAsia" w:cstheme="minorEastAsia"/>
          <w:color w:val="000000"/>
          <w:sz w:val="24"/>
          <w:szCs w:val="24"/>
          <w:u w:val="single"/>
        </w:rPr>
        <w:t xml:space="preserve">                                                    </w:t>
      </w:r>
    </w:p>
    <w:p w14:paraId="511B6BCF">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质疑事项2</w:t>
      </w:r>
    </w:p>
    <w:p w14:paraId="651522DB">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w:t>
      </w:r>
    </w:p>
    <w:p w14:paraId="6701D6D5">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四、与质疑事项相关的质疑请求</w:t>
      </w:r>
    </w:p>
    <w:p w14:paraId="6E3E772C">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请求：</w:t>
      </w:r>
      <w:r>
        <w:rPr>
          <w:rFonts w:hint="eastAsia" w:asciiTheme="minorEastAsia" w:hAnsiTheme="minorEastAsia" w:eastAsiaTheme="minorEastAsia" w:cstheme="minorEastAsia"/>
          <w:color w:val="000000"/>
          <w:sz w:val="24"/>
          <w:szCs w:val="24"/>
          <w:u w:val="single"/>
        </w:rPr>
        <w:t xml:space="preserve">                                                          </w:t>
      </w:r>
    </w:p>
    <w:p w14:paraId="729E2594">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 xml:space="preserve">签字(签章)：                 公章：               日期：    </w:t>
      </w:r>
    </w:p>
    <w:p w14:paraId="6FAD06C3">
      <w:pPr>
        <w:pStyle w:val="30"/>
        <w:spacing w:beforeAutospacing="0" w:afterAutospacing="0"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sz w:val="24"/>
          <w:szCs w:val="24"/>
        </w:rPr>
        <w:t>质疑函制作说明：</w:t>
      </w:r>
    </w:p>
    <w:p w14:paraId="4F40BC9B">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1.供应商提出质疑时，应提交质疑函和必要的证明材料。</w:t>
      </w:r>
    </w:p>
    <w:p w14:paraId="1542A48F">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D95F750">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3.质疑供应商若对项目的某一分包进行质疑，质疑函中应列明具体分包号。</w:t>
      </w:r>
    </w:p>
    <w:p w14:paraId="09DB1AA7">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4.质疑函的质疑事项应具体、明确，并有必要的事实依据和法律依据。</w:t>
      </w:r>
    </w:p>
    <w:p w14:paraId="586A1B46">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5.质疑函的质疑请求应与质疑事项相关。</w:t>
      </w:r>
    </w:p>
    <w:p w14:paraId="6620C344">
      <w:pPr>
        <w:pStyle w:val="30"/>
        <w:widowControl/>
        <w:spacing w:beforeAutospacing="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6.质疑供应商为自然人的，质疑函应由本人签字；质疑供应商为法人或者其他组织的，质疑函应由法定代表人、主要负责人，或者其授权代表签字或者盖章，并加盖公章。</w:t>
      </w:r>
    </w:p>
    <w:p w14:paraId="02C8EF44">
      <w:pPr>
        <w:pStyle w:val="30"/>
        <w:spacing w:beforeAutospacing="0" w:afterAutospacing="0" w:line="360" w:lineRule="auto"/>
        <w:rPr>
          <w:rFonts w:hint="eastAsia" w:asciiTheme="minorEastAsia" w:hAnsiTheme="minorEastAsia" w:eastAsiaTheme="minorEastAsia" w:cstheme="minorEastAsia"/>
          <w:sz w:val="24"/>
          <w:szCs w:val="24"/>
        </w:rPr>
      </w:pPr>
    </w:p>
    <w:sectPr>
      <w:pgSz w:w="11906" w:h="16838"/>
      <w:pgMar w:top="1440" w:right="1803" w:bottom="1440" w:left="1803" w:header="851" w:footer="992"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auto"/>
    <w:pitch w:val="default"/>
    <w:sig w:usb0="00000000" w:usb1="00000000" w:usb2="00000000" w:usb3="00000000" w:csb0="00000000"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PMingLiU">
    <w:altName w:val="Sitka Text"/>
    <w:panose1 w:val="02020500000000000000"/>
    <w:charset w:val="00"/>
    <w:family w:val="auto"/>
    <w:pitch w:val="default"/>
    <w:sig w:usb0="00000000" w:usb1="00000000" w:usb2="00000000" w:usb3="00000000" w:csb0="00000000" w:csb1="00000000"/>
  </w:font>
  <w:font w:name="Sitka Text">
    <w:panose1 w:val="02000505000000020004"/>
    <w:charset w:val="00"/>
    <w:family w:val="auto"/>
    <w:pitch w:val="default"/>
    <w:sig w:usb0="A00002EF" w:usb1="4000204B"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5010F">
    <w:pPr>
      <w:pStyle w:val="19"/>
      <w:tabs>
        <w:tab w:val="center" w:pos="697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43FE4">
                          <w:pPr>
                            <w:pStyle w:val="1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EdRpwI8AgAAbwQAAA4AAAAAAAAAAQAgAAAAHwEAAGRycy9lMm9E&#10;b2MueG1sUEsFBgAAAAAGAAYAWQEAAM0FAAAAAA==&#10;">
              <v:fill on="f" focussize="0,0"/>
              <v:stroke on="f" weight="0.5pt"/>
              <v:imagedata o:title=""/>
              <o:lock v:ext="edit" aspectratio="f"/>
              <v:textbox inset="0mm,0mm,0mm,0mm" style="mso-fit-shape-to-text:t;">
                <w:txbxContent>
                  <w:p w14:paraId="24843FE4">
                    <w:pPr>
                      <w:pStyle w:val="1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9B846">
    <w:pPr>
      <w:pStyle w:val="19"/>
      <w:tabs>
        <w:tab w:val="center" w:pos="6979"/>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7D37A">
                          <w:pPr>
                            <w:pStyle w:val="1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KQ/Mys8AgAAbwQAAA4AAAAAAAAAAQAgAAAAHwEAAGRycy9lMm9E&#10;b2MueG1sUEsFBgAAAAAGAAYAWQEAAM0FAAAAAA==&#10;">
              <v:fill on="f" focussize="0,0"/>
              <v:stroke on="f" weight="0.5pt"/>
              <v:imagedata o:title=""/>
              <o:lock v:ext="edit" aspectratio="f"/>
              <v:textbox inset="0mm,0mm,0mm,0mm" style="mso-fit-shape-to-text:t;">
                <w:txbxContent>
                  <w:p w14:paraId="1B67D37A">
                    <w:pPr>
                      <w:pStyle w:val="19"/>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B4966"/>
    <w:rsid w:val="0105375B"/>
    <w:rsid w:val="01C506B1"/>
    <w:rsid w:val="0438160E"/>
    <w:rsid w:val="046046C1"/>
    <w:rsid w:val="05B60A3D"/>
    <w:rsid w:val="0C3B6EF4"/>
    <w:rsid w:val="0E3F3599"/>
    <w:rsid w:val="0E425B4B"/>
    <w:rsid w:val="0FE20680"/>
    <w:rsid w:val="130F605B"/>
    <w:rsid w:val="13203999"/>
    <w:rsid w:val="151D2886"/>
    <w:rsid w:val="16BF21A1"/>
    <w:rsid w:val="19670574"/>
    <w:rsid w:val="1A382423"/>
    <w:rsid w:val="1BCF0653"/>
    <w:rsid w:val="1C281B11"/>
    <w:rsid w:val="1E543091"/>
    <w:rsid w:val="22576CAC"/>
    <w:rsid w:val="2380169C"/>
    <w:rsid w:val="2401226D"/>
    <w:rsid w:val="241237D2"/>
    <w:rsid w:val="27595274"/>
    <w:rsid w:val="29AE780A"/>
    <w:rsid w:val="2B86183E"/>
    <w:rsid w:val="2C5A1872"/>
    <w:rsid w:val="2C772424"/>
    <w:rsid w:val="317A4765"/>
    <w:rsid w:val="34C01EDF"/>
    <w:rsid w:val="35843E04"/>
    <w:rsid w:val="35CD6D50"/>
    <w:rsid w:val="35D02B9C"/>
    <w:rsid w:val="369C77EA"/>
    <w:rsid w:val="3A1E4827"/>
    <w:rsid w:val="3DD91D2C"/>
    <w:rsid w:val="3EFB5137"/>
    <w:rsid w:val="40295CD4"/>
    <w:rsid w:val="40714F85"/>
    <w:rsid w:val="40F640E7"/>
    <w:rsid w:val="445E13C5"/>
    <w:rsid w:val="45E76415"/>
    <w:rsid w:val="47590C4D"/>
    <w:rsid w:val="48D6451F"/>
    <w:rsid w:val="4ACC7988"/>
    <w:rsid w:val="4AF60EA8"/>
    <w:rsid w:val="4AFD2237"/>
    <w:rsid w:val="4EB26E94"/>
    <w:rsid w:val="4FCC21D8"/>
    <w:rsid w:val="53F26847"/>
    <w:rsid w:val="57122BC6"/>
    <w:rsid w:val="57923D07"/>
    <w:rsid w:val="5A3442E8"/>
    <w:rsid w:val="5A8B456C"/>
    <w:rsid w:val="5B7427DA"/>
    <w:rsid w:val="5D5A0E23"/>
    <w:rsid w:val="5E343D6A"/>
    <w:rsid w:val="6162474A"/>
    <w:rsid w:val="620C534C"/>
    <w:rsid w:val="640815D9"/>
    <w:rsid w:val="66287D10"/>
    <w:rsid w:val="692D388F"/>
    <w:rsid w:val="6C52541B"/>
    <w:rsid w:val="6D1014FE"/>
    <w:rsid w:val="6E17135C"/>
    <w:rsid w:val="70D0347E"/>
    <w:rsid w:val="742D6E39"/>
    <w:rsid w:val="788214B7"/>
    <w:rsid w:val="789C76BF"/>
    <w:rsid w:val="79E87A8A"/>
    <w:rsid w:val="7A657B21"/>
    <w:rsid w:val="7AE84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4"/>
      <w:lang w:val="en-US" w:eastAsia="zh-CN" w:bidi="ar-SA"/>
    </w:rPr>
  </w:style>
  <w:style w:type="paragraph" w:styleId="2">
    <w:name w:val="heading 1"/>
    <w:basedOn w:val="1"/>
    <w:next w:val="1"/>
    <w:link w:val="40"/>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sz w:val="36"/>
      <w:szCs w:val="36"/>
    </w:rPr>
  </w:style>
  <w:style w:type="paragraph" w:styleId="4">
    <w:name w:val="heading 3"/>
    <w:basedOn w:val="1"/>
    <w:next w:val="5"/>
    <w:link w:val="42"/>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43"/>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44"/>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45"/>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46"/>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47"/>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48"/>
    <w:unhideWhenUsed/>
    <w:qFormat/>
    <w:uiPriority w:val="9"/>
    <w:pPr>
      <w:keepNext/>
      <w:keepLines/>
      <w:spacing w:before="320" w:after="200"/>
      <w:outlineLvl w:val="8"/>
    </w:pPr>
    <w:rPr>
      <w:rFonts w:ascii="Arial" w:hAnsi="Arial" w:eastAsia="Arial" w:cs="Arial"/>
      <w:i/>
      <w:iCs/>
      <w:sz w:val="21"/>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rPr>
      <w:rFonts w:ascii="Times New Roman"/>
    </w:rPr>
  </w:style>
  <w:style w:type="paragraph" w:styleId="12">
    <w:name w:val="toc 7"/>
    <w:basedOn w:val="1"/>
    <w:next w:val="1"/>
    <w:unhideWhenUsed/>
    <w:qFormat/>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4">
    <w:name w:val="Body Text"/>
    <w:basedOn w:val="1"/>
    <w:next w:val="1"/>
    <w:semiHidden/>
    <w:qFormat/>
    <w:uiPriority w:val="0"/>
    <w:rPr>
      <w:rFonts w:ascii="宋体" w:hAnsi="宋体" w:eastAsia="宋体" w:cs="宋体"/>
      <w:sz w:val="21"/>
      <w:szCs w:val="21"/>
      <w:lang w:val="en-US" w:eastAsia="en-US" w:bidi="ar-SA"/>
    </w:rPr>
  </w:style>
  <w:style w:type="paragraph" w:styleId="15">
    <w:name w:val="toc 5"/>
    <w:basedOn w:val="1"/>
    <w:next w:val="1"/>
    <w:unhideWhenUsed/>
    <w:qFormat/>
    <w:uiPriority w:val="39"/>
    <w:pPr>
      <w:spacing w:after="57"/>
      <w:ind w:left="1134" w:right="0" w:firstLine="0"/>
    </w:pPr>
  </w:style>
  <w:style w:type="paragraph" w:styleId="16">
    <w:name w:val="toc 3"/>
    <w:basedOn w:val="1"/>
    <w:next w:val="1"/>
    <w:unhideWhenUsed/>
    <w:qFormat/>
    <w:uiPriority w:val="39"/>
    <w:pPr>
      <w:spacing w:after="57"/>
      <w:ind w:left="567" w:right="0" w:firstLine="0"/>
    </w:pPr>
  </w:style>
  <w:style w:type="paragraph" w:styleId="17">
    <w:name w:val="toc 8"/>
    <w:basedOn w:val="1"/>
    <w:next w:val="1"/>
    <w:unhideWhenUsed/>
    <w:qFormat/>
    <w:uiPriority w:val="39"/>
    <w:pPr>
      <w:spacing w:after="57"/>
      <w:ind w:left="1984" w:right="0" w:firstLine="0"/>
    </w:pPr>
  </w:style>
  <w:style w:type="paragraph" w:styleId="18">
    <w:name w:val="endnote text"/>
    <w:basedOn w:val="1"/>
    <w:link w:val="186"/>
    <w:semiHidden/>
    <w:unhideWhenUsed/>
    <w:qFormat/>
    <w:uiPriority w:val="99"/>
    <w:pPr>
      <w:spacing w:after="0" w:line="240" w:lineRule="auto"/>
    </w:pPr>
    <w:rPr>
      <w:sz w:val="20"/>
    </w:rPr>
  </w:style>
  <w:style w:type="paragraph" w:styleId="19">
    <w:name w:val="footer"/>
    <w:basedOn w:val="1"/>
    <w:link w:val="189"/>
    <w:qFormat/>
    <w:uiPriority w:val="0"/>
    <w:pPr>
      <w:tabs>
        <w:tab w:val="center" w:pos="4153"/>
        <w:tab w:val="right" w:pos="8306"/>
      </w:tabs>
      <w:jc w:val="left"/>
    </w:pPr>
    <w:rPr>
      <w:sz w:val="18"/>
      <w:szCs w:val="18"/>
    </w:rPr>
  </w:style>
  <w:style w:type="paragraph" w:styleId="20">
    <w:name w:val="header"/>
    <w:basedOn w:val="1"/>
    <w:link w:val="188"/>
    <w:qFormat/>
    <w:uiPriority w:val="0"/>
    <w:pPr>
      <w:pBdr>
        <w:bottom w:val="single" w:color="auto" w:sz="6" w:space="1"/>
      </w:pBdr>
      <w:tabs>
        <w:tab w:val="center" w:pos="4153"/>
        <w:tab w:val="right" w:pos="8306"/>
      </w:tabs>
      <w:jc w:val="center"/>
    </w:pPr>
    <w:rPr>
      <w:sz w:val="18"/>
      <w:szCs w:val="18"/>
    </w:r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link w:val="52"/>
    <w:qFormat/>
    <w:uiPriority w:val="11"/>
    <w:pPr>
      <w:spacing w:before="200" w:after="200"/>
    </w:pPr>
    <w:rPr>
      <w:sz w:val="24"/>
      <w:szCs w:val="24"/>
    </w:rPr>
  </w:style>
  <w:style w:type="paragraph" w:styleId="24">
    <w:name w:val="footnote text"/>
    <w:basedOn w:val="1"/>
    <w:link w:val="185"/>
    <w:semiHidden/>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Body Text Indent 3"/>
    <w:basedOn w:val="1"/>
    <w:qFormat/>
    <w:uiPriority w:val="0"/>
    <w:pPr>
      <w:spacing w:after="120"/>
      <w:ind w:left="420"/>
    </w:pPr>
    <w:rPr>
      <w:sz w:val="16"/>
      <w:szCs w:val="16"/>
    </w:r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Normal (Web)"/>
    <w:basedOn w:val="1"/>
    <w:qFormat/>
    <w:uiPriority w:val="0"/>
    <w:pPr>
      <w:spacing w:beforeAutospacing="1" w:afterAutospacing="1"/>
      <w:jc w:val="left"/>
    </w:pPr>
    <w:rPr>
      <w:rFonts w:cs="Times New Roman"/>
      <w:sz w:val="24"/>
    </w:rPr>
  </w:style>
  <w:style w:type="paragraph" w:styleId="31">
    <w:name w:val="Title"/>
    <w:basedOn w:val="1"/>
    <w:next w:val="1"/>
    <w:link w:val="51"/>
    <w:qFormat/>
    <w:uiPriority w:val="10"/>
    <w:pPr>
      <w:spacing w:before="300" w:after="200"/>
      <w:contextualSpacing/>
    </w:pPr>
    <w:rPr>
      <w:sz w:val="48"/>
      <w:szCs w:val="48"/>
    </w:rPr>
  </w:style>
  <w:style w:type="table" w:styleId="33">
    <w:name w:val="Table Grid"/>
    <w:basedOn w:val="3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Strong"/>
    <w:basedOn w:val="34"/>
    <w:qFormat/>
    <w:uiPriority w:val="22"/>
    <w:rPr>
      <w:b/>
    </w:rPr>
  </w:style>
  <w:style w:type="character" w:styleId="36">
    <w:name w:val="endnote reference"/>
    <w:basedOn w:val="34"/>
    <w:semiHidden/>
    <w:unhideWhenUsed/>
    <w:qFormat/>
    <w:uiPriority w:val="99"/>
    <w:rPr>
      <w:vertAlign w:val="superscript"/>
    </w:rPr>
  </w:style>
  <w:style w:type="character" w:styleId="37">
    <w:name w:val="Hyperlink"/>
    <w:unhideWhenUsed/>
    <w:qFormat/>
    <w:uiPriority w:val="99"/>
    <w:rPr>
      <w:color w:val="0563C1" w:themeColor="hyperlink"/>
      <w:u w:val="single"/>
      <w14:textFill>
        <w14:solidFill>
          <w14:schemeClr w14:val="hlink"/>
        </w14:solidFill>
      </w14:textFill>
    </w:rPr>
  </w:style>
  <w:style w:type="character" w:styleId="38">
    <w:name w:val="footnote reference"/>
    <w:basedOn w:val="34"/>
    <w:unhideWhenUsed/>
    <w:qFormat/>
    <w:uiPriority w:val="99"/>
    <w:rPr>
      <w:vertAlign w:val="superscript"/>
    </w:rPr>
  </w:style>
  <w:style w:type="paragraph" w:customStyle="1" w:styleId="39">
    <w:name w:val="Default"/>
    <w:basedOn w:val="1"/>
    <w:semiHidden/>
    <w:qFormat/>
    <w:uiPriority w:val="0"/>
    <w:pPr>
      <w:autoSpaceDE w:val="0"/>
      <w:autoSpaceDN w:val="0"/>
      <w:adjustRightInd w:val="0"/>
      <w:jc w:val="left"/>
    </w:pPr>
    <w:rPr>
      <w:rFonts w:ascii="宋体" w:hAnsi="Calibri" w:cs="宋体"/>
      <w:color w:val="000000"/>
      <w:kern w:val="0"/>
      <w:sz w:val="24"/>
    </w:rPr>
  </w:style>
  <w:style w:type="character" w:customStyle="1" w:styleId="40">
    <w:name w:val="Heading 1 Char"/>
    <w:basedOn w:val="34"/>
    <w:link w:val="2"/>
    <w:qFormat/>
    <w:uiPriority w:val="9"/>
    <w:rPr>
      <w:rFonts w:ascii="Arial" w:hAnsi="Arial" w:eastAsia="Arial" w:cs="Arial"/>
      <w:sz w:val="40"/>
      <w:szCs w:val="40"/>
    </w:rPr>
  </w:style>
  <w:style w:type="character" w:customStyle="1" w:styleId="41">
    <w:name w:val="Heading 2 Char"/>
    <w:basedOn w:val="34"/>
    <w:qFormat/>
    <w:uiPriority w:val="9"/>
    <w:rPr>
      <w:rFonts w:ascii="Arial" w:hAnsi="Arial" w:eastAsia="Arial" w:cs="Arial"/>
      <w:sz w:val="34"/>
    </w:rPr>
  </w:style>
  <w:style w:type="character" w:customStyle="1" w:styleId="42">
    <w:name w:val="Heading 3 Char"/>
    <w:basedOn w:val="34"/>
    <w:link w:val="4"/>
    <w:qFormat/>
    <w:uiPriority w:val="9"/>
    <w:rPr>
      <w:rFonts w:ascii="Arial" w:hAnsi="Arial" w:eastAsia="Arial" w:cs="Arial"/>
      <w:sz w:val="30"/>
      <w:szCs w:val="30"/>
    </w:rPr>
  </w:style>
  <w:style w:type="character" w:customStyle="1" w:styleId="43">
    <w:name w:val="Heading 4 Char"/>
    <w:basedOn w:val="34"/>
    <w:link w:val="6"/>
    <w:qFormat/>
    <w:uiPriority w:val="9"/>
    <w:rPr>
      <w:rFonts w:ascii="Arial" w:hAnsi="Arial" w:eastAsia="Arial" w:cs="Arial"/>
      <w:b/>
      <w:bCs/>
      <w:sz w:val="26"/>
      <w:szCs w:val="26"/>
    </w:rPr>
  </w:style>
  <w:style w:type="character" w:customStyle="1" w:styleId="44">
    <w:name w:val="Heading 5 Char"/>
    <w:basedOn w:val="34"/>
    <w:link w:val="7"/>
    <w:qFormat/>
    <w:uiPriority w:val="9"/>
    <w:rPr>
      <w:rFonts w:ascii="Arial" w:hAnsi="Arial" w:eastAsia="Arial" w:cs="Arial"/>
      <w:b/>
      <w:bCs/>
      <w:sz w:val="24"/>
      <w:szCs w:val="24"/>
    </w:rPr>
  </w:style>
  <w:style w:type="character" w:customStyle="1" w:styleId="45">
    <w:name w:val="Heading 6 Char"/>
    <w:basedOn w:val="34"/>
    <w:link w:val="8"/>
    <w:qFormat/>
    <w:uiPriority w:val="9"/>
    <w:rPr>
      <w:rFonts w:ascii="Arial" w:hAnsi="Arial" w:eastAsia="Arial" w:cs="Arial"/>
      <w:b/>
      <w:bCs/>
      <w:sz w:val="22"/>
      <w:szCs w:val="22"/>
    </w:rPr>
  </w:style>
  <w:style w:type="character" w:customStyle="1" w:styleId="46">
    <w:name w:val="Heading 7 Char"/>
    <w:basedOn w:val="34"/>
    <w:link w:val="9"/>
    <w:qFormat/>
    <w:uiPriority w:val="9"/>
    <w:rPr>
      <w:rFonts w:ascii="Arial" w:hAnsi="Arial" w:eastAsia="Arial" w:cs="Arial"/>
      <w:b/>
      <w:bCs/>
      <w:i/>
      <w:iCs/>
      <w:sz w:val="22"/>
      <w:szCs w:val="22"/>
    </w:rPr>
  </w:style>
  <w:style w:type="character" w:customStyle="1" w:styleId="47">
    <w:name w:val="Heading 8 Char"/>
    <w:basedOn w:val="34"/>
    <w:link w:val="10"/>
    <w:qFormat/>
    <w:uiPriority w:val="9"/>
    <w:rPr>
      <w:rFonts w:ascii="Arial" w:hAnsi="Arial" w:eastAsia="Arial" w:cs="Arial"/>
      <w:i/>
      <w:iCs/>
      <w:sz w:val="22"/>
      <w:szCs w:val="22"/>
    </w:rPr>
  </w:style>
  <w:style w:type="character" w:customStyle="1" w:styleId="48">
    <w:name w:val="Heading 9 Char"/>
    <w:basedOn w:val="34"/>
    <w:link w:val="11"/>
    <w:qFormat/>
    <w:uiPriority w:val="9"/>
    <w:rPr>
      <w:rFonts w:ascii="Arial" w:hAnsi="Arial" w:eastAsia="Arial" w:cs="Arial"/>
      <w:i/>
      <w:iCs/>
      <w:sz w:val="21"/>
      <w:szCs w:val="21"/>
    </w:rPr>
  </w:style>
  <w:style w:type="paragraph" w:styleId="49">
    <w:name w:val="List Paragraph"/>
    <w:basedOn w:val="1"/>
    <w:qFormat/>
    <w:uiPriority w:val="34"/>
    <w:pPr>
      <w:ind w:left="720"/>
      <w:contextualSpacing/>
    </w:pPr>
  </w:style>
  <w:style w:type="paragraph" w:styleId="50">
    <w:name w:val="No Spacing"/>
    <w:qFormat/>
    <w:uiPriority w:val="1"/>
    <w:pPr>
      <w:spacing w:before="0" w:after="0" w:line="240" w:lineRule="auto"/>
    </w:pPr>
    <w:rPr>
      <w:rFonts w:hint="default" w:ascii="Times New Roman" w:hAnsi="Times New Roman" w:eastAsia="宋体" w:cs="Times New Roman"/>
    </w:rPr>
  </w:style>
  <w:style w:type="character" w:customStyle="1" w:styleId="51">
    <w:name w:val="Title Char"/>
    <w:basedOn w:val="34"/>
    <w:link w:val="31"/>
    <w:qFormat/>
    <w:uiPriority w:val="10"/>
    <w:rPr>
      <w:sz w:val="48"/>
      <w:szCs w:val="48"/>
    </w:rPr>
  </w:style>
  <w:style w:type="character" w:customStyle="1" w:styleId="52">
    <w:name w:val="Subtitle Char"/>
    <w:basedOn w:val="34"/>
    <w:link w:val="23"/>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Quote Char"/>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6">
    <w:name w:val="Intense Quote Char"/>
    <w:link w:val="55"/>
    <w:qFormat/>
    <w:uiPriority w:val="30"/>
    <w:rPr>
      <w:i/>
    </w:rPr>
  </w:style>
  <w:style w:type="character" w:customStyle="1" w:styleId="57">
    <w:name w:val="Header Char"/>
    <w:basedOn w:val="34"/>
    <w:qFormat/>
    <w:uiPriority w:val="99"/>
  </w:style>
  <w:style w:type="character" w:customStyle="1" w:styleId="58">
    <w:name w:val="Footer Char"/>
    <w:basedOn w:val="34"/>
    <w:qFormat/>
    <w:uiPriority w:val="99"/>
  </w:style>
  <w:style w:type="character" w:customStyle="1" w:styleId="59">
    <w:name w:val="Caption Char"/>
    <w:qFormat/>
    <w:uiPriority w:val="99"/>
  </w:style>
  <w:style w:type="table" w:customStyle="1" w:styleId="60">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1">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1 Light - Accent 1"/>
    <w:basedOn w:val="3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68">
    <w:name w:val="Grid Table 1 Light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9">
    <w:name w:val="Grid Table 1 Light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70">
    <w:name w:val="Grid Table 1 Light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71">
    <w:name w:val="Grid Table 1 Light - Accent 5"/>
    <w:basedOn w:val="3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72">
    <w:name w:val="Grid Table 1 Light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73">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4">
    <w:name w:val="Grid Table 2 - Accent 1"/>
    <w:basedOn w:val="3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5">
    <w:name w:val="Grid Table 2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6">
    <w:name w:val="Grid Table 2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77">
    <w:name w:val="Grid Table 2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78">
    <w:name w:val="Grid Table 2 - Accent 5"/>
    <w:basedOn w:val="3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79">
    <w:name w:val="Grid Table 2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0">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3 - Accent 1"/>
    <w:basedOn w:val="3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82">
    <w:name w:val="Grid Table 3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3">
    <w:name w:val="Grid Table 3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4">
    <w:name w:val="Grid Table 3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5">
    <w:name w:val="Grid Table 3 - Accent 5"/>
    <w:basedOn w:val="3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6">
    <w:name w:val="Grid Table 3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7">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4 - Accent 1"/>
    <w:basedOn w:val="32"/>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89">
    <w:name w:val="Grid Table 4 - Accent 2"/>
    <w:basedOn w:val="3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0">
    <w:name w:val="Grid Table 4 - Accent 3"/>
    <w:basedOn w:val="3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1">
    <w:name w:val="Grid Table 4 - Accent 4"/>
    <w:basedOn w:val="3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2">
    <w:name w:val="Grid Table 4 - Accent 5"/>
    <w:basedOn w:val="32"/>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93">
    <w:name w:val="Grid Table 4 - Accent 6"/>
    <w:basedOn w:val="3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4">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5">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96">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97">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98">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99">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00">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01">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6 Colorful - Accent 1"/>
    <w:basedOn w:val="32"/>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3">
    <w:name w:val="Grid Table 6 Colorful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4">
    <w:name w:val="Grid Table 6 Colorful - Accent 3"/>
    <w:basedOn w:val="3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5">
    <w:name w:val="Grid Table 6 Colorful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6">
    <w:name w:val="Grid Table 6 Colorful - Accent 5"/>
    <w:basedOn w:val="32"/>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07">
    <w:name w:val="Grid Table 6 Colorful - Accent 6"/>
    <w:basedOn w:val="3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08">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9">
    <w:name w:val="Grid Table 7 Colorful - Accent 1"/>
    <w:basedOn w:val="32"/>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10">
    <w:name w:val="Grid Table 7 Colorful - Accent 2"/>
    <w:basedOn w:val="3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11">
    <w:name w:val="Grid Table 7 Colorful - Accent 3"/>
    <w:basedOn w:val="3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12">
    <w:name w:val="Grid Table 7 Colorful - Accent 4"/>
    <w:basedOn w:val="3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3">
    <w:name w:val="Grid Table 7 Colorful - Accent 5"/>
    <w:basedOn w:val="32"/>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4">
    <w:name w:val="Grid Table 7 Colorful - Accent 6"/>
    <w:basedOn w:val="3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15">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6">
    <w:name w:val="List Table 1 Light - Accent 1"/>
    <w:basedOn w:val="32"/>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17">
    <w:name w:val="List Table 1 Light - Accent 2"/>
    <w:basedOn w:val="3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18">
    <w:name w:val="List Table 1 Light - Accent 3"/>
    <w:basedOn w:val="3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19">
    <w:name w:val="List Table 1 Light - Accent 4"/>
    <w:basedOn w:val="3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20">
    <w:name w:val="List Table 1 Light - Accent 5"/>
    <w:basedOn w:val="32"/>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21">
    <w:name w:val="List Table 1 Light - Accent 6"/>
    <w:basedOn w:val="32"/>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22">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3">
    <w:name w:val="List Table 2 - Accent 1"/>
    <w:basedOn w:val="32"/>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24">
    <w:name w:val="List Table 2 - Accent 2"/>
    <w:basedOn w:val="3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25">
    <w:name w:val="List Table 2 - Accent 3"/>
    <w:basedOn w:val="3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26">
    <w:name w:val="List Table 2 - Accent 4"/>
    <w:basedOn w:val="3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27">
    <w:name w:val="List Table 2 - Accent 5"/>
    <w:basedOn w:val="32"/>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28">
    <w:name w:val="List Table 2 - Accent 6"/>
    <w:basedOn w:val="3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29">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0">
    <w:name w:val="List Table 3 - Accent 1"/>
    <w:basedOn w:val="32"/>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31">
    <w:name w:val="List Table 3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32">
    <w:name w:val="List Table 3 - Accent 3"/>
    <w:basedOn w:val="3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33">
    <w:name w:val="List Table 3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4">
    <w:name w:val="List Table 3 - Accent 5"/>
    <w:basedOn w:val="32"/>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35">
    <w:name w:val="List Table 3 - Accent 6"/>
    <w:basedOn w:val="3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6">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7">
    <w:name w:val="List Table 4 - Accent 1"/>
    <w:basedOn w:val="32"/>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38">
    <w:name w:val="List Table 4 - Accent 2"/>
    <w:basedOn w:val="3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9">
    <w:name w:val="List Table 4 - Accent 3"/>
    <w:basedOn w:val="3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40">
    <w:name w:val="List Table 4 - Accent 4"/>
    <w:basedOn w:val="3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41">
    <w:name w:val="List Table 4 - Accent 5"/>
    <w:basedOn w:val="32"/>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42">
    <w:name w:val="List Table 4 - Accent 6"/>
    <w:basedOn w:val="3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43">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4">
    <w:name w:val="List Table 5 Dark - Accent 1"/>
    <w:basedOn w:val="32"/>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45">
    <w:name w:val="List Table 5 Dark - Accent 2"/>
    <w:basedOn w:val="3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46">
    <w:name w:val="List Table 5 Dark - Accent 3"/>
    <w:basedOn w:val="3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47">
    <w:name w:val="List Table 5 Dark - Accent 4"/>
    <w:basedOn w:val="3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48">
    <w:name w:val="List Table 5 Dark - Accent 5"/>
    <w:basedOn w:val="32"/>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49">
    <w:name w:val="List Table 5 Dark - Accent 6"/>
    <w:basedOn w:val="3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50">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1">
    <w:name w:val="List Table 6 Colorful - Accent 1"/>
    <w:basedOn w:val="32"/>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2">
    <w:name w:val="List Table 6 Colorful - Accent 2"/>
    <w:basedOn w:val="3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3">
    <w:name w:val="List Table 6 Colorful - Accent 3"/>
    <w:basedOn w:val="3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4">
    <w:name w:val="List Table 6 Colorful - Accent 4"/>
    <w:basedOn w:val="3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5">
    <w:name w:val="List Table 6 Colorful - Accent 5"/>
    <w:basedOn w:val="32"/>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6">
    <w:name w:val="List Table 6 Colorful - Accent 6"/>
    <w:basedOn w:val="3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7">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8">
    <w:name w:val="List Table 7 Colorful - Accent 1"/>
    <w:basedOn w:val="32"/>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9">
    <w:name w:val="List Table 7 Colorful - Accent 2"/>
    <w:basedOn w:val="3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0">
    <w:name w:val="List Table 7 Colorful - Accent 3"/>
    <w:basedOn w:val="3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61">
    <w:name w:val="List Table 7 Colorful - Accent 4"/>
    <w:basedOn w:val="3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2">
    <w:name w:val="List Table 7 Colorful - Accent 5"/>
    <w:basedOn w:val="32"/>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63">
    <w:name w:val="List Table 7 Colorful - Accent 6"/>
    <w:basedOn w:val="3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4">
    <w:name w:val="Lined - Accent"/>
    <w:basedOn w:val="3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5">
    <w:name w:val="Lined - Accent 1"/>
    <w:basedOn w:val="32"/>
    <w:qFormat/>
    <w:uiPriority w:val="99"/>
    <w:pPr>
      <w:spacing w:after="0" w:line="240" w:lineRule="auto"/>
    </w:pPr>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6">
    <w:name w:val="Lined - Accent 2"/>
    <w:basedOn w:val="32"/>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67">
    <w:name w:val="Lined - Accent 3"/>
    <w:basedOn w:val="32"/>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68">
    <w:name w:val="Lined - Accent 4"/>
    <w:basedOn w:val="32"/>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69">
    <w:name w:val="Lined - Accent 5"/>
    <w:basedOn w:val="32"/>
    <w:qFormat/>
    <w:uiPriority w:val="99"/>
    <w:pPr>
      <w:spacing w:after="0" w:line="240" w:lineRule="auto"/>
    </w:pPr>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0">
    <w:name w:val="Lined - Accent 6"/>
    <w:basedOn w:val="32"/>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1">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Bordered &amp; Lined - Accent 1"/>
    <w:basedOn w:val="32"/>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73">
    <w:name w:val="Bordered &amp; Lined - Accent 2"/>
    <w:basedOn w:val="3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4">
    <w:name w:val="Bordered &amp; Lined - Accent 3"/>
    <w:basedOn w:val="3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5">
    <w:name w:val="Bordered &amp; Lined - Accent 4"/>
    <w:basedOn w:val="3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6">
    <w:name w:val="Bordered &amp; Lined - Accent 5"/>
    <w:basedOn w:val="32"/>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7">
    <w:name w:val="Bordered &amp; Lined - Accent 6"/>
    <w:basedOn w:val="3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8">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9">
    <w:name w:val="Bordered - Accent 1"/>
    <w:basedOn w:val="3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80">
    <w:name w:val="Bordered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81">
    <w:name w:val="Bordered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82">
    <w:name w:val="Bordered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83">
    <w:name w:val="Bordered - Accent 5"/>
    <w:basedOn w:val="3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4">
    <w:name w:val="Bordered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5">
    <w:name w:val="Footnote Text Char"/>
    <w:link w:val="24"/>
    <w:qFormat/>
    <w:uiPriority w:val="99"/>
    <w:rPr>
      <w:sz w:val="18"/>
    </w:rPr>
  </w:style>
  <w:style w:type="character" w:customStyle="1" w:styleId="186">
    <w:name w:val="Endnote Text Char"/>
    <w:link w:val="18"/>
    <w:qFormat/>
    <w:uiPriority w:val="99"/>
    <w:rPr>
      <w:sz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页眉 Char"/>
    <w:basedOn w:val="34"/>
    <w:link w:val="20"/>
    <w:qFormat/>
    <w:uiPriority w:val="0"/>
    <w:rPr>
      <w:rFonts w:asciiTheme="minorHAnsi" w:hAnsiTheme="minorHAnsi" w:eastAsiaTheme="minorEastAsia" w:cstheme="minorBidi"/>
      <w:sz w:val="18"/>
      <w:szCs w:val="18"/>
    </w:rPr>
  </w:style>
  <w:style w:type="character" w:customStyle="1" w:styleId="189">
    <w:name w:val="页脚 Char"/>
    <w:basedOn w:val="34"/>
    <w:link w:val="19"/>
    <w:qFormat/>
    <w:uiPriority w:val="0"/>
    <w:rPr>
      <w:rFonts w:asciiTheme="minorHAnsi" w:hAnsiTheme="minorHAnsi" w:eastAsiaTheme="minorEastAsia" w:cstheme="minorBidi"/>
      <w:sz w:val="18"/>
      <w:szCs w:val="18"/>
    </w:rPr>
  </w:style>
  <w:style w:type="character" w:customStyle="1" w:styleId="190">
    <w:name w:val="NormalCharacter"/>
    <w:qFormat/>
    <w:uiPriority w:val="0"/>
    <w:rPr>
      <w:sz w:val="21"/>
      <w:szCs w:val="24"/>
      <w:lang w:val="en-US" w:eastAsia="zh-CN" w:bidi="ar-SA"/>
    </w:rPr>
  </w:style>
  <w:style w:type="character" w:customStyle="1" w:styleId="191">
    <w:name w:val="fontstyle01"/>
    <w:qFormat/>
    <w:uiPriority w:val="0"/>
    <w:rPr>
      <w:rFonts w:hint="eastAsia" w:ascii="宋体" w:hAnsi="宋体" w:eastAsia="宋体"/>
      <w:color w:val="000000"/>
      <w:sz w:val="22"/>
      <w:szCs w:val="22"/>
    </w:rPr>
  </w:style>
  <w:style w:type="table" w:customStyle="1" w:styleId="192">
    <w:name w:val="Table Normal"/>
    <w:semiHidden/>
    <w:unhideWhenUsed/>
    <w:qFormat/>
    <w:uiPriority w:val="0"/>
    <w:tblPr>
      <w:tblCellMar>
        <w:top w:w="0" w:type="dxa"/>
        <w:left w:w="0" w:type="dxa"/>
        <w:bottom w:w="0" w:type="dxa"/>
        <w:right w:w="0" w:type="dxa"/>
      </w:tblCellMar>
    </w:tblPr>
  </w:style>
  <w:style w:type="paragraph" w:customStyle="1" w:styleId="193">
    <w:name w:val="Table Text"/>
    <w:basedOn w:val="1"/>
    <w:semiHidden/>
    <w:qFormat/>
    <w:uiPriority w:val="0"/>
    <w:rPr>
      <w:rFonts w:ascii="宋体" w:hAnsi="宋体" w:eastAsia="宋体" w:cs="宋体"/>
      <w:sz w:val="19"/>
      <w:szCs w:val="19"/>
      <w:lang w:val="en-US" w:eastAsia="en-US" w:bidi="ar-SA"/>
    </w:rPr>
  </w:style>
  <w:style w:type="paragraph" w:customStyle="1" w:styleId="194">
    <w:name w:val="正文 A"/>
    <w:qFormat/>
    <w:uiPriority w:val="0"/>
    <w:pPr>
      <w:widowControl w:val="0"/>
      <w:jc w:val="both"/>
    </w:pPr>
    <w:rPr>
      <w:rFonts w:hint="default" w:ascii="Arial Unicode MS" w:hAnsi="Arial Unicode MS" w:eastAsia="Arial Unicode MS" w:cs="Arial Unicode MS"/>
      <w:color w:val="000000"/>
      <w:sz w:val="21"/>
      <w:szCs w:val="21"/>
      <w:u w:val="none"/>
      <w:lang w:val="en-US" w:eastAsia="zh-CN" w:bidi="ar-SA"/>
    </w:rPr>
  </w:style>
  <w:style w:type="character" w:customStyle="1" w:styleId="195">
    <w:name w:val="标题 2 Char"/>
    <w:qFormat/>
    <w:uiPriority w:val="0"/>
    <w:rPr>
      <w:rFonts w:ascii="Arial" w:hAnsi="Arial" w:eastAsia="宋体" w:cs="Times New Roman"/>
      <w:b/>
      <w:bCs/>
      <w:sz w:val="28"/>
      <w:szCs w:val="32"/>
      <w:lang w:val="en-US" w:eastAsia="zh-CN" w:bidi="ar-SA"/>
    </w:rPr>
  </w:style>
  <w:style w:type="paragraph" w:customStyle="1" w:styleId="196">
    <w:name w:val="正文首行缩进 21"/>
    <w:basedOn w:val="197"/>
    <w:qFormat/>
    <w:uiPriority w:val="0"/>
    <w:pPr>
      <w:ind w:firstLine="420"/>
    </w:pPr>
  </w:style>
  <w:style w:type="paragraph" w:customStyle="1" w:styleId="197">
    <w:name w:val="正文文本缩进1"/>
    <w:basedOn w:val="1"/>
    <w:qFormat/>
    <w:uiPriority w:val="0"/>
    <w:pPr>
      <w:spacing w:after="120"/>
      <w:ind w:left="420"/>
    </w:pPr>
    <w:rPr>
      <w:rFonts w:ascii="Calibri" w:hAnsi="Calibri" w:eastAsia="Calibri" w:cs="宋体"/>
      <w:position w:val="0"/>
      <w:sz w:val="20"/>
      <w:szCs w:val="24"/>
      <w:lang w:val="zh-CN"/>
    </w:rPr>
  </w:style>
  <w:style w:type="paragraph" w:customStyle="1" w:styleId="198">
    <w:name w:val="纯文本1"/>
    <w:basedOn w:val="1"/>
    <w:qFormat/>
    <w:uiPriority w:val="0"/>
    <w:rPr>
      <w:rFonts w:hAnsi="宋体" w:eastAsia="楷体_GB2312" w:cs="宋体"/>
      <w:position w:val="0"/>
      <w:sz w:val="28"/>
      <w:lang w:val="zh-CN"/>
    </w:rPr>
  </w:style>
  <w:style w:type="paragraph" w:customStyle="1" w:styleId="199">
    <w:name w:val="普通(网站)11"/>
    <w:basedOn w:val="1"/>
    <w:qFormat/>
    <w:uiPriority w:val="0"/>
    <w:pPr>
      <w:spacing w:beforeAutospacing="1" w:afterAutospacing="1"/>
      <w:jc w:val="left"/>
    </w:pPr>
    <w:rPr>
      <w:sz w:val="24"/>
    </w:rPr>
  </w:style>
  <w:style w:type="paragraph" w:customStyle="1" w:styleId="200">
    <w:name w:val="普通(网站)12"/>
    <w:basedOn w:val="1"/>
    <w:unhideWhenUsed/>
    <w:qFormat/>
    <w:uiPriority w:val="0"/>
    <w:pPr>
      <w:widowControl/>
      <w:spacing w:before="100" w:beforeAutospacing="1" w:after="100" w:afterAutospacing="1"/>
      <w:jc w:val="left"/>
    </w:pPr>
    <w:rPr>
      <w:rFonts w:ascii="Times New Roman" w:hAnsi="Times New Roman" w:eastAsia="Times New Roman" w:cs="Times New Roman"/>
      <w:kern w:val="0"/>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50</Pages>
  <Words>16227</Words>
  <Characters>17580</Characters>
  <TotalTime>52</TotalTime>
  <ScaleCrop>false</ScaleCrop>
  <LinksUpToDate>false</LinksUpToDate>
  <CharactersWithSpaces>17894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正式环境陈艳测试账号</dc:creator>
  <cp:lastModifiedBy>๓°莫离এ⁵²º</cp:lastModifiedBy>
  <cp:lastPrinted>2026-10-19T00:48:01Z</cp:lastPrinted>
  <dcterms:modified xsi:type="dcterms:W3CDTF">2026-10-19T06:03:16Z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07E9D71019F448BEB89034DE8E5942E4_13</vt:lpwstr>
  </property>
  <property fmtid="{D5CDD505-2E9C-101B-9397-08002B2CF9AE}" pid="4" name="KSOTemplateDocerSaveRecord">
    <vt:lpwstr>eyJoZGlkIjoiZDVhN2MzOTM1NzExMjEyY2YwOTE5ZTllYjdiNTA3YWIiLCJ1c2VySWQiOiIxMDQ5NDQxODEwIn0=</vt:lpwstr>
  </property>
</Properties>
</file>