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rPr>
      </w:pPr>
      <w:r>
        <w:rPr>
          <w:rFonts w:hint="eastAsia" w:eastAsia="黑体"/>
          <w:b/>
          <w:bCs/>
          <w:sz w:val="84"/>
        </w:rPr>
      </w:r>
      <w:r/>
    </w:p>
    <w:p>
      <w:pPr>
        <w:pStyle w:val="977"/>
        <w:ind w:firstLine="0"/>
        <w:jc w:val="center"/>
        <w:rPr>
          <w:rFonts w:hint="eastAsia" w:eastAsia="黑体"/>
          <w:b/>
          <w:bCs/>
          <w:sz w:val="84"/>
        </w:rPr>
      </w:pPr>
      <w:r>
        <w:rPr>
          <w:rFonts w:hint="eastAsia" w:eastAsia="黑体"/>
          <w:b/>
          <w:bCs/>
          <w:sz w:val="84"/>
        </w:rPr>
        <w:t xml:space="preserve">招　标　文　件</w:t>
      </w:r>
      <w:r/>
    </w:p>
    <w:p>
      <w:pPr>
        <w:pStyle w:val="977"/>
        <w:ind w:firstLine="0"/>
        <w:jc w:val="center"/>
        <w:rPr>
          <w:rFonts w:hint="eastAsia"/>
          <w:b/>
          <w:bCs/>
          <w:sz w:val="32"/>
        </w:rPr>
      </w:pPr>
      <w:r>
        <w:rPr>
          <w:rFonts w:hint="eastAsia"/>
          <w:b/>
          <w:bCs/>
          <w:sz w:val="32"/>
        </w:rPr>
      </w:r>
      <w:r/>
    </w:p>
    <w:p>
      <w:pPr>
        <w:pStyle w:val="977"/>
        <w:ind w:firstLine="0"/>
        <w:jc w:val="center"/>
        <w:rPr>
          <w:rFonts w:hint="eastAsia"/>
          <w:b/>
          <w:bCs/>
          <w:sz w:val="32"/>
        </w:rPr>
      </w:pPr>
      <w:r>
        <w:rPr>
          <w:rFonts w:hint="eastAsia"/>
          <w:b/>
          <w:bCs/>
          <w:sz w:val="32"/>
        </w:rPr>
      </w:r>
      <w:r/>
    </w:p>
    <w:p>
      <w:pPr>
        <w:pStyle w:val="977"/>
        <w:ind w:firstLine="0"/>
        <w:jc w:val="center"/>
        <w:rPr>
          <w:rFonts w:hint="eastAsia"/>
          <w:b/>
          <w:bCs/>
          <w:sz w:val="32"/>
        </w:rPr>
      </w:pPr>
      <w:r>
        <w:rPr>
          <w:rFonts w:hint="eastAsia"/>
          <w:b/>
          <w:bCs/>
          <w:sz w:val="32"/>
        </w:rPr>
        <w:t xml:space="preserve">项目名称：</w:t>
      </w:r>
      <w:r>
        <w:rPr>
          <w:b/>
          <w:bCs/>
          <w:sz w:val="32"/>
        </w:rPr>
        <w:t xml:space="preserve">江苏省人民医院算力服务采购</w:t>
      </w:r>
      <w:r>
        <w:rPr>
          <w:rFonts w:hint="eastAsia"/>
          <w:b/>
          <w:bCs/>
          <w:sz w:val="32"/>
        </w:rPr>
      </w:r>
      <w:r/>
    </w:p>
    <w:p>
      <w:pPr>
        <w:pStyle w:val="977"/>
        <w:ind w:firstLine="0"/>
        <w:jc w:val="center"/>
        <w:rPr>
          <w:b/>
          <w:bCs/>
          <w:sz w:val="32"/>
        </w:rPr>
      </w:pPr>
      <w:r>
        <w:rPr>
          <w:rFonts w:hint="eastAsia"/>
          <w:b/>
          <w:bCs/>
          <w:sz w:val="32"/>
        </w:rPr>
        <w:t xml:space="preserve">采购编号：</w:t>
      </w:r>
      <w:r>
        <w:rPr>
          <w:b/>
          <w:bCs/>
          <w:sz w:val="32"/>
        </w:rPr>
        <w:t xml:space="preserve">JSZC-320000-SCZX-G2026-0516</w:t>
      </w:r>
      <w:r/>
    </w:p>
    <w:p>
      <w:pPr>
        <w:pStyle w:val="977"/>
        <w:ind w:firstLine="0"/>
        <w:jc w:val="center"/>
        <w:rPr>
          <w:rFonts w:hint="eastAsia"/>
          <w:b/>
          <w:bCs/>
          <w:sz w:val="32"/>
        </w:rPr>
      </w:pPr>
      <w:r>
        <w:rPr>
          <w:rFonts w:hint="eastAsia"/>
          <w:b/>
          <w:bCs/>
          <w:sz w:val="32"/>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b/>
          <w:bCs/>
          <w:sz w:val="32"/>
        </w:rPr>
      </w:pPr>
      <w:r>
        <w:rPr>
          <w:rFonts w:hint="eastAsia"/>
          <w:b/>
          <w:bCs/>
          <w:sz w:val="32"/>
        </w:rPr>
        <w:t xml:space="preserve">江苏省政府采购中心</w:t>
      </w:r>
      <w:r/>
    </w:p>
    <w:p>
      <w:pPr>
        <w:pStyle w:val="977"/>
        <w:ind w:firstLine="0"/>
        <w:jc w:val="center"/>
        <w:rPr>
          <w:rFonts w:hint="eastAsia"/>
          <w:b/>
          <w:bCs/>
          <w:sz w:val="32"/>
        </w:rPr>
      </w:pPr>
      <w:r>
        <w:rPr>
          <w:rFonts w:hint="eastAsia"/>
          <w:b/>
          <w:bCs/>
          <w:sz w:val="32"/>
        </w:rPr>
        <w:t xml:space="preserve">2026年10月</w:t>
      </w:r>
      <w:r/>
    </w:p>
    <w:p>
      <w:pPr>
        <w:pStyle w:val="977"/>
        <w:ind w:firstLine="0"/>
        <w:rPr>
          <w:rFonts w:hint="eastAsia"/>
          <w:u w:val="single"/>
        </w:rPr>
      </w:pPr>
      <w:r>
        <w:rPr>
          <w:rFonts w:hint="eastAsia"/>
        </w:rPr>
        <w:t xml:space="preserve">                        </w:t>
      </w:r>
      <w:r>
        <w:rPr>
          <w:rFonts w:hint="eastAsia"/>
          <w:u w:val="single"/>
        </w:rPr>
      </w:r>
      <w:r/>
    </w:p>
    <w:p>
      <w:pPr>
        <w:pStyle w:val="977"/>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4"/>
        </w:numPr>
        <w:spacing w:line="480" w:lineRule="auto"/>
        <w:tabs>
          <w:tab w:val="clear"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szCs w:val="36"/>
        </w:rPr>
        <w:t xml:space="preserve">30</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………………………………35</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ascii="Segoe UI" w:hAnsi="Segoe UI" w:cs="Segoe UI"/>
          <w:sz w:val="23"/>
          <w:szCs w:val="23"/>
        </w:rPr>
        <w:t xml:space="preserve">江苏省人民医院</w:t>
      </w:r>
      <w:r>
        <w:rPr>
          <w:rFonts w:hint="eastAsia" w:ascii="宋体" w:hAnsi="宋体"/>
          <w:sz w:val="24"/>
          <w:szCs w:val="24"/>
        </w:rPr>
        <w:t xml:space="preserve">的委托，江苏省政府采购中心就</w:t>
      </w:r>
      <w:r>
        <w:rPr>
          <w:rFonts w:ascii="宋体" w:hAnsi="宋体"/>
          <w:sz w:val="24"/>
          <w:szCs w:val="24"/>
        </w:rPr>
        <w:t xml:space="preserve">江苏省人民医院算力服务采购</w:t>
      </w:r>
      <w:r>
        <w:rPr>
          <w:rFonts w:hint="eastAsia" w:ascii="Segoe UI" w:hAnsi="Segoe UI" w:cs="Segoe UI"/>
          <w:sz w:val="23"/>
          <w:szCs w:val="23"/>
        </w:rPr>
        <w:t xml:space="preserve">(</w:t>
      </w:r>
      <w:r>
        <w:rPr>
          <w:rFonts w:ascii="Segoe UI" w:hAnsi="Segoe UI" w:cs="Segoe UI"/>
          <w:sz w:val="23"/>
          <w:szCs w:val="23"/>
        </w:rPr>
        <w:t xml:space="preserve">JSZC-320000-SCZX-G2026-0516</w:t>
      </w:r>
      <w:r>
        <w:rPr>
          <w:rFonts w:hint="eastAsia" w:ascii="Segoe UI" w:hAnsi="Segoe UI" w:cs="Segoe UI"/>
          <w:sz w:val="23"/>
          <w:szCs w:val="23"/>
        </w:rPr>
        <w:t xml:space="preserve">)项目</w:t>
      </w:r>
      <w:r>
        <w:rPr>
          <w:rFonts w:hint="eastAsia" w:ascii="宋体" w:hAnsi="宋体"/>
          <w:sz w:val="24"/>
          <w:szCs w:val="24"/>
        </w:rPr>
        <w:t xml:space="preserve">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江苏省人民医院算力服务采购</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年11月24日9点30分（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JSZC-320000-SCZX-G2026-0516</w:t>
      </w:r>
      <w:r>
        <w:rPr>
          <w:rFonts w:hint="eastAsia" w:ascii="宋体" w:hAnsi="宋体"/>
          <w:sz w:val="24"/>
          <w:szCs w:val="24"/>
        </w:rPr>
        <w:t xml:space="preserve">  </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江苏省人民医院算力服务采购</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12"/>
        <w:gridCol w:w="3798"/>
      </w:tblGrid>
      <w:tr>
        <w:trPr/>
        <w:tc>
          <w:tcPr>
            <w:tcW w:w="4012" w:type="dxa"/>
            <w:vAlign w:val="center"/>
            <w:textDirection w:val="lrTb"/>
            <w:noWrap w:val="false"/>
          </w:tcPr>
          <w:p>
            <w:pPr>
              <w:pStyle w:val="889"/>
              <w:jc w:val="center"/>
              <w:spacing w:line="360" w:lineRule="exact"/>
              <w:rPr>
                <w:rFonts w:hint="eastAsia" w:ascii="宋体" w:hAnsi="宋体" w:eastAsia="等线"/>
                <w:sz w:val="24"/>
                <w:szCs w:val="28"/>
              </w:rPr>
            </w:pPr>
            <w:r>
              <w:rPr>
                <w:rFonts w:hint="eastAsia" w:ascii="宋体" w:hAnsi="宋体" w:eastAsia="等线"/>
                <w:sz w:val="24"/>
                <w:szCs w:val="28"/>
              </w:rPr>
              <w:t xml:space="preserve">项目名称</w:t>
            </w:r>
            <w:r/>
          </w:p>
        </w:tc>
        <w:tc>
          <w:tcPr>
            <w:tcW w:w="3798" w:type="dxa"/>
            <w:vAlign w:val="center"/>
            <w:textDirection w:val="lrTb"/>
            <w:noWrap w:val="false"/>
          </w:tcPr>
          <w:p>
            <w:pPr>
              <w:pStyle w:val="889"/>
              <w:jc w:val="center"/>
              <w:spacing w:line="360" w:lineRule="exact"/>
              <w:rPr>
                <w:rFonts w:hint="eastAsia" w:ascii="宋体" w:hAnsi="宋体" w:eastAsia="等线"/>
                <w:sz w:val="24"/>
                <w:szCs w:val="28"/>
              </w:rPr>
            </w:pPr>
            <w:r>
              <w:rPr>
                <w:rFonts w:hint="eastAsia" w:ascii="宋体" w:hAnsi="宋体" w:eastAsia="等线"/>
                <w:sz w:val="24"/>
                <w:szCs w:val="28"/>
              </w:rPr>
              <w:t xml:space="preserve">预算金额</w:t>
            </w:r>
            <w:r/>
          </w:p>
        </w:tc>
      </w:tr>
      <w:tr>
        <w:trPr/>
        <w:tc>
          <w:tcPr>
            <w:tcW w:w="4012"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江苏省人民医院算力服务采购</w:t>
            </w:r>
            <w:r>
              <w:rPr>
                <w:rFonts w:hint="eastAsia" w:ascii="宋体" w:hAnsi="宋体"/>
                <w:sz w:val="24"/>
                <w:szCs w:val="24"/>
              </w:rPr>
            </w:r>
            <w:r/>
          </w:p>
        </w:tc>
        <w:tc>
          <w:tcPr>
            <w:tcW w:w="3798" w:type="dxa"/>
            <w:vAlign w:val="top"/>
            <w:textDirection w:val="lrTb"/>
            <w:noWrap w:val="false"/>
          </w:tcPr>
          <w:p>
            <w:pPr>
              <w:pStyle w:val="889"/>
              <w:jc w:val="center"/>
              <w:spacing w:line="360" w:lineRule="exact"/>
              <w:rPr>
                <w:rFonts w:hint="eastAsia" w:ascii="宋体" w:hAnsi="宋体" w:eastAsia="等线"/>
              </w:rPr>
            </w:pPr>
            <w:r>
              <w:rPr>
                <w:rFonts w:hint="eastAsia" w:ascii="宋体" w:hAnsi="宋体" w:eastAsia="等线"/>
              </w:rPr>
              <w:t xml:space="preserve">3年1087.8万元</w:t>
            </w:r>
            <w:r/>
          </w:p>
          <w:p>
            <w:pPr>
              <w:pStyle w:val="889"/>
              <w:jc w:val="center"/>
              <w:spacing w:line="400" w:lineRule="exact"/>
              <w:rPr>
                <w:rFonts w:hint="eastAsia" w:ascii="宋体" w:hAnsi="宋体"/>
                <w:sz w:val="24"/>
                <w:szCs w:val="24"/>
              </w:rPr>
            </w:pPr>
            <w:r>
              <w:rPr>
                <w:rFonts w:hint="eastAsia" w:ascii="宋体" w:hAnsi="宋体" w:eastAsia="等线"/>
              </w:rPr>
              <w:t xml:space="preserve">（362.6万元/年）</w:t>
            </w:r>
            <w:r>
              <w:rPr>
                <w:rFonts w:hint="eastAsia" w:ascii="宋体" w:hAnsi="宋体"/>
                <w:sz w:val="24"/>
                <w:szCs w:val="24"/>
              </w:rPr>
            </w:r>
            <w:r/>
          </w:p>
        </w:tc>
      </w:tr>
    </w:tbl>
    <w:p>
      <w:pPr>
        <w:pStyle w:val="889"/>
        <w:ind w:firstLine="480"/>
        <w:spacing w:line="400" w:lineRule="exact"/>
        <w:rPr>
          <w:rFonts w:hint="eastAsia" w:ascii="宋体" w:hAnsi="宋体"/>
          <w:b/>
          <w:sz w:val="24"/>
          <w:szCs w:val="24"/>
        </w:rPr>
      </w:pPr>
      <w:r>
        <w:rPr>
          <w:rFonts w:hint="eastAsia" w:ascii="宋体" w:hAnsi="宋体"/>
          <w:sz w:val="24"/>
          <w:szCs w:val="24"/>
        </w:rPr>
        <w:t xml:space="preserve">4.最高限价：</w:t>
      </w:r>
      <w:r>
        <w:rPr>
          <w:rFonts w:hint="eastAsia" w:ascii="宋体" w:hAnsi="宋体"/>
          <w:b/>
          <w:sz w:val="24"/>
          <w:szCs w:val="24"/>
        </w:rPr>
        <w:t xml:space="preserve">362.6万元/年</w:t>
      </w:r>
      <w:r/>
    </w:p>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5.采购需求（简介）：为落实国家 “人工智能+医疗健康”建设相关政策要求，支撑我院电子病历提质、影像辅助诊断、临床决策、医疗大数据科研、运营分析等数智化业务落地，采用主流算力平台服务，规划建成总规模达16PFLOPS统一算力资源池。</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6.合同履行期限：预算充足情况下服务期3年（合同一年一签）。</w:t>
      </w:r>
      <w:r>
        <w:rPr>
          <w:rFonts w:ascii="宋体" w:hAnsi="宋体"/>
          <w:sz w:val="24"/>
          <w:szCs w:val="24"/>
          <w:u w:val="single"/>
        </w:rPr>
      </w:r>
      <w:r/>
    </w:p>
    <w:p>
      <w:pPr>
        <w:pStyle w:val="892"/>
        <w:ind w:firstLine="498"/>
        <w:spacing w:before="145" w:after="145" w:line="400" w:lineRule="exact"/>
      </w:pPr>
      <w:r/>
      <w:bookmarkStart w:id="12" w:name="_Toc28359003"/>
      <w:r/>
      <w:bookmarkStart w:id="13" w:name="_Toc35393622"/>
      <w:r/>
      <w:bookmarkStart w:id="14" w:name="_Toc28359080"/>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pStyle w:val="889"/>
        <w:ind w:firstLine="480"/>
        <w:spacing w:line="400" w:lineRule="exact"/>
        <w:rPr>
          <w:rFonts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9"/>
        <w:ind w:firstLine="420"/>
        <w:spacing w:line="400" w:lineRule="exact"/>
        <w:rPr>
          <w:rFonts w:ascii="宋体" w:hAnsi="宋体"/>
        </w:rPr>
      </w:pPr>
      <w:r>
        <w:rPr>
          <w:rFonts w:hint="eastAsia" w:ascii="宋体" w:hAnsi="宋体"/>
        </w:rPr>
        <w:t xml:space="preserve">无</w:t>
      </w:r>
      <w:r>
        <w:rPr>
          <w:rFonts w:ascii="宋体" w:hAnsi="宋体"/>
        </w:rPr>
      </w:r>
      <w:r/>
    </w:p>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1.2026年11月24日9点30分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38985267"/>
      <w:r/>
      <w:bookmarkStart w:id="30" w:name="_Toc3539379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8985269"/>
      <w:r/>
      <w:bookmarkStart w:id="36" w:name="_Toc28359008"/>
      <w:r/>
      <w:bookmarkStart w:id="37" w:name="_Toc28359085"/>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江苏省人民医院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地址：　</w:t>
      </w:r>
      <w:r>
        <w:rPr>
          <w:rFonts w:hint="eastAsia" w:ascii="宋体" w:hAnsi="宋体"/>
          <w:sz w:val="24"/>
          <w:szCs w:val="24"/>
          <w:u w:val="single"/>
        </w:rPr>
        <w:t xml:space="preserve">　江苏省南京市广州路300号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蔡老师  </w:t>
      </w:r>
      <w:r>
        <w:rPr>
          <w:rFonts w:ascii="宋体" w:hAnsi="宋体"/>
          <w:sz w:val="24"/>
          <w:szCs w:val="24"/>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025-68303888  </w:t>
      </w:r>
      <w:bookmarkStart w:id="40" w:name="_Toc28359086"/>
      <w:r/>
      <w:bookmarkStart w:id="41" w:name="_Toc28359009"/>
      <w:r>
        <w:rPr>
          <w:rFonts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3"/>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3"/>
        <w:ind w:firstLine="422"/>
        <w:spacing w:before="0" w:after="0" w:line="400" w:lineRule="exact"/>
        <w:rPr>
          <w:rFonts w:hint="eastAsia" w:cs="Arial"/>
          <w:lang w:eastAsia="zh-CN"/>
        </w:rPr>
      </w:pPr>
      <w:r/>
      <w:bookmarkStart w:id="61" w:name="_Toc513029206"/>
      <w:r/>
      <w:bookmarkStart w:id="62" w:name="_Toc16938522"/>
      <w:r/>
      <w:bookmarkStart w:id="63" w:name="_Toc20823278"/>
      <w:r>
        <w:rPr>
          <w:rFonts w:hint="eastAsia" w:cs="Arial"/>
        </w:rPr>
        <w:t xml:space="preserve">3、适用法律</w:t>
      </w:r>
      <w:bookmarkEnd w:id="61"/>
      <w:r/>
      <w:bookmarkEnd w:id="62"/>
      <w:r/>
      <w:bookmarkEnd w:id="63"/>
      <w:r>
        <w:rPr>
          <w:rFonts w:hint="eastAsia" w:cs="Arial"/>
          <w:lang w:eastAsia="zh-CN"/>
        </w:rPr>
        <w:t xml:space="preserve">和标准</w:t>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9"/>
        <w:ind w:firstLine="420"/>
        <w:spacing w:line="400" w:lineRule="exact"/>
        <w:rPr>
          <w:rFonts w:hint="eastAsia" w:ascii="宋体" w:hAnsi="宋体"/>
          <w:sz w:val="24"/>
        </w:rPr>
      </w:pPr>
      <w:r/>
      <w:bookmarkStart w:id="64" w:name="_Toc16938523"/>
      <w:r/>
      <w:bookmarkStart w:id="65" w:name="_Toc513029207"/>
      <w:r/>
      <w:bookmarkStart w:id="66" w:name="_Toc462564067"/>
      <w:r/>
      <w:bookmarkStart w:id="67" w:name="_Toc20823279"/>
      <w:r>
        <w:rPr>
          <w:rFonts w:hint="eastAsia" w:ascii="宋体" w:hAnsi="宋体"/>
          <w:sz w:val="24"/>
        </w:rPr>
        <w:t xml:space="preserve">3.2 在本项目政府采购活动过程中，如果所执行的标准有更新的，按照最新标准执行。</w:t>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2"/>
        <w:ind w:firstLine="321"/>
        <w:spacing w:before="145" w:after="145" w:line="400" w:lineRule="exact"/>
        <w:rPr>
          <w:rFonts w:hint="eastAsia"/>
        </w:rPr>
      </w:pPr>
      <w:r/>
      <w:bookmarkStart w:id="68" w:name="_Toc513029209"/>
      <w:r/>
      <w:bookmarkStart w:id="69" w:name="_Toc20823281"/>
      <w:r/>
      <w:bookmarkStart w:id="70" w:name="_Toc120614215"/>
      <w:r/>
      <w:bookmarkStart w:id="71" w:name="_Toc16938525"/>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560"/>
        <w:spacing w:before="0" w:after="0" w:line="400" w:lineRule="exact"/>
        <w:rPr>
          <w:rFonts w:hint="eastAsia"/>
          <w:b w:val="0"/>
          <w:bCs w:val="0"/>
        </w:rPr>
      </w:pPr>
      <w:r/>
      <w:bookmarkStart w:id="75" w:name="_Toc20823284"/>
      <w:r/>
      <w:bookmarkStart w:id="76" w:name="_Toc16938528"/>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2"/>
        <w:ind w:firstLine="482"/>
        <w:spacing w:before="145" w:after="145" w:line="400" w:lineRule="exact"/>
        <w:rPr>
          <w:rFonts w:hint="eastAsia"/>
        </w:rPr>
      </w:pPr>
      <w:r/>
      <w:bookmarkStart w:id="79" w:name="_Toc513029213"/>
      <w:r/>
      <w:bookmarkStart w:id="80" w:name="_Toc20823285"/>
      <w:r/>
      <w:bookmarkStart w:id="81" w:name="_Toc120614216"/>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513029214"/>
      <w:r/>
      <w:bookmarkStart w:id="85" w:name="_Toc462564073"/>
      <w:r/>
      <w:bookmarkStart w:id="86" w:name="_Toc20823286"/>
      <w:r/>
      <w:bookmarkStart w:id="87" w:name="_Toc16938530"/>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3"/>
        <w:ind w:firstLine="420"/>
        <w:spacing w:before="0" w:after="0" w:line="400" w:lineRule="exact"/>
        <w:rPr>
          <w:rFonts w:hint="eastAsia"/>
          <w:b w:val="0"/>
          <w:bCs w:val="0"/>
        </w:rPr>
      </w:pPr>
      <w:r/>
      <w:bookmarkStart w:id="88" w:name="_Toc20823287"/>
      <w:r/>
      <w:bookmarkStart w:id="89" w:name="_Toc462564074"/>
      <w:r/>
      <w:bookmarkStart w:id="90" w:name="_Toc513029215"/>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3"/>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49090509"/>
      <w:r/>
      <w:bookmarkStart w:id="96" w:name="_Toc513029219"/>
      <w:r/>
      <w:bookmarkStart w:id="97" w:name="_Toc14577357"/>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670403"/>
      <w:r/>
      <w:bookmarkEnd w:id="106"/>
      <w:r/>
      <w:bookmarkStart w:id="107" w:name="_Hlt26954844"/>
      <w:r/>
      <w:bookmarkEnd w:id="107"/>
      <w:r/>
      <w:bookmarkStart w:id="108" w:name="_Hlt26670425"/>
      <w:r/>
      <w:bookmarkEnd w:id="108"/>
      <w:r/>
      <w:bookmarkStart w:id="109" w:name="_Hlt26954848"/>
      <w:r/>
      <w:bookmarkEnd w:id="109"/>
      <w:r/>
      <w:bookmarkStart w:id="110" w:name="_Hlt26670486"/>
      <w:r/>
      <w:bookmarkEnd w:id="110"/>
      <w:r/>
      <w:bookmarkStart w:id="111" w:name="_Hlt26954846"/>
      <w:r/>
      <w:bookmarkEnd w:id="111"/>
      <w:r/>
      <w:bookmarkStart w:id="112" w:name="_Hlt26670482"/>
      <w:r/>
      <w:bookmarkEnd w:id="112"/>
      <w:r/>
      <w:bookmarkStart w:id="113" w:name="_Hlt26668983"/>
      <w:r/>
      <w:bookmarkEnd w:id="113"/>
      <w:r/>
      <w:bookmarkStart w:id="114" w:name="_Hlt26954842"/>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9"/>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2"/>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20823297"/>
      <w:r/>
      <w:bookmarkStart w:id="130" w:name="_Toc462564084"/>
      <w:r/>
      <w:bookmarkStart w:id="131" w:name="_Toc513029225"/>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3"/>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3"/>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2"/>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3"/>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宋体" w:hAnsi="宋体"/>
          <w:sz w:val="24"/>
        </w:rPr>
      </w:pPr>
      <w:r>
        <w:rPr>
          <w:rFonts w:hint="eastAsia" w:ascii="宋体" w:hAnsi="宋体"/>
          <w:sz w:val="24"/>
        </w:rPr>
        <w:t xml:space="preserve">24.7 异常低价投标审查</w:t>
      </w:r>
      <w:r/>
    </w:p>
    <w:p>
      <w:pPr>
        <w:pStyle w:val="889"/>
        <w:ind w:firstLine="420"/>
        <w:spacing w:line="400" w:lineRule="exact"/>
        <w:rPr>
          <w:rFonts w:hint="eastAsia" w:ascii="宋体" w:hAnsi="宋体"/>
          <w:sz w:val="24"/>
        </w:rPr>
      </w:pPr>
      <w:r>
        <w:rPr>
          <w:rFonts w:hint="eastAsia" w:ascii="宋体" w:hAnsi="宋体"/>
          <w:sz w:val="24"/>
        </w:rPr>
        <w:t xml:space="preserve">24.7.1 评标过程中出现下列情形之一的，评标委员会应当启动异常低价投标审查程序：</w:t>
      </w:r>
      <w:r/>
    </w:p>
    <w:p>
      <w:pPr>
        <w:pStyle w:val="889"/>
        <w:ind w:firstLine="420"/>
        <w:spacing w:line="400" w:lineRule="exact"/>
        <w:rPr>
          <w:rFonts w:hint="eastAsia" w:ascii="宋体" w:hAnsi="宋体"/>
          <w:sz w:val="24"/>
        </w:rPr>
      </w:pPr>
      <w:r>
        <w:rPr>
          <w:rFonts w:hint="eastAsia" w:ascii="宋体" w:hAnsi="宋体"/>
          <w:sz w:val="24"/>
        </w:rPr>
        <w:t xml:space="preserve">（1）投标报价低于全部通过符合性审查供应商投标报价平均值50%的，即投标报价&lt;全部通过符合性审查供应商投标报价平均值×50%；</w:t>
      </w:r>
      <w:r/>
    </w:p>
    <w:p>
      <w:pPr>
        <w:pStyle w:val="889"/>
        <w:ind w:firstLine="42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p>
    <w:p>
      <w:pPr>
        <w:pStyle w:val="889"/>
        <w:ind w:firstLine="42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p>
    <w:p>
      <w:pPr>
        <w:pStyle w:val="889"/>
        <w:ind w:firstLine="42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9"/>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89"/>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2"/>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513029242"/>
      <w:r/>
      <w:bookmarkStart w:id="177" w:name="_Toc20823314"/>
      <w:r/>
      <w:bookmarkStart w:id="178" w:name="_Toc16938558"/>
      <w:r/>
      <w:bookmarkStart w:id="179" w:name="_Toc120614221"/>
      <w:r/>
      <w:bookmarkStart w:id="180" w:name="_Toc479757207"/>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4"/>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04"/>
        <w:spacing w:line="400" w:lineRule="exact"/>
        <w:rPr>
          <w:rFonts w:hint="eastAsia" w:ascii="宋体" w:hAnsi="宋体"/>
          <w:sz w:val="24"/>
          <w:szCs w:val="24"/>
          <w:lang w:val="en-US" w:eastAsia="zh-CN"/>
        </w:rPr>
      </w:pPr>
      <w:r>
        <w:rPr>
          <w:rFonts w:hint="eastAsia" w:ascii="宋体" w:hAnsi="宋体"/>
          <w:bCs/>
          <w:sz w:val="24"/>
          <w:lang w:val="en-US" w:eastAsia="zh-CN"/>
        </w:rPr>
      </w:r>
      <w:r>
        <w:rPr>
          <w:rFonts w:hint="eastAsia" w:ascii="宋体" w:hAnsi="宋体"/>
          <w:bCs/>
          <w:sz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sz w:val="24"/>
          <w:szCs w:val="24"/>
          <w:lang w:val="en-US" w:eastAsia="zh-CN"/>
        </w:rPr>
      </w:r>
      <w:r>
        <w:rPr>
          <w:rFonts w:hint="eastAsia" w:ascii="宋体" w:hAnsi="宋体"/>
          <w:sz w:val="24"/>
          <w:szCs w:val="24"/>
          <w:lang w:val="en-US" w:eastAsia="zh-CN"/>
        </w:rPr>
      </w:r>
      <w:r/>
    </w:p>
    <w:p>
      <w:pPr>
        <w:pStyle w:val="904"/>
        <w:spacing w:line="400" w:lineRule="exact"/>
        <w:rPr>
          <w:rFonts w:hint="eastAsia" w:ascii="宋体" w:hAnsi="宋体"/>
          <w:sz w:val="24"/>
          <w:szCs w:val="24"/>
          <w:lang w:val="en-US" w:eastAsia="zh-CN"/>
        </w:rPr>
      </w:pPr>
      <w:r>
        <w:rPr>
          <w:rFonts w:hint="eastAsia" w:ascii="宋体" w:hAnsi="宋体"/>
          <w:bCs/>
          <w:sz w:val="24"/>
          <w:lang w:val="en-US" w:eastAsia="zh-CN"/>
        </w:rPr>
      </w:r>
      <w:r/>
    </w:p>
    <w:p>
      <w:pPr>
        <w:pStyle w:val="89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89"/>
        <w:jc w:val="center"/>
        <w:spacing w:before="145" w:after="145"/>
        <w:rPr>
          <w:rFonts w:hint="eastAsia" w:ascii="宋体" w:hAnsi="宋体"/>
          <w:b/>
          <w:sz w:val="30"/>
        </w:rPr>
        <w:outlineLvl w:val="0"/>
      </w:pPr>
      <w:r/>
      <w:bookmarkStart w:id="181" w:name="_Toc513029243"/>
      <w:r/>
      <w:bookmarkStart w:id="182" w:name="_Toc20823315"/>
      <w:r/>
      <w:bookmarkStart w:id="183" w:name="_Toc16938559"/>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8"/>
        <w:spacing w:before="120" w:after="120"/>
        <w:rPr>
          <w:rFonts w:hint="eastAsia" w:hAnsi="宋体"/>
          <w:sz w:val="24"/>
          <w:szCs w:val="24"/>
        </w:rPr>
      </w:pPr>
      <w:r>
        <w:rPr>
          <w:rFonts w:hint="eastAsia" w:hAnsi="宋体"/>
          <w:sz w:val="24"/>
          <w:szCs w:val="24"/>
        </w:rPr>
        <w:t xml:space="preserve">1.3 标的数量（规模）：</w:t>
      </w:r>
      <w:r/>
    </w:p>
    <w:p>
      <w:pPr>
        <w:pStyle w:val="928"/>
        <w:spacing w:before="120" w:after="120"/>
        <w:rPr>
          <w:rFonts w:hint="eastAsia" w:hAnsi="宋体"/>
          <w:sz w:val="24"/>
          <w:szCs w:val="24"/>
        </w:rPr>
      </w:pPr>
      <w:r>
        <w:rPr>
          <w:rFonts w:hint="eastAsia" w:hAnsi="宋体"/>
          <w:sz w:val="24"/>
          <w:szCs w:val="24"/>
        </w:rPr>
        <w:t xml:space="preserve">1.4 履行时间（期限）：</w:t>
      </w:r>
      <w:r/>
    </w:p>
    <w:p>
      <w:pPr>
        <w:pStyle w:val="92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8"/>
        <w:spacing w:before="120" w:after="120"/>
        <w:rPr>
          <w:rFonts w:hAnsi="宋体"/>
          <w:b/>
          <w:sz w:val="24"/>
          <w:szCs w:val="24"/>
        </w:rPr>
      </w:pPr>
      <w:r>
        <w:rPr>
          <w:rFonts w:hAnsi="宋体"/>
          <w:b/>
          <w:sz w:val="24"/>
          <w:szCs w:val="24"/>
        </w:rPr>
        <w:t xml:space="preserve">二、合同金额</w:t>
      </w:r>
      <w:r/>
    </w:p>
    <w:p>
      <w:pPr>
        <w:pStyle w:val="92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28"/>
        <w:spacing w:before="120" w:after="120"/>
        <w:rPr>
          <w:rFonts w:hAnsi="宋体"/>
          <w:b/>
          <w:sz w:val="24"/>
          <w:szCs w:val="24"/>
        </w:rPr>
      </w:pPr>
      <w:r>
        <w:rPr>
          <w:rFonts w:hAnsi="宋体"/>
          <w:b/>
          <w:sz w:val="24"/>
          <w:szCs w:val="24"/>
        </w:rPr>
        <w:t xml:space="preserve">三、技术资料</w:t>
      </w:r>
      <w:r/>
    </w:p>
    <w:p>
      <w:pPr>
        <w:pStyle w:val="92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8"/>
        <w:ind w:left="412" w:hanging="412"/>
        <w:spacing w:before="120" w:after="120"/>
        <w:rPr>
          <w:rFonts w:hAnsi="宋体"/>
          <w:b/>
          <w:sz w:val="24"/>
          <w:szCs w:val="24"/>
        </w:rPr>
      </w:pPr>
      <w:r>
        <w:rPr>
          <w:rFonts w:hAnsi="宋体"/>
          <w:b/>
          <w:sz w:val="24"/>
          <w:szCs w:val="24"/>
        </w:rPr>
        <w:t xml:space="preserve">四、知识产权</w:t>
      </w:r>
      <w:r/>
    </w:p>
    <w:p>
      <w:pPr>
        <w:pStyle w:val="92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8"/>
        <w:ind w:left="410" w:hanging="410"/>
        <w:spacing w:before="120" w:after="120"/>
        <w:rPr>
          <w:rFonts w:hAnsi="宋体"/>
          <w:b/>
          <w:sz w:val="24"/>
          <w:szCs w:val="24"/>
        </w:rPr>
      </w:pPr>
      <w:r>
        <w:rPr>
          <w:rFonts w:hAnsi="宋体"/>
          <w:b/>
          <w:sz w:val="24"/>
          <w:szCs w:val="24"/>
        </w:rPr>
        <w:t xml:space="preserve">六、履约保证金</w:t>
      </w:r>
      <w:r/>
    </w:p>
    <w:p>
      <w:pPr>
        <w:pStyle w:val="92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（合同金额的10%）</w:t>
      </w:r>
      <w:r/>
    </w:p>
    <w:p>
      <w:pPr>
        <w:pStyle w:val="928"/>
        <w:ind w:left="408" w:hanging="408"/>
        <w:spacing w:before="120" w:after="120"/>
        <w:rPr>
          <w:rFonts w:hint="eastAsia" w:hAnsi="宋体"/>
          <w:sz w:val="24"/>
          <w:szCs w:val="24"/>
        </w:rPr>
      </w:pPr>
      <w:r>
        <w:rPr>
          <w:rFonts w:hint="eastAsia" w:hAnsi="宋体"/>
          <w:sz w:val="24"/>
          <w:szCs w:val="24"/>
        </w:rPr>
        <w:t xml:space="preserve">6.2 收取履约保证金形式：保函</w:t>
      </w:r>
      <w:r/>
    </w:p>
    <w:p>
      <w:pPr>
        <w:pStyle w:val="928"/>
        <w:ind w:left="408" w:hanging="408"/>
        <w:spacing w:before="120" w:after="120"/>
        <w:rPr>
          <w:rFonts w:hint="eastAsia" w:hAnsi="宋体"/>
          <w:sz w:val="24"/>
          <w:szCs w:val="24"/>
        </w:rPr>
      </w:pPr>
      <w:r>
        <w:rPr>
          <w:rFonts w:hint="eastAsia" w:hAnsi="宋体"/>
          <w:sz w:val="24"/>
          <w:szCs w:val="24"/>
        </w:rPr>
        <w:t xml:space="preserve">6.3 收取履约保证金时间：合同签订后30个工作日内</w:t>
      </w:r>
      <w:r/>
    </w:p>
    <w:p>
      <w:pPr>
        <w:pStyle w:val="928"/>
        <w:ind w:left="408" w:hanging="408"/>
        <w:spacing w:before="120" w:after="120"/>
        <w:rPr>
          <w:rFonts w:hint="eastAsia" w:hAnsi="宋体"/>
          <w:sz w:val="24"/>
          <w:szCs w:val="24"/>
        </w:rPr>
      </w:pPr>
      <w:r>
        <w:rPr>
          <w:rFonts w:hint="eastAsia" w:hAnsi="宋体"/>
          <w:sz w:val="24"/>
          <w:szCs w:val="24"/>
        </w:rPr>
        <w:t xml:space="preserve">6.4合同履行结束后，甲方应及时退还交纳的履约保证金。</w:t>
      </w:r>
      <w:r/>
    </w:p>
    <w:p>
      <w:pPr>
        <w:pStyle w:val="928"/>
        <w:ind w:left="408" w:hanging="408"/>
        <w:spacing w:before="120" w:after="120"/>
        <w:rPr>
          <w:rFonts w:hint="eastAsia" w:hAnsi="宋体"/>
          <w:sz w:val="24"/>
          <w:szCs w:val="24"/>
        </w:rPr>
      </w:pPr>
      <w:r>
        <w:rPr>
          <w:rFonts w:hint="eastAsia" w:hAnsi="宋体"/>
          <w:sz w:val="24"/>
          <w:szCs w:val="24"/>
        </w:rPr>
        <w:t xml:space="preserve">6.4.1履约保证金退还方式：按照相关规定和流程无息退还。</w:t>
      </w:r>
      <w:r/>
    </w:p>
    <w:p>
      <w:pPr>
        <w:pStyle w:val="928"/>
        <w:ind w:left="408" w:hanging="408"/>
        <w:spacing w:before="120" w:after="120"/>
        <w:rPr>
          <w:rFonts w:hint="eastAsia" w:hAnsi="宋体"/>
          <w:sz w:val="24"/>
          <w:szCs w:val="24"/>
        </w:rPr>
      </w:pPr>
      <w:r>
        <w:rPr>
          <w:rFonts w:hint="eastAsia" w:hAnsi="宋体"/>
          <w:sz w:val="24"/>
          <w:szCs w:val="24"/>
        </w:rPr>
        <w:t xml:space="preserve">6.4.2履约保证金退还时间：</w:t>
      </w:r>
      <w:r>
        <w:rPr>
          <w:rFonts w:hint="eastAsia" w:hAnsi="宋体"/>
          <w:sz w:val="24"/>
          <w:szCs w:val="24"/>
          <w:lang w:val="en-US" w:eastAsia="zh-CN"/>
        </w:rPr>
        <w:t xml:space="preserve">履约期限结束满半年</w:t>
      </w:r>
      <w:r>
        <w:rPr>
          <w:rFonts w:hint="eastAsia" w:hAnsi="宋体"/>
          <w:sz w:val="24"/>
          <w:szCs w:val="24"/>
        </w:rPr>
        <w:t xml:space="preserve">。</w:t>
      </w:r>
      <w:r/>
    </w:p>
    <w:p>
      <w:pPr>
        <w:pStyle w:val="928"/>
        <w:ind w:left="408" w:hanging="408"/>
        <w:spacing w:before="120" w:after="120"/>
        <w:rPr>
          <w:rFonts w:hint="eastAsia" w:hAnsi="宋体"/>
          <w:sz w:val="24"/>
          <w:szCs w:val="24"/>
        </w:rPr>
      </w:pPr>
      <w:r>
        <w:rPr>
          <w:rFonts w:hint="eastAsia" w:hAnsi="宋体"/>
          <w:sz w:val="24"/>
          <w:szCs w:val="24"/>
        </w:rPr>
        <w:t xml:space="preserve">6.4.3履约保证金退还条件：按合同要求履约。</w:t>
      </w:r>
      <w:r/>
    </w:p>
    <w:p>
      <w:pPr>
        <w:pStyle w:val="889"/>
        <w:spacing w:before="120" w:after="120"/>
        <w:rPr>
          <w:rFonts w:hint="eastAsia" w:ascii="宋体" w:hAnsi="宋体" w:cs="Courier New"/>
          <w:bCs/>
          <w:sz w:val="24"/>
          <w:szCs w:val="24"/>
        </w:rPr>
      </w:pPr>
      <w:r>
        <w:rPr>
          <w:rFonts w:hint="eastAsia" w:hAnsi="宋体"/>
          <w:sz w:val="24"/>
          <w:szCs w:val="24"/>
        </w:rPr>
        <w:t xml:space="preserve">6.4.4履约保证金不予退还的情形：未按合同要求履约。</w:t>
      </w:r>
      <w:r>
        <w:rPr>
          <w:rFonts w:hint="eastAsia" w:ascii="宋体" w:hAnsi="宋体" w:cs="Courier New"/>
          <w:bCs/>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预付款支付时间：服务启动满6个月，考核合格且收到乙方开具的合规发票后，支付合同总金额的50%。</w:t>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尾款支付时间：合同约定服务期限届满，考核合格且收到乙方开具的合规发票后，支付剩余50%合同款项。</w:t>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8"/>
        <w:ind w:left="480" w:hanging="480"/>
        <w:spacing w:before="120" w:after="120" w:line="0" w:lineRule="atLeast"/>
        <w:rPr>
          <w:rFonts w:hAnsi="宋体"/>
          <w:sz w:val="24"/>
          <w:szCs w:val="24"/>
        </w:rPr>
      </w:pPr>
      <w:r>
        <w:rPr>
          <w:rFonts w:hAnsi="宋体"/>
          <w:sz w:val="24"/>
          <w:szCs w:val="24"/>
        </w:rPr>
        <w:t xml:space="preserve">  甲方：                        乙方： </w:t>
      </w:r>
      <w:r/>
    </w:p>
    <w:p>
      <w:pPr>
        <w:pStyle w:val="92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8"/>
        <w:jc w:val="center"/>
        <w:spacing w:before="120" w:after="120" w:line="0" w:lineRule="atLeast"/>
      </w:pPr>
      <w:r>
        <w:rPr>
          <w:rFonts w:hint="eastAsia"/>
        </w:rPr>
        <w:t xml:space="preserve">                                         </w:t>
      </w:r>
      <w:r/>
    </w:p>
    <w:p>
      <w:pPr>
        <w:pStyle w:val="928"/>
        <w:jc w:val="right"/>
        <w:spacing w:before="120" w:after="120" w:line="0" w:lineRule="atLeast"/>
        <w:rPr>
          <w:sz w:val="24"/>
          <w:szCs w:val="24"/>
        </w:rPr>
      </w:pPr>
      <w:r>
        <w:rPr>
          <w:rFonts w:hint="eastAsia"/>
          <w:sz w:val="24"/>
          <w:szCs w:val="24"/>
        </w:rPr>
        <w:t xml:space="preserve"> </w:t>
      </w:r>
      <w:r>
        <w:rPr>
          <w:sz w:val="24"/>
          <w:szCs w:val="24"/>
        </w:rPr>
      </w:r>
      <w:r/>
    </w:p>
    <w:p>
      <w:pPr>
        <w:pStyle w:val="92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28"/>
        <w:ind w:firstLine="640"/>
        <w:spacing w:before="120" w:after="120" w:line="560" w:lineRule="exact"/>
        <w:rPr>
          <w:rFonts w:hint="eastAsia" w:ascii="方正黑体_GBK" w:hAnsi="方正黑体_GBK" w:eastAsia="方正黑体_GBK" w:cs="方正黑体_GBK"/>
          <w:bCs/>
          <w:sz w:val="32"/>
          <w:szCs w:val="32"/>
          <w:lang w:eastAsia="zh-CN"/>
        </w:rPr>
      </w:pPr>
      <w:r/>
      <w:bookmarkStart w:id="191" w:name="_Toc26554093"/>
      <w:r/>
      <w:bookmarkStart w:id="192" w:name="_Toc49090575"/>
      <w:r>
        <w:rPr>
          <w:rFonts w:hint="eastAsia" w:ascii="方正黑体_GBK" w:hAnsi="方正黑体_GBK" w:eastAsia="方正黑体_GBK" w:cs="方正黑体_GBK"/>
          <w:bCs/>
          <w:sz w:val="32"/>
          <w:szCs w:val="32"/>
        </w:rPr>
        <w:t xml:space="preserve">一、采购标的清单</w:t>
      </w:r>
      <w:r>
        <w:rPr>
          <w:rFonts w:hint="eastAsia" w:ascii="方正黑体_GBK" w:hAnsi="方正黑体_GBK" w:eastAsia="方正黑体_GBK" w:cs="方正黑体_GBK"/>
          <w:bCs/>
          <w:sz w:val="32"/>
          <w:szCs w:val="32"/>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shd w:val="clear" w:color="000000" w:fill="ffffff"/>
            <w:tcW w:w="2840"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w:t>
            </w:r>
            <w:r>
              <w:rPr>
                <w:rFonts w:ascii="方正仿宋_GBK" w:hAnsi="方正仿宋_GBK" w:eastAsia="方正仿宋_GBK" w:cs="方正仿宋_GBK"/>
                <w:sz w:val="28"/>
                <w:szCs w:val="28"/>
              </w:rPr>
            </w:r>
            <w:r/>
          </w:p>
        </w:tc>
        <w:tc>
          <w:tcPr>
            <w:shd w:val="clear" w:color="000000" w:fill="ffffff"/>
            <w:tcW w:w="2841"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ascii="方正仿宋_GBK" w:hAnsi="方正仿宋_GBK" w:eastAsia="方正仿宋_GBK" w:cs="方正仿宋_GBK"/>
                <w:sz w:val="28"/>
                <w:szCs w:val="28"/>
              </w:rPr>
            </w:r>
            <w:r/>
          </w:p>
        </w:tc>
        <w:tc>
          <w:tcPr>
            <w:shd w:val="clear" w:color="000000" w:fill="ffffff"/>
            <w:tcW w:w="2841"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ascii="方正仿宋_GBK" w:hAnsi="方正仿宋_GBK" w:eastAsia="方正仿宋_GBK" w:cs="方正仿宋_GBK"/>
                <w:sz w:val="28"/>
                <w:szCs w:val="28"/>
              </w:rPr>
            </w:r>
            <w:r/>
          </w:p>
        </w:tc>
      </w:tr>
      <w:tr>
        <w:trPr/>
        <w:tc>
          <w:tcPr>
            <w:shd w:val="clear" w:color="000000" w:fill="ffffff"/>
            <w:tcW w:w="2840"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2841"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江苏省人民医院算力服务采购</w:t>
            </w:r>
            <w:r>
              <w:rPr>
                <w:rFonts w:ascii="方正仿宋_GBK" w:hAnsi="方正仿宋_GBK" w:eastAsia="方正仿宋_GBK" w:cs="方正仿宋_GBK"/>
                <w:sz w:val="28"/>
                <w:szCs w:val="28"/>
              </w:rPr>
            </w:r>
            <w:r/>
          </w:p>
        </w:tc>
        <w:tc>
          <w:tcPr>
            <w:tcW w:w="2841" w:type="dxa"/>
            <w:vAlign w:val="center"/>
            <w:textDirection w:val="lrTb"/>
            <w:noWrap w:val="false"/>
          </w:tcPr>
          <w:p>
            <w:pPr>
              <w:pStyle w:val="88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软件与信息服务业</w:t>
            </w:r>
            <w:r>
              <w:rPr>
                <w:rFonts w:ascii="方正仿宋_GBK" w:hAnsi="方正仿宋_GBK" w:eastAsia="方正仿宋_GBK" w:cs="方正仿宋_GBK"/>
                <w:sz w:val="28"/>
                <w:szCs w:val="28"/>
              </w:rPr>
            </w:r>
            <w:r/>
          </w:p>
        </w:tc>
      </w:tr>
    </w:tbl>
    <w:p>
      <w:pPr>
        <w:pStyle w:val="889"/>
        <w:jc w:val="left"/>
        <w:spacing w:line="0" w:lineRule="atLeast"/>
        <w:rPr>
          <w:rFonts w:hint="eastAsia" w:ascii="方正魏碑_GBK" w:hAnsi="方正魏碑_GBK" w:eastAsia="方正魏碑_GBK" w:cs="方正魏碑_GBK"/>
          <w:b/>
          <w:color w:val="000000"/>
          <w:sz w:val="24"/>
          <w:szCs w:val="24"/>
        </w:rPr>
      </w:pPr>
      <w:r>
        <w:rPr>
          <w:rFonts w:hint="eastAsia" w:ascii="方正仿宋_GBK" w:hAnsi="方正仿宋_GBK" w:eastAsia="方正仿宋_GBK" w:cs="方正仿宋_GBK"/>
          <w:b/>
          <w:sz w:val="28"/>
          <w:szCs w:val="28"/>
        </w:rPr>
        <w:t xml:space="preserve">项目属性:服务类项目。</w:t>
      </w:r>
      <w:r>
        <w:rPr>
          <w:rFonts w:hint="eastAsia" w:ascii="方正魏碑_GBK" w:hAnsi="方正魏碑_GBK" w:eastAsia="方正魏碑_GBK" w:cs="方正魏碑_GBK"/>
          <w:b/>
          <w:color w:val="000000"/>
          <w:sz w:val="24"/>
          <w:szCs w:val="24"/>
        </w:rPr>
      </w:r>
      <w:r/>
    </w:p>
    <w:p>
      <w:pPr>
        <w:pStyle w:val="889"/>
        <w:spacing w:line="560" w:lineRule="exac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政府采购中实施本国产品标准及相关政策</w:t>
      </w:r>
      <w:r/>
    </w:p>
    <w:p>
      <w:pPr>
        <w:pStyle w:val="88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8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480"/>
        <w:spacing w:line="560" w:lineRule="exact"/>
        <w:rPr>
          <w:rFonts w:hint="eastAsia"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9"/>
        <w:ind w:firstLine="640"/>
        <w:keepLines/>
        <w:keepNext/>
        <w:spacing w:line="580" w:lineRule="atLeast"/>
        <w:rPr>
          <w:rFonts w:ascii="宋体" w:cs="宋体"/>
          <w:sz w:val="32"/>
          <w:szCs w:val="32"/>
          <w:lang w:val="zh-CN"/>
        </w:rPr>
      </w:pPr>
      <w:r>
        <w:rPr>
          <w:rFonts w:ascii="宋体" w:cs="宋体"/>
          <w:sz w:val="32"/>
          <w:szCs w:val="32"/>
          <w:lang w:val="zh-CN"/>
        </w:rPr>
      </w:r>
      <w:r/>
    </w:p>
    <w:p>
      <w:pPr>
        <w:pStyle w:val="889"/>
        <w:ind w:firstLine="482"/>
        <w:spacing w:line="0" w:lineRule="atLeast"/>
        <w:rPr>
          <w:rFonts w:hint="eastAsia" w:ascii="宋体" w:hAnsi="宋体"/>
          <w:b/>
          <w:sz w:val="24"/>
          <w:lang w:val="zh-CN"/>
        </w:rPr>
      </w:pPr>
      <w:r>
        <w:rPr>
          <w:rFonts w:hint="eastAsia" w:ascii="宋体" w:hAnsi="宋体"/>
          <w:b/>
          <w:sz w:val="24"/>
        </w:rPr>
        <w:t xml:space="preserve">二、</w:t>
      </w:r>
      <w:r>
        <w:rPr>
          <w:rFonts w:hint="eastAsia" w:ascii="宋体" w:hAnsi="宋体"/>
          <w:b/>
          <w:sz w:val="24"/>
          <w:lang w:val="zh-CN"/>
        </w:rPr>
        <w:t xml:space="preserve">建设内容</w:t>
      </w:r>
      <w:r/>
    </w:p>
    <w:p>
      <w:pPr>
        <w:pStyle w:val="889"/>
        <w:ind w:firstLine="640"/>
        <w:spacing w:line="560" w:lineRule="exact"/>
        <w:rPr>
          <w:rFonts w:hint="eastAsia" w:ascii="宋体" w:hAnsi="宋体"/>
          <w:b/>
          <w:bCs/>
          <w:sz w:val="24"/>
          <w:szCs w:val="24"/>
        </w:rPr>
      </w:pPr>
      <w:r>
        <w:rPr>
          <w:rFonts w:hint="eastAsia" w:ascii="方正仿宋_GBK" w:hAnsi="方正仿宋_GBK" w:eastAsia="方正仿宋_GBK" w:cs="方正仿宋_GBK"/>
          <w:bCs/>
          <w:sz w:val="32"/>
          <w:szCs w:val="32"/>
        </w:rPr>
        <w:t xml:space="preserve">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宋体" w:hAnsi="宋体"/>
          <w:b/>
          <w:bCs/>
          <w:sz w:val="24"/>
          <w:szCs w:val="24"/>
        </w:rPr>
      </w:r>
      <w:r/>
    </w:p>
    <w:p>
      <w:pPr>
        <w:pStyle w:val="889"/>
        <w:ind w:firstLine="482"/>
        <w:spacing w:line="0" w:lineRule="atLeast"/>
        <w:rPr>
          <w:rFonts w:ascii="宋体" w:hAnsi="宋体"/>
          <w:b/>
          <w:sz w:val="24"/>
        </w:rPr>
      </w:pPr>
      <w:r>
        <w:rPr>
          <w:rFonts w:ascii="宋体" w:hAnsi="宋体"/>
          <w:b/>
          <w:sz w:val="24"/>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58"/>
        <w:gridCol w:w="6380"/>
        <w:gridCol w:w="1527"/>
      </w:tblGrid>
      <w:tr>
        <w:trPr>
          <w:trHeight w:val="411"/>
        </w:trPr>
        <w:tc>
          <w:tcPr>
            <w:shd w:val="clear" w:color="000000" w:fill="ffffff"/>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pStyle w:val="889"/>
              <w:jc w:val="center"/>
              <w:spacing w:line="360" w:lineRule="auto"/>
              <w:rPr>
                <w:rFonts w:ascii="宋体" w:cs="宋体"/>
                <w:lang w:val="zh-CN"/>
              </w:rPr>
            </w:pPr>
            <w:r>
              <w:rPr>
                <w:rFonts w:hint="eastAsia" w:ascii="宋体" w:cs="宋体"/>
                <w:sz w:val="24"/>
                <w:lang w:val="zh-CN"/>
              </w:rPr>
              <w:t xml:space="preserve">序号</w:t>
            </w:r>
            <w:r>
              <w:rPr>
                <w:rFonts w:ascii="宋体" w:cs="宋体"/>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80" w:type="dxa"/>
            <w:vAlign w:val="center"/>
            <w:textDirection w:val="lrTb"/>
            <w:noWrap w:val="false"/>
          </w:tcPr>
          <w:p>
            <w:pPr>
              <w:pStyle w:val="889"/>
              <w:jc w:val="center"/>
              <w:spacing w:line="360" w:lineRule="auto"/>
              <w:rPr>
                <w:rFonts w:ascii="宋体" w:cs="宋体"/>
                <w:lang w:val="zh-CN"/>
              </w:rPr>
            </w:pPr>
            <w:r>
              <w:rPr>
                <w:rFonts w:hint="eastAsia" w:ascii="宋体" w:cs="宋体"/>
                <w:sz w:val="24"/>
                <w:lang w:val="zh-CN"/>
              </w:rPr>
              <w:t xml:space="preserve">项目模块</w:t>
            </w:r>
            <w:r>
              <w:rPr>
                <w:rFonts w:ascii="宋体" w:cs="宋体"/>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7" w:type="dxa"/>
            <w:vAlign w:val="center"/>
            <w:textDirection w:val="lrTb"/>
            <w:noWrap w:val="false"/>
          </w:tcPr>
          <w:p>
            <w:pPr>
              <w:pStyle w:val="889"/>
              <w:jc w:val="center"/>
              <w:spacing w:line="360" w:lineRule="auto"/>
              <w:rPr>
                <w:rFonts w:ascii="宋体" w:cs="宋体"/>
                <w:lang w:val="zh-CN"/>
              </w:rPr>
            </w:pPr>
            <w:r>
              <w:rPr>
                <w:rFonts w:hint="eastAsia" w:ascii="宋体" w:cs="宋体"/>
                <w:sz w:val="24"/>
                <w:lang w:val="zh-CN"/>
              </w:rPr>
              <w:t xml:space="preserve">数量</w:t>
            </w:r>
            <w:r>
              <w:rPr>
                <w:rFonts w:ascii="宋体" w:cs="宋体"/>
                <w:lang w:val="zh-CN"/>
              </w:rPr>
            </w:r>
            <w:r/>
          </w:p>
        </w:tc>
      </w:tr>
      <w:tr>
        <w:trPr>
          <w:cantSplit/>
          <w:trHeight w:val="288"/>
        </w:trPr>
        <w:tc>
          <w:tcPr>
            <w:shd w:val="clear" w:color="000000" w:fill="ffffff"/>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pStyle w:val="889"/>
              <w:jc w:val="center"/>
              <w:spacing w:line="360" w:lineRule="auto"/>
              <w:rPr>
                <w:rFonts w:ascii="宋体" w:cs="宋体"/>
                <w:lang w:val="zh-CN"/>
              </w:rPr>
            </w:pPr>
            <w:r>
              <w:rPr>
                <w:rFonts w:ascii="宋体" w:cs="宋体"/>
                <w:sz w:val="24"/>
                <w:lang w:val="zh-CN"/>
              </w:rPr>
              <w:t xml:space="preserve">1</w:t>
            </w:r>
            <w:r>
              <w:rPr>
                <w:rFonts w:ascii="宋体" w:cs="宋体"/>
                <w:lang w:val="zh-CN"/>
              </w:rPr>
            </w:r>
            <w:r/>
          </w:p>
        </w:tc>
        <w:tc>
          <w:tcPr>
            <w:tcBorders>
              <w:top w:val="single" w:color="000000" w:sz="2" w:space="0"/>
              <w:left w:val="single" w:color="000000" w:sz="2" w:space="0"/>
              <w:bottom w:val="single" w:color="000000" w:sz="2" w:space="0"/>
              <w:right w:val="single" w:color="000000" w:sz="2" w:space="0"/>
            </w:tcBorders>
            <w:tcW w:w="6380" w:type="dxa"/>
            <w:vAlign w:val="center"/>
            <w:textDirection w:val="lrTb"/>
            <w:noWrap w:val="false"/>
          </w:tcPr>
          <w:p>
            <w:pPr>
              <w:pStyle w:val="889"/>
              <w:jc w:val="center"/>
              <w:spacing w:line="360" w:lineRule="auto"/>
              <w:rPr>
                <w:rFonts w:ascii="宋体" w:cs="宋体"/>
              </w:rPr>
            </w:pPr>
            <w:r>
              <w:rPr>
                <w:rFonts w:hint="eastAsia" w:ascii="宋体" w:cs="宋体"/>
                <w:sz w:val="24"/>
              </w:rPr>
              <w:t xml:space="preserve">算力服务1</w:t>
            </w:r>
            <w:r>
              <w:rPr>
                <w:rFonts w:ascii="宋体" w:cs="宋体"/>
              </w:rPr>
            </w:r>
            <w:r/>
          </w:p>
        </w:tc>
        <w:tc>
          <w:tcPr>
            <w:shd w:val="clear" w:color="000000" w:fill="ffffff"/>
            <w:tcBorders>
              <w:top w:val="single" w:color="000000" w:sz="2" w:space="0"/>
              <w:left w:val="single" w:color="000000" w:sz="2" w:space="0"/>
              <w:bottom w:val="single" w:color="000000" w:sz="2" w:space="0"/>
              <w:right w:val="single" w:color="000000" w:sz="2" w:space="0"/>
            </w:tcBorders>
            <w:tcW w:w="1527" w:type="dxa"/>
            <w:vAlign w:val="center"/>
            <w:textDirection w:val="lrTb"/>
            <w:noWrap w:val="false"/>
          </w:tcPr>
          <w:p>
            <w:pPr>
              <w:pStyle w:val="889"/>
              <w:jc w:val="center"/>
              <w:spacing w:before="120" w:line="360" w:lineRule="auto"/>
              <w:rPr>
                <w:rFonts w:ascii="宋体" w:cs="宋体"/>
                <w:lang w:val="zh-CN"/>
              </w:rPr>
            </w:pPr>
            <w:r>
              <w:rPr>
                <w:rFonts w:hint="eastAsia" w:ascii="宋体" w:cs="宋体"/>
              </w:rPr>
              <w:t xml:space="preserve">2</w:t>
            </w:r>
            <w:r>
              <w:rPr>
                <w:rFonts w:hint="eastAsia" w:ascii="宋体" w:cs="宋体"/>
                <w:lang w:val="zh-CN"/>
              </w:rPr>
              <w:t xml:space="preserve">套</w:t>
            </w:r>
            <w:r>
              <w:rPr>
                <w:rFonts w:ascii="宋体" w:cs="宋体"/>
                <w:lang w:val="zh-CN"/>
              </w:rPr>
            </w:r>
            <w:r/>
          </w:p>
        </w:tc>
      </w:tr>
      <w:tr>
        <w:trPr>
          <w:cantSplit/>
          <w:trHeight w:val="288"/>
        </w:trPr>
        <w:tc>
          <w:tcPr>
            <w:shd w:val="clear" w:color="000000" w:fill="ffffff"/>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pStyle w:val="889"/>
              <w:jc w:val="center"/>
              <w:spacing w:line="360" w:lineRule="auto"/>
              <w:rPr>
                <w:rFonts w:ascii="宋体" w:cs="宋体"/>
                <w:lang w:val="zh-CN"/>
              </w:rPr>
            </w:pPr>
            <w:r>
              <w:rPr>
                <w:rFonts w:ascii="宋体" w:cs="宋体"/>
                <w:sz w:val="24"/>
                <w:lang w:val="zh-CN"/>
              </w:rPr>
              <w:t xml:space="preserve">2</w:t>
            </w:r>
            <w:r>
              <w:rPr>
                <w:rFonts w:ascii="宋体" w:cs="宋体"/>
                <w:lang w:val="zh-CN"/>
              </w:rPr>
            </w:r>
            <w:r/>
          </w:p>
        </w:tc>
        <w:tc>
          <w:tcPr>
            <w:tcBorders>
              <w:top w:val="single" w:color="000000" w:sz="2" w:space="0"/>
              <w:left w:val="single" w:color="000000" w:sz="2" w:space="0"/>
              <w:bottom w:val="single" w:color="000000" w:sz="2" w:space="0"/>
              <w:right w:val="single" w:color="000000" w:sz="2" w:space="0"/>
            </w:tcBorders>
            <w:tcW w:w="6380" w:type="dxa"/>
            <w:vAlign w:val="center"/>
            <w:textDirection w:val="lrTb"/>
            <w:noWrap w:val="false"/>
          </w:tcPr>
          <w:p>
            <w:pPr>
              <w:pStyle w:val="889"/>
              <w:jc w:val="center"/>
              <w:spacing w:line="360" w:lineRule="auto"/>
              <w:rPr>
                <w:rFonts w:ascii="宋体" w:cs="宋体"/>
              </w:rPr>
            </w:pPr>
            <w:r>
              <w:rPr>
                <w:rFonts w:hint="eastAsia" w:ascii="宋体" w:cs="宋体"/>
                <w:sz w:val="24"/>
              </w:rPr>
              <w:t xml:space="preserve">算力服务2</w:t>
            </w:r>
            <w:r>
              <w:rPr>
                <w:rFonts w:ascii="宋体" w:cs="宋体"/>
              </w:rPr>
            </w:r>
            <w:r/>
          </w:p>
        </w:tc>
        <w:tc>
          <w:tcPr>
            <w:shd w:val="clear" w:color="000000" w:fill="ffffff"/>
            <w:tcBorders>
              <w:top w:val="single" w:color="000000" w:sz="2" w:space="0"/>
              <w:left w:val="single" w:color="000000" w:sz="2" w:space="0"/>
              <w:bottom w:val="single" w:color="000000" w:sz="2" w:space="0"/>
              <w:right w:val="single" w:color="000000" w:sz="2" w:space="0"/>
            </w:tcBorders>
            <w:tcW w:w="1527" w:type="dxa"/>
            <w:vAlign w:val="center"/>
            <w:textDirection w:val="lrTb"/>
            <w:noWrap w:val="false"/>
          </w:tcPr>
          <w:p>
            <w:pPr>
              <w:pStyle w:val="889"/>
              <w:jc w:val="center"/>
              <w:spacing w:before="120" w:line="360" w:lineRule="auto"/>
              <w:rPr>
                <w:rFonts w:ascii="宋体" w:cs="宋体"/>
              </w:rPr>
            </w:pPr>
            <w:r>
              <w:rPr>
                <w:rFonts w:hint="eastAsia" w:ascii="宋体" w:cs="宋体"/>
              </w:rPr>
              <w:t xml:space="preserve">1套</w:t>
            </w:r>
            <w:r>
              <w:rPr>
                <w:rFonts w:ascii="宋体" w:cs="宋体"/>
              </w:rPr>
            </w:r>
            <w:r/>
          </w:p>
        </w:tc>
      </w:tr>
      <w:tr>
        <w:trPr>
          <w:cantSplit/>
          <w:trHeight w:val="288"/>
        </w:trPr>
        <w:tc>
          <w:tcPr>
            <w:shd w:val="clear" w:color="000000" w:fill="ffffff"/>
            <w:tcBorders>
              <w:top w:val="single" w:color="000000" w:sz="2" w:space="0"/>
              <w:left w:val="single" w:color="000000" w:sz="2" w:space="0"/>
              <w:bottom w:val="single" w:color="000000" w:sz="2" w:space="0"/>
              <w:right w:val="single" w:color="000000" w:sz="2" w:space="0"/>
            </w:tcBorders>
            <w:tcW w:w="1258" w:type="dxa"/>
            <w:vAlign w:val="center"/>
            <w:textDirection w:val="lrTb"/>
            <w:noWrap w:val="false"/>
          </w:tcPr>
          <w:p>
            <w:pPr>
              <w:pStyle w:val="889"/>
              <w:jc w:val="center"/>
              <w:spacing w:line="360" w:lineRule="auto"/>
              <w:rPr>
                <w:rFonts w:ascii="宋体" w:cs="宋体"/>
                <w:sz w:val="24"/>
              </w:rPr>
            </w:pPr>
            <w:r>
              <w:rPr>
                <w:rFonts w:hint="eastAsia" w:ascii="宋体" w:cs="宋体"/>
                <w:sz w:val="24"/>
              </w:rPr>
              <w:t xml:space="preserve">3</w:t>
            </w:r>
            <w:r>
              <w:rPr>
                <w:rFonts w:ascii="宋体" w:cs="宋体"/>
                <w:sz w:val="24"/>
              </w:rPr>
            </w:r>
            <w:r/>
          </w:p>
        </w:tc>
        <w:tc>
          <w:tcPr>
            <w:tcBorders>
              <w:top w:val="single" w:color="000000" w:sz="2" w:space="0"/>
              <w:left w:val="single" w:color="000000" w:sz="2" w:space="0"/>
              <w:bottom w:val="single" w:color="000000" w:sz="2" w:space="0"/>
              <w:right w:val="single" w:color="000000" w:sz="2" w:space="0"/>
            </w:tcBorders>
            <w:tcW w:w="6380" w:type="dxa"/>
            <w:vAlign w:val="center"/>
            <w:textDirection w:val="lrTb"/>
            <w:noWrap w:val="false"/>
          </w:tcPr>
          <w:p>
            <w:pPr>
              <w:pStyle w:val="889"/>
              <w:jc w:val="center"/>
              <w:spacing w:line="360" w:lineRule="auto"/>
              <w:rPr>
                <w:rFonts w:ascii="宋体" w:cs="宋体"/>
                <w:sz w:val="24"/>
              </w:rPr>
            </w:pPr>
            <w:r>
              <w:rPr>
                <w:rFonts w:hint="eastAsia" w:ascii="宋体" w:cs="宋体"/>
                <w:sz w:val="24"/>
              </w:rPr>
              <w:t xml:space="preserve">算力服务3</w:t>
            </w:r>
            <w:r>
              <w:rPr>
                <w:rFonts w:ascii="宋体" w:cs="宋体"/>
                <w:sz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527" w:type="dxa"/>
            <w:vAlign w:val="center"/>
            <w:textDirection w:val="lrTb"/>
            <w:noWrap w:val="false"/>
          </w:tcPr>
          <w:p>
            <w:pPr>
              <w:pStyle w:val="889"/>
              <w:jc w:val="center"/>
              <w:spacing w:before="120" w:line="360" w:lineRule="auto"/>
              <w:rPr>
                <w:rFonts w:ascii="宋体" w:cs="宋体"/>
              </w:rPr>
            </w:pPr>
            <w:r>
              <w:rPr>
                <w:rFonts w:hint="eastAsia" w:ascii="宋体" w:cs="宋体"/>
              </w:rPr>
              <w:t xml:space="preserve">1套</w:t>
            </w:r>
            <w:r>
              <w:rPr>
                <w:rFonts w:ascii="宋体" w:cs="宋体"/>
              </w:rPr>
            </w:r>
            <w:r/>
          </w:p>
        </w:tc>
      </w:tr>
    </w:tbl>
    <w:p>
      <w:pPr>
        <w:pStyle w:val="889"/>
        <w:ind w:firstLine="482"/>
        <w:spacing w:line="0" w:lineRule="atLeast"/>
        <w:rPr>
          <w:rFonts w:ascii="宋体" w:hAnsi="宋体"/>
          <w:b/>
          <w:sz w:val="24"/>
          <w:lang w:val="zh-CN"/>
        </w:rPr>
      </w:pPr>
      <w:r>
        <w:rPr>
          <w:rFonts w:ascii="宋体" w:hAnsi="宋体"/>
          <w:b/>
          <w:sz w:val="24"/>
          <w:lang w:val="zh-CN"/>
        </w:rPr>
      </w:r>
      <w:r/>
    </w:p>
    <w:p>
      <w:pPr>
        <w:pStyle w:val="889"/>
        <w:ind w:firstLine="482"/>
        <w:spacing w:line="0" w:lineRule="atLeast"/>
      </w:pPr>
      <w:r>
        <w:rPr>
          <w:rFonts w:hint="eastAsia" w:ascii="宋体" w:hAnsi="宋体"/>
          <w:b/>
          <w:sz w:val="24"/>
        </w:rPr>
        <w:t xml:space="preserve">三、技术指标</w:t>
      </w:r>
      <w:r/>
    </w:p>
    <w:p>
      <w:pPr>
        <w:pStyle w:val="889"/>
      </w:pPr>
      <w:r>
        <w:rPr>
          <w:rFonts w:hint="eastAsia"/>
          <w:sz w:val="24"/>
          <w:szCs w:val="28"/>
        </w:rPr>
        <w:t xml:space="preserve">1、算力服务1参数要求：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554"/>
        <w:gridCol w:w="6609"/>
      </w:tblGrid>
      <w:tr>
        <w:trPr>
          <w:trHeight w:val="401"/>
        </w:trPr>
        <w:tc>
          <w:tcPr>
            <w:shd w:val="clear" w:color="000000"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b/>
                <w:bCs/>
                <w:szCs w:val="24"/>
              </w:rPr>
            </w:pPr>
            <w:r>
              <w:rPr>
                <w:rFonts w:hint="eastAsia" w:ascii="宋体" w:hAnsi="宋体" w:cs="宋体"/>
                <w:b/>
                <w:bCs/>
                <w:szCs w:val="24"/>
              </w:rPr>
              <w:t xml:space="preserve">服务名称</w:t>
            </w:r>
            <w:r>
              <w:rPr>
                <w:rFonts w:ascii="宋体" w:hAnsi="宋体" w:cs="宋体"/>
                <w:b/>
                <w:bCs/>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center"/>
              <w:spacing w:line="480" w:lineRule="auto"/>
              <w:rPr>
                <w:rFonts w:ascii="宋体" w:hAnsi="宋体" w:cs="宋体"/>
                <w:b/>
                <w:bCs/>
                <w:szCs w:val="24"/>
              </w:rPr>
            </w:pPr>
            <w:r>
              <w:rPr>
                <w:rFonts w:hint="eastAsia" w:ascii="宋体" w:hAnsi="宋体" w:cs="宋体"/>
                <w:b/>
                <w:bCs/>
                <w:szCs w:val="24"/>
              </w:rPr>
              <w:t xml:space="preserve">技术要求</w:t>
            </w:r>
            <w:r>
              <w:rPr>
                <w:rFonts w:ascii="宋体" w:hAnsi="宋体" w:cs="宋体"/>
                <w:b/>
                <w:bCs/>
                <w:szCs w:val="24"/>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AI算力服务</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889"/>
              <w:spacing w:line="276" w:lineRule="auto"/>
              <w:rPr>
                <w:rFonts w:ascii="宋体" w:hAnsi="宋体" w:cs="宋体"/>
                <w:sz w:val="24"/>
              </w:rPr>
            </w:pPr>
            <w:r>
              <w:rPr>
                <w:rFonts w:hint="eastAsia" w:ascii="宋体" w:hAnsi="宋体" w:cs="宋体"/>
                <w:sz w:val="24"/>
              </w:rPr>
              <w:t xml:space="preserve">1、AI服务器</w:t>
            </w:r>
            <w:r>
              <w:rPr>
                <w:rFonts w:ascii="宋体" w:hAnsi="宋体" w:cs="宋体"/>
                <w:sz w:val="24"/>
              </w:rPr>
            </w:r>
            <w:r/>
          </w:p>
          <w:p>
            <w:pPr>
              <w:pStyle w:val="889"/>
              <w:spacing w:line="276" w:lineRule="auto"/>
              <w:rPr>
                <w:rFonts w:ascii="宋体" w:hAnsi="宋体" w:cs="宋体"/>
                <w:sz w:val="24"/>
              </w:rPr>
            </w:pPr>
            <w:r>
              <w:rPr>
                <w:rFonts w:hint="eastAsia" w:ascii="宋体" w:hAnsi="宋体" w:cs="宋体"/>
                <w:sz w:val="24"/>
              </w:rPr>
              <w:t xml:space="preserve">2、BF16（或FP16）总算力资源≥3.5 PFLOPS</w:t>
            </w:r>
            <w:r>
              <w:rPr>
                <w:rFonts w:ascii="宋体" w:hAnsi="宋体" w:cs="宋体"/>
                <w:sz w:val="24"/>
              </w:rPr>
            </w:r>
            <w:r/>
          </w:p>
          <w:p>
            <w:pPr>
              <w:pStyle w:val="889"/>
              <w:spacing w:line="276" w:lineRule="auto"/>
              <w:rPr>
                <w:rFonts w:ascii="宋体" w:hAnsi="宋体" w:cs="宋体"/>
                <w:i/>
                <w:iCs/>
                <w:u w:val="single"/>
              </w:rPr>
            </w:pPr>
            <w:r>
              <w:rPr>
                <w:rFonts w:hint="eastAsia" w:ascii="宋体" w:hAnsi="宋体" w:cs="宋体"/>
                <w:sz w:val="24"/>
              </w:rPr>
              <w:t xml:space="preserve">3、总显存≥3000 GB，显存类型为HBM；</w:t>
            </w:r>
            <w:r>
              <w:rPr>
                <w:rFonts w:ascii="宋体" w:hAnsi="宋体" w:cs="宋体"/>
                <w:i/>
                <w:iCs/>
                <w:u w:val="single"/>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单台设备服务能力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1、机架式风冷AI算力服务器；</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rPr>
              <w:t xml:space="preserve">2、▲CPU通过中国信息安全测评中心的安全可靠测评，提供结果公告截图及链接。</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3、▲CPU：≥2颗国产化处理器，单处理器核数≥48核，基准频率≥2.6 GHz；（提供技术白皮书或系统截图并加盖投标人公章）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4、内存：≥1536G DDR5；</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5、硬盘：≥2*480G SATA SSD，4*3840GB NVMe SSD；</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6、网络：≥10*200GE +2*25GE+2*10GE 接口（含配套光模块）；</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7、▲AI处理器：≥16颗国产化AI处理器，任意两个AI处理器之间的双向互联带宽≥700GB/s；（提供技术白皮书或系统截图并加盖投标人公章）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8、▲单AI处理器≥96GB HBM显存；</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9、▲单机显存≥1.5T；（提供技术白皮书或系统截图并加盖投标人公章）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10、单机算力规模≥1900TFLOPS@BF16；</w:t>
            </w:r>
            <w:r>
              <w:rPr>
                <w:rFonts w:ascii="宋体" w:hAnsi="宋体" w:cs="宋体"/>
                <w:szCs w:val="24"/>
              </w:rPr>
            </w:r>
            <w:r/>
          </w:p>
          <w:p>
            <w:pPr>
              <w:pStyle w:val="1005"/>
              <w:ind w:firstLine="0"/>
              <w:jc w:val="left"/>
              <w:spacing w:line="360" w:lineRule="auto"/>
              <w:rPr>
                <w:rFonts w:ascii="宋体" w:hAnsi="宋体" w:cs="宋体"/>
                <w:sz w:val="21"/>
              </w:rPr>
            </w:pPr>
            <w:r>
              <w:rPr>
                <w:rFonts w:hint="eastAsia" w:ascii="宋体" w:hAnsi="宋体" w:cs="宋体"/>
                <w:szCs w:val="24"/>
              </w:rPr>
              <w:t xml:space="preserve">11、支持FP32/FP16/INT8等多精度推理混合计算。</w:t>
            </w:r>
            <w:r>
              <w:rPr>
                <w:rFonts w:ascii="宋体" w:hAnsi="宋体" w:cs="宋体"/>
                <w:sz w:val="21"/>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集群扩展服务能力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1、▲为确保整体算力集群的先进性和具备向未来主流技术演进能力，本次投标产品硬件架构须支持集群架构，具备横向扩展能力；（提供产品技术白皮书证明，并加盖投标人公章）</w:t>
            </w:r>
            <w:r>
              <w:rPr>
                <w:rFonts w:ascii="宋体" w:hAnsi="宋体" w:cs="宋体"/>
                <w:szCs w:val="24"/>
              </w:rPr>
            </w:r>
            <w:r/>
          </w:p>
          <w:p>
            <w:pPr>
              <w:pStyle w:val="1005"/>
              <w:ind w:firstLine="0"/>
              <w:jc w:val="left"/>
              <w:spacing w:line="360" w:lineRule="auto"/>
              <w:rPr>
                <w:rFonts w:ascii="宋体" w:hAnsi="宋体" w:cs="宋体"/>
                <w:i/>
                <w:iCs/>
                <w:szCs w:val="24"/>
                <w:u w:val="single"/>
              </w:rPr>
            </w:pPr>
            <w:r>
              <w:rPr>
                <w:rFonts w:hint="eastAsia" w:ascii="宋体" w:hAnsi="宋体" w:cs="宋体"/>
                <w:szCs w:val="24"/>
              </w:rPr>
              <w:t xml:space="preserve">2、支持从单机到集群化的部署</w:t>
            </w:r>
            <w:r>
              <w:rPr>
                <w:rFonts w:hint="eastAsia" w:ascii="Meiryo" w:hAnsi="Meiryo" w:eastAsia="Meiryo" w:cs="Meiryo"/>
                <w:szCs w:val="24"/>
              </w:rPr>
              <w:t xml:space="preserve">⽅</w:t>
            </w:r>
            <w:r>
              <w:rPr>
                <w:rFonts w:hint="eastAsia" w:ascii="宋体" w:hAnsi="宋体" w:cs="宋体"/>
                <w:szCs w:val="24"/>
              </w:rPr>
              <w:t xml:space="preserve">式，最低可在单机单卡环境下运</w:t>
            </w:r>
            <w:r>
              <w:rPr>
                <w:rFonts w:hint="eastAsia" w:ascii="Meiryo" w:hAnsi="Meiryo" w:eastAsia="Meiryo" w:cs="Meiryo"/>
                <w:szCs w:val="24"/>
              </w:rPr>
              <w:t xml:space="preserve">⾏</w:t>
            </w:r>
            <w:r>
              <w:rPr>
                <w:rFonts w:hint="eastAsia" w:ascii="宋体" w:hAnsi="宋体" w:cs="宋体"/>
                <w:szCs w:val="24"/>
              </w:rPr>
              <w:t xml:space="preserve">，计算能</w:t>
            </w:r>
            <w:r>
              <w:rPr>
                <w:rFonts w:hint="eastAsia" w:ascii="Meiryo" w:hAnsi="Meiryo" w:eastAsia="Meiryo" w:cs="Meiryo"/>
                <w:szCs w:val="24"/>
              </w:rPr>
              <w:t xml:space="preserve">⼒</w:t>
            </w:r>
            <w:r>
              <w:rPr>
                <w:rFonts w:hint="eastAsia" w:ascii="宋体" w:hAnsi="宋体" w:cs="宋体"/>
                <w:szCs w:val="24"/>
              </w:rPr>
              <w:t xml:space="preserve">可实现弹性扩展。</w:t>
            </w:r>
            <w:r>
              <w:rPr>
                <w:rFonts w:ascii="宋体" w:hAnsi="宋体" w:cs="宋体"/>
                <w:i/>
                <w:iCs/>
                <w:szCs w:val="24"/>
                <w:u w:val="single"/>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大模型适配服务能力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1、大模型训练框架兼容性要求：AI服务器须支持PyTorch、TensorFlow、支持主流深度学习开发框架支持Tensorflow、Pytorch、DeepSpeed等主流框架之一进行模型训练；</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2、大模型推理框架兼容性要求： AI服务器须支持vLLM、SGLang等主流框架之一进行模型推理；</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3．▲兼容市场主流软件生态CUDA架构，支持CUDA通用AI主流算子（如vectorAdd、cudaTensorCoreGemm、bf16TensorCoreGemm）的API兼容能力；（提供技术白皮书或系统截图并加盖投标人公章）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rPr>
            </w:pPr>
            <w:r>
              <w:rPr>
                <w:rFonts w:hint="eastAsia" w:ascii="宋体" w:hAnsi="宋体" w:cs="宋体"/>
                <w:szCs w:val="24"/>
              </w:rPr>
              <w:t xml:space="preserve">4、为保证大模型推理效率，须支持主流模型</w:t>
            </w:r>
            <w:r>
              <w:rPr>
                <w:rFonts w:hint="eastAsia" w:ascii="宋体" w:hAnsi="宋体" w:cs="宋体"/>
              </w:rPr>
              <w:t xml:space="preserve">推理加速方法，包括但不限于：并行解码、异步调度、PD分离部署、模型量化等。</w:t>
            </w:r>
            <w:r>
              <w:rPr>
                <w:rFonts w:ascii="宋体" w:hAnsi="宋体" w:cs="宋体"/>
              </w:rPr>
            </w:r>
            <w:r/>
          </w:p>
          <w:p>
            <w:pPr>
              <w:pStyle w:val="1005"/>
              <w:ind w:firstLine="0"/>
              <w:jc w:val="left"/>
              <w:spacing w:line="360" w:lineRule="auto"/>
              <w:rPr>
                <w:rFonts w:ascii="宋体" w:hAnsi="宋体" w:cs="宋体"/>
                <w:szCs w:val="24"/>
              </w:rPr>
            </w:pPr>
            <w:r>
              <w:rPr>
                <w:rFonts w:hint="eastAsia" w:ascii="宋体" w:hAnsi="宋体" w:cs="宋体"/>
              </w:rPr>
              <w:t xml:space="preserve">5</w:t>
            </w:r>
            <w:r>
              <w:rPr>
                <w:rFonts w:hint="eastAsia" w:ascii="宋体" w:hAnsi="宋体" w:cs="宋体"/>
                <w:szCs w:val="24"/>
              </w:rPr>
              <w:t xml:space="preserve">、单台GPU服务器支持在BF16精度下运行DeepSeek-V3 671B或DeepSeek-R1 671B模型推理服务，支持通过API和在线推理服务等方式对外提供调用；</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6、▲基于Vllm或Sglang推理框架运行DeepSeek 671B模型，在BF16精度、256并发下单台GPU服务器吞吐≥3000Tokens/秒；（提供技术白皮书或系统截图并加盖投标人公章）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7、▲基于Vllm或Sglang推理框架运行通义千问Qwen3-235B模型，在BF16精度、256并发下单台GPU服务器吞吐≥5000Tokens/秒；（提供技术白皮书或系统截图并加盖投标人公章）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8、▲投标人须具备大模型交付云管理服务能力，可提供大模型工程化交付、大模型私有化部署服务。（提供人工智能云管理服务模型交付能力证明材料，同时提供官网查询截图，证明材料须在有效期内，主体为投标人）</w:t>
            </w:r>
            <w:r>
              <w:rPr>
                <w:rFonts w:ascii="宋体" w:hAnsi="宋体" w:cs="宋体"/>
                <w:szCs w:val="24"/>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软件平台能力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left"/>
              <w:spacing w:line="360" w:lineRule="auto"/>
              <w:rPr>
                <w:rFonts w:ascii="宋体" w:hAnsi="宋体" w:cs="宋体"/>
              </w:rPr>
            </w:pPr>
            <w:r>
              <w:rPr>
                <w:rFonts w:hint="eastAsia" w:ascii="宋体" w:hAnsi="宋体" w:cs="宋体"/>
              </w:rPr>
              <w:t xml:space="preserve">1、支持模型仓库，预置模型与自定义模型。</w:t>
            </w:r>
            <w:r>
              <w:rPr>
                <w:rFonts w:ascii="宋体" w:hAnsi="宋体" w:cs="宋体"/>
              </w:rPr>
            </w:r>
            <w:r/>
          </w:p>
          <w:p>
            <w:pPr>
              <w:pStyle w:val="1005"/>
              <w:ind w:firstLine="0"/>
              <w:jc w:val="left"/>
              <w:spacing w:line="360" w:lineRule="auto"/>
              <w:rPr>
                <w:rFonts w:ascii="宋体" w:hAnsi="宋体" w:cs="宋体"/>
              </w:rPr>
            </w:pPr>
            <w:r>
              <w:rPr>
                <w:rFonts w:hint="eastAsia" w:ascii="宋体" w:hAnsi="宋体" w:cs="宋体"/>
              </w:rPr>
              <w:t xml:space="preserve">2、支持提供镜像库，预制镜像与自定义镜像。</w:t>
            </w:r>
            <w:r>
              <w:rPr>
                <w:rFonts w:ascii="宋体" w:hAnsi="宋体" w:cs="宋体"/>
              </w:rPr>
            </w:r>
            <w:r/>
          </w:p>
          <w:p>
            <w:pPr>
              <w:pStyle w:val="1005"/>
              <w:ind w:firstLine="0"/>
              <w:jc w:val="left"/>
              <w:spacing w:line="360" w:lineRule="auto"/>
              <w:rPr>
                <w:rFonts w:ascii="宋体" w:hAnsi="宋体" w:cs="宋体"/>
              </w:rPr>
            </w:pPr>
            <w:r>
              <w:rPr>
                <w:rFonts w:hint="eastAsia" w:ascii="宋体" w:hAnsi="宋体" w:cs="宋体"/>
              </w:rPr>
              <w:t xml:space="preserve">3、支持模型在线部署，支持智能推荐、自定义配置。</w:t>
            </w:r>
            <w:r>
              <w:rPr>
                <w:rFonts w:ascii="宋体" w:hAnsi="宋体" w:cs="宋体"/>
              </w:rPr>
            </w:r>
            <w:r/>
          </w:p>
          <w:p>
            <w:pPr>
              <w:pStyle w:val="1005"/>
              <w:ind w:firstLine="0"/>
              <w:jc w:val="left"/>
              <w:spacing w:line="360" w:lineRule="auto"/>
              <w:rPr>
                <w:rFonts w:ascii="宋体" w:hAnsi="宋体" w:cs="宋体"/>
                <w:sz w:val="21"/>
              </w:rPr>
            </w:pPr>
            <w:r>
              <w:rPr>
                <w:rFonts w:hint="eastAsia" w:ascii="宋体" w:hAnsi="宋体" w:cs="宋体"/>
              </w:rPr>
              <w:t xml:space="preserve">4、支持GPU节点维度的监控能力，支持GPU温度、功率、显存已用量、显存可用量、单卡显存使用率、编码解码器使用率率等GPU监控指标。</w:t>
            </w:r>
            <w:r>
              <w:rPr>
                <w:rFonts w:ascii="宋体" w:hAnsi="宋体" w:cs="宋体"/>
                <w:sz w:val="21"/>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1005"/>
              <w:ind w:firstLine="0"/>
              <w:jc w:val="center"/>
              <w:spacing w:line="480" w:lineRule="auto"/>
              <w:rPr>
                <w:rFonts w:ascii="宋体" w:hAnsi="宋体" w:cs="宋体"/>
                <w:szCs w:val="24"/>
              </w:rPr>
            </w:pPr>
            <w:r>
              <w:rPr>
                <w:rFonts w:ascii="宋体" w:hAnsi="宋体" w:cs="宋体"/>
                <w:szCs w:val="24"/>
              </w:rPr>
              <w:t xml:space="preserve">服务要求</w:t>
            </w:r>
            <w:r/>
          </w:p>
        </w:tc>
        <w:tc>
          <w:tcPr>
            <w:shd w:val="clear" w:color="auto" w:fill="ffffff"/>
            <w:tcBorders>
              <w:top w:val="single" w:color="000000" w:sz="4" w:space="0"/>
              <w:left w:val="single" w:color="000000" w:sz="4" w:space="0"/>
              <w:bottom w:val="single" w:color="000000" w:sz="4" w:space="0"/>
              <w:right w:val="single" w:color="000000" w:sz="4" w:space="0"/>
            </w:tcBorders>
            <w:tcW w:w="6609" w:type="dxa"/>
            <w:vAlign w:val="center"/>
            <w:textDirection w:val="lrTb"/>
            <w:noWrap w:val="false"/>
          </w:tcPr>
          <w:p>
            <w:pPr>
              <w:pStyle w:val="1005"/>
              <w:ind w:firstLine="0"/>
              <w:jc w:val="left"/>
              <w:spacing w:line="360" w:lineRule="auto"/>
              <w:rPr>
                <w:rFonts w:ascii="宋体" w:hAnsi="宋体" w:cs="宋体"/>
                <w:b/>
                <w:i/>
                <w:iCs/>
                <w:u w:val="single"/>
              </w:rPr>
            </w:pPr>
            <w:r>
              <w:rPr>
                <w:rFonts w:hint="eastAsia" w:ascii="宋体" w:hAnsi="宋体" w:cs="宋体"/>
                <w:b/>
                <w:i/>
                <w:iCs/>
                <w:u w:val="single"/>
              </w:rPr>
              <w:t xml:space="preserve">1、</w:t>
            </w:r>
            <w:r>
              <w:rPr>
                <w:rFonts w:ascii="宋体" w:hAnsi="宋体" w:cs="宋体"/>
                <w:b/>
                <w:i/>
                <w:iCs/>
                <w:szCs w:val="24"/>
                <w:u w:val="single"/>
              </w:rPr>
              <w:t xml:space="preserve">本套算力服务所使用全部设备须为全新原厂设备，严禁使用二手、翻新、拆机、返修设备；</w:t>
            </w:r>
            <w:r>
              <w:rPr>
                <w:rFonts w:hint="eastAsia" w:ascii="宋体" w:hAnsi="宋体" w:cs="宋体"/>
                <w:b/>
                <w:i/>
                <w:iCs/>
                <w:szCs w:val="24"/>
                <w:u w:val="single"/>
              </w:rPr>
              <w:t xml:space="preserve">（提供承诺函）</w:t>
            </w:r>
            <w:r>
              <w:rPr>
                <w:rFonts w:ascii="宋体" w:hAnsi="宋体" w:cs="宋体"/>
                <w:b/>
                <w:i/>
                <w:iCs/>
                <w:u w:val="single"/>
              </w:rPr>
            </w:r>
            <w:r/>
          </w:p>
          <w:p>
            <w:pPr>
              <w:pStyle w:val="1005"/>
              <w:ind w:firstLine="0"/>
              <w:jc w:val="left"/>
              <w:spacing w:line="360" w:lineRule="auto"/>
              <w:rPr>
                <w:rFonts w:ascii="宋体" w:hAnsi="宋体" w:cs="宋体"/>
              </w:rPr>
            </w:pPr>
            <w:r>
              <w:rPr>
                <w:rFonts w:hint="eastAsia" w:ascii="宋体" w:hAnsi="宋体" w:cs="宋体"/>
                <w:b/>
                <w:i/>
                <w:iCs/>
                <w:u w:val="single"/>
              </w:rPr>
              <w:t xml:space="preserve">2、</w:t>
            </w:r>
            <w:r>
              <w:rPr>
                <w:rFonts w:ascii="宋体" w:hAnsi="宋体" w:cs="宋体"/>
                <w:b/>
                <w:i/>
                <w:iCs/>
                <w:szCs w:val="24"/>
                <w:u w:val="single"/>
              </w:rPr>
              <w:t xml:space="preserve">须本地化部署于采购人指定机房，不得使用公有云、第三方外部机房远程算力，全部模型训练、微调、推理计算任务均在采购人本地机房内执行，业务数据不得流出采购人机房环境。</w:t>
            </w:r>
            <w:r>
              <w:rPr>
                <w:rFonts w:hint="eastAsia" w:ascii="宋体" w:hAnsi="宋体" w:cs="宋体"/>
                <w:b/>
                <w:i/>
                <w:iCs/>
                <w:szCs w:val="24"/>
                <w:u w:val="single"/>
              </w:rPr>
              <w:t xml:space="preserve">（提供承诺函）</w:t>
            </w:r>
            <w:r>
              <w:rPr>
                <w:rFonts w:ascii="宋体" w:hAnsi="宋体" w:cs="宋体"/>
              </w:rPr>
            </w:r>
            <w:r/>
          </w:p>
        </w:tc>
      </w:tr>
    </w:tbl>
    <w:p>
      <w:pPr>
        <w:pStyle w:val="889"/>
      </w:pPr>
      <w:r/>
      <w:r/>
    </w:p>
    <w:p>
      <w:pPr>
        <w:pStyle w:val="889"/>
      </w:pPr>
      <w:r>
        <w:rPr>
          <w:rFonts w:hint="eastAsia"/>
          <w:sz w:val="24"/>
          <w:szCs w:val="28"/>
        </w:rPr>
        <w:t xml:space="preserve">算力服务2参数要求：</w:t>
      </w:r>
      <w:r/>
    </w:p>
    <w:tbl>
      <w:tblPr>
        <w:tblW w:w="49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2402"/>
        <w:gridCol w:w="6761"/>
      </w:tblGrid>
      <w:tr>
        <w:trPr>
          <w:trHeight w:val="401"/>
        </w:trPr>
        <w:tc>
          <w:tcPr>
            <w:shd w:val="clear" w:color="000000"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b/>
                <w:bCs/>
                <w:szCs w:val="24"/>
              </w:rPr>
            </w:pPr>
            <w:r>
              <w:rPr>
                <w:rFonts w:hint="eastAsia" w:ascii="宋体" w:hAnsi="宋体" w:cs="宋体"/>
                <w:b/>
                <w:bCs/>
                <w:szCs w:val="24"/>
              </w:rPr>
              <w:t xml:space="preserve">服务名称</w:t>
            </w:r>
            <w:r>
              <w:rPr>
                <w:rFonts w:ascii="宋体" w:hAnsi="宋体" w:cs="宋体"/>
                <w:b/>
                <w:bCs/>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1005"/>
              <w:ind w:firstLine="0"/>
              <w:jc w:val="center"/>
              <w:spacing w:line="480" w:lineRule="auto"/>
              <w:rPr>
                <w:rFonts w:ascii="宋体" w:hAnsi="宋体" w:cs="宋体"/>
                <w:b/>
                <w:bCs/>
                <w:szCs w:val="24"/>
              </w:rPr>
            </w:pPr>
            <w:r>
              <w:rPr>
                <w:rFonts w:hint="eastAsia" w:ascii="宋体" w:hAnsi="宋体" w:cs="宋体"/>
                <w:b/>
                <w:bCs/>
                <w:szCs w:val="24"/>
              </w:rPr>
              <w:t xml:space="preserve">技术要求</w:t>
            </w:r>
            <w:r>
              <w:rPr>
                <w:rFonts w:ascii="宋体" w:hAnsi="宋体" w:cs="宋体"/>
                <w:b/>
                <w:bCs/>
                <w:szCs w:val="24"/>
              </w:rPr>
            </w:r>
            <w:r/>
          </w:p>
        </w:tc>
      </w:tr>
      <w:tr>
        <w:trPr>
          <w:trHeight w:val="876"/>
        </w:trPr>
        <w:tc>
          <w:tcPr>
            <w:shd w:val="clear" w:color="auto"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AI算力服务</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889"/>
              <w:spacing w:line="276" w:lineRule="auto"/>
              <w:rPr>
                <w:rFonts w:ascii="宋体" w:hAnsi="宋体" w:cs="宋体"/>
                <w:sz w:val="24"/>
              </w:rPr>
            </w:pPr>
            <w:r>
              <w:rPr>
                <w:rFonts w:hint="eastAsia" w:ascii="宋体" w:hAnsi="宋体" w:cs="宋体"/>
                <w:sz w:val="24"/>
              </w:rPr>
              <w:t xml:space="preserve">1、AI服务器；</w:t>
            </w:r>
            <w:r>
              <w:rPr>
                <w:rFonts w:ascii="宋体" w:hAnsi="宋体" w:cs="宋体"/>
                <w:sz w:val="24"/>
              </w:rPr>
            </w:r>
            <w:r/>
          </w:p>
          <w:p>
            <w:pPr>
              <w:pStyle w:val="889"/>
              <w:spacing w:line="276" w:lineRule="auto"/>
              <w:rPr>
                <w:rFonts w:ascii="宋体" w:hAnsi="宋体" w:cs="宋体"/>
                <w:sz w:val="24"/>
              </w:rPr>
            </w:pPr>
            <w:r>
              <w:rPr>
                <w:rFonts w:hint="eastAsia" w:ascii="宋体" w:hAnsi="宋体" w:cs="宋体"/>
                <w:sz w:val="24"/>
              </w:rPr>
              <w:t xml:space="preserve">2、BF16（或FP16）总算力资源≥</w:t>
            </w:r>
            <w:r>
              <w:rPr>
                <w:rFonts w:ascii="宋体" w:hAnsi="宋体" w:cs="宋体"/>
                <w:sz w:val="24"/>
              </w:rPr>
              <w:t xml:space="preserve">4.4</w:t>
            </w:r>
            <w:r>
              <w:rPr>
                <w:rFonts w:hint="eastAsia" w:ascii="宋体" w:hAnsi="宋体" w:cs="宋体"/>
                <w:sz w:val="24"/>
              </w:rPr>
              <w:t xml:space="preserve">PFLOPS；</w:t>
            </w:r>
            <w:r>
              <w:rPr>
                <w:rFonts w:ascii="宋体" w:hAnsi="宋体" w:cs="宋体"/>
                <w:sz w:val="24"/>
              </w:rPr>
            </w:r>
            <w:r/>
          </w:p>
          <w:p>
            <w:pPr>
              <w:pStyle w:val="889"/>
              <w:spacing w:line="276" w:lineRule="auto"/>
              <w:rPr>
                <w:rFonts w:ascii="宋体" w:hAnsi="宋体" w:cs="宋体"/>
              </w:rPr>
            </w:pPr>
            <w:r>
              <w:rPr>
                <w:rFonts w:hint="eastAsia" w:ascii="宋体" w:hAnsi="宋体" w:cs="宋体"/>
                <w:sz w:val="24"/>
              </w:rPr>
              <w:t xml:space="preserve">3、总显存≥1000 GB，显存类型为HBM；</w:t>
            </w:r>
            <w:r>
              <w:rPr>
                <w:rFonts w:ascii="宋体" w:hAnsi="宋体" w:cs="宋体"/>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单台设备服务能力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1、机架式风冷AI算力服务器；</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2、▲CPU：≥</w:t>
            </w:r>
            <w:r>
              <w:rPr>
                <w:rFonts w:ascii="宋体" w:hAnsi="宋体" w:cs="宋体"/>
                <w:szCs w:val="24"/>
              </w:rPr>
              <w:t xml:space="preserve">4</w:t>
            </w:r>
            <w:r>
              <w:rPr>
                <w:rFonts w:hint="eastAsia" w:ascii="宋体" w:hAnsi="宋体" w:cs="宋体"/>
                <w:szCs w:val="24"/>
              </w:rPr>
              <w:t xml:space="preserve">颗国产化处理器，单处理器核数≥64核，基准频率≥2.</w:t>
            </w:r>
            <w:r>
              <w:rPr>
                <w:rFonts w:ascii="宋体" w:hAnsi="宋体" w:cs="宋体"/>
                <w:szCs w:val="24"/>
              </w:rPr>
              <w:t xml:space="preserve">9</w:t>
            </w:r>
            <w:r>
              <w:rPr>
                <w:rFonts w:hint="eastAsia" w:ascii="宋体" w:hAnsi="宋体" w:cs="宋体"/>
                <w:szCs w:val="24"/>
              </w:rPr>
              <w:t xml:space="preserve"> GHz；（提供彩页或技术白皮书并加盖投标人公章）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3、内存：≥</w:t>
            </w:r>
            <w:r>
              <w:rPr>
                <w:rFonts w:ascii="宋体" w:hAnsi="宋体" w:cs="宋体"/>
                <w:szCs w:val="24"/>
              </w:rPr>
              <w:t xml:space="preserve">1024</w:t>
            </w:r>
            <w:r>
              <w:rPr>
                <w:rFonts w:hint="eastAsia" w:ascii="宋体" w:hAnsi="宋体" w:cs="宋体"/>
                <w:szCs w:val="24"/>
              </w:rPr>
              <w:t xml:space="preserve">G DDR5；</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4、硬盘：≥2*480G SATA SSD，</w:t>
            </w:r>
            <w:r>
              <w:rPr>
                <w:rFonts w:ascii="宋体" w:hAnsi="宋体" w:cs="宋体"/>
                <w:szCs w:val="24"/>
              </w:rPr>
              <w:t xml:space="preserve">2</w:t>
            </w:r>
            <w:r>
              <w:rPr>
                <w:rFonts w:hint="eastAsia" w:ascii="宋体" w:hAnsi="宋体" w:cs="宋体"/>
                <w:szCs w:val="24"/>
              </w:rPr>
              <w:t xml:space="preserve">*3840GB NVMe SSD；</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5、网络：≥</w:t>
            </w:r>
            <w:r>
              <w:rPr>
                <w:rFonts w:ascii="宋体" w:hAnsi="宋体" w:cs="宋体"/>
                <w:szCs w:val="24"/>
              </w:rPr>
              <w:t xml:space="preserve">8*400GE+2*100GE+2*25GE接口（含配套光模块）</w:t>
            </w:r>
            <w:r>
              <w:rPr>
                <w:rFonts w:hint="eastAsia" w:ascii="宋体" w:hAnsi="宋体" w:cs="宋体"/>
                <w:szCs w:val="24"/>
              </w:rPr>
              <w:t xml:space="preserve">；</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6、▲AI处理器：≥8颗国产化AI处理器；（提供彩页或技术白皮书并加盖投标人公章）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ascii="宋体" w:hAnsi="宋体" w:cs="宋体"/>
                <w:szCs w:val="24"/>
              </w:rPr>
              <w:t xml:space="preserve">7</w:t>
            </w:r>
            <w:r>
              <w:rPr>
                <w:rFonts w:hint="eastAsia" w:ascii="宋体" w:hAnsi="宋体" w:cs="宋体"/>
                <w:szCs w:val="24"/>
              </w:rPr>
              <w:t xml:space="preserve">、▲显存：单AI处理器≥96GB HBM显存；（提供彩页或技术白皮书并加盖投标人公章）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8、▲互联带宽：任意两个AI处理器之间的双向互联带宽≥</w:t>
            </w:r>
            <w:r>
              <w:rPr>
                <w:rFonts w:ascii="宋体" w:hAnsi="宋体" w:cs="宋体"/>
                <w:szCs w:val="24"/>
              </w:rPr>
              <w:t xml:space="preserve">780</w:t>
            </w:r>
            <w:r>
              <w:rPr>
                <w:rFonts w:hint="eastAsia" w:ascii="宋体" w:hAnsi="宋体" w:cs="宋体"/>
                <w:szCs w:val="24"/>
              </w:rPr>
              <w:t xml:space="preserve">GB/s；（提供彩页或技术白皮书并加盖投标人公章）</w:t>
            </w:r>
            <w:r>
              <w:rPr>
                <w:rFonts w:ascii="宋体" w:hAnsi="宋体" w:cs="宋体"/>
                <w:szCs w:val="24"/>
              </w:rPr>
            </w:r>
            <w:r/>
          </w:p>
          <w:p>
            <w:pPr>
              <w:pStyle w:val="1005"/>
              <w:ind w:firstLine="0"/>
              <w:jc w:val="left"/>
              <w:spacing w:line="360" w:lineRule="auto"/>
              <w:rPr>
                <w:rFonts w:ascii="宋体" w:hAnsi="宋体" w:cs="宋体"/>
                <w:szCs w:val="24"/>
              </w:rPr>
            </w:pPr>
            <w:r>
              <w:rPr>
                <w:rFonts w:ascii="宋体" w:hAnsi="宋体" w:cs="宋体"/>
                <w:szCs w:val="24"/>
              </w:rPr>
              <w:t xml:space="preserve">9</w:t>
            </w:r>
            <w:r>
              <w:rPr>
                <w:rFonts w:hint="eastAsia" w:ascii="宋体" w:hAnsi="宋体" w:cs="宋体"/>
                <w:szCs w:val="24"/>
              </w:rPr>
              <w:t xml:space="preserve">、通信能力：每个AI处理器模组直出≥</w:t>
            </w:r>
            <w:r>
              <w:rPr>
                <w:rFonts w:ascii="宋体" w:hAnsi="宋体" w:cs="宋体"/>
                <w:szCs w:val="24"/>
              </w:rPr>
              <w:t xml:space="preserve">4</w:t>
            </w:r>
            <w:r>
              <w:rPr>
                <w:rFonts w:hint="eastAsia" w:ascii="宋体" w:hAnsi="宋体" w:cs="宋体"/>
                <w:szCs w:val="24"/>
              </w:rPr>
              <w:t xml:space="preserve">00Gbps以太网口接口；</w:t>
            </w:r>
            <w:r>
              <w:rPr>
                <w:rFonts w:ascii="宋体" w:hAnsi="宋体" w:cs="宋体"/>
                <w:szCs w:val="24"/>
              </w:rPr>
            </w:r>
            <w:r/>
          </w:p>
          <w:p>
            <w:pPr>
              <w:pStyle w:val="1005"/>
              <w:ind w:firstLine="0"/>
              <w:jc w:val="left"/>
              <w:spacing w:line="360" w:lineRule="auto"/>
              <w:rPr>
                <w:rFonts w:ascii="宋体" w:hAnsi="宋体" w:cs="宋体"/>
                <w:iCs/>
                <w:szCs w:val="24"/>
              </w:rPr>
            </w:pPr>
            <w:r>
              <w:rPr>
                <w:rFonts w:hint="eastAsia" w:ascii="宋体" w:hAnsi="宋体" w:cs="宋体"/>
                <w:szCs w:val="24"/>
              </w:rPr>
              <w:t xml:space="preserve">10、</w:t>
            </w:r>
            <w:r>
              <w:rPr>
                <w:rFonts w:hint="eastAsia" w:ascii="宋体" w:hAnsi="宋体" w:cs="宋体"/>
                <w:iCs/>
                <w:szCs w:val="24"/>
              </w:rPr>
              <w:t xml:space="preserve">电源数量：≥6个；支持热插拔风扇，支持冗余配置；</w:t>
            </w:r>
            <w:r>
              <w:rPr>
                <w:rFonts w:ascii="宋体" w:hAnsi="宋体" w:cs="宋体"/>
                <w:iCs/>
                <w:szCs w:val="24"/>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集群扩展服务能力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▲为确保整体算力集群的先进性和具备向未来主流技术演进能力，本次投标产品硬件架构须支持集群架构，具备横向扩展能力（提供产品技术白皮书证明，并加盖投标人公章）。</w:t>
            </w:r>
            <w:r>
              <w:rPr>
                <w:rFonts w:ascii="宋体" w:hAnsi="宋体" w:cs="宋体"/>
                <w:szCs w:val="24"/>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szCs w:val="24"/>
              </w:rPr>
            </w:pPr>
            <w:r>
              <w:rPr>
                <w:rFonts w:hint="eastAsia" w:ascii="宋体" w:hAnsi="宋体" w:cs="宋体"/>
                <w:szCs w:val="24"/>
              </w:rPr>
              <w:t xml:space="preserve">大模型适配服务能力</w:t>
            </w:r>
            <w:r>
              <w:rPr>
                <w:rFonts w:ascii="宋体" w:hAnsi="宋体"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1005"/>
              <w:ind w:firstLine="0"/>
              <w:jc w:val="left"/>
              <w:spacing w:line="360" w:lineRule="auto"/>
              <w:rPr>
                <w:rFonts w:ascii="宋体" w:hAnsi="宋体" w:cs="宋体"/>
                <w:szCs w:val="24"/>
              </w:rPr>
            </w:pPr>
            <w:r>
              <w:rPr>
                <w:rFonts w:hint="eastAsia" w:ascii="宋体" w:hAnsi="宋体" w:cs="宋体"/>
                <w:szCs w:val="24"/>
              </w:rPr>
              <w:t xml:space="preserve">1、大模型训练框架兼容性要求：AI服务器须</w:t>
            </w:r>
            <w:r>
              <w:rPr>
                <w:rFonts w:ascii="宋体" w:hAnsi="宋体" w:cs="宋体"/>
                <w:szCs w:val="24"/>
              </w:rPr>
              <w:t xml:space="preserve">支持PyTorch、TensorFlow、MindSpore、Paddle等主流框架之一进行模型训练</w:t>
            </w:r>
            <w:r>
              <w:rPr>
                <w:rFonts w:hint="eastAsia" w:ascii="宋体" w:hAnsi="宋体" w:cs="宋体"/>
                <w:szCs w:val="24"/>
              </w:rPr>
              <w:t xml:space="preserve">；</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2、大模型推理框架兼容性要求： AI服务器须支持vLLM、SGLang等主流框架之一进行模型推理；</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3、为保证大模型推理效率，须支持主流模型推理加速方法，包括但不限于：并行解码、异步调度、PD分离部署、模型量化等。</w:t>
            </w:r>
            <w:r>
              <w:rPr>
                <w:rFonts w:ascii="宋体" w:hAnsi="宋体" w:cs="宋体"/>
                <w:szCs w:val="24"/>
              </w:rPr>
            </w:r>
            <w:r/>
          </w:p>
          <w:p>
            <w:pPr>
              <w:pStyle w:val="1005"/>
              <w:ind w:firstLine="0"/>
              <w:jc w:val="left"/>
              <w:spacing w:line="360" w:lineRule="auto"/>
              <w:rPr>
                <w:rFonts w:ascii="宋体" w:hAnsi="宋体" w:cs="宋体"/>
                <w:szCs w:val="24"/>
              </w:rPr>
            </w:pPr>
            <w:r>
              <w:rPr>
                <w:rFonts w:hint="eastAsia" w:ascii="宋体" w:hAnsi="宋体" w:cs="宋体"/>
                <w:szCs w:val="24"/>
              </w:rPr>
              <w:t xml:space="preserve">4、▲投标人须具备大模型交付云管理服务能力，可提供大模型工程化交付、大模型私有化部署服务。（提供人工智能云管理服务模型交付能力证明材料，同时提供官网查询截图，证明材料须在有效期内，主体为投标人）</w:t>
            </w:r>
            <w:r>
              <w:rPr>
                <w:rFonts w:ascii="宋体" w:hAnsi="宋体" w:cs="宋体"/>
                <w:szCs w:val="24"/>
              </w:rPr>
            </w:r>
            <w:r/>
          </w:p>
        </w:tc>
      </w:tr>
      <w:tr>
        <w:trPr>
          <w:trHeight w:val="314"/>
        </w:trPr>
        <w:tc>
          <w:tcPr>
            <w:shd w:val="clear" w:color="auto" w:fill="ffffff"/>
            <w:tcBorders>
              <w:top w:val="single" w:color="000000" w:sz="4" w:space="0"/>
              <w:left w:val="single" w:color="000000" w:sz="4" w:space="0"/>
              <w:bottom w:val="single" w:color="000000" w:sz="4" w:space="0"/>
              <w:right w:val="single" w:color="000000" w:sz="4" w:space="0"/>
            </w:tcBorders>
            <w:tcW w:w="2402" w:type="dxa"/>
            <w:vAlign w:val="center"/>
            <w:textDirection w:val="lrTb"/>
            <w:noWrap w:val="false"/>
          </w:tcPr>
          <w:p>
            <w:pPr>
              <w:pStyle w:val="1005"/>
              <w:ind w:firstLine="0"/>
              <w:jc w:val="center"/>
              <w:spacing w:line="480" w:lineRule="auto"/>
              <w:rPr>
                <w:rFonts w:ascii="宋体" w:hAnsi="宋体" w:cs="宋体"/>
                <w:szCs w:val="24"/>
              </w:rPr>
            </w:pPr>
            <w:r>
              <w:rPr>
                <w:rFonts w:ascii="宋体" w:hAnsi="宋体" w:cs="宋体"/>
                <w:szCs w:val="24"/>
              </w:rPr>
              <w:t xml:space="preserve">服务要求</w:t>
            </w:r>
            <w:r/>
          </w:p>
        </w:tc>
        <w:tc>
          <w:tcPr>
            <w:shd w:val="clear" w:color="auto" w:fill="ffffff"/>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1005"/>
              <w:ind w:firstLine="0"/>
              <w:jc w:val="left"/>
              <w:spacing w:line="360" w:lineRule="auto"/>
              <w:rPr>
                <w:rFonts w:ascii="宋体" w:hAnsi="宋体" w:cs="宋体"/>
                <w:b/>
                <w:i/>
                <w:iCs/>
                <w:u w:val="single"/>
              </w:rPr>
            </w:pPr>
            <w:r>
              <w:rPr>
                <w:rFonts w:hint="eastAsia" w:ascii="宋体" w:hAnsi="宋体" w:cs="宋体"/>
                <w:b/>
                <w:i/>
                <w:iCs/>
                <w:u w:val="single"/>
              </w:rPr>
              <w:t xml:space="preserve">1、</w:t>
            </w:r>
            <w:r>
              <w:rPr>
                <w:rFonts w:ascii="宋体" w:hAnsi="宋体" w:cs="宋体"/>
                <w:b/>
                <w:i/>
                <w:iCs/>
                <w:szCs w:val="24"/>
                <w:u w:val="single"/>
              </w:rPr>
              <w:t xml:space="preserve">本套算力服务所使用全部设备须为全新原厂设备，严禁使用二手、翻新、拆机、返修设备；</w:t>
            </w:r>
            <w:r>
              <w:rPr>
                <w:rFonts w:hint="eastAsia" w:ascii="宋体" w:hAnsi="宋体" w:cs="宋体"/>
                <w:b/>
                <w:i/>
                <w:iCs/>
                <w:szCs w:val="24"/>
                <w:u w:val="single"/>
              </w:rPr>
              <w:t xml:space="preserve">（提供承诺函）</w:t>
            </w:r>
            <w:r>
              <w:rPr>
                <w:rFonts w:ascii="宋体" w:hAnsi="宋体" w:cs="宋体"/>
                <w:b/>
                <w:i/>
                <w:iCs/>
                <w:u w:val="single"/>
              </w:rPr>
            </w:r>
            <w:r/>
          </w:p>
          <w:p>
            <w:pPr>
              <w:pStyle w:val="1005"/>
              <w:ind w:firstLine="0"/>
              <w:jc w:val="left"/>
              <w:spacing w:line="360" w:lineRule="auto"/>
              <w:rPr>
                <w:rFonts w:ascii="宋体" w:hAnsi="宋体" w:cs="宋体"/>
              </w:rPr>
            </w:pPr>
            <w:r>
              <w:rPr>
                <w:rFonts w:hint="eastAsia" w:ascii="宋体" w:hAnsi="宋体" w:cs="宋体"/>
                <w:b/>
                <w:i/>
                <w:iCs/>
                <w:u w:val="single"/>
              </w:rPr>
              <w:t xml:space="preserve">2、</w:t>
            </w:r>
            <w:r>
              <w:rPr>
                <w:rFonts w:ascii="宋体" w:hAnsi="宋体" w:cs="宋体"/>
                <w:b/>
                <w:i/>
                <w:iCs/>
                <w:szCs w:val="24"/>
                <w:u w:val="single"/>
              </w:rPr>
              <w:t xml:space="preserve">须本地化部署于采购人指定机房，不得使用公有云、第三方外部机房远程算力，全部模型训练、微调、推理计算任务均在采购人本地机房内执行，业务数据不得流出采购人机房环境。</w:t>
            </w:r>
            <w:r>
              <w:rPr>
                <w:rFonts w:hint="eastAsia" w:ascii="宋体" w:hAnsi="宋体" w:cs="宋体"/>
                <w:b/>
                <w:i/>
                <w:iCs/>
                <w:szCs w:val="24"/>
                <w:u w:val="single"/>
              </w:rPr>
              <w:t xml:space="preserve">（提供承诺函）</w:t>
            </w:r>
            <w:r>
              <w:rPr>
                <w:rFonts w:ascii="宋体" w:hAnsi="宋体" w:cs="宋体"/>
              </w:rPr>
            </w:r>
            <w:r/>
          </w:p>
        </w:tc>
      </w:tr>
    </w:tbl>
    <w:p>
      <w:pPr>
        <w:pStyle w:val="1004"/>
        <w:ind w:firstLine="0"/>
      </w:pPr>
      <w:r/>
      <w:r/>
    </w:p>
    <w:p>
      <w:pPr>
        <w:pStyle w:val="889"/>
      </w:pPr>
      <w:r>
        <w:rPr>
          <w:rFonts w:hint="eastAsia"/>
          <w:sz w:val="24"/>
          <w:szCs w:val="28"/>
        </w:rPr>
        <w:t xml:space="preserve">算力服务3参数要求：</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403"/>
        <w:gridCol w:w="6762"/>
      </w:tblGrid>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b/>
                <w:bCs/>
                <w:sz w:val="24"/>
              </w:rPr>
            </w:pPr>
            <w:r>
              <w:rPr>
                <w:rFonts w:hint="eastAsia" w:ascii="宋体" w:hAnsi="宋体" w:cs="宋体"/>
                <w:b/>
                <w:bCs/>
                <w:sz w:val="24"/>
              </w:rPr>
              <w:t xml:space="preserve">指标项目</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jc w:val="center"/>
              <w:widowControl/>
              <w:rPr>
                <w:rFonts w:ascii="宋体" w:hAnsi="宋体" w:cs="宋体"/>
                <w:b/>
                <w:bCs/>
                <w:sz w:val="24"/>
              </w:rPr>
            </w:pPr>
            <w:r>
              <w:rPr>
                <w:rFonts w:hint="eastAsia" w:ascii="宋体" w:hAnsi="宋体" w:cs="宋体"/>
                <w:b/>
                <w:bCs/>
                <w:sz w:val="24"/>
              </w:rPr>
              <w:t xml:space="preserve">技术要求</w:t>
            </w:r>
            <w:r>
              <w:rPr>
                <w:rFonts w:ascii="宋体" w:hAnsi="宋体" w:cs="宋体"/>
                <w:b/>
                <w:bCs/>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b/>
                <w:bCs/>
                <w:sz w:val="24"/>
              </w:rPr>
            </w:pPr>
            <w:r>
              <w:rPr>
                <w:rFonts w:hint="eastAsia" w:ascii="宋体" w:hAnsi="宋体" w:cs="宋体"/>
                <w:sz w:val="24"/>
              </w:rPr>
              <w:t xml:space="preserve">处理器</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b/>
                <w:sz w:val="24"/>
              </w:rPr>
            </w:pPr>
            <w:r>
              <w:rPr>
                <w:rFonts w:hint="eastAsia" w:ascii="宋体" w:hAnsi="宋体" w:cs="宋体"/>
                <w:b/>
                <w:i/>
                <w:iCs/>
                <w:sz w:val="24"/>
                <w:u w:val="single"/>
              </w:rPr>
              <w:t xml:space="preserve">每台服务器配置≥2 颗多核商用处理器，每颗核心数≥48核，主频≥2.1GHz，缓存≥100MB,功耗≥270W；提供相关证明材料。</w:t>
            </w:r>
            <w:r>
              <w:rPr>
                <w:rFonts w:ascii="宋体" w:hAnsi="宋体" w:cs="宋体"/>
                <w:b/>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内存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每台服务器配置≥32条64GB DDR5 4800MHz 服务器内存，最多可扩展≥32根内存插槽，支持DDR5-4800/4400MHz及以上内存。</w:t>
            </w:r>
            <w:r>
              <w:rPr>
                <w:rFonts w:ascii="宋体" w:hAnsi="宋体" w:cs="宋体"/>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硬盘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每台服务器配置≥2块960GB U.2企业级固态硬盘。</w:t>
            </w:r>
            <w:r>
              <w:rPr>
                <w:rFonts w:ascii="宋体" w:hAnsi="宋体" w:cs="宋体"/>
                <w:sz w:val="24"/>
              </w:rPr>
            </w:r>
            <w:r/>
          </w:p>
        </w:tc>
      </w:tr>
      <w:tr>
        <w:trPr>
          <w:trHeight w:val="965"/>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硬盘扩展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每台服务器可支持≥10个2.5英寸热插拔硬盘，其中支持≥8块NVME,支持≥2个NVME/SATA/SAS;支持≥2个NVME M.2 SSD。</w:t>
            </w:r>
            <w:r>
              <w:rPr>
                <w:rFonts w:ascii="宋体" w:hAnsi="宋体" w:cs="宋体"/>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扩展插槽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最大支持12个PCIe5.0·x16标准扩展插槽。</w:t>
            </w:r>
            <w:r>
              <w:rPr>
                <w:rFonts w:ascii="宋体" w:hAnsi="宋体" w:cs="宋体"/>
                <w:sz w:val="24"/>
              </w:rPr>
            </w:r>
            <w:r/>
          </w:p>
        </w:tc>
      </w:tr>
      <w:tr>
        <w:trPr>
          <w:trHeight w:val="122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算力单元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b/>
                <w:sz w:val="24"/>
              </w:rPr>
            </w:pPr>
            <w:r>
              <w:rPr>
                <w:rFonts w:hint="eastAsia" w:ascii="宋体" w:hAnsi="宋体" w:cs="宋体"/>
                <w:b/>
                <w:i/>
                <w:iCs/>
                <w:sz w:val="24"/>
                <w:u w:val="single"/>
              </w:rPr>
              <w:t xml:space="preserve">额外增加算力单元，数量≥8个，单个可提供≥67TFLOPS FP32性能，≥34TFLOPS FP64性能,≥980TFLOPS TF32Tensor Core性能,显存不低于80GB，显存带宽≥3TB/s，NVLink传输带宽≥900GB/s，采用SXM规格，算力单元需与服务器架构无缝兼容，支持NVIDIA CUDA等主流计算框架。提供相关证明材料。</w:t>
            </w:r>
            <w:r>
              <w:rPr>
                <w:rFonts w:ascii="宋体" w:hAnsi="宋体" w:cs="宋体"/>
                <w:b/>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网络</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▲每台服务器配置≥8个单口400G IB网卡；配置千兆电口网卡1块；配置2块 25GB·万兆网卡(光模块)，单网卡端口数2。提供相关证明材料。</w:t>
            </w:r>
            <w:r>
              <w:rPr>
                <w:rFonts w:ascii="宋体" w:hAnsi="宋体" w:cs="宋体"/>
                <w:sz w:val="24"/>
              </w:rPr>
            </w:r>
            <w:r/>
          </w:p>
        </w:tc>
      </w:tr>
      <w:tr>
        <w:trPr>
          <w:trHeight w:val="283"/>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889"/>
              <w:jc w:val="center"/>
              <w:widowControl/>
              <w:rPr>
                <w:rFonts w:ascii="宋体" w:hAnsi="宋体" w:cs="宋体"/>
                <w:sz w:val="24"/>
              </w:rPr>
            </w:pPr>
            <w:r>
              <w:rPr>
                <w:rFonts w:hint="eastAsia" w:ascii="宋体" w:hAnsi="宋体" w:cs="宋体"/>
                <w:sz w:val="24"/>
              </w:rPr>
              <w:t xml:space="preserve">电源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889"/>
              <w:spacing w:line="360" w:lineRule="auto"/>
              <w:widowControl/>
              <w:rPr>
                <w:rFonts w:ascii="宋体" w:hAnsi="宋体" w:cs="宋体"/>
                <w:sz w:val="24"/>
              </w:rPr>
            </w:pPr>
            <w:r>
              <w:rPr>
                <w:rFonts w:hint="eastAsia" w:ascii="宋体" w:hAnsi="宋体" w:cs="宋体"/>
                <w:sz w:val="24"/>
              </w:rPr>
              <w:t xml:space="preserve">每台服务器配置≥6个2700W高效冗余电源。</w:t>
            </w:r>
            <w:r>
              <w:rPr>
                <w:rFonts w:ascii="宋体" w:hAnsi="宋体" w:cs="宋体"/>
                <w:sz w:val="24"/>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pStyle w:val="1005"/>
              <w:ind w:firstLine="0"/>
              <w:jc w:val="center"/>
              <w:spacing w:line="480" w:lineRule="auto"/>
              <w:rPr>
                <w:rFonts w:ascii="宋体" w:hAnsi="宋体" w:cs="宋体"/>
                <w:szCs w:val="24"/>
              </w:rPr>
            </w:pPr>
            <w:r>
              <w:rPr>
                <w:rFonts w:ascii="宋体" w:hAnsi="宋体" w:cs="宋体"/>
                <w:szCs w:val="24"/>
              </w:rPr>
              <w:t xml:space="preserve">服务要求</w:t>
            </w:r>
            <w:r/>
          </w:p>
        </w:tc>
        <w:tc>
          <w:tcPr>
            <w:shd w:val="clear" w:color="auto" w:fill="ffffff"/>
            <w:tcBorders>
              <w:top w:val="single" w:color="000000" w:sz="4" w:space="0"/>
              <w:left w:val="single" w:color="000000" w:sz="4" w:space="0"/>
              <w:bottom w:val="single" w:color="000000" w:sz="4" w:space="0"/>
              <w:right w:val="single" w:color="000000" w:sz="4" w:space="0"/>
            </w:tcBorders>
            <w:tcW w:w="6762" w:type="dxa"/>
            <w:vAlign w:val="center"/>
            <w:textDirection w:val="lrTb"/>
            <w:noWrap w:val="false"/>
          </w:tcPr>
          <w:p>
            <w:pPr>
              <w:pStyle w:val="1005"/>
              <w:ind w:firstLine="0"/>
              <w:jc w:val="left"/>
              <w:spacing w:line="360" w:lineRule="auto"/>
              <w:rPr>
                <w:rFonts w:ascii="宋体" w:hAnsi="宋体" w:cs="宋体"/>
                <w:b/>
                <w:i/>
                <w:iCs/>
                <w:u w:val="single"/>
              </w:rPr>
            </w:pPr>
            <w:r>
              <w:rPr>
                <w:rFonts w:hint="eastAsia" w:ascii="宋体" w:hAnsi="宋体" w:cs="宋体"/>
                <w:b/>
                <w:i/>
                <w:iCs/>
                <w:u w:val="single"/>
              </w:rPr>
              <w:t xml:space="preserve">1、</w:t>
            </w:r>
            <w:r>
              <w:rPr>
                <w:rFonts w:ascii="宋体" w:hAnsi="宋体" w:cs="宋体"/>
                <w:b/>
                <w:i/>
                <w:iCs/>
                <w:szCs w:val="24"/>
                <w:u w:val="single"/>
              </w:rPr>
              <w:t xml:space="preserve">本套算力服务所使用全部设备须为全新原厂设备，严禁使用二手、翻新、拆机、返修设备；</w:t>
            </w:r>
            <w:r>
              <w:rPr>
                <w:rFonts w:hint="eastAsia" w:ascii="宋体" w:hAnsi="宋体" w:cs="宋体"/>
                <w:b/>
                <w:i/>
                <w:iCs/>
                <w:szCs w:val="24"/>
                <w:u w:val="single"/>
              </w:rPr>
              <w:t xml:space="preserve">（提供承诺函）</w:t>
            </w:r>
            <w:r>
              <w:rPr>
                <w:rFonts w:ascii="宋体" w:hAnsi="宋体" w:cs="宋体"/>
                <w:b/>
                <w:i/>
                <w:iCs/>
                <w:u w:val="single"/>
              </w:rPr>
            </w:r>
            <w:r/>
          </w:p>
          <w:p>
            <w:pPr>
              <w:pStyle w:val="1005"/>
              <w:ind w:firstLine="0"/>
              <w:jc w:val="left"/>
              <w:spacing w:line="360" w:lineRule="auto"/>
              <w:rPr>
                <w:rFonts w:ascii="宋体" w:hAnsi="宋体" w:cs="宋体"/>
              </w:rPr>
            </w:pPr>
            <w:r>
              <w:rPr>
                <w:rFonts w:hint="eastAsia" w:ascii="宋体" w:hAnsi="宋体" w:cs="宋体"/>
                <w:b/>
                <w:i/>
                <w:iCs/>
                <w:u w:val="single"/>
              </w:rPr>
              <w:t xml:space="preserve">2、</w:t>
            </w:r>
            <w:r>
              <w:rPr>
                <w:rFonts w:ascii="宋体" w:hAnsi="宋体" w:cs="宋体"/>
                <w:b/>
                <w:i/>
                <w:iCs/>
                <w:szCs w:val="24"/>
                <w:u w:val="single"/>
              </w:rPr>
              <w:t xml:space="preserve">须本地化部署于采购人指定机房，不得使用公有云、第三方外部机房远程算力，全部模型训练、微调、推理计算任务均在采购人本地机房内执行，业务数据不得流出采购人机房环境。</w:t>
            </w:r>
            <w:r>
              <w:rPr>
                <w:rFonts w:hint="eastAsia" w:ascii="宋体" w:hAnsi="宋体" w:cs="宋体"/>
                <w:b/>
                <w:i/>
                <w:iCs/>
                <w:szCs w:val="24"/>
                <w:u w:val="single"/>
              </w:rPr>
              <w:t xml:space="preserve">（提供承诺函）</w:t>
            </w:r>
            <w:r>
              <w:rPr>
                <w:rFonts w:ascii="宋体" w:hAnsi="宋体" w:cs="宋体"/>
              </w:rPr>
            </w:r>
            <w:r/>
          </w:p>
        </w:tc>
      </w:tr>
    </w:tbl>
    <w:p>
      <w:pPr>
        <w:pStyle w:val="1004"/>
      </w:pPr>
      <w:r/>
      <w:r/>
    </w:p>
    <w:p>
      <w:pPr>
        <w:pStyle w:val="1004"/>
      </w:pPr>
      <w:r/>
      <w:r/>
    </w:p>
    <w:p>
      <w:pPr>
        <w:pStyle w:val="889"/>
        <w:ind w:firstLine="482"/>
        <w:spacing w:line="432" w:lineRule="auto"/>
        <w:rPr>
          <w:rFonts w:ascii="宋体" w:hAnsi="宋体"/>
          <w:b/>
          <w:sz w:val="24"/>
        </w:rPr>
      </w:pPr>
      <w:r>
        <w:rPr>
          <w:rFonts w:hint="eastAsia" w:ascii="宋体" w:hAnsi="宋体"/>
          <w:b/>
          <w:sz w:val="24"/>
          <w:lang w:val="zh-CN"/>
        </w:rPr>
        <w:t xml:space="preserve">四、技术要求</w:t>
      </w:r>
      <w:r>
        <w:rPr>
          <w:rFonts w:ascii="宋体" w:hAnsi="宋体"/>
          <w:b/>
          <w:sz w:val="24"/>
        </w:rPr>
      </w:r>
      <w:r/>
    </w:p>
    <w:p>
      <w:pPr>
        <w:pStyle w:val="889"/>
        <w:ind w:right="108"/>
        <w:spacing w:line="432" w:lineRule="auto"/>
        <w:rPr>
          <w:rFonts w:ascii="宋体" w:cs="宋体"/>
          <w:b/>
          <w:bCs/>
          <w:spacing w:val="5"/>
          <w:sz w:val="24"/>
          <w:lang w:val="zh-CN"/>
        </w:rPr>
      </w:pPr>
      <w:r>
        <w:rPr>
          <w:rFonts w:ascii="宋体" w:cs="宋体"/>
          <w:b/>
          <w:bCs/>
          <w:spacing w:val="5"/>
          <w:sz w:val="24"/>
          <w:lang w:val="zh-CN"/>
        </w:rPr>
        <w:t xml:space="preserve">1</w:t>
      </w:r>
      <w:r>
        <w:rPr>
          <w:rFonts w:hint="eastAsia" w:ascii="宋体" w:cs="宋体"/>
          <w:b/>
          <w:bCs/>
          <w:spacing w:val="5"/>
          <w:sz w:val="24"/>
          <w:lang w:val="zh-CN"/>
        </w:rPr>
        <w:t xml:space="preserve">、总体架构设计要求</w:t>
      </w:r>
      <w:r>
        <w:rPr>
          <w:rFonts w:ascii="宋体" w:cs="宋体"/>
          <w:b/>
          <w:bCs/>
          <w:spacing w:val="5"/>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投标人应结合医院 AI 算力业务特点与信息化现状，提出合理的总体架构设计方案。总体架构应包括平台总体逻辑架构、技术架构、算力集群架构、数据交互架构、安全架构等内容，充分体现算力平台的先进性、前瞻性、开放性、兼容性、可扩展性，同时要满足国产化适配相关建设要求，契合医院中长期智慧医疗、医学科研人工智能发展规划。</w:t>
      </w:r>
      <w:r>
        <w:rPr>
          <w:rFonts w:ascii="宋体" w:cs="宋体"/>
          <w:sz w:val="24"/>
          <w:lang w:val="zh-CN"/>
        </w:rPr>
      </w:r>
      <w:r/>
    </w:p>
    <w:p>
      <w:pPr>
        <w:pStyle w:val="889"/>
        <w:ind w:right="108"/>
        <w:spacing w:line="432" w:lineRule="auto"/>
        <w:rPr>
          <w:rFonts w:ascii="宋体" w:cs="宋体"/>
          <w:b/>
          <w:bCs/>
          <w:spacing w:val="5"/>
          <w:sz w:val="24"/>
          <w:lang w:val="zh-CN"/>
        </w:rPr>
      </w:pPr>
      <w:r>
        <w:rPr>
          <w:rFonts w:ascii="宋体" w:cs="宋体"/>
          <w:b/>
          <w:bCs/>
          <w:spacing w:val="5"/>
          <w:sz w:val="24"/>
          <w:lang w:val="zh-CN"/>
        </w:rPr>
        <w:t xml:space="preserve">2</w:t>
      </w:r>
      <w:r>
        <w:rPr>
          <w:rFonts w:hint="eastAsia" w:ascii="宋体" w:cs="宋体"/>
          <w:b/>
          <w:bCs/>
          <w:spacing w:val="5"/>
          <w:sz w:val="24"/>
          <w:lang w:val="zh-CN"/>
        </w:rPr>
        <w:t xml:space="preserve">、实施要求</w:t>
      </w:r>
      <w:r>
        <w:rPr>
          <w:rFonts w:ascii="宋体" w:cs="宋体"/>
          <w:b/>
          <w:bCs/>
          <w:spacing w:val="5"/>
          <w:sz w:val="24"/>
          <w:lang w:val="zh-CN"/>
        </w:rPr>
      </w:r>
      <w:r/>
    </w:p>
    <w:p>
      <w:pPr>
        <w:pStyle w:val="1003"/>
        <w:ind w:firstLine="480"/>
        <w:spacing w:line="432" w:lineRule="auto"/>
        <w:rPr>
          <w:rFonts w:ascii="宋体" w:cs="宋体"/>
          <w:sz w:val="24"/>
          <w:lang w:val="zh-CN"/>
        </w:rPr>
      </w:pPr>
      <w:r>
        <w:rPr>
          <w:rFonts w:ascii="宋体" w:hAnsi="宋体" w:cs="宋体"/>
          <w:sz w:val="24"/>
        </w:rPr>
        <w:t xml:space="preserve">投标人应提供实施方案</w:t>
      </w:r>
      <w:r>
        <w:rPr>
          <w:rFonts w:ascii="宋体" w:hAnsi="宋体" w:cs="宋体"/>
          <w:sz w:val="24"/>
        </w:rPr>
        <w:t xml:space="preserve">，方案包括服务体系、组织架构，具有明确的进度控制、风险控制管理、质量保障措施、信息安全管理措施、文档管理措施等。 实施方案须贴合医院项目现场环境与管理要求，建立权责清晰、运行高效的项目实施组织与服务体系，科学统筹项目全流程建设工作。建立全过程进度管控机制，保障各项建设任务有序落地；构建全方位风险防控体系，提前识别并妥善化解项目实施各类隐患；落实全周期质量管控举措，保障项目交付成果质量；严格落实医疗行业信息安全管理规定，保障医院各项数据资产安全；建立完整规范的项目文档管理机制，实现项目资料闭环归档、可查可溯。</w:t>
      </w:r>
      <w:r>
        <w:rPr>
          <w:rFonts w:ascii="宋体" w:cs="宋体"/>
          <w:sz w:val="24"/>
          <w:lang w:val="zh-CN"/>
        </w:rPr>
      </w:r>
      <w:r/>
    </w:p>
    <w:p>
      <w:pPr>
        <w:pStyle w:val="889"/>
        <w:ind w:right="108"/>
        <w:spacing w:line="432" w:lineRule="auto"/>
        <w:rPr>
          <w:lang w:val="zh-CN"/>
        </w:rPr>
      </w:pPr>
      <w:r>
        <w:rPr>
          <w:rFonts w:hint="eastAsia" w:ascii="宋体" w:cs="宋体"/>
          <w:b/>
          <w:bCs/>
          <w:spacing w:val="5"/>
          <w:sz w:val="24"/>
        </w:rPr>
        <w:t xml:space="preserve">3</w:t>
      </w:r>
      <w:r>
        <w:rPr>
          <w:rFonts w:hint="eastAsia" w:ascii="宋体" w:cs="宋体"/>
          <w:b/>
          <w:bCs/>
          <w:spacing w:val="5"/>
          <w:sz w:val="24"/>
          <w:lang w:val="zh-CN"/>
        </w:rPr>
        <w:t xml:space="preserve">、AI算力服务保障要求</w:t>
      </w:r>
      <w:r>
        <w:rPr>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投标人应提供体系完备、长效可行的 AI 算力服务保障方案，方案包括组织保障、安全保障、服务保障等相关内容。</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须建立长期稳定、专项专属、高效协同的算力服务保障组织体系，压实全周期运维管理责任。围绕算力集群常态化、安全可靠运行目标，构建全方位、多层次的安全防护机制，实现算力平台硬件、平台、网络、数据、访问权限等领域的全域安全管控。建立常态化运维监测与专业化技术支撑服务体系，形成运转顺畅、响应及时的长效运维工作格局，保障算力资源持续稳定输出，充分支撑医院医学大模型训练、推理运算、医学数据分析等各类人工</w:t>
      </w:r>
      <w:r>
        <w:rPr>
          <w:rFonts w:hint="eastAsia" w:ascii="宋体" w:cs="宋体"/>
          <w:sz w:val="24"/>
          <w:lang w:val="zh-CN"/>
        </w:rPr>
        <w:t xml:space="preserve">智能业务长期开展。</w:t>
      </w:r>
      <w:r>
        <w:rPr>
          <w:rFonts w:ascii="宋体" w:cs="宋体"/>
          <w:sz w:val="24"/>
          <w:lang w:val="zh-CN"/>
        </w:rPr>
      </w:r>
      <w:r/>
    </w:p>
    <w:p>
      <w:pPr>
        <w:pStyle w:val="889"/>
        <w:ind w:right="108"/>
        <w:spacing w:line="432" w:lineRule="auto"/>
        <w:rPr>
          <w:lang w:val="zh-CN"/>
        </w:rPr>
      </w:pPr>
      <w:r>
        <w:rPr>
          <w:rFonts w:hint="eastAsia" w:ascii="宋体" w:cs="宋体"/>
          <w:b/>
          <w:bCs/>
          <w:spacing w:val="5"/>
          <w:sz w:val="24"/>
        </w:rPr>
        <w:t xml:space="preserve">4</w:t>
      </w:r>
      <w:r>
        <w:rPr>
          <w:rFonts w:hint="eastAsia" w:ascii="宋体" w:cs="宋体"/>
          <w:b/>
          <w:bCs/>
          <w:spacing w:val="5"/>
          <w:sz w:val="24"/>
          <w:lang w:val="zh-CN"/>
        </w:rPr>
        <w:t xml:space="preserve">、</w:t>
      </w:r>
      <w:r>
        <w:rPr>
          <w:rFonts w:hint="eastAsia" w:ascii="宋体" w:cs="宋体"/>
          <w:b/>
          <w:bCs/>
          <w:spacing w:val="5"/>
          <w:sz w:val="24"/>
        </w:rPr>
        <w:t xml:space="preserve">售后服务</w:t>
      </w:r>
      <w:r>
        <w:rPr>
          <w:rFonts w:hint="eastAsia" w:ascii="宋体" w:cs="宋体"/>
          <w:b/>
          <w:bCs/>
          <w:spacing w:val="5"/>
          <w:sz w:val="24"/>
          <w:lang w:val="zh-CN"/>
        </w:rPr>
        <w:t xml:space="preserve">要求</w:t>
      </w:r>
      <w:r>
        <w:rPr>
          <w:lang w:val="zh-CN"/>
        </w:rPr>
      </w:r>
      <w:r/>
    </w:p>
    <w:p>
      <w:pPr>
        <w:pStyle w:val="1003"/>
        <w:ind w:firstLine="480"/>
        <w:spacing w:line="432" w:lineRule="auto"/>
        <w:rPr>
          <w:rFonts w:ascii="宋体" w:cs="宋体"/>
          <w:sz w:val="24"/>
        </w:rPr>
      </w:pPr>
      <w:r>
        <w:rPr>
          <w:rFonts w:hint="eastAsia" w:ascii="宋体" w:cs="宋体"/>
          <w:sz w:val="24"/>
          <w:lang w:val="zh-CN"/>
        </w:rPr>
        <w:t xml:space="preserve">投标人应提供售后服务方案，方案包含服务方式、服务组织体系、售后服务保障措施、售后服务应急响应措施、</w:t>
      </w:r>
      <w:r>
        <w:rPr>
          <w:rFonts w:hint="eastAsia" w:ascii="宋体" w:cs="宋体"/>
          <w:sz w:val="24"/>
        </w:rPr>
        <w:t xml:space="preserve">培训方案</w:t>
      </w:r>
      <w:r>
        <w:rPr>
          <w:rFonts w:hint="eastAsia" w:ascii="宋体" w:cs="宋体"/>
          <w:sz w:val="24"/>
          <w:lang w:val="zh-CN"/>
        </w:rPr>
        <w:t xml:space="preserve">等内容。</w:t>
      </w:r>
      <w:r>
        <w:rPr>
          <w:rFonts w:hint="eastAsia" w:ascii="宋体" w:cs="宋体"/>
          <w:sz w:val="24"/>
        </w:rPr>
        <w:t xml:space="preserve">服务地点：江苏省人民医院。</w:t>
      </w:r>
      <w:r>
        <w:rPr>
          <w:rFonts w:ascii="宋体" w:cs="宋体"/>
          <w:sz w:val="24"/>
        </w:rPr>
      </w:r>
      <w:r/>
    </w:p>
    <w:p>
      <w:pPr>
        <w:pStyle w:val="1003"/>
        <w:ind w:firstLine="480"/>
        <w:spacing w:line="432" w:lineRule="auto"/>
        <w:rPr>
          <w:rFonts w:ascii="宋体" w:cs="宋体"/>
          <w:sz w:val="24"/>
          <w:lang w:val="zh-CN"/>
        </w:rPr>
      </w:pPr>
      <w:r>
        <w:rPr>
          <w:rFonts w:hint="eastAsia" w:ascii="宋体" w:cs="宋体"/>
          <w:sz w:val="24"/>
          <w:lang w:val="zh-CN"/>
        </w:rPr>
        <w:t xml:space="preserve">（1）免费维保期从项目完成验收合格、交付使用后开始计算。在免费维护期内，中标单位应对产品出现的质量及安全问题负责处理解决并承担一切费用。</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（2）投标方应制订详细的应急处理方案。若出现系统故障，中标单位能够在7×24小时保证由熟悉该系统且有能力进行维护的工程师负责提供系统维护，由此产生的一切费用由中标单位承担。</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3）投标方须提供本项目主要技术支持人员、售后服务人员一览表（含联系方式），保证维护期内有至少一名工程师应定期对系统进行巡检，保证系统在最优化的状态下稳定运行，及时解决各种软件系统故障及突发事件。</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投标人必须提供满足以下要求的培训服务：</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对采购人主要技术人员和骨干用户提供使用及维护培训，对普通用户提供使用培训；</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对采购人主要技术人员提供对系统开发用到的主要技术培训，如操作系统、数据库、开发工具的厂家认证培训，以及应用系统平台的二次开发培训；</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投标人应提供完善的培训方案，培训方案包含培训内容、培训课时等。系统的培训工作要在系统上线试运行前实施，并在培训实施前编制专门的培训材料。</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培训工作贯穿于项目的整个过程，所有的培训需提前制定培训计划，明确培训内容、培训时间、培训方式、所需要培训环境等，提供培训所需的资料、文档，针对培训，还需要制定培训用的PPT讲演稿。</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投标人在甲方现场的培训，投标人必须无偿提供培训资料、讲稿的电子稿、培训用文字资料和讲义等相关用品，所有的资料必须是中文书写，同时允许甲方在内部使用。</w:t>
      </w:r>
      <w:r>
        <w:rPr>
          <w:rFonts w:ascii="宋体" w:cs="宋体"/>
          <w:sz w:val="24"/>
          <w:lang w:val="zh-CN"/>
        </w:rPr>
      </w:r>
      <w:r/>
    </w:p>
    <w:p>
      <w:pPr>
        <w:pStyle w:val="889"/>
        <w:ind w:right="108"/>
        <w:spacing w:line="432" w:lineRule="auto"/>
        <w:rPr>
          <w:lang w:val="zh-CN"/>
        </w:rPr>
      </w:pPr>
      <w:r>
        <w:rPr>
          <w:rFonts w:hint="eastAsia" w:ascii="宋体" w:cs="宋体"/>
          <w:b/>
          <w:bCs/>
          <w:spacing w:val="5"/>
          <w:sz w:val="24"/>
        </w:rPr>
        <w:t xml:space="preserve">5</w:t>
      </w:r>
      <w:r>
        <w:rPr>
          <w:rFonts w:hint="eastAsia" w:ascii="宋体" w:cs="宋体"/>
          <w:b/>
          <w:bCs/>
          <w:spacing w:val="5"/>
          <w:sz w:val="24"/>
          <w:lang w:val="zh-CN"/>
        </w:rPr>
        <w:t xml:space="preserve">、突发事件应急处理要求</w:t>
      </w:r>
      <w:r>
        <w:rPr>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投标人应提供突发事件应急处理预案，方案包含应急预案、应急措施、应急保障人力及物资等内容。</w:t>
      </w:r>
      <w:r>
        <w:rPr>
          <w:rFonts w:ascii="宋体" w:cs="宋体"/>
          <w:sz w:val="24"/>
          <w:lang w:val="zh-CN"/>
        </w:rPr>
      </w:r>
      <w:r/>
    </w:p>
    <w:p>
      <w:pPr>
        <w:pStyle w:val="889"/>
        <w:ind w:firstLine="482"/>
        <w:spacing w:line="0" w:lineRule="atLeast"/>
        <w:rPr>
          <w:rFonts w:ascii="宋体" w:hAnsi="宋体"/>
          <w:b/>
          <w:sz w:val="24"/>
        </w:rPr>
      </w:pPr>
      <w:r>
        <w:rPr>
          <w:rFonts w:hint="eastAsia" w:ascii="宋体" w:hAnsi="宋体"/>
          <w:b/>
          <w:sz w:val="24"/>
          <w:lang w:val="zh-CN"/>
        </w:rPr>
        <w:t xml:space="preserve">五、商务要求</w:t>
      </w:r>
      <w:r>
        <w:rPr>
          <w:rFonts w:ascii="宋体" w:hAnsi="宋体"/>
          <w:b/>
          <w:sz w:val="24"/>
        </w:rPr>
      </w:r>
      <w:r/>
    </w:p>
    <w:p>
      <w:pPr>
        <w:pStyle w:val="1003"/>
        <w:ind w:firstLine="480"/>
        <w:spacing w:line="432" w:lineRule="auto"/>
        <w:rPr>
          <w:rFonts w:ascii="宋体" w:cs="宋体"/>
          <w:sz w:val="24"/>
        </w:rPr>
      </w:pPr>
      <w:r>
        <w:rPr>
          <w:rFonts w:hint="eastAsia" w:ascii="宋体" w:cs="宋体"/>
          <w:sz w:val="24"/>
          <w:lang w:val="zh-CN"/>
        </w:rPr>
        <w:t xml:space="preserve">（一）服务期：</w:t>
      </w:r>
      <w:r>
        <w:rPr>
          <w:rFonts w:ascii="宋体" w:cs="宋体"/>
          <w:sz w:val="24"/>
        </w:rPr>
        <w:t xml:space="preserve">3</w:t>
      </w:r>
      <w:r>
        <w:rPr>
          <w:rFonts w:hint="eastAsia" w:ascii="宋体" w:cs="宋体"/>
          <w:sz w:val="24"/>
        </w:rPr>
        <w:t xml:space="preserve">年</w:t>
      </w:r>
      <w:r>
        <w:rPr>
          <w:rFonts w:ascii="宋体" w:cs="宋体"/>
          <w:sz w:val="24"/>
        </w:rPr>
      </w:r>
      <w:r/>
    </w:p>
    <w:p>
      <w:pPr>
        <w:pStyle w:val="1003"/>
        <w:ind w:firstLine="480"/>
        <w:spacing w:line="432" w:lineRule="auto"/>
        <w:rPr>
          <w:rFonts w:ascii="宋体" w:cs="宋体"/>
          <w:sz w:val="24"/>
          <w:lang w:val="zh-CN"/>
        </w:rPr>
      </w:pPr>
      <w:r>
        <w:rPr>
          <w:rFonts w:hint="eastAsia" w:ascii="宋体" w:cs="宋体"/>
          <w:sz w:val="24"/>
          <w:lang w:val="zh-CN"/>
        </w:rPr>
        <w:t xml:space="preserve">（二）实施地点：采购人指定地点。</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（三）付款方式</w:t>
      </w:r>
      <w:r>
        <w:rPr>
          <w:rFonts w:ascii="宋体" w:cs="宋体"/>
          <w:sz w:val="24"/>
          <w:lang w:val="zh-CN"/>
        </w:rPr>
      </w:r>
      <w:r/>
    </w:p>
    <w:p>
      <w:pPr>
        <w:pStyle w:val="1003"/>
        <w:ind w:firstLine="482"/>
        <w:spacing w:line="432" w:lineRule="auto"/>
        <w:rPr>
          <w:rFonts w:ascii="宋体" w:cs="宋体"/>
          <w:sz w:val="24"/>
          <w:lang w:val="zh-CN"/>
        </w:rPr>
      </w:pPr>
      <w:r>
        <w:rPr>
          <w:rFonts w:hint="eastAsia" w:ascii="宋体" w:cs="宋体"/>
          <w:b/>
          <w:bCs/>
          <w:i/>
          <w:iCs/>
          <w:sz w:val="24"/>
          <w:u w:val="single"/>
          <w:lang w:val="zh-CN"/>
        </w:rPr>
        <w:t xml:space="preserve">服务启动满6个月，考核合格且收到乙方开具的合规发票后，支付合同总金额的50%；合同约定服务期限届满，考核合格且收到乙方开具的合规发票后，支付剩余50%合同款项。</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w:t>
      </w:r>
      <w:r>
        <w:rPr>
          <w:rFonts w:hint="eastAsia" w:ascii="宋体" w:cs="宋体"/>
          <w:sz w:val="24"/>
        </w:rPr>
        <w:t xml:space="preserve">四</w:t>
      </w:r>
      <w:r>
        <w:rPr>
          <w:rFonts w:hint="eastAsia" w:ascii="宋体" w:cs="宋体"/>
          <w:sz w:val="24"/>
          <w:lang w:val="zh-CN"/>
        </w:rPr>
        <w:t xml:space="preserve">）产权与知识产权归属</w:t>
      </w:r>
      <w:r>
        <w:rPr>
          <w:rFonts w:ascii="宋体" w:cs="宋体"/>
          <w:sz w:val="24"/>
          <w:lang w:val="zh-CN"/>
        </w:rPr>
      </w:r>
      <w:r/>
    </w:p>
    <w:p>
      <w:pPr>
        <w:pStyle w:val="1003"/>
        <w:ind w:firstLine="480"/>
        <w:spacing w:line="432" w:lineRule="auto"/>
        <w:rPr>
          <w:rFonts w:ascii="宋体" w:cs="宋体"/>
          <w:sz w:val="24"/>
          <w:lang w:val="zh-CN"/>
        </w:rPr>
      </w:pPr>
      <w:r>
        <w:rPr>
          <w:rFonts w:hint="eastAsia" w:ascii="宋体" w:cs="宋体"/>
          <w:sz w:val="24"/>
          <w:lang w:val="zh-CN"/>
        </w:rPr>
        <w:t xml:space="preserve">本项目全部算力服务由成交供应商提供算力资源服务，其中算力资源相关权属归成交供应商所有，采购人在合同服务期限内享有本项目项下约定范围内的使用权；本项目项下全部项目成果、服务交付成果权属归采购人所有。项目实施过程中采购人产生的全部业务数据、模型业务数据资产所有权全部归采购人所有，成交供应商仅可为本项目服务目的使用，不得泄露、复制、外传采购人数据。</w:t>
      </w:r>
      <w:r>
        <w:rPr>
          <w:rFonts w:ascii="宋体" w:cs="宋体"/>
          <w:sz w:val="24"/>
          <w:lang w:val="zh-CN"/>
        </w:rPr>
      </w:r>
      <w:r/>
    </w:p>
    <w:p>
      <w:pPr>
        <w:pStyle w:val="889"/>
        <w:spacing w:line="520" w:lineRule="exact"/>
        <w:rPr>
          <w:rFonts w:ascii="宋体" w:hAnsi="宋体"/>
          <w:b/>
          <w:bCs/>
          <w:color w:val="000000"/>
          <w:sz w:val="24"/>
        </w:rPr>
        <w:outlineLvl w:val="1"/>
      </w:pPr>
      <w:r>
        <w:rPr>
          <w:rFonts w:hint="eastAsia" w:ascii="宋体" w:hAnsi="宋体"/>
          <w:b/>
          <w:bCs/>
          <w:color w:val="000000"/>
          <w:sz w:val="24"/>
        </w:rPr>
        <w:t xml:space="preserve">（五）项目人员要求</w:t>
      </w:r>
      <w:r>
        <w:rPr>
          <w:rFonts w:ascii="宋体" w:hAnsi="宋体"/>
          <w:b/>
          <w:bCs/>
          <w:color w:val="000000"/>
          <w:sz w:val="24"/>
        </w:rPr>
      </w:r>
      <w:r/>
    </w:p>
    <w:p>
      <w:pPr>
        <w:pStyle w:val="889"/>
        <w:ind w:firstLine="480"/>
        <w:spacing w:line="520" w:lineRule="exact"/>
        <w:rPr>
          <w:rFonts w:ascii="宋体" w:hAnsi="宋体"/>
          <w:sz w:val="24"/>
        </w:rPr>
      </w:pPr>
      <w:r>
        <w:rPr>
          <w:rFonts w:hint="eastAsia" w:ascii="宋体" w:hAnsi="宋体"/>
          <w:sz w:val="24"/>
        </w:rPr>
        <w:t xml:space="preserve">中标人应成立针对本项目的项目工作组：</w:t>
      </w:r>
      <w:r>
        <w:rPr>
          <w:rFonts w:ascii="宋体" w:hAnsi="宋体"/>
          <w:sz w:val="24"/>
        </w:rPr>
      </w:r>
      <w:r/>
    </w:p>
    <w:p>
      <w:pPr>
        <w:pStyle w:val="889"/>
        <w:ind w:firstLine="480"/>
        <w:spacing w:line="520" w:lineRule="exact"/>
        <w:rPr>
          <w:rFonts w:ascii="宋体" w:hAnsi="宋体"/>
          <w:sz w:val="24"/>
        </w:rPr>
      </w:pPr>
      <w:r>
        <w:rPr>
          <w:rFonts w:hint="eastAsia" w:ascii="宋体" w:hAnsi="宋体"/>
          <w:sz w:val="24"/>
        </w:rPr>
        <w:t xml:space="preserve">1、 项目经理（1名）：具有正高级工程师、信息安全保障人员认证（CISAW，风险管理）、信息系统项目管理师、注册信息安全专业人员（CISP）证书。</w:t>
      </w:r>
      <w:r>
        <w:rPr>
          <w:rFonts w:ascii="宋体" w:hAnsi="宋体"/>
          <w:sz w:val="24"/>
        </w:rPr>
      </w:r>
      <w:r/>
    </w:p>
    <w:p>
      <w:pPr>
        <w:pStyle w:val="889"/>
        <w:ind w:firstLine="480"/>
        <w:spacing w:line="520" w:lineRule="exact"/>
        <w:rPr>
          <w:rFonts w:ascii="宋体" w:hAnsi="宋体"/>
          <w:sz w:val="24"/>
        </w:rPr>
      </w:pPr>
      <w:r>
        <w:rPr>
          <w:rFonts w:hint="eastAsia" w:ascii="宋体" w:hAnsi="宋体"/>
          <w:sz w:val="24"/>
        </w:rPr>
        <w:t xml:space="preserve">2、技术负责人（1名）：具有系统架构设计师、注册信息安全专业人员（CISP）、CESI工业和信息化部电子工业标准化研究院专业技术人员（人工智能计算中心建设与运营管理）、CISAW信息安全保障人员认证证书。</w:t>
      </w:r>
      <w:r>
        <w:rPr>
          <w:rFonts w:ascii="宋体" w:hAnsi="宋体"/>
          <w:sz w:val="24"/>
        </w:rPr>
      </w:r>
      <w:r/>
    </w:p>
    <w:p>
      <w:pPr>
        <w:pStyle w:val="889"/>
        <w:ind w:firstLine="480"/>
        <w:spacing w:line="520" w:lineRule="exact"/>
        <w:rPr>
          <w:rFonts w:ascii="宋体" w:hAnsi="宋体"/>
          <w:sz w:val="24"/>
        </w:rPr>
      </w:pPr>
      <w:r>
        <w:rPr>
          <w:rFonts w:hint="eastAsia" w:ascii="宋体" w:hAnsi="宋体"/>
          <w:sz w:val="24"/>
        </w:rPr>
        <w:t xml:space="preserve">3、安全负责人（1名）：具备高级工程师（网络安全方向）、高级信息系统项目管理师、CCSC网络安全能力认证、IT服务项目经理（ITSS）证书。</w:t>
      </w:r>
      <w:r>
        <w:rPr>
          <w:rFonts w:ascii="宋体" w:hAnsi="宋体"/>
          <w:sz w:val="24"/>
        </w:rPr>
      </w:r>
      <w:r/>
    </w:p>
    <w:p>
      <w:pPr>
        <w:pStyle w:val="889"/>
        <w:ind w:firstLine="480"/>
        <w:spacing w:line="520" w:lineRule="exact"/>
        <w:rPr>
          <w:rFonts w:ascii="宋体" w:hAnsi="宋体"/>
          <w:sz w:val="24"/>
        </w:rPr>
      </w:pPr>
      <w:r>
        <w:rPr>
          <w:rFonts w:hint="eastAsia" w:ascii="宋体" w:hAnsi="宋体"/>
          <w:sz w:val="24"/>
        </w:rPr>
        <w:t xml:space="preserve">4、 团队成员（除项目经理、技术负责人、安全负责人之外，不少于5人）：具备ITSS IT服务工程师、网络工程师、网络规划设计师、CCSC网络安全能力认证、CESI工业和信息化部电子工业标准化研究院专业技术人员（人工智能计算中心建设与运营管理）。</w:t>
      </w:r>
      <w:r>
        <w:rPr>
          <w:rFonts w:ascii="宋体" w:hAnsi="宋体"/>
          <w:sz w:val="24"/>
        </w:rPr>
      </w:r>
      <w:r/>
    </w:p>
    <w:p>
      <w:pPr>
        <w:pStyle w:val="889"/>
        <w:spacing w:line="520" w:lineRule="exact"/>
        <w:rPr>
          <w:rFonts w:ascii="宋体" w:hAnsi="宋体"/>
          <w:b/>
          <w:bCs/>
          <w:color w:val="000000"/>
          <w:sz w:val="24"/>
        </w:rPr>
        <w:outlineLvl w:val="1"/>
      </w:pPr>
      <w:r>
        <w:rPr>
          <w:rFonts w:hint="eastAsia" w:ascii="宋体" w:hAnsi="宋体"/>
          <w:b/>
          <w:bCs/>
          <w:color w:val="000000"/>
          <w:sz w:val="24"/>
        </w:rPr>
        <w:t xml:space="preserve">（六）公司实力</w:t>
      </w:r>
      <w:r>
        <w:rPr>
          <w:rFonts w:ascii="宋体" w:hAnsi="宋体"/>
          <w:b/>
          <w:bCs/>
          <w:color w:val="000000"/>
          <w:sz w:val="24"/>
        </w:rPr>
      </w:r>
      <w:r/>
    </w:p>
    <w:p>
      <w:pPr>
        <w:pStyle w:val="889"/>
        <w:ind w:firstLine="480"/>
        <w:spacing w:line="520" w:lineRule="exact"/>
        <w:rPr>
          <w:rFonts w:ascii="宋体" w:hAnsi="宋体"/>
          <w:b/>
          <w:bCs/>
          <w:sz w:val="24"/>
        </w:rPr>
        <w:outlineLvl w:val="2"/>
      </w:pPr>
      <w:r>
        <w:rPr>
          <w:rFonts w:hint="eastAsia" w:ascii="宋体" w:hAnsi="宋体"/>
          <w:b/>
          <w:bCs/>
          <w:sz w:val="24"/>
        </w:rPr>
        <w:t xml:space="preserve">1、相关业绩要求</w:t>
      </w:r>
      <w:r>
        <w:rPr>
          <w:rFonts w:ascii="宋体" w:hAnsi="宋体"/>
          <w:b/>
          <w:bCs/>
          <w:sz w:val="24"/>
        </w:rPr>
      </w:r>
      <w:r/>
    </w:p>
    <w:p>
      <w:pPr>
        <w:pStyle w:val="889"/>
        <w:ind w:firstLine="480"/>
        <w:spacing w:line="520" w:lineRule="exact"/>
        <w:rPr>
          <w:rFonts w:ascii="宋体" w:hAnsi="宋体"/>
          <w:color w:val="000000"/>
          <w:sz w:val="24"/>
        </w:rPr>
      </w:pPr>
      <w:r>
        <w:rPr>
          <w:rFonts w:hint="eastAsia" w:ascii="宋体" w:hAnsi="宋体"/>
          <w:color w:val="000000"/>
          <w:sz w:val="24"/>
        </w:rPr>
        <w:t xml:space="preserve">供应商具有其他自2023年1月1日（含）（以合同签订时间为准）以来同类信息系统业绩案例合同（合同中的相应功能内容应该涉及算力相关）。</w:t>
      </w:r>
      <w:r>
        <w:rPr>
          <w:rFonts w:ascii="宋体" w:hAnsi="宋体"/>
          <w:color w:val="000000"/>
          <w:sz w:val="24"/>
        </w:rPr>
      </w:r>
      <w:r/>
    </w:p>
    <w:p>
      <w:pPr>
        <w:pStyle w:val="889"/>
        <w:ind w:firstLine="480"/>
        <w:spacing w:line="520" w:lineRule="exact"/>
        <w:rPr>
          <w:rFonts w:ascii="宋体" w:hAnsi="宋体"/>
          <w:b/>
          <w:bCs/>
          <w:color w:val="000000"/>
          <w:sz w:val="24"/>
        </w:rPr>
        <w:outlineLvl w:val="2"/>
      </w:pPr>
      <w:r>
        <w:rPr>
          <w:rFonts w:hint="eastAsia" w:ascii="宋体" w:hAnsi="宋体"/>
          <w:b/>
          <w:bCs/>
          <w:color w:val="000000"/>
          <w:sz w:val="24"/>
        </w:rPr>
        <w:t xml:space="preserve">2、企业能力</w:t>
      </w:r>
      <w:r>
        <w:rPr>
          <w:rFonts w:ascii="宋体" w:hAnsi="宋体"/>
          <w:b/>
          <w:bCs/>
          <w:color w:val="000000"/>
          <w:sz w:val="24"/>
        </w:rPr>
      </w:r>
      <w:r/>
    </w:p>
    <w:p>
      <w:pPr>
        <w:pStyle w:val="1004"/>
        <w:rPr>
          <w:rFonts w:ascii="宋体" w:hAnsi="宋体" w:cs="宋体"/>
          <w:sz w:val="24"/>
          <w:szCs w:val="28"/>
        </w:rPr>
      </w:pPr>
      <w:r>
        <w:rPr>
          <w:rFonts w:hint="eastAsia" w:ascii="宋体" w:hAnsi="宋体"/>
          <w:sz w:val="24"/>
        </w:rPr>
        <w:t xml:space="preserve">1、</w:t>
      </w:r>
      <w:r>
        <w:rPr>
          <w:rFonts w:hint="eastAsia" w:ascii="宋体" w:hAnsi="宋体" w:cs="宋体"/>
          <w:sz w:val="24"/>
          <w:szCs w:val="28"/>
        </w:rPr>
        <w:t xml:space="preserve">投标人具有CCID信息系统服务交付能力等级证书；</w:t>
      </w:r>
      <w:r>
        <w:rPr>
          <w:rFonts w:ascii="宋体" w:hAnsi="宋体" w:cs="宋体"/>
          <w:sz w:val="24"/>
          <w:szCs w:val="28"/>
        </w:rPr>
      </w:r>
      <w:r/>
    </w:p>
    <w:p>
      <w:pPr>
        <w:pStyle w:val="1004"/>
        <w:rPr>
          <w:rFonts w:ascii="宋体" w:hAnsi="宋体" w:cs="宋体"/>
          <w:sz w:val="24"/>
          <w:szCs w:val="28"/>
        </w:rPr>
      </w:pPr>
      <w:r>
        <w:rPr>
          <w:rFonts w:hint="eastAsia" w:ascii="宋体" w:hAnsi="宋体" w:cs="宋体"/>
          <w:sz w:val="24"/>
          <w:szCs w:val="28"/>
        </w:rPr>
        <w:t xml:space="preserve">2、投标人具有GB/T36733服务质量服务认证证书；</w:t>
      </w:r>
      <w:r>
        <w:rPr>
          <w:rFonts w:ascii="宋体" w:hAnsi="宋体" w:cs="宋体"/>
          <w:sz w:val="24"/>
          <w:szCs w:val="28"/>
        </w:rPr>
      </w:r>
      <w:r/>
    </w:p>
    <w:p>
      <w:pPr>
        <w:pStyle w:val="1004"/>
        <w:rPr>
          <w:rFonts w:ascii="宋体" w:hAnsi="宋体"/>
          <w:sz w:val="24"/>
        </w:rPr>
      </w:pPr>
      <w:r>
        <w:rPr>
          <w:rFonts w:hint="eastAsia" w:ascii="宋体" w:hAnsi="宋体"/>
          <w:sz w:val="24"/>
        </w:rPr>
        <w:t xml:space="preserve">3、投标人具有ISV信息安全服务资质认证-信息系统安全运维服务；</w:t>
      </w:r>
      <w:r>
        <w:rPr>
          <w:rFonts w:ascii="宋体" w:hAnsi="宋体"/>
          <w:sz w:val="24"/>
        </w:rPr>
      </w:r>
      <w:r/>
    </w:p>
    <w:p>
      <w:pPr>
        <w:pStyle w:val="1004"/>
        <w:spacing w:line="360" w:lineRule="auto"/>
        <w:rPr>
          <w:rFonts w:hint="eastAsia" w:ascii="宋体" w:hAnsi="宋体"/>
          <w:sz w:val="24"/>
        </w:rPr>
      </w:pPr>
      <w:r>
        <w:rPr>
          <w:rFonts w:hint="eastAsia" w:ascii="宋体" w:hAnsi="宋体"/>
          <w:sz w:val="24"/>
        </w:rPr>
        <w:t xml:space="preserve">4、投标人具有由国家版权局颁发的“算力支撑”、“算力网络调度”相关软件著作权登记证书。</w:t>
      </w:r>
      <w:r/>
    </w:p>
    <w:p>
      <w:pPr>
        <w:pStyle w:val="1004"/>
        <w:ind w:firstLine="0"/>
        <w:spacing w:line="360" w:lineRule="auto"/>
        <w:rPr>
          <w:rFonts w:hint="eastAsia" w:ascii="宋体" w:hAnsi="宋体"/>
          <w:sz w:val="24"/>
        </w:rPr>
      </w:pPr>
      <w:r>
        <w:rPr>
          <w:rFonts w:hint="eastAsia" w:ascii="宋体" w:hAnsi="宋体"/>
          <w:sz w:val="24"/>
        </w:rPr>
        <w:t xml:space="preserve">（七）考核办法：</w:t>
      </w:r>
      <w:r/>
    </w:p>
    <w:p>
      <w:pPr>
        <w:pStyle w:val="1004"/>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考核办法：每半年度考核一次。</w:t>
      </w:r>
      <w:r/>
    </w:p>
    <w:p>
      <w:pPr>
        <w:pStyle w:val="1004"/>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考核得分达到</w:t>
      </w:r>
      <w:r>
        <w:rPr>
          <w:rFonts w:hint="eastAsia" w:ascii="宋体" w:hAnsi="宋体"/>
          <w:sz w:val="24"/>
        </w:rPr>
        <w:t xml:space="preserve">90</w:t>
      </w:r>
      <w:r>
        <w:rPr>
          <w:rFonts w:ascii="宋体" w:hAnsi="宋体"/>
          <w:sz w:val="24"/>
        </w:rPr>
        <w:t xml:space="preserve">分（含）为合格，低于合格分每下降1分，扣除半年度服务费用1‰。合同服务期满前，招标人将统一汇总中标人合同履行全周期内所有考核得分，并核算考核得分平均分，平均分高于</w:t>
      </w:r>
      <w:r>
        <w:rPr>
          <w:rFonts w:hint="eastAsia" w:ascii="宋体" w:hAnsi="宋体"/>
          <w:sz w:val="24"/>
        </w:rPr>
        <w:t xml:space="preserve">90</w:t>
      </w:r>
      <w:r>
        <w:rPr>
          <w:rFonts w:ascii="宋体" w:hAnsi="宋体"/>
          <w:sz w:val="24"/>
        </w:rPr>
        <w:t xml:space="preserve">分（含），招标人将按规定流程为中标人办理下一年度合同续签手续。平均分低于</w:t>
      </w:r>
      <w:r>
        <w:rPr>
          <w:rFonts w:hint="eastAsia" w:ascii="宋体" w:hAnsi="宋体"/>
          <w:sz w:val="24"/>
        </w:rPr>
        <w:t xml:space="preserve">90</w:t>
      </w:r>
      <w:r>
        <w:rPr>
          <w:rFonts w:ascii="宋体" w:hAnsi="宋体"/>
          <w:sz w:val="24"/>
        </w:rPr>
        <w:t xml:space="preserve">分的，招标人不予续签下一年度服务合同，本合同服务期满后自动终止。</w:t>
      </w:r>
      <w:r/>
    </w:p>
    <w:tbl>
      <w:tblPr>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784"/>
        <w:gridCol w:w="1882"/>
        <w:gridCol w:w="5821"/>
        <w:gridCol w:w="706"/>
      </w:tblGrid>
      <w:t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考核大类</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考核项目</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考核要求</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分值</w:t>
            </w:r>
            <w:r>
              <w:rPr>
                <w:rFonts w:hint="eastAsia" w:ascii="宋体" w:hAnsi="宋体" w:cs="宋体"/>
                <w:color w:val="000000"/>
              </w:rPr>
            </w:r>
            <w:r/>
          </w:p>
        </w:tc>
      </w:tr>
      <w:tr>
        <w:trPr>
          <w:cantSplit/>
        </w:trPr>
        <w:tc>
          <w:tcPr>
            <w:shd w:val="clear" w:color="auto" w:fill="ffffff"/>
            <w:tcBorders>
              <w:top w:val="single" w:color="000000" w:sz="4" w:space="0"/>
              <w:left w:val="single" w:color="000000" w:sz="4" w:space="0"/>
              <w:right w:val="single" w:color="000000" w:sz="4" w:space="0"/>
            </w:tcBorders>
            <w:tcMar>
              <w:left w:w="120" w:type="dxa"/>
              <w:top w:w="120" w:type="dxa"/>
              <w:right w:w="120" w:type="dxa"/>
              <w:bottom w:w="120" w:type="dxa"/>
            </w:tcMar>
            <w:tcW w:w="784" w:type="dxa"/>
            <w:vAlign w:val="center"/>
            <w:vMerge w:val="restart"/>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监控管理</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巡检及时性</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每月开展巡检，按时提交月度巡检报告，巡检记录完整规范</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巡检真实性</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巡检内容真实有效，无漏检、无弄虚作假情况</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rPr>
              <w:t xml:space="preserve">8</w:t>
            </w:r>
            <w:r/>
          </w:p>
        </w:tc>
      </w:tr>
      <w:tr>
        <w:trPr>
          <w:cantSplit/>
        </w:trPr>
        <w:tc>
          <w:tcPr>
            <w:shd w:val="clear" w:color="auto" w:fill="ffffff"/>
            <w:tcBorders>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监控覆盖率</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算力软硬件、业务链路全部纳入监控，无监控盲区</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rPr>
              <w:t xml:space="preserve">8</w:t>
            </w:r>
            <w:r/>
          </w:p>
        </w:tc>
      </w:tr>
      <w:tr>
        <w:trPr>
          <w:cantSplit/>
        </w:trPr>
        <w:tc>
          <w:tcPr>
            <w:shd w:val="clear" w:color="auto" w:fill="ffffff"/>
            <w:tcBorders>
              <w:top w:val="single" w:color="000000" w:sz="4" w:space="0"/>
              <w:left w:val="single" w:color="000000" w:sz="4" w:space="0"/>
              <w:right w:val="single" w:color="000000" w:sz="4" w:space="0"/>
            </w:tcBorders>
            <w:tcMar>
              <w:left w:w="120" w:type="dxa"/>
              <w:top w:w="120" w:type="dxa"/>
              <w:right w:w="120" w:type="dxa"/>
              <w:bottom w:w="120" w:type="dxa"/>
            </w:tcMar>
            <w:tcW w:w="784" w:type="dxa"/>
            <w:vAlign w:val="center"/>
            <w:vMerge w:val="restart"/>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变更管理</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变更时间管控</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严格按照审批时间窗口实施变更，不在业务高峰时段擅自变更</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变更方案管理</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变更方案要素齐全，风险评估、回退方案完整，审批流程规范</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变更后业务验证</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变更完成后，对推理、训练等相关算力业务开展全面验证，验证记录完整</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top w:val="single" w:color="000000" w:sz="4" w:space="0"/>
              <w:left w:val="single" w:color="000000" w:sz="4" w:space="0"/>
              <w:right w:val="single" w:color="000000" w:sz="4" w:space="0"/>
            </w:tcBorders>
            <w:tcMar>
              <w:left w:w="120" w:type="dxa"/>
              <w:top w:w="120" w:type="dxa"/>
              <w:right w:w="120" w:type="dxa"/>
              <w:bottom w:w="120" w:type="dxa"/>
            </w:tcMar>
            <w:tcW w:w="784" w:type="dxa"/>
            <w:vAlign w:val="center"/>
            <w:vMerge w:val="restart"/>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故障管理</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故障响应时效</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t xml:space="preserve">收到故障告警或报修后，重大、紧急故障2个小时内响应；一般、轻微故障4个小时内响应，及时联系处置</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故障修复时限</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t xml:space="preserve">重大故障总修复时限≤4小时；紧急故障总修复时限≤8小时；一般故障总修复时限≤12小时；轻微故障总修复时限≤24小时，按时完成故障处置、业务恢复</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故障报告时效</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t xml:space="preserve">重大、紧急故障在处置闭环后3个工作日内提交故障分析报告；一般、轻微故障在处置闭环后7个工作日内提交故障分析报告，报告内容完整详实</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故障责任认定</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故障处置完成后，准确定位故障根因，区分直接责任、间接责任，形成责任判定结论，落实整改措施</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r>
      <w:tr>
        <w:trPr>
          <w:cantSplit/>
        </w:trPr>
        <w:tc>
          <w:tcPr>
            <w:shd w:val="clear" w:color="auto" w:fill="ffffff"/>
            <w:tcBorders>
              <w:top w:val="single" w:color="000000" w:sz="4" w:space="0"/>
              <w:left w:val="single" w:color="000000" w:sz="4" w:space="0"/>
              <w:right w:val="single" w:color="000000" w:sz="4" w:space="0"/>
            </w:tcBorders>
            <w:tcMar>
              <w:left w:w="120" w:type="dxa"/>
              <w:top w:w="120" w:type="dxa"/>
              <w:right w:w="120" w:type="dxa"/>
              <w:bottom w:w="120" w:type="dxa"/>
            </w:tcMar>
            <w:tcW w:w="784" w:type="dxa"/>
            <w:vAlign w:val="center"/>
            <w:vMerge w:val="restart"/>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网络安全</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安全事件处置</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落实安全管控要求，不发生特别重大、重大、较大、一般网络安全事件</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rPr>
              <w:t xml:space="preserve">10</w:t>
            </w:r>
            <w:r/>
          </w:p>
        </w:tc>
      </w:tr>
      <w:tr>
        <w:trPr>
          <w:cantSplit/>
        </w:trPr>
        <w:tc>
          <w:tcPr>
            <w:shd w:val="clear" w:color="auto" w:fill="ffffff"/>
            <w:tcBorders>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vMerge w:val="continue"/>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漏洞整改</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高危漏洞在确认后24小时内完成整改，中危漏洞在确认后72小时内完成整改，整改验证到位</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84"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lang w:bidi="ar"/>
              </w:rPr>
              <w:t xml:space="preserve">合计</w:t>
            </w: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882"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821" w:type="dxa"/>
            <w:vAlign w:val="center"/>
            <w:textDirection w:val="lrTb"/>
            <w:noWrap w:val="false"/>
          </w:tcPr>
          <w:p>
            <w:pPr>
              <w:pStyle w:val="889"/>
              <w:spacing w:line="240" w:lineRule="exact"/>
              <w:widowControl/>
              <w:rPr>
                <w:rFonts w:hint="eastAsia" w:ascii="宋体" w:hAnsi="宋体" w:cs="宋体"/>
                <w:color w:val="000000"/>
              </w:rPr>
            </w:pPr>
            <w:r>
              <w:rPr>
                <w:rFonts w:hint="eastAsia"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706" w:type="dxa"/>
            <w:vAlign w:val="center"/>
            <w:textDirection w:val="lrTb"/>
            <w:noWrap w:val="false"/>
          </w:tcPr>
          <w:p>
            <w:pPr>
              <w:pStyle w:val="889"/>
              <w:jc w:val="center"/>
              <w:spacing w:line="240" w:lineRule="exact"/>
              <w:widowControl/>
              <w:rPr>
                <w:rFonts w:hint="eastAsia" w:ascii="宋体" w:hAnsi="宋体" w:cs="宋体"/>
                <w:color w:val="000000"/>
              </w:rPr>
            </w:pPr>
            <w:r>
              <w:rPr>
                <w:rFonts w:hint="eastAsia" w:ascii="宋体" w:hAnsi="宋体" w:cs="宋体"/>
                <w:color w:val="000000"/>
                <w:lang w:bidi="ar"/>
              </w:rPr>
              <w:t xml:space="preserve">100</w:t>
            </w:r>
            <w:r>
              <w:rPr>
                <w:rFonts w:hint="eastAsia" w:ascii="宋体" w:hAnsi="宋体" w:cs="宋体"/>
                <w:color w:val="000000"/>
              </w:rPr>
            </w:r>
            <w:r/>
          </w:p>
        </w:tc>
      </w:tr>
    </w:tbl>
    <w:p>
      <w:pPr>
        <w:pStyle w:val="1004"/>
        <w:ind w:firstLine="480"/>
        <w:spacing w:line="360" w:lineRule="auto"/>
        <w:rPr>
          <w:rFonts w:ascii="宋体" w:hAnsi="宋体"/>
          <w:sz w:val="24"/>
        </w:rPr>
      </w:pPr>
      <w:r>
        <w:rPr>
          <w:rFonts w:ascii="宋体" w:hAnsi="宋体"/>
          <w:sz w:val="24"/>
        </w:rPr>
      </w:r>
      <w:r/>
    </w:p>
    <w:p>
      <w:pPr>
        <w:pStyle w:val="889"/>
        <w:rPr>
          <w:rFonts w:hint="eastAsia" w:ascii="宋体" w:hAnsi="宋体"/>
          <w:sz w:val="24"/>
          <w:szCs w:val="24"/>
        </w:rPr>
      </w:pPr>
      <w:r>
        <w:rPr>
          <w:rFonts w:hint="eastAsia" w:ascii="宋体" w:hAnsi="宋体"/>
          <w:sz w:val="24"/>
          <w:szCs w:val="24"/>
        </w:rPr>
      </w:r>
      <w:r/>
    </w:p>
    <w:p>
      <w:pPr>
        <w:pStyle w:val="889"/>
        <w:ind w:firstLine="480"/>
        <w:spacing w:line="560" w:lineRule="exact"/>
        <w:rPr>
          <w:rFonts w:hint="eastAsia" w:ascii="宋体" w:hAnsi="宋体"/>
          <w:sz w:val="24"/>
        </w:rPr>
      </w:pPr>
      <w:r>
        <w:rPr>
          <w:rFonts w:hint="eastAsia" w:ascii="宋体" w:hAnsi="宋体"/>
          <w:sz w:val="24"/>
        </w:rPr>
      </w:r>
      <w:r/>
    </w:p>
    <w:p>
      <w:pPr>
        <w:pStyle w:val="889"/>
        <w:ind w:firstLine="602"/>
        <w:rPr>
          <w:rFonts w:hint="eastAsia"/>
          <w:b/>
          <w:i/>
          <w:sz w:val="30"/>
          <w:szCs w:val="32"/>
          <w:u w:val="single"/>
        </w:rPr>
      </w:pPr>
      <w:r>
        <w:rPr>
          <w:rFonts w:hint="eastAsia"/>
          <w:b/>
          <w:i/>
          <w:sz w:val="30"/>
          <w:szCs w:val="32"/>
          <w:u w:val="single"/>
        </w:rPr>
      </w:r>
      <w:r/>
    </w:p>
    <w:p>
      <w:pPr>
        <w:pStyle w:val="889"/>
        <w:rPr>
          <w:rFonts w:hint="eastAsia"/>
        </w:rPr>
      </w:pPr>
      <w:r/>
      <w:bookmarkStart w:id="193" w:name="_Toc120614281"/>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7"/>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7"/>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7"/>
        <w:spacing w:line="0" w:lineRule="atLeast"/>
        <w:rPr>
          <w:rFonts w:hint="eastAsia" w:ascii="宋体" w:hAnsi="宋体"/>
        </w:rPr>
      </w:pPr>
      <w:r>
        <w:rPr>
          <w:rFonts w:hint="eastAsia" w:ascii="宋体" w:hAnsi="宋体"/>
        </w:rPr>
        <w:t xml:space="preserve">1、小微型企业价格扣除</w:t>
      </w:r>
      <w:r/>
    </w:p>
    <w:p>
      <w:pPr>
        <w:pStyle w:val="97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7"/>
        <w:rPr>
          <w:rFonts w:hint="eastAsia" w:ascii="宋体" w:hAnsi="宋体"/>
        </w:rPr>
      </w:pPr>
      <w:r>
        <w:rPr>
          <w:rFonts w:hint="eastAsia" w:ascii="宋体" w:hAnsi="宋体"/>
        </w:rPr>
        <w:t xml:space="preserve">（2）供应商需按照采购文件的要求提供相应的《中小微企业声明函》。</w:t>
      </w:r>
      <w:r/>
    </w:p>
    <w:p>
      <w:pPr>
        <w:pStyle w:val="977"/>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977"/>
        <w:spacing w:line="0" w:lineRule="atLeast"/>
        <w:rPr>
          <w:rFonts w:hint="eastAsia" w:ascii="宋体" w:hAnsi="宋体"/>
        </w:rPr>
      </w:pPr>
      <w:r>
        <w:rPr>
          <w:rFonts w:hint="eastAsia" w:ascii="宋体" w:hAnsi="宋体"/>
        </w:rPr>
        <w:t xml:space="preserve">2、残疾人福利单位价格扣除</w:t>
      </w:r>
      <w:r/>
    </w:p>
    <w:p>
      <w:pPr>
        <w:pStyle w:val="97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7"/>
        <w:spacing w:line="0" w:lineRule="atLeast"/>
        <w:rPr>
          <w:rFonts w:hint="eastAsia" w:ascii="宋体" w:hAnsi="宋体"/>
        </w:rPr>
      </w:pPr>
      <w:r>
        <w:rPr>
          <w:rFonts w:hint="eastAsia" w:ascii="宋体" w:hAnsi="宋体"/>
        </w:rPr>
        <w:t xml:space="preserve">3、监狱和戒毒企业价格扣除</w:t>
      </w:r>
      <w:r/>
    </w:p>
    <w:p>
      <w:pPr>
        <w:pStyle w:val="97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7"/>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7"/>
        <w:spacing w:line="400" w:lineRule="exact"/>
        <w:rPr>
          <w:rFonts w:hint="eastAsia" w:ascii="宋体" w:hAnsi="宋体"/>
        </w:rPr>
      </w:pPr>
      <w:r>
        <w:rPr>
          <w:rFonts w:hint="eastAsia" w:ascii="宋体" w:hAnsi="宋体"/>
        </w:rPr>
        <w:t xml:space="preserve">7.采购本国产品的支持政策</w:t>
      </w:r>
      <w:r/>
    </w:p>
    <w:p>
      <w:pPr>
        <w:pStyle w:val="977"/>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977"/>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p>
    <w:p>
      <w:pPr>
        <w:pStyle w:val="977"/>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77"/>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7"/>
        <w:spacing w:line="400" w:lineRule="exact"/>
        <w:rPr>
          <w:rFonts w:hint="eastAsia" w:ascii="宋体" w:hAnsi="宋体"/>
        </w:rPr>
      </w:pPr>
      <w:r>
        <w:rPr>
          <w:rFonts w:hint="eastAsia" w:ascii="宋体" w:hAnsi="宋体"/>
        </w:rPr>
      </w:r>
      <w:r/>
    </w:p>
    <w:p>
      <w:pPr>
        <w:pStyle w:val="977"/>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470"/>
        <w:gridCol w:w="5429"/>
        <w:gridCol w:w="1100"/>
      </w:tblGrid>
      <w:tr>
        <w:trPr/>
        <w:tc>
          <w:tcPr>
            <w:tcW w:w="1166" w:type="dxa"/>
            <w:vAlign w:val="center"/>
            <w:textDirection w:val="lrTb"/>
            <w:noWrap w:val="false"/>
          </w:tcPr>
          <w:p>
            <w:pPr>
              <w:pStyle w:val="889"/>
              <w:jc w:val="center"/>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jc w:val="center"/>
              <w:rPr>
                <w:rFonts w:ascii="宋体" w:hAnsi="宋体" w:cs="宋体"/>
                <w:sz w:val="24"/>
                <w:szCs w:val="28"/>
              </w:rPr>
            </w:pPr>
            <w:r>
              <w:rPr>
                <w:rFonts w:hint="eastAsia" w:ascii="宋体" w:hAnsi="宋体" w:cs="宋体"/>
                <w:sz w:val="24"/>
                <w:szCs w:val="28"/>
              </w:rPr>
              <w:t xml:space="preserve">评分因素</w:t>
            </w:r>
            <w:r>
              <w:rPr>
                <w:rFonts w:ascii="宋体" w:hAnsi="宋体" w:cs="宋体"/>
                <w:sz w:val="24"/>
                <w:szCs w:val="28"/>
              </w:rPr>
            </w:r>
            <w:r/>
          </w:p>
        </w:tc>
        <w:tc>
          <w:tcPr>
            <w:tcW w:w="5429" w:type="dxa"/>
            <w:vAlign w:val="center"/>
            <w:textDirection w:val="lrTb"/>
            <w:noWrap w:val="false"/>
          </w:tcPr>
          <w:p>
            <w:pPr>
              <w:pStyle w:val="889"/>
              <w:jc w:val="center"/>
              <w:rPr>
                <w:rFonts w:ascii="宋体" w:hAnsi="宋体" w:cs="宋体"/>
                <w:sz w:val="24"/>
                <w:szCs w:val="28"/>
              </w:rPr>
            </w:pPr>
            <w:r>
              <w:rPr>
                <w:rFonts w:hint="eastAsia" w:ascii="宋体" w:hAnsi="宋体" w:cs="宋体"/>
                <w:sz w:val="24"/>
                <w:szCs w:val="28"/>
              </w:rPr>
              <w:t xml:space="preserve">评审标准</w:t>
            </w:r>
            <w:r>
              <w:rPr>
                <w:rFonts w:ascii="宋体" w:hAnsi="宋体" w:cs="宋体"/>
                <w:sz w:val="24"/>
                <w:szCs w:val="28"/>
              </w:rPr>
            </w:r>
            <w:r/>
          </w:p>
        </w:tc>
        <w:tc>
          <w:tcPr>
            <w:tcW w:w="1100" w:type="dxa"/>
            <w:vAlign w:val="center"/>
            <w:textDirection w:val="lrTb"/>
            <w:noWrap w:val="false"/>
          </w:tcPr>
          <w:p>
            <w:pPr>
              <w:pStyle w:val="889"/>
              <w:jc w:val="center"/>
              <w:rPr>
                <w:rFonts w:ascii="宋体" w:hAnsi="宋体" w:cs="宋体"/>
                <w:sz w:val="24"/>
                <w:szCs w:val="28"/>
              </w:rPr>
            </w:pPr>
            <w:r>
              <w:rPr>
                <w:rFonts w:hint="eastAsia" w:ascii="宋体" w:hAnsi="宋体" w:cs="宋体"/>
                <w:sz w:val="24"/>
                <w:szCs w:val="28"/>
              </w:rPr>
              <w:t xml:space="preserve">分值</w:t>
            </w:r>
            <w:r>
              <w:rPr>
                <w:rFonts w:ascii="宋体" w:hAnsi="宋体" w:cs="宋体"/>
                <w:sz w:val="24"/>
                <w:szCs w:val="28"/>
              </w:rPr>
            </w:r>
            <w:r/>
          </w:p>
        </w:tc>
      </w:tr>
      <w:tr>
        <w:trPr/>
        <w:tc>
          <w:tcPr>
            <w:tcW w:w="1166"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报价部分</w:t>
              <w:br w:type="textWrapping" w:clear="all"/>
              <w:t xml:space="preserve">(15分）</w:t>
            </w: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价格</w:t>
            </w: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价格分采用低价优先法计算，即满足招标文件要求且报价最低的投标人报价为评标基准价，其价格分为满分15分，其它投标人的价格分统一按照以下公式计算：</w:t>
            </w:r>
            <w:r>
              <w:rPr>
                <w:rFonts w:ascii="宋体" w:hAnsi="宋体" w:cs="宋体"/>
                <w:sz w:val="24"/>
                <w:szCs w:val="28"/>
              </w:rPr>
            </w:r>
            <w:r/>
          </w:p>
          <w:p>
            <w:pPr>
              <w:pStyle w:val="889"/>
              <w:rPr>
                <w:rFonts w:ascii="宋体" w:hAnsi="宋体" w:cs="宋体"/>
                <w:sz w:val="24"/>
                <w:szCs w:val="28"/>
              </w:rPr>
            </w:pPr>
            <w:r>
              <w:rPr>
                <w:rFonts w:hint="eastAsia" w:ascii="宋体" w:hAnsi="宋体" w:cs="宋体"/>
                <w:sz w:val="24"/>
                <w:szCs w:val="28"/>
              </w:rPr>
              <w:t xml:space="preserve">投标报价得分=（最低报价/该投标人的投标报价）×15分（小数点保留两位）</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15</w:t>
            </w:r>
            <w:r>
              <w:rPr>
                <w:rFonts w:ascii="宋体" w:hAnsi="宋体" w:cs="宋体"/>
                <w:sz w:val="24"/>
                <w:szCs w:val="28"/>
              </w:rPr>
            </w:r>
            <w:r/>
          </w:p>
        </w:tc>
      </w:tr>
      <w:tr>
        <w:trPr>
          <w:cantSplit/>
        </w:trPr>
        <w:tc>
          <w:tcPr>
            <w:tcW w:w="1166" w:type="dxa"/>
            <w:vAlign w:val="center"/>
            <w:vMerge w:val="restart"/>
            <w:textDirection w:val="lrTb"/>
            <w:noWrap w:val="false"/>
          </w:tcPr>
          <w:p>
            <w:pPr>
              <w:pStyle w:val="889"/>
              <w:rPr>
                <w:rFonts w:ascii="宋体" w:hAnsi="宋体" w:cs="宋体"/>
                <w:sz w:val="24"/>
                <w:szCs w:val="28"/>
              </w:rPr>
            </w:pPr>
            <w:r>
              <w:rPr>
                <w:rFonts w:hint="eastAsia" w:ascii="宋体" w:hAnsi="宋体" w:cs="宋体"/>
                <w:sz w:val="24"/>
                <w:szCs w:val="28"/>
              </w:rPr>
              <w:t xml:space="preserve">履约能力（36分）</w:t>
            </w:r>
            <w:r>
              <w:rPr>
                <w:rFonts w:ascii="宋体" w:hAnsi="宋体" w:cs="宋体"/>
                <w:sz w:val="24"/>
                <w:szCs w:val="28"/>
              </w:rPr>
            </w:r>
            <w:r/>
          </w:p>
        </w:tc>
        <w:tc>
          <w:tcPr>
            <w:tcW w:w="1470" w:type="dxa"/>
            <w:vAlign w:val="center"/>
            <w:vMerge w:val="restart"/>
            <w:textDirection w:val="lrTb"/>
            <w:noWrap w:val="false"/>
          </w:tcPr>
          <w:p>
            <w:pPr>
              <w:pStyle w:val="889"/>
              <w:rPr>
                <w:rFonts w:ascii="宋体" w:hAnsi="宋体" w:cs="宋体"/>
                <w:sz w:val="24"/>
                <w:szCs w:val="28"/>
              </w:rPr>
            </w:pPr>
            <w:r>
              <w:rPr>
                <w:rFonts w:hint="eastAsia" w:ascii="宋体" w:hAnsi="宋体" w:cs="宋体"/>
                <w:sz w:val="24"/>
                <w:szCs w:val="28"/>
              </w:rPr>
              <w:t xml:space="preserve">企业资质（15分）</w:t>
            </w: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2.1 投标人具CCID信息系统服务交付能力等级证书的得4分，不提供不得分。（提供有效证书扫描件或复印件并加盖投标人公章。）</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2.2 投标人具有GB/T36733服务质量服务认证证书的得4分，不提供不得分。（提供有效证书扫描件或复印件并加盖投标人公章。）</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2.2 投标人具有ISV信息安全服务资质认证-信息系统安全运维服务的得4分，不提供不得分。（提供有效证书扫描件或复印件并加盖投标人公章。）</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2.3 投标人具有由国家版权局颁发的“算力支撑”、“算力网络调度”相关软件著作权登记证书，有一个得1.5分</w:t>
            </w:r>
            <w:r>
              <w:rPr>
                <w:rFonts w:hint="eastAsia"/>
              </w:rPr>
              <w:t xml:space="preserve">，同类软著不重复得分，满分3分。</w:t>
            </w:r>
            <w:r>
              <w:t xml:space="preserve">未提供不得分</w:t>
            </w:r>
            <w:r>
              <w:rPr>
                <w:rFonts w:hint="eastAsia"/>
              </w:rPr>
              <w:t xml:space="preserve">。</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3</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restart"/>
            <w:textDirection w:val="lrTb"/>
            <w:noWrap w:val="false"/>
          </w:tcPr>
          <w:p>
            <w:pPr>
              <w:pStyle w:val="889"/>
              <w:rPr>
                <w:rFonts w:ascii="宋体" w:hAnsi="宋体" w:cs="宋体"/>
                <w:sz w:val="24"/>
                <w:szCs w:val="28"/>
              </w:rPr>
            </w:pPr>
            <w:r>
              <w:rPr>
                <w:rFonts w:hint="eastAsia" w:ascii="宋体" w:hAnsi="宋体" w:cs="宋体"/>
                <w:sz w:val="24"/>
                <w:szCs w:val="28"/>
              </w:rPr>
              <w:t xml:space="preserve">人员资质（17分）</w:t>
            </w: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2.5 </w:t>
            </w:r>
            <w:r>
              <w:rPr>
                <w:rFonts w:hint="eastAsia" w:ascii="宋体" w:hAnsi="宋体" w:cs="宋体"/>
                <w:sz w:val="24"/>
              </w:rPr>
              <w:t xml:space="preserve">拟投入本项目的项目经理（限1人）具有正高级工程师、信息安全保障人员认证（CISAW，风险管理）、信息系统项目管理师、注册信息安全专业人员（CISP）证书，</w:t>
            </w:r>
            <w:r>
              <w:rPr>
                <w:rFonts w:hint="eastAsia" w:ascii="宋体" w:hAnsi="宋体" w:cs="宋体"/>
                <w:sz w:val="24"/>
                <w:szCs w:val="28"/>
              </w:rPr>
              <w:t xml:space="preserve">每提供一类证书得1分，最多得4分。（需提供证书扫描件或复印件并加盖投标人公章，以及投标人为其缴纳的近半年内任意一个月社保的证明文件，否则不得分。）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2.6拟投入项目技术负责人具有系统架构设计师、注册信息安全专业人员（CISP）、CESI工业和信息化部电子工业标准化研究院专业技术人员（人工智能计算中心建设与运营管理）、CISAW信息安全保障人员认证证书，每提供一类证书得1分，最多得4分。（需提供证书扫描件或复印件并加盖投标人公章，以及投标人为其缴纳的近半年内任意一个月社保的证明文件，否则不得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2.7 拟投入本项目的安全负责人（限1人）：具备高级工程师（网络安全方向）、高级信息系统项目管理师、CCSC网络安全能力认证、IT服务项目经理（ITSS）证书，每提供一类证书得1分，最多得4分。（需提供证书扫描件或复印件并加盖投标人公章，以及投标人为其缴纳的近半年内任意一个月社保的证明文件，否则不得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2.8 团队成员（除项目经理、技术负责人、安全负责人之外）不少于5人：具备ITSS IT服务工程师、网络工程师、网络规划设计师、CCSC网络安全能力认证、CESI工业和信息化部电子工业标准化研究院专业技术人员（人工智能计算中心建设与运营管理），每提供一种类型的证书得1分，本项最高得5分，一人多证不得分。（需提供证书扫描件或复印件并加盖投标人公章，以及投标人为其缴纳的近半年内任意一个月社保的证明文件，否则不得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5</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相关业绩（4分）</w:t>
            </w: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2.9 自2023年1月1日以来（以合同签订时间为准），投标人承接过类似信息化项目，每提一份合作协议或合同得2分，此项最高得4分，未按要求提供的不得分。</w:t>
            </w:r>
            <w:r>
              <w:rPr>
                <w:rFonts w:ascii="宋体" w:hAnsi="宋体" w:cs="宋体"/>
                <w:sz w:val="24"/>
                <w:szCs w:val="28"/>
              </w:rPr>
            </w:r>
            <w:r/>
          </w:p>
          <w:p>
            <w:pPr>
              <w:pStyle w:val="889"/>
              <w:rPr>
                <w:rFonts w:ascii="宋体" w:hAnsi="宋体" w:cs="宋体"/>
                <w:sz w:val="24"/>
                <w:szCs w:val="28"/>
              </w:rPr>
            </w:pPr>
            <w:r>
              <w:rPr>
                <w:rFonts w:hint="eastAsia" w:ascii="宋体" w:hAnsi="宋体" w:cs="宋体"/>
                <w:sz w:val="24"/>
                <w:szCs w:val="28"/>
              </w:rPr>
              <w:t xml:space="preserve">（提供合作协议或合同关键页复印件，加盖投标人公章）</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restart"/>
            <w:textDirection w:val="lrTb"/>
            <w:noWrap w:val="false"/>
          </w:tcPr>
          <w:p>
            <w:pPr>
              <w:pStyle w:val="889"/>
              <w:rPr>
                <w:rFonts w:ascii="宋体" w:hAnsi="宋体" w:cs="宋体"/>
                <w:sz w:val="24"/>
                <w:szCs w:val="28"/>
              </w:rPr>
            </w:pPr>
            <w:r>
              <w:rPr>
                <w:rFonts w:hint="eastAsia" w:ascii="宋体" w:hAnsi="宋体" w:cs="宋体"/>
                <w:sz w:val="24"/>
                <w:szCs w:val="28"/>
              </w:rPr>
              <w:t xml:space="preserve">技术部分（49分）</w:t>
            </w: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技术指标响应</w:t>
            </w:r>
            <w:r>
              <w:rPr>
                <w:rFonts w:ascii="宋体" w:hAnsi="宋体" w:cs="宋体"/>
                <w:sz w:val="24"/>
                <w:szCs w:val="28"/>
              </w:rPr>
            </w:r>
            <w:r/>
          </w:p>
        </w:tc>
        <w:tc>
          <w:tcPr>
            <w:tcW w:w="5429"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3.1 投标人全部满足第四章采购需求中的“二、技术指标”要求，打“▲”号条款为重要技术条款（共17项），投标人需提供证明材料并加盖公章。投标人未完全满足的，每一项重要技术条款扣1.5分，其余一般技术条款（共35项）扣0.1分。本项总分29分，根据投标人响应情况进行扣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29</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olor w:val="000000"/>
                <w:sz w:val="24"/>
              </w:rPr>
              <w:t xml:space="preserve">总体架构设计方案</w:t>
            </w:r>
            <w:r>
              <w:rPr>
                <w:rFonts w:ascii="宋体" w:hAnsi="宋体" w:cs="宋体"/>
                <w:sz w:val="24"/>
                <w:szCs w:val="28"/>
              </w:rPr>
            </w:r>
            <w:r/>
          </w:p>
        </w:tc>
        <w:tc>
          <w:tcPr>
            <w:tcW w:w="5429" w:type="dxa"/>
            <w:vAlign w:val="center"/>
            <w:textDirection w:val="lrTb"/>
            <w:noWrap w:val="false"/>
          </w:tcPr>
          <w:p>
            <w:pPr>
              <w:pStyle w:val="889"/>
              <w:spacing w:line="279" w:lineRule="auto"/>
              <w:rPr>
                <w:rFonts w:ascii="宋体" w:hAnsi="宋体" w:cs="宋体"/>
                <w:sz w:val="24"/>
                <w:szCs w:val="28"/>
              </w:rPr>
            </w:pPr>
            <w:r>
              <w:rPr>
                <w:rFonts w:hint="eastAsia" w:ascii="宋体" w:hAnsi="宋体" w:cs="宋体"/>
                <w:sz w:val="24"/>
                <w:szCs w:val="28"/>
              </w:rPr>
              <w:t xml:space="preserve">3.2 （1）投标文件未符合“总体架构设计方案”中全部条款要求的，视为不符合招标文件，本项得0分；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（2）投标文件符合“总体架构设计方案”中全部条款要求的，视为符合招标文件，本项得2分；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3）经评委认定，投标文件对“总体架构设计方案”中“业务现状分析”、“方案架构设计”、“技术选型”要求的响应内容全部优于招标文件要求的（投标文件对“总体架构设计方案”中除“业务现状分析”、“方案架构设计”、“技术选型”外其它要求响应内容符合招标文件要求），本项得4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olor w:val="000000"/>
                <w:sz w:val="24"/>
              </w:rPr>
              <w:t xml:space="preserve">实施方案</w:t>
            </w:r>
            <w:r>
              <w:rPr>
                <w:rFonts w:ascii="宋体" w:hAnsi="宋体" w:cs="宋体"/>
                <w:sz w:val="24"/>
                <w:szCs w:val="28"/>
              </w:rPr>
            </w:r>
            <w:r/>
          </w:p>
        </w:tc>
        <w:tc>
          <w:tcPr>
            <w:tcW w:w="5429" w:type="dxa"/>
            <w:vAlign w:val="center"/>
            <w:textDirection w:val="lrTb"/>
            <w:noWrap w:val="false"/>
          </w:tcPr>
          <w:p>
            <w:pPr>
              <w:pStyle w:val="889"/>
              <w:spacing w:line="279" w:lineRule="auto"/>
              <w:rPr>
                <w:rFonts w:ascii="宋体" w:hAnsi="宋体" w:cs="宋体"/>
                <w:sz w:val="24"/>
                <w:szCs w:val="28"/>
              </w:rPr>
            </w:pPr>
            <w:r>
              <w:rPr>
                <w:rFonts w:hint="eastAsia" w:ascii="宋体" w:hAnsi="宋体" w:cs="宋体"/>
                <w:sz w:val="24"/>
                <w:szCs w:val="28"/>
              </w:rPr>
              <w:t xml:space="preserve">3.3 （1）投标文件未符合“实施方案”中全部条款要求的，视为不符合招标文件，本项得0分；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（2）投标文件符合“实施方案”中全部条款要求的，视为符合招标文件，本项得2分；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3）经评委认定，投标文件对“实施方案”中“组织架构”、“进度控制”、“风险控制管理”要求的响应内容全部优于招标文件要求的（投标文件对“实施方案”中除“组织架构”、“进度控制”、“风险控制管理”外其它要求响应内容符合招标文件要求），本项得4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AI算力服务保障方案</w:t>
            </w:r>
            <w:r>
              <w:rPr>
                <w:rFonts w:ascii="宋体" w:hAnsi="宋体" w:cs="宋体"/>
                <w:sz w:val="24"/>
                <w:szCs w:val="28"/>
              </w:rPr>
            </w:r>
            <w:r/>
          </w:p>
        </w:tc>
        <w:tc>
          <w:tcPr>
            <w:tcW w:w="5429" w:type="dxa"/>
            <w:vAlign w:val="center"/>
            <w:textDirection w:val="lrTb"/>
            <w:noWrap w:val="false"/>
          </w:tcPr>
          <w:p>
            <w:pPr>
              <w:pStyle w:val="889"/>
              <w:spacing w:line="279" w:lineRule="auto"/>
              <w:rPr>
                <w:rFonts w:ascii="宋体" w:hAnsi="宋体" w:cs="宋体"/>
                <w:sz w:val="24"/>
                <w:szCs w:val="28"/>
              </w:rPr>
            </w:pPr>
            <w:r>
              <w:rPr>
                <w:rFonts w:hint="eastAsia" w:ascii="宋体" w:hAnsi="宋体" w:cs="宋体"/>
                <w:sz w:val="24"/>
                <w:szCs w:val="28"/>
              </w:rPr>
              <w:t xml:space="preserve">3.4 （1）投标文件未符合“AI算力服务保障方案”中全部条款要求的，视为不符合招标文件，本项得0分；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（2）投标文件符合“AI算力服务保障方案”中全部条款要求的，视为符合招标文件，本项得2分；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3）经评委认定，投标文件对“AI算力服务保障方案”中“组织保障”、“安全保障”、“服务保障”要求的响应内容全部优于招标文件要求的（投标文件对“AI算力服务保障方案”中除“组织保障”、“安全保障”、“服务保障”外其它要求响应内容符合招标文件要求），本项得4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售后服务方案</w:t>
            </w:r>
            <w:r>
              <w:rPr>
                <w:rFonts w:ascii="宋体" w:hAnsi="宋体" w:cs="宋体"/>
                <w:sz w:val="24"/>
                <w:szCs w:val="28"/>
              </w:rPr>
            </w:r>
            <w:r/>
          </w:p>
        </w:tc>
        <w:tc>
          <w:tcPr>
            <w:tcW w:w="5429" w:type="dxa"/>
            <w:vAlign w:val="center"/>
            <w:textDirection w:val="lrTb"/>
            <w:noWrap w:val="false"/>
          </w:tcPr>
          <w:p>
            <w:pPr>
              <w:pStyle w:val="889"/>
              <w:spacing w:line="279" w:lineRule="auto"/>
              <w:rPr>
                <w:rFonts w:ascii="宋体" w:hAnsi="宋体" w:cs="宋体"/>
                <w:sz w:val="24"/>
                <w:szCs w:val="28"/>
              </w:rPr>
            </w:pPr>
            <w:r>
              <w:rPr>
                <w:rFonts w:hint="eastAsia" w:ascii="宋体" w:hAnsi="宋体" w:cs="宋体"/>
                <w:sz w:val="24"/>
                <w:szCs w:val="28"/>
              </w:rPr>
              <w:t xml:space="preserve">3.5 （1）投标文件未符合“售后服务方案”中全部条款要求的，视为不符合招标文件，本项得0分；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（2）投标文件符合“售后服务方案”中全部条款要求的，视为符合招标文件，本项得2分；</w:t>
            </w:r>
            <w:r>
              <w:rPr>
                <w:rFonts w:ascii="宋体" w:hAnsi="宋体" w:cs="宋体"/>
                <w:sz w:val="24"/>
                <w:szCs w:val="28"/>
              </w:rPr>
            </w:r>
            <w:r/>
          </w:p>
          <w:p>
            <w:pPr>
              <w:pStyle w:val="889"/>
              <w:rPr>
                <w:rFonts w:ascii="宋体" w:hAnsi="宋体" w:cs="宋体"/>
                <w:sz w:val="24"/>
                <w:szCs w:val="28"/>
              </w:rPr>
            </w:pPr>
            <w:r>
              <w:rPr>
                <w:rFonts w:hint="eastAsia" w:ascii="宋体" w:hAnsi="宋体" w:cs="宋体"/>
                <w:sz w:val="24"/>
                <w:szCs w:val="28"/>
              </w:rPr>
              <w:t xml:space="preserve">（3）经评委认定，投标文件对“售后服务方案”中“服务方式”、“服务组织体系”、“售后服务保障措施”要求的响应内容全部优于招标文件要求的（投标文件对“售后服务方案”中除“服务方式”、“服务组织体系”、“售后服务保障措施”外其它要求响应内容符合招标文件要求），本项得4分。</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cantSplit/>
        </w:trPr>
        <w:tc>
          <w:tcPr>
            <w:tcW w:w="1166" w:type="dxa"/>
            <w:vAlign w:val="center"/>
            <w:vMerge w:val="continue"/>
            <w:textDirection w:val="lrTb"/>
            <w:noWrap w:val="false"/>
          </w:tcPr>
          <w:p>
            <w:pPr>
              <w:pStyle w:val="889"/>
              <w:rPr>
                <w:rFonts w:ascii="宋体" w:hAnsi="宋体" w:cs="宋体"/>
                <w:sz w:val="24"/>
                <w:szCs w:val="28"/>
              </w:rPr>
            </w:pPr>
            <w:r>
              <w:rPr>
                <w:rFonts w:ascii="宋体" w:hAnsi="宋体" w:cs="宋体"/>
                <w:sz w:val="24"/>
                <w:szCs w:val="28"/>
              </w:rPr>
            </w:r>
            <w:r/>
          </w:p>
        </w:tc>
        <w:tc>
          <w:tcPr>
            <w:tcW w:w="147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突发事件应急处理预案</w:t>
            </w:r>
            <w:r>
              <w:rPr>
                <w:rFonts w:ascii="宋体" w:hAnsi="宋体" w:cs="宋体"/>
                <w:sz w:val="24"/>
                <w:szCs w:val="28"/>
              </w:rPr>
            </w:r>
            <w:r/>
          </w:p>
        </w:tc>
        <w:tc>
          <w:tcPr>
            <w:tcW w:w="5429" w:type="dxa"/>
            <w:vAlign w:val="center"/>
            <w:textDirection w:val="lrTb"/>
            <w:noWrap w:val="false"/>
          </w:tcPr>
          <w:p>
            <w:pPr>
              <w:pStyle w:val="889"/>
              <w:spacing w:line="279" w:lineRule="auto"/>
              <w:rPr>
                <w:rFonts w:ascii="宋体" w:hAnsi="宋体" w:cs="宋体"/>
                <w:sz w:val="24"/>
                <w:szCs w:val="28"/>
              </w:rPr>
            </w:pPr>
            <w:r>
              <w:rPr>
                <w:rFonts w:hint="eastAsia" w:ascii="宋体" w:hAnsi="宋体" w:cs="宋体"/>
                <w:sz w:val="24"/>
                <w:szCs w:val="28"/>
              </w:rPr>
              <w:t xml:space="preserve">3.6 （1）投标文件未符合“突发事件应急处理预案”中全部条款要求的，视为不符合招标文件，本项得0分；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（2）投标文件符合“突发事件应急处理预案”中全部条款要求的，视为符合招标文件，本项得2分；</w:t>
            </w:r>
            <w:r>
              <w:rPr>
                <w:rFonts w:ascii="宋体" w:hAnsi="宋体" w:cs="宋体"/>
                <w:sz w:val="24"/>
                <w:szCs w:val="28"/>
              </w:rPr>
            </w:r>
            <w:r/>
          </w:p>
          <w:p>
            <w:pPr>
              <w:pStyle w:val="889"/>
              <w:spacing w:line="279" w:lineRule="auto"/>
              <w:rPr>
                <w:rFonts w:ascii="宋体" w:hAnsi="宋体" w:cs="宋体"/>
                <w:sz w:val="24"/>
                <w:szCs w:val="28"/>
              </w:rPr>
            </w:pPr>
            <w:r>
              <w:rPr>
                <w:rFonts w:hint="eastAsia" w:ascii="宋体" w:hAnsi="宋体" w:cs="宋体"/>
                <w:sz w:val="24"/>
                <w:szCs w:val="28"/>
              </w:rPr>
              <w:t xml:space="preserve">（3）经评委认定，投标文件对“突发事件应急处理预案”中“应急预案”、“、应急措施”、“应急保障人力及物资”要求的响应内容全部优于招标文件要求的（投标文件对“突发事件应急处理预案”中除“应急预案”、“、应急措施”、“应急保障人力及物资”外其它要求响应内容符合招标文件要求），本项得4分</w:t>
            </w:r>
            <w:bookmarkStart w:id="194" w:name="_GoBack"/>
            <w:r/>
            <w:bookmarkEnd w:id="194"/>
            <w:r>
              <w:rPr>
                <w:rFonts w:hint="eastAsia" w:ascii="宋体" w:hAnsi="宋体" w:cs="宋体"/>
                <w:sz w:val="24"/>
                <w:szCs w:val="28"/>
              </w:rPr>
              <w:t xml:space="preserve">。</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4</w:t>
            </w:r>
            <w:r>
              <w:rPr>
                <w:rFonts w:ascii="宋体" w:hAnsi="宋体" w:cs="宋体"/>
                <w:sz w:val="24"/>
                <w:szCs w:val="28"/>
              </w:rPr>
            </w:r>
            <w:r/>
          </w:p>
        </w:tc>
      </w:tr>
      <w:tr>
        <w:trPr/>
        <w:tc>
          <w:tcPr>
            <w:gridSpan w:val="3"/>
            <w:tcW w:w="8065"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合计</w:t>
            </w:r>
            <w:r>
              <w:rPr>
                <w:rFonts w:ascii="宋体" w:hAnsi="宋体" w:cs="宋体"/>
                <w:sz w:val="24"/>
                <w:szCs w:val="28"/>
              </w:rPr>
            </w:r>
            <w:r/>
          </w:p>
        </w:tc>
        <w:tc>
          <w:tcPr>
            <w:tcW w:w="1100" w:type="dxa"/>
            <w:vAlign w:val="center"/>
            <w:textDirection w:val="lrTb"/>
            <w:noWrap w:val="false"/>
          </w:tcPr>
          <w:p>
            <w:pPr>
              <w:pStyle w:val="889"/>
              <w:rPr>
                <w:rFonts w:ascii="宋体" w:hAnsi="宋体" w:cs="宋体"/>
                <w:sz w:val="24"/>
                <w:szCs w:val="28"/>
              </w:rPr>
            </w:pPr>
            <w:r>
              <w:rPr>
                <w:rFonts w:hint="eastAsia" w:ascii="宋体" w:hAnsi="宋体" w:cs="宋体"/>
                <w:sz w:val="24"/>
                <w:szCs w:val="28"/>
              </w:rPr>
              <w:t xml:space="preserve">100</w:t>
            </w:r>
            <w:r>
              <w:rPr>
                <w:rFonts w:ascii="宋体" w:hAnsi="宋体" w:cs="宋体"/>
                <w:sz w:val="24"/>
                <w:szCs w:val="28"/>
              </w:rPr>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889"/>
        <w:jc w:val="center"/>
        <w:rPr>
          <w:rFonts w:hint="eastAsia" w:ascii="宋体" w:hAnsi="宋体"/>
          <w:b/>
          <w:sz w:val="72"/>
        </w:rPr>
      </w:pPr>
      <w:r/>
      <w:bookmarkStart w:id="195" w:name="_Hlt26955039"/>
      <w:r/>
      <w:bookmarkEnd w:id="195"/>
      <w:r/>
      <w:bookmarkStart w:id="196" w:name="_Hlt26671244"/>
      <w:r/>
      <w:bookmarkEnd w:id="196"/>
      <w:r/>
      <w:bookmarkStart w:id="197" w:name="_Toc26554094"/>
      <w:r/>
      <w:bookmarkStart w:id="198" w:name="_Toc49090576"/>
      <w:r/>
      <w:bookmarkStart w:id="199" w:name="_Toc120614282"/>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hint="eastAsia" w:ascii="宋体" w:hAnsi="宋体"/>
        </w:rPr>
      </w:pPr>
      <w:r>
        <w:rPr>
          <w:rFonts w:hint="eastAsia" w:ascii="宋体" w:hAnsi="宋体"/>
        </w:rPr>
      </w:r>
      <w:r/>
    </w:p>
    <w:p>
      <w:pPr>
        <w:pStyle w:val="889"/>
        <w:spacing w:line="440" w:lineRule="exact"/>
        <w:rPr>
          <w:rFonts w:hint="eastAsia" w:ascii="宋体" w:hAnsi="宋体"/>
        </w:rPr>
      </w:pPr>
      <w:r>
        <w:rPr>
          <w:rFonts w:hint="eastAsia" w:ascii="宋体" w:hAnsi="宋体"/>
        </w:rPr>
      </w:r>
      <w:r/>
    </w:p>
    <w:p>
      <w:pPr>
        <w:pStyle w:val="889"/>
        <w:spacing w:line="440" w:lineRule="exact"/>
        <w:rPr>
          <w:rFonts w:hint="eastAsia" w:ascii="宋体" w:hAnsi="宋体"/>
        </w:rPr>
      </w:pPr>
      <w:r>
        <w:rPr>
          <w:rFonts w:hint="eastAsia" w:ascii="宋体" w:hAnsi="宋体"/>
        </w:rPr>
      </w:r>
      <w:r/>
    </w:p>
    <w:p>
      <w:pPr>
        <w:pStyle w:val="889"/>
        <w:spacing w:line="440" w:lineRule="exact"/>
        <w:rPr>
          <w:rFonts w:hint="eastAsia" w:ascii="宋体" w:hAnsi="宋体"/>
        </w:rPr>
      </w:pPr>
      <w:r>
        <w:rPr>
          <w:rFonts w:hint="eastAsia" w:ascii="宋体" w:hAnsi="宋体"/>
        </w:rPr>
      </w:r>
      <w:r/>
    </w:p>
    <w:p>
      <w:pPr>
        <w:pStyle w:val="889"/>
        <w:spacing w:line="440" w:lineRule="exact"/>
        <w:rPr>
          <w:rFonts w:ascii="宋体" w:hAnsi="宋体"/>
        </w:rPr>
      </w:pPr>
      <w:r>
        <w:rPr>
          <w:rFonts w:ascii="宋体" w:hAnsi="宋体"/>
        </w:rPr>
      </w:r>
      <w:r/>
    </w:p>
    <w:p>
      <w:pPr>
        <w:pStyle w:val="889"/>
        <w:ind w:firstLine="964"/>
        <w:rPr>
          <w:rFonts w:ascii="宋体" w:hAnsi="宋体"/>
          <w:b/>
          <w:bCs/>
          <w:sz w:val="32"/>
          <w:szCs w:val="32"/>
        </w:rPr>
      </w:pP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           （一年）</w:t>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ascii="宋体" w:hAnsi="宋体"/>
          <w:b/>
          <w:bCs/>
          <w:color w:val="000000"/>
          <w:sz w:val="24"/>
          <w:szCs w:val="24"/>
        </w:rPr>
      </w:pPr>
      <w:r>
        <w:rPr>
          <w:rFonts w:hint="eastAsia" w:ascii="宋体" w:hAnsi="宋体"/>
          <w:b/>
          <w:bCs/>
          <w:color w:val="000000"/>
          <w:sz w:val="24"/>
          <w:szCs w:val="24"/>
        </w:rPr>
        <w:t xml:space="preserve">备注：供应商按照一年预算金额报价。</w:t>
      </w:r>
      <w:r>
        <w:rPr>
          <w:rFonts w:ascii="宋体" w:hAnsi="宋体"/>
          <w:b/>
          <w:bCs/>
          <w:color w:val="000000"/>
          <w:sz w:val="24"/>
          <w:szCs w:val="24"/>
        </w:rPr>
      </w:r>
      <w:r/>
    </w:p>
    <w:p>
      <w:pPr>
        <w:pStyle w:val="889"/>
        <w:jc w:val="center"/>
        <w:rPr>
          <w:rFonts w:ascii="宋体" w:hAnsi="宋体"/>
          <w:b/>
          <w:sz w:val="24"/>
          <w:szCs w:val="24"/>
        </w:rPr>
      </w:pPr>
      <w:r>
        <w:rPr>
          <w:rFonts w:ascii="宋体" w:hAnsi="宋体"/>
          <w:b/>
          <w:sz w:val="24"/>
          <w:szCs w:val="24"/>
        </w:rPr>
      </w:r>
      <w:r/>
    </w:p>
    <w:p>
      <w:pPr>
        <w:pStyle w:val="88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w:t>
      </w:r>
      <w:r>
        <w:rPr>
          <w:rFonts w:hint="eastAsia" w:eastAsia="方正仿宋_GBK"/>
          <w:color w:val="000000"/>
          <w:sz w:val="32"/>
          <w:szCs w:val="32"/>
        </w:rPr>
        <w:t xml:space="preserve">XX</w:t>
      </w:r>
      <w:r>
        <w:rPr>
          <w:rFonts w:hint="eastAsia" w:ascii="方正黑体_GBK" w:hAnsi="方正黑体_GBK" w:eastAsia="方正黑体_GBK" w:cs="方正黑体_GBK"/>
          <w:bCs/>
          <w:sz w:val="32"/>
          <w:szCs w:val="32"/>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序号</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04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5</w:t>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6</w:t>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7</w:t>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8</w:t>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9</w:t>
            </w:r>
            <w:r/>
          </w:p>
        </w:tc>
      </w:tr>
      <w:tr>
        <w:trPr>
          <w:cantSplit/>
          <w:trHeight w:val="294"/>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1106" w:type="dxa"/>
            <w:vAlign w:val="center"/>
            <w:textDirection w:val="lrTb"/>
            <w:noWrap w:val="false"/>
          </w:tcPr>
          <w:p>
            <w:pPr>
              <w:pStyle w:val="889"/>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分项服务名称/货物名称</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品牌</w:t>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规格</w:t>
            </w:r>
            <w:r/>
          </w:p>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型号</w:t>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制造商名称</w:t>
            </w:r>
            <w:r/>
          </w:p>
        </w:tc>
        <w:tc>
          <w:tcPr>
            <w:tcW w:w="104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产地</w:t>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交付期/服务期</w:t>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数量</w:t>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单价</w:t>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分项</w:t>
            </w:r>
            <w:r/>
          </w:p>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总价</w:t>
            </w:r>
            <w:r/>
          </w:p>
        </w:tc>
      </w:tr>
      <w:tr>
        <w:trPr>
          <w:cantSplit/>
          <w:trHeight w:val="696"/>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2</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highlight w:val="cyan"/>
              </w:rPr>
            </w:pPr>
            <w:r>
              <w:rPr>
                <w:rFonts w:hint="eastAsia" w:ascii="方正魏碑_GBK" w:hAnsi="方正魏碑_GBK" w:eastAsia="方正魏碑_GBK" w:cs="方正魏碑_GBK"/>
                <w:color w:val="000000"/>
                <w:sz w:val="24"/>
                <w:szCs w:val="24"/>
                <w:highlight w:val="cyan"/>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合同签订后</w:t>
            </w:r>
            <w:r>
              <w:rPr>
                <w:rFonts w:hint="eastAsia" w:ascii="方正魏碑_GBK" w:hAnsi="方正魏碑_GBK" w:eastAsia="方正魏碑_GBK" w:cs="方正魏碑_GBK"/>
                <w:color w:val="000000"/>
                <w:sz w:val="24"/>
                <w:szCs w:val="24"/>
                <w:u w:val="single"/>
              </w:rPr>
              <w:t xml:space="preserve">  </w:t>
            </w:r>
            <w:r>
              <w:rPr>
                <w:rFonts w:hint="eastAsia" w:ascii="方正魏碑_GBK" w:hAnsi="方正魏碑_GBK" w:eastAsia="方正魏碑_GBK" w:cs="方正魏碑_GBK"/>
                <w:color w:val="000000"/>
                <w:sz w:val="24"/>
                <w:szCs w:val="24"/>
              </w:rPr>
              <w:t xml:space="preserve">日</w:t>
            </w:r>
            <w:r>
              <w:rPr>
                <w:rFonts w:hint="eastAsia" w:ascii="方正魏碑_GBK" w:hAnsi="方正魏碑_GBK" w:eastAsia="方正魏碑_GBK" w:cs="方正魏碑_GBK"/>
                <w:color w:val="000000"/>
                <w:sz w:val="24"/>
                <w:szCs w:val="24"/>
                <w:u w:val="single"/>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724"/>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3</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640"/>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580"/>
        </w:trPr>
        <w:tc>
          <w:tcPr>
            <w:tcW w:w="7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106"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w:t>
            </w:r>
            <w:r/>
          </w:p>
        </w:tc>
        <w:tc>
          <w:tcPr>
            <w:tcW w:w="1064"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8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040"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125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920"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c>
          <w:tcPr>
            <w:tcW w:w="861" w:type="dxa"/>
            <w:vAlign w:val="center"/>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r>
            <w:r/>
          </w:p>
        </w:tc>
      </w:tr>
      <w:tr>
        <w:trPr>
          <w:cantSplit/>
          <w:trHeight w:val="434"/>
        </w:trPr>
        <w:tc>
          <w:tcPr>
            <w:gridSpan w:val="10"/>
            <w:tcW w:w="9861" w:type="dxa"/>
            <w:vAlign w:val="top"/>
            <w:textDirection w:val="lrTb"/>
            <w:noWrap w:val="false"/>
          </w:tcPr>
          <w:p>
            <w:pPr>
              <w:pStyle w:val="889"/>
              <w:spacing w:line="0" w:lineRule="atLeast"/>
              <w:rPr>
                <w:rFonts w:hint="eastAsia" w:ascii="方正魏碑_GBK" w:hAnsi="方正魏碑_GBK" w:eastAsia="方正魏碑_GBK" w:cs="方正魏碑_GBK"/>
                <w:color w:val="000000"/>
                <w:sz w:val="24"/>
                <w:szCs w:val="24"/>
                <w:u w:val="single"/>
              </w:rPr>
            </w:pPr>
            <w:r>
              <w:rPr>
                <w:rFonts w:hint="eastAsia" w:ascii="方正魏碑_GBK" w:hAnsi="方正魏碑_GBK" w:eastAsia="方正魏碑_GBK" w:cs="方正魏碑_GBK"/>
                <w:color w:val="000000"/>
                <w:sz w:val="24"/>
                <w:szCs w:val="24"/>
              </w:rPr>
              <w:t xml:space="preserve">投标总报价（人民币：元）</w:t>
            </w:r>
            <w:r>
              <w:rPr>
                <w:rFonts w:hint="eastAsia" w:ascii="方正魏碑_GBK" w:hAnsi="方正魏碑_GBK" w:eastAsia="方正魏碑_GBK" w:cs="方正魏碑_GBK"/>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52"/>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u w:val="single"/>
              </w:rPr>
              <w:t xml:space="preserve">XX</w:t>
            </w:r>
            <w:r>
              <w:rPr>
                <w:rFonts w:hint="eastAsia" w:ascii="方正魏碑_GBK" w:hAnsi="方正魏碑_GBK" w:eastAsia="方正魏碑_GBK" w:cs="方正魏碑_GBK"/>
                <w:color w:val="000000"/>
              </w:rPr>
              <w:t xml:space="preserve">%。</w:t>
            </w:r>
            <w:r/>
          </w:p>
        </w:tc>
      </w:tr>
    </w:tbl>
    <w:p>
      <w:pPr>
        <w:pStyle w:val="88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r>
      <w:r/>
    </w:p>
    <w:p>
      <w:pPr>
        <w:pStyle w:val="889"/>
        <w:spacing w:line="400" w:lineRule="exact"/>
        <w:rPr>
          <w:rFonts w:hint="eastAsia" w:ascii="宋体" w:hAnsi="宋体"/>
          <w:sz w:val="24"/>
          <w:szCs w:val="24"/>
        </w:rPr>
      </w:pPr>
      <w:r>
        <w:rPr>
          <w:rFonts w:hint="eastAsia" w:ascii="宋体" w:hAnsi="宋体"/>
          <w:sz w:val="24"/>
          <w:szCs w:val="24"/>
        </w:rPr>
        <w:t xml:space="preserve">备注：</w:t>
      </w:r>
      <w:r/>
    </w:p>
    <w:p>
      <w:pPr>
        <w:pStyle w:val="889"/>
        <w:spacing w:line="400" w:lineRule="exac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89"/>
        <w:spacing w:line="400" w:lineRule="exact"/>
        <w:rPr>
          <w:rFonts w:hint="eastAsia" w:ascii="宋体" w:hAnsi="宋体"/>
          <w:sz w:val="24"/>
          <w:szCs w:val="24"/>
        </w:rPr>
      </w:pPr>
      <w:r>
        <w:rPr>
          <w:rFonts w:hint="eastAsia" w:ascii="宋体" w:hAnsi="宋体"/>
          <w:b/>
          <w:sz w:val="24"/>
          <w:szCs w:val="24"/>
        </w:rPr>
        <w:t xml:space="preserve">2.“投标分项报价表”中“投标总报价”数额应当与“开标一览表”中“投标总报价”数额一致</w:t>
      </w:r>
      <w:r>
        <w:rPr>
          <w:rFonts w:hint="eastAsia" w:ascii="宋体" w:hAnsi="宋体"/>
          <w:sz w:val="24"/>
          <w:szCs w:val="24"/>
        </w:rPr>
        <w:t xml:space="preserve">。</w:t>
      </w:r>
      <w:r/>
    </w:p>
    <w:p>
      <w:pPr>
        <w:pStyle w:val="889"/>
        <w:spacing w:line="400" w:lineRule="exact"/>
        <w:rPr>
          <w:rFonts w:hint="eastAsia" w:ascii="宋体" w:hAnsi="宋体"/>
          <w:sz w:val="24"/>
          <w:szCs w:val="24"/>
        </w:rPr>
      </w:pPr>
      <w:r>
        <w:rPr>
          <w:rFonts w:hint="eastAsia" w:ascii="宋体" w:hAnsi="宋体"/>
          <w:sz w:val="24"/>
          <w:szCs w:val="24"/>
        </w:rPr>
        <w:t xml:space="preserve">3.分项服务不需填写品牌、规格型号、制造商、产地。</w:t>
      </w:r>
      <w:r/>
    </w:p>
    <w:p>
      <w:pPr>
        <w:pStyle w:val="889"/>
        <w:spacing w:line="400" w:lineRule="exac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889"/>
        <w:spacing w:line="0" w:lineRule="atLeast"/>
        <w:rPr>
          <w:rFonts w:ascii="宋体" w:hAnsi="宋体"/>
          <w:sz w:val="24"/>
          <w:szCs w:val="24"/>
        </w:rPr>
      </w:pPr>
      <w:r>
        <w:rPr>
          <w:rFonts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hint="eastAsia" w:ascii="楷体" w:hAnsi="楷体" w:eastAsia="楷体"/>
          <w:color w:val="000000"/>
          <w:sz w:val="24"/>
          <w:szCs w:val="24"/>
          <w:highlight w:val="yellow"/>
        </w:rPr>
      </w:pPr>
      <w:r>
        <w:rPr>
          <w:rFonts w:hint="eastAsia" w:ascii="楷体" w:hAnsi="楷体" w:eastAsia="楷体"/>
          <w:color w:val="000000"/>
          <w:sz w:val="24"/>
          <w:szCs w:val="24"/>
          <w:highlight w:val="yellow"/>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7"/>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7"/>
        <w:ind w:left="420"/>
        <w:spacing w:before="0" w:after="0" w:line="420" w:lineRule="exact"/>
        <w:rPr>
          <w:rFonts w:hint="eastAsia" w:ascii="宋体" w:hAnsi="宋体"/>
          <w:szCs w:val="21"/>
        </w:rPr>
      </w:pPr>
      <w:r>
        <w:rPr>
          <w:rFonts w:hint="eastAsia" w:ascii="宋体" w:hAnsi="宋体"/>
          <w:szCs w:val="21"/>
        </w:rPr>
        <w:t xml:space="preserve">地          址：</w:t>
      </w:r>
      <w:r/>
    </w:p>
    <w:p>
      <w:pPr>
        <w:pStyle w:val="977"/>
        <w:ind w:left="420"/>
        <w:spacing w:before="0" w:after="0" w:line="420" w:lineRule="exact"/>
        <w:rPr>
          <w:rFonts w:hint="eastAsia" w:ascii="宋体" w:hAnsi="宋体"/>
          <w:szCs w:val="21"/>
        </w:rPr>
      </w:pPr>
      <w:r>
        <w:rPr>
          <w:rFonts w:hint="eastAsia" w:ascii="宋体" w:hAnsi="宋体"/>
          <w:szCs w:val="21"/>
        </w:rPr>
        <w:t xml:space="preserve">邮          编：</w:t>
      </w:r>
      <w:r/>
    </w:p>
    <w:p>
      <w:pPr>
        <w:pStyle w:val="977"/>
        <w:ind w:left="420"/>
        <w:spacing w:before="0" w:after="0" w:line="420" w:lineRule="exact"/>
        <w:rPr>
          <w:rFonts w:hint="eastAsia" w:ascii="宋体" w:hAnsi="宋体"/>
          <w:szCs w:val="21"/>
        </w:rPr>
      </w:pPr>
      <w:r>
        <w:rPr>
          <w:rFonts w:hint="eastAsia" w:ascii="宋体" w:hAnsi="宋体"/>
          <w:szCs w:val="21"/>
        </w:rPr>
        <w:t xml:space="preserve">电          话：</w:t>
      </w:r>
      <w:r/>
    </w:p>
    <w:p>
      <w:pPr>
        <w:pStyle w:val="977"/>
        <w:ind w:left="420"/>
        <w:spacing w:before="0" w:after="0" w:line="420" w:lineRule="exact"/>
        <w:rPr>
          <w:rFonts w:hint="eastAsia" w:ascii="宋体" w:hAnsi="宋体"/>
          <w:szCs w:val="21"/>
        </w:rPr>
      </w:pPr>
      <w:r>
        <w:rPr>
          <w:rFonts w:hint="eastAsia" w:ascii="宋体" w:hAnsi="宋体"/>
          <w:szCs w:val="21"/>
        </w:rPr>
        <w:t xml:space="preserve">传          真：</w:t>
      </w:r>
      <w:r/>
    </w:p>
    <w:p>
      <w:pPr>
        <w:pStyle w:val="97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7"/>
        <w:ind w:left="420"/>
        <w:spacing w:before="0" w:after="0" w:line="420" w:lineRule="exact"/>
        <w:rPr>
          <w:rFonts w:hint="eastAsia" w:ascii="宋体" w:hAnsi="宋体"/>
          <w:szCs w:val="21"/>
        </w:rPr>
      </w:pPr>
      <w:r>
        <w:rPr>
          <w:rFonts w:hint="eastAsia" w:ascii="宋体" w:hAnsi="宋体"/>
          <w:szCs w:val="21"/>
        </w:rPr>
        <w:t xml:space="preserve">账          号： </w:t>
      </w:r>
      <w:r/>
    </w:p>
    <w:p>
      <w:pPr>
        <w:pStyle w:val="88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7"/>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77"/>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7"/>
      <w:r/>
      <w:bookmarkEnd w:id="198"/>
      <w:r/>
      <w:bookmarkEnd w:id="199"/>
      <w:r/>
      <w:bookmarkStart w:id="200"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附件13  关于符合本国产品标准的声明函（采购包号：XX）</w:t>
      </w:r>
      <w:r/>
    </w:p>
    <w:p>
      <w:pPr>
        <w:pStyle w:val="952"/>
        <w:ind w:firstLine="560"/>
        <w:spacing w:before="0" w:beforeAutospacing="0" w:after="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w:t>
      </w:r>
      <w:r>
        <w:rPr>
          <w:rStyle w:val="964"/>
          <w:rFonts w:hint="eastAsia" w:ascii="方正魏碑_GBK" w:hAnsi="方正魏碑_GBK" w:eastAsia="方正魏碑_GBK" w:cs="方正魏碑_GBK"/>
          <w:color w:val="000000"/>
          <w:sz w:val="28"/>
          <w:szCs w:val="28"/>
          <w:shd w:val="clear" w:color="auto" w:fill="ffffff"/>
        </w:rPr>
        <w:t xml:space="preserve">（产品名称1）</w:t>
      </w:r>
      <w:r>
        <w:rPr>
          <w:rStyle w:val="964"/>
          <w:rFonts w:hint="eastAsia" w:ascii="方正魏碑_GBK" w:hAnsi="方正魏碑_GBK" w:eastAsia="方正魏碑_GBK" w:cs="方正魏碑_GBK"/>
          <w:color w:val="000000"/>
          <w:sz w:val="28"/>
          <w:szCs w:val="28"/>
          <w:shd w:val="clear" w:color="auto" w:fill="ffffff"/>
          <w:vertAlign w:val="superscript"/>
        </w:rPr>
        <w:t xml:space="preserve">1</w:t>
      </w:r>
      <w:r>
        <w:rPr>
          <w:rFonts w:hint="eastAsia" w:ascii="方正魏碑_GBK" w:hAnsi="方正魏碑_GBK" w:eastAsia="方正魏碑_GBK" w:cs="方正魏碑_GBK"/>
          <w:color w:val="000000"/>
          <w:sz w:val="28"/>
          <w:szCs w:val="28"/>
          <w:shd w:val="clear" w:color="auto" w:fill="ffffff"/>
        </w:rPr>
        <w:t xml:space="preserve">，生产厂为</w:t>
      </w:r>
      <w:r>
        <w:rPr>
          <w:rStyle w:val="964"/>
          <w:rFonts w:hint="eastAsia" w:ascii="方正魏碑_GBK" w:hAnsi="方正魏碑_GBK" w:eastAsia="方正魏碑_GBK" w:cs="方正魏碑_GBK"/>
          <w:color w:val="000000"/>
          <w:sz w:val="28"/>
          <w:szCs w:val="28"/>
          <w:shd w:val="clear" w:color="auto" w:fill="ffffff"/>
        </w:rPr>
        <w:t xml:space="preserve">（厂名）</w:t>
      </w:r>
      <w:r>
        <w:rPr>
          <w:rStyle w:val="964"/>
          <w:rFonts w:hint="eastAsia" w:ascii="方正魏碑_GBK" w:hAnsi="方正魏碑_GBK" w:eastAsia="方正魏碑_GBK" w:cs="方正魏碑_GBK"/>
          <w:color w:val="000000"/>
          <w:sz w:val="28"/>
          <w:szCs w:val="28"/>
          <w:shd w:val="clear" w:color="auto" w:fill="ffffff"/>
          <w:vertAlign w:val="superscript"/>
        </w:rPr>
        <w:t xml:space="preserve">2</w:t>
      </w:r>
      <w:r>
        <w:rPr>
          <w:rFonts w:hint="eastAsia" w:ascii="方正魏碑_GBK" w:hAnsi="方正魏碑_GBK" w:eastAsia="方正魏碑_GBK" w:cs="方正魏碑_GBK"/>
          <w:color w:val="000000"/>
          <w:sz w:val="28"/>
          <w:szCs w:val="28"/>
          <w:shd w:val="clear" w:color="auto" w:fill="ffffff"/>
        </w:rPr>
        <w:t xml:space="preserve">，厂址为</w:t>
      </w:r>
      <w:r>
        <w:rPr>
          <w:rStyle w:val="964"/>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vertAlign w:val="superscript"/>
        </w:rPr>
        <w:t xml:space="preserve">3</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vertAlign w:val="superscript"/>
        </w:rPr>
        <w:t xml:space="preserve">4</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vertAlign w:val="superscript"/>
        </w:rPr>
        <w:t xml:space="preserve">5</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w:t>
      </w:r>
      <w:r>
        <w:rPr>
          <w:rStyle w:val="964"/>
          <w:rFonts w:hint="eastAsia" w:ascii="方正魏碑_GBK" w:hAnsi="方正魏碑_GBK" w:eastAsia="方正魏碑_GBK" w:cs="方正魏碑_GBK"/>
          <w:color w:val="000000"/>
          <w:sz w:val="28"/>
          <w:szCs w:val="28"/>
          <w:shd w:val="clear" w:color="auto" w:fill="ffffff"/>
        </w:rPr>
        <w:t xml:space="preserve">（产品名称2）</w:t>
      </w:r>
      <w:r>
        <w:rPr>
          <w:rFonts w:hint="eastAsia" w:ascii="方正魏碑_GBK" w:hAnsi="方正魏碑_GBK" w:eastAsia="方正魏碑_GBK" w:cs="方正魏碑_GBK"/>
          <w:color w:val="000000"/>
          <w:sz w:val="28"/>
          <w:szCs w:val="28"/>
          <w:shd w:val="clear" w:color="auto" w:fill="ffffff"/>
        </w:rPr>
        <w:t xml:space="preserve">，生产厂为</w:t>
      </w:r>
      <w:r>
        <w:rPr>
          <w:rStyle w:val="964"/>
          <w:rFonts w:hint="eastAsia" w:ascii="方正魏碑_GBK" w:hAnsi="方正魏碑_GBK" w:eastAsia="方正魏碑_GBK" w:cs="方正魏碑_GBK"/>
          <w:color w:val="000000"/>
          <w:sz w:val="28"/>
          <w:szCs w:val="28"/>
          <w:shd w:val="clear" w:color="auto" w:fill="ffffff"/>
        </w:rPr>
        <w:t xml:space="preserve">（厂名）</w:t>
      </w:r>
      <w:r>
        <w:rPr>
          <w:rFonts w:hint="eastAsia" w:ascii="方正魏碑_GBK" w:hAnsi="方正魏碑_GBK" w:eastAsia="方正魏碑_GBK" w:cs="方正魏碑_GBK"/>
          <w:color w:val="000000"/>
          <w:sz w:val="28"/>
          <w:szCs w:val="28"/>
          <w:shd w:val="clear" w:color="auto" w:fill="ffffff"/>
        </w:rPr>
        <w:t xml:space="preserve">，厂址为</w:t>
      </w:r>
      <w:r>
        <w:rPr>
          <w:rStyle w:val="964"/>
          <w:rFonts w:hint="eastAsia" w:ascii="方正魏碑_GBK" w:hAnsi="方正魏碑_GBK" w:eastAsia="方正魏碑_GBK" w:cs="方正魏碑_GBK"/>
          <w:color w:val="000000"/>
          <w:sz w:val="28"/>
          <w:szCs w:val="28"/>
          <w:shd w:val="clear" w:color="auto" w:fill="ffffff"/>
        </w:rPr>
        <w:t xml:space="preserve">（生产厂址）</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的中国境内生产的组件成本占比≥</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在中国境内生产。</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在中国境内完成。</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r>
      <w:r/>
    </w:p>
    <w:p>
      <w:pPr>
        <w:pStyle w:val="952"/>
        <w:ind w:firstLine="560"/>
        <w:jc w:val="right"/>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公司（单位）名称（加盖CA电子公章）：　        </w:t>
      </w:r>
      <w:r>
        <w:rPr>
          <w:rFonts w:hint="eastAsia" w:ascii="方正魏碑_GBK" w:hAnsi="方正魏碑_GBK" w:eastAsia="方正魏碑_GBK" w:cs="方正魏碑_GBK"/>
          <w:color w:val="000000"/>
          <w:sz w:val="28"/>
          <w:szCs w:val="28"/>
        </w:rPr>
      </w:r>
      <w:r/>
    </w:p>
    <w:p>
      <w:pPr>
        <w:pStyle w:val="952"/>
        <w:ind w:firstLine="560"/>
        <w:jc w:val="center"/>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          日期：</w:t>
      </w:r>
      <w:r>
        <w:rPr>
          <w:rFonts w:hint="eastAsia" w:ascii="方正魏碑_GBK" w:hAnsi="方正魏碑_GBK" w:eastAsia="方正魏碑_GBK" w:cs="方正魏碑_GBK"/>
          <w:color w:val="000000"/>
          <w:sz w:val="28"/>
          <w:szCs w:val="28"/>
        </w:rPr>
        <w:t xml:space="preserve">___年____月____日</w:t>
      </w:r>
      <w:r>
        <w:rPr>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__________________</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1.产品如有型号，请在“产品名称”栏一并填写。</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8"/>
          <w:szCs w:val="28"/>
        </w:rPr>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5.该产品的关键工序要求实施前，“关键工序”栏可不填，下同。</w:t>
      </w:r>
      <w:r/>
    </w:p>
    <w:p>
      <w:pPr>
        <w:pStyle w:val="952"/>
        <w:ind w:firstLine="560"/>
        <w:spacing w:before="30" w:beforeAutospacing="0" w:after="30" w:afterAutospacing="0" w:line="560" w:lineRule="exact"/>
        <w:rPr>
          <w:rFonts w:hint="eastAsia" w:ascii="方正魏碑_GBK" w:hAnsi="方正魏碑_GBK" w:eastAsia="方正魏碑_GBK" w:cs="方正魏碑_GBK"/>
          <w:color w:val="000000"/>
          <w:sz w:val="28"/>
          <w:szCs w:val="28"/>
          <w:shd w:val="clear" w:color="auto" w:fill="ffffff"/>
        </w:rPr>
      </w:pPr>
      <w:r>
        <w:rPr>
          <w:rFonts w:hint="eastAsia" w:ascii="方正魏碑_GBK" w:hAnsi="方正魏碑_GBK" w:eastAsia="方正魏碑_GBK" w:cs="方正魏碑_GBK"/>
          <w:color w:val="000000"/>
          <w:sz w:val="28"/>
          <w:szCs w:val="28"/>
          <w:shd w:val="clear" w:color="auto" w:fill="ffffff"/>
        </w:rPr>
        <w:t xml:space="preserve">6.《声明函》中标注“</w:t>
      </w:r>
      <w:r>
        <w:rPr>
          <w:rFonts w:hint="eastAsia" w:ascii="方正魏碑_GBK" w:hAnsi="方正魏碑_GBK" w:eastAsia="方正魏碑_GBK" w:cs="方正魏碑_GBK"/>
          <w:color w:val="000000"/>
          <w:sz w:val="28"/>
          <w:szCs w:val="28"/>
          <w:u w:val="single"/>
          <w:shd w:val="clear" w:color="auto" w:fill="ffffff"/>
        </w:rPr>
        <w:t xml:space="preserve">  </w:t>
      </w:r>
      <w:r>
        <w:rPr>
          <w:rStyle w:val="964"/>
          <w:rFonts w:hint="eastAsia" w:ascii="方正魏碑_GBK" w:hAnsi="方正魏碑_GBK" w:eastAsia="方正魏碑_GBK" w:cs="方正魏碑_GBK"/>
          <w:color w:val="000000"/>
          <w:sz w:val="28"/>
          <w:szCs w:val="28"/>
          <w:shd w:val="clear" w:color="auto" w:fill="ffffff"/>
        </w:rPr>
        <w:t xml:space="preserve">/  </w:t>
      </w:r>
      <w:r>
        <w:rPr>
          <w:rFonts w:hint="eastAsia" w:ascii="方正魏碑_GBK" w:hAnsi="方正魏碑_GBK" w:eastAsia="方正魏碑_GBK" w:cs="方正魏碑_GBK"/>
          <w:color w:val="000000"/>
          <w:sz w:val="28"/>
          <w:szCs w:val="28"/>
          <w:shd w:val="clear" w:color="auto" w:fill="ffffff"/>
        </w:rPr>
        <w:t xml:space="preserve">”的地方无需填写。</w:t>
      </w:r>
      <w:r/>
    </w:p>
    <w:p>
      <w:pPr>
        <w:pStyle w:val="889"/>
        <w:spacing w:line="460" w:lineRule="exact"/>
        <w:rPr>
          <w:rFonts w:hint="eastAsia" w:ascii="方正魏碑_GBK" w:hAnsi="方正魏碑_GBK" w:eastAsia="方正魏碑_GBK" w:cs="方正魏碑_GBK"/>
          <w:bCs/>
          <w:color w:val="000000"/>
          <w:sz w:val="28"/>
          <w:szCs w:val="28"/>
        </w:rPr>
      </w:pPr>
      <w:r>
        <w:rPr>
          <w:rFonts w:hint="eastAsia" w:ascii="方正魏碑_GBK" w:hAnsi="方正魏碑_GBK" w:eastAsia="方正魏碑_GBK" w:cs="方正魏碑_GBK"/>
          <w:bCs/>
          <w:color w:val="000000"/>
          <w:sz w:val="28"/>
          <w:szCs w:val="28"/>
        </w:rPr>
      </w:r>
      <w:r/>
    </w:p>
    <w:p>
      <w:pPr>
        <w:pStyle w:val="889"/>
        <w:jc w:val="center"/>
        <w:rPr>
          <w:rFonts w:hint="eastAsia" w:ascii="宋体" w:hAnsi="宋体"/>
          <w:b/>
          <w:sz w:val="24"/>
          <w:szCs w:val="24"/>
        </w:rPr>
      </w:pPr>
      <w:r/>
      <w:bookmarkEnd w:id="189"/>
      <w:r/>
      <w:bookmarkEnd w:id="190"/>
      <w:r/>
      <w:bookmarkEnd w:id="200"/>
      <w:r>
        <w:rPr>
          <w:rFonts w:hint="eastAsia" w:ascii="宋体" w:hAnsi="宋体"/>
          <w:b/>
          <w:sz w:val="24"/>
          <w:szCs w:val="24"/>
        </w:rPr>
        <w:t xml:space="preserve">附件14  提供服务的人员均为订立劳动合同的从业人员的书面声明</w:t>
      </w:r>
      <w:r/>
    </w:p>
    <w:p>
      <w:pPr>
        <w:pStyle w:val="889"/>
        <w:jc w:val="center"/>
        <w:rPr>
          <w:rFonts w:hint="eastAsia" w:ascii="宋体" w:hAnsi="宋体"/>
          <w:b/>
          <w:sz w:val="24"/>
          <w:szCs w:val="24"/>
        </w:rPr>
      </w:pPr>
      <w:r>
        <w:rPr>
          <w:rFonts w:hint="eastAsia" w:ascii="宋体" w:hAnsi="宋体"/>
          <w:b/>
          <w:sz w:val="24"/>
          <w:szCs w:val="24"/>
        </w:rPr>
        <w:t xml:space="preserve">(采购包号:XX)</w:t>
      </w:r>
      <w:r/>
    </w:p>
    <w:p>
      <w:pPr>
        <w:pStyle w:val="95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pStyle w:val="95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p>
    <w:p>
      <w:pPr>
        <w:pStyle w:val="952"/>
        <w:ind w:firstLine="480"/>
        <w:spacing w:before="0" w:beforeAutospacing="0" w:after="0" w:afterAutospacing="0" w:line="560" w:lineRule="exact"/>
        <w:rPr>
          <w:rFonts w:hint="eastAsia"/>
        </w:rPr>
      </w:pPr>
      <w:r>
        <w:rPr>
          <w:rFonts w:hint="eastAsia"/>
        </w:rPr>
      </w:r>
      <w:r/>
    </w:p>
    <w:p>
      <w:pPr>
        <w:pStyle w:val="95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p>
    <w:p>
      <w:pPr>
        <w:pStyle w:val="889"/>
        <w:rPr>
          <w:rFonts w:hint="eastAsia" w:ascii="宋体" w:hAnsi="宋体" w:cs="仿宋"/>
          <w:b/>
          <w:bCs/>
          <w:sz w:val="32"/>
          <w:szCs w:val="32"/>
        </w:rPr>
      </w:pPr>
      <w:r>
        <w:rPr>
          <w:rFonts w:hint="eastAsia" w:ascii="宋体" w:hAnsi="宋体" w:cs="仿宋"/>
          <w:b/>
          <w:bCs/>
          <w:sz w:val="32"/>
          <w:szCs w:val="32"/>
        </w:rPr>
      </w:r>
      <w:r/>
    </w:p>
    <w:p>
      <w:pPr>
        <w:pStyle w:val="889"/>
        <w:rPr>
          <w:rFonts w:hint="eastAsia" w:ascii="宋体" w:hAnsi="宋体" w:cs="仿宋"/>
          <w:b/>
          <w:bCs/>
          <w:sz w:val="32"/>
          <w:szCs w:val="32"/>
        </w:rPr>
      </w:pPr>
      <w:r>
        <w:rPr>
          <w:rFonts w:hint="eastAsia" w:ascii="宋体" w:hAnsi="宋体" w:cs="仿宋"/>
          <w:b/>
          <w:bCs/>
          <w:sz w:val="32"/>
          <w:szCs w:val="32"/>
        </w:rPr>
      </w:r>
      <w:r/>
    </w:p>
    <w:p>
      <w:pPr>
        <w:pStyle w:val="889"/>
        <w:rPr>
          <w:rFonts w:hint="eastAsia" w:ascii="宋体" w:hAnsi="宋体" w:cs="仿宋"/>
          <w:b/>
          <w:bCs/>
          <w:sz w:val="32"/>
          <w:szCs w:val="32"/>
        </w:rPr>
      </w:pPr>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仿宋">
    <w:panose1 w:val="02010609060101010101"/>
  </w:font>
  <w:font w:name="等线">
    <w:panose1 w:val="02010600030101010101"/>
  </w:font>
  <w:font w:name="Segoe UI">
    <w:panose1 w:val="020B0502040204020203"/>
  </w:font>
  <w:font w:name="Meiryo">
    <w:panose1 w:val="020B030403050404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24</w:t>
    </w:r>
    <w:r>
      <w:rPr>
        <w:rFonts w:ascii="宋体" w:hAnsi="宋体"/>
      </w:rPr>
      <w:fldChar w:fldCharType="end"/>
    </w:r>
    <w:r>
      <w:rPr>
        <w:rStyle w:val="962"/>
        <w:rFonts w:ascii="宋体" w:hAnsi="宋体"/>
      </w:rPr>
    </w:r>
    <w:r/>
  </w:p>
  <w:p>
    <w:pPr>
      <w:pStyle w:val="93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2"/>
    <w:qFormat/>
    <w:pPr>
      <w:jc w:val="center"/>
      <w:keepNext/>
      <w:outlineLvl w:val="0"/>
    </w:pPr>
    <w:rPr>
      <w:rFonts w:ascii="楷体_GB2312" w:eastAsia="楷体_GB2312"/>
      <w:sz w:val="28"/>
      <w:szCs w:val="28"/>
      <w:lang w:val="en-US" w:eastAsia="en-US"/>
    </w:rPr>
  </w:style>
  <w:style w:type="paragraph" w:styleId="891">
    <w:name w:val="标题 2"/>
    <w:basedOn w:val="889"/>
    <w:next w:val="904"/>
    <w:link w:val="90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2">
    <w:name w:val="标题 3"/>
    <w:basedOn w:val="889"/>
    <w:next w:val="904"/>
    <w:link w:val="906"/>
    <w:qFormat/>
    <w:pPr>
      <w:keepLines/>
      <w:keepNext/>
      <w:spacing w:before="260" w:after="260" w:line="416" w:lineRule="auto"/>
      <w:outlineLvl w:val="2"/>
    </w:pPr>
    <w:rPr>
      <w:b/>
      <w:bCs/>
      <w:sz w:val="32"/>
      <w:szCs w:val="32"/>
      <w:lang w:val="en-US" w:eastAsia="en-US"/>
    </w:rPr>
  </w:style>
  <w:style w:type="paragraph" w:styleId="893">
    <w:name w:val="标题 4"/>
    <w:basedOn w:val="889"/>
    <w:next w:val="904"/>
    <w:link w:val="907"/>
    <w:qFormat/>
    <w:pPr>
      <w:keepLines/>
      <w:keepNext/>
      <w:spacing w:before="280" w:after="290" w:line="376" w:lineRule="auto"/>
      <w:outlineLvl w:val="3"/>
    </w:pPr>
    <w:rPr>
      <w:rFonts w:ascii="Arial" w:hAnsi="Arial" w:eastAsia="黑体"/>
      <w:b/>
      <w:bCs/>
      <w:sz w:val="28"/>
      <w:szCs w:val="28"/>
      <w:lang w:val="en-US" w:eastAsia="en-US"/>
    </w:rPr>
  </w:style>
  <w:style w:type="paragraph" w:styleId="894">
    <w:name w:val="标题 5"/>
    <w:basedOn w:val="889"/>
    <w:next w:val="904"/>
    <w:link w:val="908"/>
    <w:qFormat/>
    <w:pPr>
      <w:keepNext/>
      <w:outlineLvl w:val="4"/>
    </w:pPr>
    <w:rPr>
      <w:rFonts w:ascii="宋体"/>
      <w:color w:val="000000"/>
      <w:sz w:val="28"/>
      <w:szCs w:val="28"/>
      <w:lang w:val="en-US" w:eastAsia="en-US"/>
    </w:rPr>
  </w:style>
  <w:style w:type="paragraph" w:styleId="895">
    <w:name w:val="标题 6"/>
    <w:basedOn w:val="889"/>
    <w:next w:val="889"/>
    <w:link w:val="90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6">
    <w:name w:val="标题 7"/>
    <w:basedOn w:val="889"/>
    <w:next w:val="889"/>
    <w:link w:val="910"/>
    <w:qFormat/>
    <w:pPr>
      <w:numPr>
        <w:ilvl w:val="6"/>
        <w:numId w:val="1"/>
      </w:numPr>
      <w:keepLines/>
      <w:keepNext/>
      <w:spacing w:before="240" w:after="64" w:line="320" w:lineRule="auto"/>
      <w:outlineLvl w:val="6"/>
    </w:pPr>
    <w:rPr>
      <w:b/>
      <w:bCs/>
      <w:sz w:val="24"/>
      <w:szCs w:val="24"/>
      <w:lang w:val="en-US" w:eastAsia="en-US"/>
    </w:rPr>
  </w:style>
  <w:style w:type="paragraph" w:styleId="897">
    <w:name w:val="标题 8"/>
    <w:basedOn w:val="889"/>
    <w:next w:val="889"/>
    <w:link w:val="91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8">
    <w:name w:val="标题 9"/>
    <w:basedOn w:val="889"/>
    <w:next w:val="889"/>
    <w:link w:val="912"/>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numbering" w:styleId="901">
    <w:name w:val="无列表"/>
    <w:next w:val="901"/>
    <w:link w:val="889"/>
    <w:uiPriority w:val="99"/>
    <w:semiHidden/>
    <w:unhideWhenUsed/>
  </w:style>
  <w:style w:type="character" w:styleId="902">
    <w:name w:val="标题 1 Char"/>
    <w:next w:val="902"/>
    <w:link w:val="890"/>
    <w:rPr>
      <w:rFonts w:ascii="楷体_GB2312" w:hAnsi="Times New Roman" w:eastAsia="楷体_GB2312" w:cs="Times New Roman"/>
      <w:sz w:val="28"/>
      <w:szCs w:val="28"/>
    </w:rPr>
  </w:style>
  <w:style w:type="character" w:styleId="903">
    <w:name w:val="标题 2 Char"/>
    <w:next w:val="903"/>
    <w:link w:val="891"/>
    <w:rPr>
      <w:rFonts w:ascii="Arial" w:hAnsi="Arial" w:eastAsia="幼圆" w:cs="Arial"/>
      <w:b/>
      <w:bCs/>
      <w:sz w:val="44"/>
      <w:szCs w:val="44"/>
    </w:rPr>
  </w:style>
  <w:style w:type="paragraph" w:styleId="904">
    <w:name w:val="正文缩进"/>
    <w:basedOn w:val="889"/>
    <w:next w:val="904"/>
    <w:link w:val="905"/>
    <w:pPr>
      <w:ind w:firstLine="420"/>
    </w:pPr>
    <w:rPr>
      <w:sz w:val="20"/>
      <w:lang w:val="en-US" w:eastAsia="en-US"/>
    </w:rPr>
  </w:style>
  <w:style w:type="character" w:styleId="905">
    <w:name w:val="正文缩进 Char"/>
    <w:next w:val="905"/>
    <w:link w:val="904"/>
    <w:rPr>
      <w:rFonts w:ascii="Times New Roman" w:hAnsi="Times New Roman" w:eastAsia="宋体" w:cs="Times New Roman"/>
      <w:szCs w:val="21"/>
    </w:rPr>
  </w:style>
  <w:style w:type="character" w:styleId="906">
    <w:name w:val="标题 3 Char"/>
    <w:next w:val="906"/>
    <w:link w:val="892"/>
    <w:rPr>
      <w:rFonts w:ascii="Times New Roman" w:hAnsi="Times New Roman" w:eastAsia="宋体" w:cs="Times New Roman"/>
      <w:b/>
      <w:bCs/>
      <w:sz w:val="32"/>
      <w:szCs w:val="32"/>
    </w:rPr>
  </w:style>
  <w:style w:type="character" w:styleId="907">
    <w:name w:val="标题 4 Char"/>
    <w:next w:val="907"/>
    <w:link w:val="893"/>
    <w:rPr>
      <w:rFonts w:ascii="Arial" w:hAnsi="Arial" w:eastAsia="黑体" w:cs="Arial"/>
      <w:b/>
      <w:bCs/>
      <w:sz w:val="28"/>
      <w:szCs w:val="28"/>
    </w:rPr>
  </w:style>
  <w:style w:type="character" w:styleId="908">
    <w:name w:val="标题 5 Char"/>
    <w:next w:val="908"/>
    <w:link w:val="894"/>
    <w:rPr>
      <w:rFonts w:ascii="宋体" w:hAnsi="Times New Roman" w:eastAsia="宋体" w:cs="Times New Roman"/>
      <w:color w:val="000000"/>
      <w:sz w:val="28"/>
      <w:szCs w:val="28"/>
    </w:rPr>
  </w:style>
  <w:style w:type="character" w:styleId="909">
    <w:name w:val="标题 6 Char"/>
    <w:next w:val="909"/>
    <w:link w:val="895"/>
    <w:rPr>
      <w:rFonts w:ascii="Arial" w:hAnsi="Arial" w:eastAsia="黑体" w:cs="Times New Roman"/>
      <w:b/>
      <w:bCs/>
      <w:sz w:val="24"/>
      <w:szCs w:val="24"/>
    </w:rPr>
  </w:style>
  <w:style w:type="character" w:styleId="910">
    <w:name w:val="标题 7 Char"/>
    <w:next w:val="910"/>
    <w:link w:val="896"/>
    <w:rPr>
      <w:rFonts w:ascii="Times New Roman" w:hAnsi="Times New Roman" w:eastAsia="宋体" w:cs="Times New Roman"/>
      <w:b/>
      <w:bCs/>
      <w:sz w:val="24"/>
      <w:szCs w:val="24"/>
    </w:rPr>
  </w:style>
  <w:style w:type="character" w:styleId="911">
    <w:name w:val="标题 8 Char"/>
    <w:next w:val="911"/>
    <w:link w:val="897"/>
    <w:rPr>
      <w:rFonts w:ascii="Arial" w:hAnsi="Arial" w:eastAsia="黑体" w:cs="Times New Roman"/>
      <w:sz w:val="24"/>
      <w:szCs w:val="24"/>
    </w:rPr>
  </w:style>
  <w:style w:type="character" w:styleId="912">
    <w:name w:val="标题 9 Char"/>
    <w:next w:val="912"/>
    <w:link w:val="898"/>
    <w:rPr>
      <w:rFonts w:ascii="Arial" w:hAnsi="Arial" w:eastAsia="黑体" w:cs="Times New Roman"/>
      <w:szCs w:val="21"/>
    </w:rPr>
  </w:style>
  <w:style w:type="paragraph" w:styleId="913">
    <w:name w:val="列表 3"/>
    <w:basedOn w:val="889"/>
    <w:next w:val="913"/>
    <w:link w:val="889"/>
    <w:pPr>
      <w:ind w:left="100" w:hanging="200"/>
    </w:pPr>
  </w:style>
  <w:style w:type="paragraph" w:styleId="914">
    <w:name w:val="目录 7"/>
    <w:basedOn w:val="889"/>
    <w:next w:val="889"/>
    <w:link w:val="889"/>
    <w:semiHidden/>
    <w:pPr>
      <w:ind w:left="1260"/>
      <w:jc w:val="left"/>
    </w:pPr>
  </w:style>
  <w:style w:type="paragraph" w:styleId="915">
    <w:name w:val="文档结构图"/>
    <w:basedOn w:val="889"/>
    <w:next w:val="915"/>
    <w:link w:val="916"/>
    <w:semiHidden/>
    <w:pPr>
      <w:shd w:val="clear" w:color="auto" w:fill="000080"/>
    </w:pPr>
    <w:rPr>
      <w:sz w:val="20"/>
      <w:lang w:val="en-US" w:eastAsia="en-US"/>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semiHidden/>
    <w:pPr>
      <w:jc w:val="left"/>
    </w:pPr>
    <w:rPr>
      <w:sz w:val="20"/>
      <w:lang w:val="en-US" w:eastAsia="en-US"/>
    </w:rPr>
  </w:style>
  <w:style w:type="character" w:styleId="918">
    <w:name w:val="批注文字 Char"/>
    <w:next w:val="918"/>
    <w:link w:val="917"/>
    <w:semiHidden/>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lang w:val="en-US" w:eastAsia="en-US"/>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21"/>
    <w:link w:val="922"/>
    <w:rPr>
      <w:rFonts w:ascii="楷体_GB2312" w:hAnsi="Arial" w:eastAsia="楷体_GB2312"/>
      <w:sz w:val="28"/>
      <w:szCs w:val="28"/>
      <w:lang w:val="en-US" w:eastAsia="en-US"/>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pPr>
      <w:ind w:firstLine="645"/>
    </w:pPr>
    <w:rPr>
      <w:rFonts w:ascii="楷体_GB2312" w:eastAsia="楷体_GB2312"/>
      <w:sz w:val="32"/>
      <w:szCs w:val="32"/>
      <w:lang w:val="en-US" w:eastAsia="en-US"/>
    </w:rPr>
  </w:style>
  <w:style w:type="character" w:styleId="924">
    <w:name w:val="正文文本缩进 Char"/>
    <w:next w:val="924"/>
    <w:link w:val="923"/>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qFormat/>
    <w:rPr>
      <w:rFonts w:ascii="宋体" w:hAnsi="Courier New"/>
      <w:sz w:val="20"/>
      <w:lang w:val="en-US" w:eastAsia="en-US"/>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lang w:val="en-US" w:eastAsia="en-US"/>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lang w:val="en-US" w:eastAsia="en-US"/>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lang w:val="en-US" w:eastAsia="en-US"/>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uiPriority w:val="99"/>
    <w:pPr>
      <w:jc w:val="left"/>
      <w:tabs>
        <w:tab w:val="center" w:pos="4153" w:leader="none"/>
        <w:tab w:val="right" w:pos="8306" w:leader="none"/>
      </w:tabs>
    </w:pPr>
    <w:rPr>
      <w:sz w:val="18"/>
      <w:szCs w:val="18"/>
      <w:lang w:val="en-US" w:eastAsia="en-US"/>
    </w:rPr>
  </w:style>
  <w:style w:type="character" w:styleId="938">
    <w:name w:val="页脚 Char"/>
    <w:next w:val="938"/>
    <w:link w:val="937"/>
    <w:uiPriority w:val="99"/>
    <w:rPr>
      <w:rFonts w:ascii="Times New Roman" w:hAnsi="Times New Roman" w:eastAsia="宋体" w:cs="Times New Roman"/>
      <w:sz w:val="18"/>
      <w:szCs w:val="18"/>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sz w:val="18"/>
      <w:szCs w:val="18"/>
      <w:lang w:val="en-US" w:eastAsia="en-US"/>
    </w:rPr>
  </w:style>
  <w:style w:type="character" w:styleId="940">
    <w:name w:val="页眉 Char"/>
    <w:next w:val="940"/>
    <w:link w:val="93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lang w:val="en-US" w:eastAsia="en-US"/>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lang w:val="en-US" w:eastAsia="en-US"/>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semiHidden/>
    <w:rPr>
      <w:b/>
      <w:bCs/>
      <w:lang w:val="en-US" w:eastAsia="en-U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lang w:val="en-US" w:eastAsia="en-US"/>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Cs w:val="20"/>
      <w:lang w:val="en-US" w:eastAsia="en-US"/>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qFormat/>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强调"/>
    <w:basedOn w:val="899"/>
    <w:next w:val="964"/>
    <w:link w:val="889"/>
    <w:qFormat/>
    <w:rPr>
      <w:i/>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sz w:val="24"/>
      <w:szCs w:val="24"/>
      <w:lang w:val="en-US" w:eastAsia="en-US" w:bidi="en-US"/>
    </w:rPr>
  </w:style>
  <w:style w:type="paragraph" w:styleId="972">
    <w:name w:val="Body Text(ch)"/>
    <w:basedOn w:val="889"/>
    <w:next w:val="921"/>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5"/>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5"/>
    <w:next w:val="981"/>
    <w:link w:val="889"/>
    <w:pPr>
      <w:spacing w:line="360" w:lineRule="auto"/>
    </w:pPr>
    <w:rPr>
      <w:rFonts w:ascii="Tahoma" w:hAnsi="Tahoma"/>
      <w:sz w:val="24"/>
      <w:szCs w:val="24"/>
    </w:rPr>
  </w:style>
  <w:style w:type="paragraph" w:styleId="982">
    <w:name w:val="列出段落"/>
    <w:basedOn w:val="889"/>
    <w:next w:val="982"/>
    <w:link w:val="889"/>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5"/>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99"/>
    <w:qFormat/>
    <w:pPr>
      <w:jc w:val="both"/>
      <w:widowControl w:val="off"/>
    </w:pPr>
    <w:rPr>
      <w:rFonts w:ascii="Times New Roman" w:hAnsi="Times New Roman"/>
      <w:sz w:val="21"/>
      <w:szCs w:val="21"/>
      <w:lang w:val="en-US" w:eastAsia="zh-CN" w:bidi="ar-SA"/>
    </w:rPr>
  </w:style>
  <w:style w:type="paragraph" w:styleId="1003">
    <w:name w:val="正文文本11"/>
    <w:basedOn w:val="889"/>
    <w:next w:val="1004"/>
    <w:link w:val="889"/>
    <w:qFormat/>
    <w:pPr>
      <w:ind w:firstLine="200"/>
      <w:jc w:val="left"/>
      <w:spacing w:after="120" w:line="278" w:lineRule="auto"/>
    </w:pPr>
    <w:rPr>
      <w:rFonts w:ascii="Calibri" w:hAnsi="Calibri" w:eastAsia="宋体" w:cs="Times New Roman"/>
      <w:sz w:val="22"/>
      <w:szCs w:val="24"/>
    </w:rPr>
  </w:style>
  <w:style w:type="paragraph" w:styleId="1004">
    <w:name w:val="正文首行缩进1"/>
    <w:basedOn w:val="1003"/>
    <w:next w:val="1004"/>
    <w:link w:val="889"/>
    <w:uiPriority w:val="99"/>
    <w:qFormat/>
    <w:pPr>
      <w:ind w:firstLine="420"/>
      <w:jc w:val="both"/>
    </w:pPr>
  </w:style>
  <w:style w:type="paragraph" w:styleId="1005">
    <w:name w:val="正文缩进1"/>
    <w:basedOn w:val="889"/>
    <w:next w:val="1005"/>
    <w:link w:val="889"/>
    <w:qFormat/>
    <w:pPr>
      <w:ind w:firstLine="420"/>
    </w:pPr>
    <w:rPr>
      <w:rFonts w:ascii="Calibri" w:hAnsi="Calibri" w:cs="Times New Roman"/>
      <w:sz w:val="24"/>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2026-10-29T02:15:03Z</dcterms:modified>
</cp:coreProperties>
</file>